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7156C">
      <w:pPr>
        <w:jc w:val="center"/>
        <w:rPr>
          <w:rFonts w:hint="eastAsia"/>
          <w:b/>
          <w:sz w:val="52"/>
          <w:szCs w:val="52"/>
          <w:lang w:eastAsia="zh-CN"/>
        </w:rPr>
      </w:pPr>
    </w:p>
    <w:p w14:paraId="0AF8518B">
      <w:pPr>
        <w:jc w:val="center"/>
        <w:rPr>
          <w:rFonts w:hint="eastAsia"/>
          <w:b/>
          <w:sz w:val="52"/>
          <w:szCs w:val="52"/>
          <w:lang w:eastAsia="zh-CN"/>
        </w:rPr>
      </w:pPr>
    </w:p>
    <w:p w14:paraId="511B9E40">
      <w:pPr>
        <w:jc w:val="center"/>
        <w:rPr>
          <w:rFonts w:hint="eastAsia" w:ascii="宋体" w:hAnsi="宋体" w:eastAsia="宋体" w:cs="宋体"/>
          <w:b/>
          <w:sz w:val="36"/>
          <w:szCs w:val="36"/>
          <w:lang w:eastAsia="zh-CN"/>
        </w:rPr>
      </w:pPr>
      <w:r>
        <w:rPr>
          <w:rFonts w:hint="eastAsia" w:ascii="宋体" w:hAnsi="宋体" w:cs="宋体"/>
          <w:b/>
          <w:sz w:val="36"/>
          <w:szCs w:val="36"/>
          <w:lang w:eastAsia="zh-CN"/>
        </w:rPr>
        <w:t>安图县地质灾害隐患点和风险区更新调查工作</w:t>
      </w:r>
    </w:p>
    <w:p w14:paraId="5C08A659">
      <w:pPr>
        <w:rPr>
          <w:rFonts w:hint="eastAsia" w:ascii="宋体" w:hAnsi="宋体" w:eastAsia="宋体" w:cs="宋体"/>
          <w:b/>
          <w:sz w:val="44"/>
          <w:szCs w:val="44"/>
        </w:rPr>
      </w:pPr>
    </w:p>
    <w:p w14:paraId="034EDC27">
      <w:pPr>
        <w:rPr>
          <w:rFonts w:hint="eastAsia" w:ascii="宋体" w:hAnsi="宋体" w:eastAsia="宋体" w:cs="宋体"/>
          <w:b/>
          <w:sz w:val="44"/>
          <w:szCs w:val="44"/>
        </w:rPr>
      </w:pPr>
    </w:p>
    <w:p w14:paraId="06EB6336">
      <w:pPr>
        <w:jc w:val="center"/>
        <w:rPr>
          <w:rFonts w:hint="eastAsia" w:ascii="宋体" w:hAnsi="宋体" w:eastAsia="宋体" w:cs="宋体"/>
          <w:b/>
          <w:sz w:val="44"/>
          <w:szCs w:val="44"/>
        </w:rPr>
      </w:pPr>
      <w:r>
        <w:rPr>
          <w:rFonts w:hint="eastAsia" w:ascii="宋体" w:hAnsi="宋体" w:eastAsia="宋体" w:cs="宋体"/>
          <w:b/>
          <w:sz w:val="44"/>
          <w:szCs w:val="44"/>
        </w:rPr>
        <w:t>竞争性磋商文件</w:t>
      </w:r>
    </w:p>
    <w:p w14:paraId="295105EB">
      <w:pPr>
        <w:jc w:val="center"/>
        <w:rPr>
          <w:rFonts w:hint="eastAsia" w:ascii="宋体" w:hAnsi="宋体" w:eastAsia="宋体" w:cs="宋体"/>
          <w:b/>
          <w:sz w:val="44"/>
          <w:szCs w:val="44"/>
        </w:rPr>
      </w:pPr>
    </w:p>
    <w:p w14:paraId="5A04869F">
      <w:pPr>
        <w:jc w:val="center"/>
        <w:rPr>
          <w:rFonts w:hint="eastAsia" w:ascii="宋体" w:hAnsi="宋体" w:eastAsia="宋体" w:cs="宋体"/>
          <w:b/>
          <w:sz w:val="44"/>
          <w:szCs w:val="44"/>
        </w:rPr>
      </w:pPr>
    </w:p>
    <w:p w14:paraId="3C63BB00">
      <w:pPr>
        <w:jc w:val="center"/>
        <w:rPr>
          <w:rFonts w:hint="eastAsia" w:ascii="宋体" w:hAnsi="宋体" w:eastAsia="宋体" w:cs="宋体"/>
          <w:sz w:val="30"/>
          <w:szCs w:val="30"/>
        </w:rPr>
      </w:pPr>
      <w:r>
        <w:rPr>
          <w:rFonts w:hint="eastAsia" w:ascii="宋体" w:hAnsi="宋体" w:eastAsia="宋体" w:cs="宋体"/>
          <w:sz w:val="30"/>
          <w:szCs w:val="30"/>
        </w:rPr>
        <w:t>项目编号：</w:t>
      </w:r>
      <w:r>
        <w:rPr>
          <w:rFonts w:hint="eastAsia" w:ascii="宋体" w:hAnsi="宋体" w:cs="宋体"/>
          <w:sz w:val="30"/>
          <w:szCs w:val="30"/>
          <w:highlight w:val="none"/>
          <w:lang w:eastAsia="zh-CN"/>
        </w:rPr>
        <w:t>LYCZ2025-017</w:t>
      </w:r>
    </w:p>
    <w:p w14:paraId="21051D38">
      <w:pPr>
        <w:jc w:val="center"/>
        <w:rPr>
          <w:rFonts w:hint="eastAsia" w:ascii="宋体" w:hAnsi="宋体" w:eastAsia="宋体" w:cs="宋体"/>
          <w:sz w:val="30"/>
          <w:szCs w:val="30"/>
        </w:rPr>
      </w:pPr>
    </w:p>
    <w:p w14:paraId="673DEDA9">
      <w:pPr>
        <w:jc w:val="center"/>
        <w:rPr>
          <w:rFonts w:hint="eastAsia" w:ascii="宋体" w:hAnsi="宋体" w:eastAsia="宋体" w:cs="宋体"/>
          <w:sz w:val="28"/>
          <w:szCs w:val="28"/>
        </w:rPr>
      </w:pPr>
    </w:p>
    <w:p w14:paraId="4E9DFCC6">
      <w:pPr>
        <w:jc w:val="center"/>
        <w:rPr>
          <w:rFonts w:hint="eastAsia" w:ascii="宋体" w:hAnsi="宋体" w:eastAsia="宋体" w:cs="宋体"/>
          <w:sz w:val="28"/>
          <w:szCs w:val="28"/>
        </w:rPr>
      </w:pPr>
    </w:p>
    <w:p w14:paraId="2BD2C6DC">
      <w:pPr>
        <w:jc w:val="left"/>
        <w:rPr>
          <w:rFonts w:hint="eastAsia" w:ascii="宋体" w:hAnsi="宋体" w:eastAsia="宋体" w:cs="宋体"/>
          <w:sz w:val="28"/>
          <w:szCs w:val="28"/>
        </w:rPr>
      </w:pPr>
    </w:p>
    <w:p w14:paraId="65A29CB4">
      <w:pPr>
        <w:jc w:val="left"/>
        <w:rPr>
          <w:rFonts w:hint="eastAsia" w:ascii="宋体" w:hAnsi="宋体" w:eastAsia="宋体" w:cs="宋体"/>
          <w:sz w:val="28"/>
          <w:szCs w:val="28"/>
        </w:rPr>
      </w:pPr>
    </w:p>
    <w:p w14:paraId="0226F5D8">
      <w:pPr>
        <w:jc w:val="left"/>
        <w:rPr>
          <w:rFonts w:hint="eastAsia" w:ascii="宋体" w:hAnsi="宋体" w:eastAsia="宋体" w:cs="宋体"/>
          <w:sz w:val="28"/>
          <w:szCs w:val="28"/>
        </w:rPr>
      </w:pPr>
    </w:p>
    <w:p w14:paraId="201F2472">
      <w:pPr>
        <w:jc w:val="left"/>
        <w:rPr>
          <w:rFonts w:hint="eastAsia" w:ascii="宋体" w:hAnsi="宋体" w:eastAsia="宋体" w:cs="宋体"/>
          <w:sz w:val="28"/>
          <w:szCs w:val="28"/>
        </w:rPr>
      </w:pPr>
      <w:bookmarkStart w:id="287" w:name="_GoBack"/>
      <w:bookmarkEnd w:id="287"/>
    </w:p>
    <w:p w14:paraId="3071C62A">
      <w:pPr>
        <w:jc w:val="left"/>
        <w:rPr>
          <w:rFonts w:hint="eastAsia" w:ascii="宋体" w:hAnsi="宋体" w:eastAsia="宋体" w:cs="宋体"/>
          <w:sz w:val="28"/>
          <w:szCs w:val="28"/>
        </w:rPr>
      </w:pPr>
    </w:p>
    <w:p w14:paraId="4D1DFD09">
      <w:pPr>
        <w:jc w:val="left"/>
        <w:rPr>
          <w:rFonts w:hint="eastAsia" w:ascii="宋体" w:hAnsi="宋体" w:eastAsia="宋体" w:cs="宋体"/>
          <w:sz w:val="28"/>
          <w:szCs w:val="28"/>
        </w:rPr>
      </w:pPr>
    </w:p>
    <w:p w14:paraId="21661A1D">
      <w:pPr>
        <w:jc w:val="left"/>
        <w:rPr>
          <w:rFonts w:hint="eastAsia" w:ascii="宋体" w:hAnsi="宋体" w:eastAsia="宋体" w:cs="宋体"/>
          <w:sz w:val="28"/>
          <w:szCs w:val="28"/>
        </w:rPr>
      </w:pPr>
    </w:p>
    <w:p w14:paraId="0B5F2336">
      <w:pPr>
        <w:jc w:val="left"/>
        <w:rPr>
          <w:rFonts w:hint="eastAsia" w:ascii="宋体" w:hAnsi="宋体" w:eastAsia="宋体" w:cs="宋体"/>
          <w:sz w:val="28"/>
          <w:szCs w:val="28"/>
        </w:rPr>
      </w:pPr>
    </w:p>
    <w:p w14:paraId="06B5A254">
      <w:pPr>
        <w:jc w:val="left"/>
        <w:rPr>
          <w:rFonts w:hint="eastAsia" w:ascii="宋体" w:hAnsi="宋体" w:eastAsia="宋体" w:cs="宋体"/>
          <w:sz w:val="28"/>
          <w:szCs w:val="28"/>
        </w:rPr>
      </w:pPr>
    </w:p>
    <w:p w14:paraId="288095A9">
      <w:pPr>
        <w:jc w:val="left"/>
        <w:rPr>
          <w:rFonts w:hint="eastAsia" w:ascii="宋体" w:hAnsi="宋体" w:eastAsia="宋体" w:cs="宋体"/>
          <w:sz w:val="28"/>
          <w:szCs w:val="28"/>
        </w:rPr>
      </w:pPr>
    </w:p>
    <w:p w14:paraId="6FCAE775">
      <w:pPr>
        <w:jc w:val="left"/>
        <w:rPr>
          <w:rFonts w:hint="eastAsia" w:ascii="宋体" w:hAnsi="宋体" w:eastAsia="宋体" w:cs="宋体"/>
          <w:sz w:val="28"/>
          <w:szCs w:val="28"/>
        </w:rPr>
      </w:pPr>
    </w:p>
    <w:p w14:paraId="51237570">
      <w:pPr>
        <w:jc w:val="left"/>
        <w:rPr>
          <w:rFonts w:hint="eastAsia" w:ascii="宋体" w:hAnsi="宋体" w:eastAsia="宋体" w:cs="宋体"/>
          <w:sz w:val="28"/>
          <w:szCs w:val="28"/>
        </w:rPr>
      </w:pPr>
    </w:p>
    <w:p w14:paraId="7092E504">
      <w:pPr>
        <w:ind w:firstLine="1120" w:firstLineChars="400"/>
        <w:jc w:val="left"/>
        <w:rPr>
          <w:rFonts w:hint="eastAsia" w:ascii="宋体" w:hAnsi="宋体" w:eastAsia="宋体" w:cs="宋体"/>
          <w:sz w:val="28"/>
          <w:szCs w:val="28"/>
          <w:lang w:eastAsia="zh-CN"/>
        </w:rPr>
      </w:pPr>
      <w:r>
        <w:rPr>
          <w:rFonts w:hint="eastAsia" w:ascii="宋体" w:hAnsi="宋体" w:cs="宋体"/>
          <w:sz w:val="28"/>
          <w:szCs w:val="28"/>
          <w:lang w:val="en-US" w:eastAsia="zh-CN"/>
        </w:rPr>
        <w:t>采   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eastAsia="zh-CN"/>
        </w:rPr>
        <w:t>安图县自然资源和林业局</w:t>
      </w:r>
    </w:p>
    <w:p w14:paraId="4B8B09CF">
      <w:pPr>
        <w:jc w:val="left"/>
        <w:rPr>
          <w:rFonts w:hint="eastAsia" w:ascii="宋体" w:hAnsi="宋体" w:eastAsia="宋体" w:cs="宋体"/>
          <w:sz w:val="28"/>
          <w:szCs w:val="28"/>
        </w:rPr>
      </w:pPr>
    </w:p>
    <w:p w14:paraId="439E45E5">
      <w:pPr>
        <w:jc w:val="left"/>
        <w:rPr>
          <w:rFonts w:hint="eastAsia" w:ascii="宋体" w:hAnsi="宋体" w:eastAsia="宋体" w:cs="宋体"/>
          <w:sz w:val="28"/>
          <w:szCs w:val="28"/>
        </w:rPr>
      </w:pPr>
    </w:p>
    <w:p w14:paraId="532907EC">
      <w:pPr>
        <w:spacing w:line="480" w:lineRule="exact"/>
        <w:ind w:firstLine="1120" w:firstLineChars="400"/>
        <w:jc w:val="left"/>
        <w:rPr>
          <w:rFonts w:hint="eastAsia" w:ascii="宋体" w:hAnsi="宋体" w:eastAsia="宋体" w:cs="宋体"/>
          <w:sz w:val="28"/>
          <w:szCs w:val="28"/>
          <w:lang w:eastAsia="zh-CN"/>
        </w:rPr>
      </w:pPr>
      <w:r>
        <w:rPr>
          <w:rFonts w:hint="eastAsia" w:ascii="宋体" w:hAnsi="宋体" w:eastAsia="宋体" w:cs="宋体"/>
          <w:sz w:val="28"/>
          <w:szCs w:val="28"/>
        </w:rPr>
        <w:t>招标代理机构：</w:t>
      </w:r>
      <w:r>
        <w:rPr>
          <w:rFonts w:hint="eastAsia" w:ascii="宋体" w:hAnsi="宋体" w:eastAsia="宋体" w:cs="宋体"/>
          <w:sz w:val="28"/>
          <w:szCs w:val="28"/>
          <w:lang w:eastAsia="zh-CN"/>
        </w:rPr>
        <w:t>吉林省隆元工程管理咨询有限公司</w:t>
      </w:r>
    </w:p>
    <w:p w14:paraId="028B4F06">
      <w:pPr>
        <w:jc w:val="center"/>
        <w:rPr>
          <w:rFonts w:hint="eastAsia" w:ascii="宋体" w:hAnsi="宋体" w:eastAsia="宋体" w:cs="宋体"/>
          <w:sz w:val="30"/>
          <w:szCs w:val="30"/>
        </w:rPr>
      </w:pPr>
    </w:p>
    <w:p w14:paraId="4E2D5306">
      <w:pPr>
        <w:jc w:val="center"/>
        <w:rPr>
          <w:rFonts w:hint="eastAsia" w:ascii="宋体" w:hAnsi="宋体" w:eastAsia="宋体" w:cs="宋体"/>
          <w:sz w:val="30"/>
          <w:szCs w:val="30"/>
        </w:rPr>
      </w:pPr>
      <w:r>
        <w:rPr>
          <w:rFonts w:hint="eastAsia" w:ascii="宋体" w:hAnsi="宋体" w:eastAsia="宋体" w:cs="宋体"/>
          <w:sz w:val="30"/>
          <w:szCs w:val="30"/>
        </w:rPr>
        <w:t>二〇二</w:t>
      </w:r>
      <w:r>
        <w:rPr>
          <w:rFonts w:hint="eastAsia" w:ascii="宋体" w:hAnsi="宋体" w:cs="宋体"/>
          <w:sz w:val="30"/>
          <w:szCs w:val="30"/>
          <w:lang w:val="en-US" w:eastAsia="zh-CN"/>
        </w:rPr>
        <w:t>五</w:t>
      </w:r>
      <w:r>
        <w:rPr>
          <w:rFonts w:hint="eastAsia" w:ascii="宋体" w:hAnsi="宋体" w:eastAsia="宋体" w:cs="宋体"/>
          <w:sz w:val="30"/>
          <w:szCs w:val="30"/>
        </w:rPr>
        <w:t>年</w:t>
      </w:r>
      <w:r>
        <w:rPr>
          <w:rFonts w:hint="eastAsia" w:ascii="宋体" w:hAnsi="宋体" w:cs="宋体"/>
          <w:sz w:val="30"/>
          <w:szCs w:val="30"/>
          <w:lang w:val="en-US" w:eastAsia="zh-CN"/>
        </w:rPr>
        <w:t>七</w:t>
      </w:r>
      <w:r>
        <w:rPr>
          <w:rFonts w:hint="eastAsia" w:ascii="宋体" w:hAnsi="宋体" w:eastAsia="宋体" w:cs="宋体"/>
          <w:sz w:val="30"/>
          <w:szCs w:val="30"/>
        </w:rPr>
        <w:t>月</w:t>
      </w:r>
    </w:p>
    <w:p w14:paraId="12D9AF37">
      <w:pPr>
        <w:pStyle w:val="29"/>
        <w:jc w:val="center"/>
        <w:rPr>
          <w:color w:val="auto"/>
          <w:lang w:val="zh-CN"/>
        </w:rPr>
        <w:sectPr>
          <w:footerReference r:id="rId5" w:type="first"/>
          <w:headerReference r:id="rId3" w:type="default"/>
          <w:footerReference r:id="rId4" w:type="default"/>
          <w:pgSz w:w="11910" w:h="16850"/>
          <w:pgMar w:top="1457" w:right="1701" w:bottom="1400" w:left="1701" w:header="1134" w:footer="1134" w:gutter="0"/>
          <w:cols w:space="720" w:num="1"/>
        </w:sectPr>
      </w:pPr>
    </w:p>
    <w:p w14:paraId="0DC5E7F3">
      <w:pPr>
        <w:rPr>
          <w:lang w:val="zh-CN"/>
        </w:rPr>
      </w:pPr>
    </w:p>
    <w:p w14:paraId="162B0EC6">
      <w:pPr>
        <w:pStyle w:val="29"/>
        <w:jc w:val="center"/>
        <w:rPr>
          <w:color w:val="auto"/>
          <w:sz w:val="32"/>
          <w:szCs w:val="32"/>
        </w:rPr>
      </w:pPr>
      <w:r>
        <w:rPr>
          <w:color w:val="auto"/>
          <w:sz w:val="32"/>
          <w:szCs w:val="32"/>
          <w:lang w:val="zh-CN"/>
        </w:rPr>
        <w:t>目</w:t>
      </w:r>
      <w:r>
        <w:rPr>
          <w:rFonts w:hint="eastAsia"/>
          <w:color w:val="auto"/>
          <w:sz w:val="32"/>
          <w:szCs w:val="32"/>
          <w:lang w:val="en-US" w:eastAsia="zh-CN"/>
        </w:rPr>
        <w:t xml:space="preserve">  </w:t>
      </w:r>
      <w:r>
        <w:rPr>
          <w:color w:val="auto"/>
          <w:sz w:val="32"/>
          <w:szCs w:val="32"/>
          <w:lang w:val="zh-CN"/>
        </w:rPr>
        <w:t>录</w:t>
      </w:r>
    </w:p>
    <w:p w14:paraId="6B24CB2C">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TOC \o "1-3" \h \z \u </w:instrText>
      </w:r>
      <w:r>
        <w:rPr>
          <w:sz w:val="24"/>
          <w:szCs w:val="24"/>
        </w:rPr>
        <w:fldChar w:fldCharType="separate"/>
      </w:r>
      <w:r>
        <w:rPr>
          <w:sz w:val="24"/>
          <w:szCs w:val="24"/>
        </w:rPr>
        <w:fldChar w:fldCharType="begin"/>
      </w:r>
      <w:r>
        <w:rPr>
          <w:sz w:val="24"/>
          <w:szCs w:val="24"/>
        </w:rPr>
        <w:instrText xml:space="preserve"> HYPERLINK \l "_Toc505691140" </w:instrText>
      </w:r>
      <w:r>
        <w:rPr>
          <w:sz w:val="24"/>
          <w:szCs w:val="24"/>
        </w:rPr>
        <w:fldChar w:fldCharType="separate"/>
      </w:r>
      <w:r>
        <w:rPr>
          <w:rStyle w:val="27"/>
          <w:rFonts w:hint="eastAsia"/>
          <w:sz w:val="24"/>
          <w:szCs w:val="24"/>
        </w:rPr>
        <w:t>第一章竞争性磋商公告</w:t>
      </w:r>
      <w:r>
        <w:rPr>
          <w:sz w:val="24"/>
          <w:szCs w:val="24"/>
        </w:rPr>
        <w:tab/>
      </w:r>
      <w:r>
        <w:rPr>
          <w:rFonts w:hint="eastAsia"/>
          <w:sz w:val="24"/>
          <w:szCs w:val="24"/>
          <w:lang w:val="en-US" w:eastAsia="zh-CN"/>
        </w:rPr>
        <w:t>2</w:t>
      </w:r>
      <w:r>
        <w:rPr>
          <w:sz w:val="24"/>
          <w:szCs w:val="24"/>
        </w:rPr>
        <w:fldChar w:fldCharType="end"/>
      </w:r>
    </w:p>
    <w:p w14:paraId="6497089F">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"_Toc505691141" </w:instrText>
      </w:r>
      <w:r>
        <w:rPr>
          <w:sz w:val="24"/>
          <w:szCs w:val="24"/>
        </w:rPr>
        <w:fldChar w:fldCharType="separate"/>
      </w:r>
      <w:r>
        <w:rPr>
          <w:rStyle w:val="27"/>
          <w:rFonts w:hint="eastAsia"/>
          <w:sz w:val="24"/>
          <w:szCs w:val="24"/>
        </w:rPr>
        <w:t>第二章供应商须知</w:t>
      </w:r>
      <w:r>
        <w:rPr>
          <w:sz w:val="24"/>
          <w:szCs w:val="24"/>
        </w:rPr>
        <w:tab/>
      </w:r>
      <w:r>
        <w:rPr>
          <w:rFonts w:hint="eastAsia"/>
          <w:sz w:val="24"/>
          <w:szCs w:val="24"/>
          <w:lang w:val="en-US" w:eastAsia="zh-CN"/>
        </w:rPr>
        <w:t>6</w:t>
      </w:r>
      <w:r>
        <w:rPr>
          <w:sz w:val="24"/>
          <w:szCs w:val="24"/>
        </w:rPr>
        <w:fldChar w:fldCharType="end"/>
      </w:r>
    </w:p>
    <w:p w14:paraId="18E82034">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"_Toc505691142" </w:instrText>
      </w:r>
      <w:r>
        <w:rPr>
          <w:sz w:val="24"/>
          <w:szCs w:val="24"/>
        </w:rPr>
        <w:fldChar w:fldCharType="separate"/>
      </w:r>
      <w:r>
        <w:rPr>
          <w:rStyle w:val="27"/>
          <w:rFonts w:hint="eastAsia"/>
          <w:sz w:val="24"/>
          <w:szCs w:val="24"/>
        </w:rPr>
        <w:t>第三章评审办法</w:t>
      </w:r>
      <w:r>
        <w:rPr>
          <w:sz w:val="24"/>
          <w:szCs w:val="24"/>
        </w:rPr>
        <w:tab/>
      </w:r>
      <w:r>
        <w:rPr>
          <w:sz w:val="24"/>
          <w:szCs w:val="24"/>
        </w:rPr>
        <w:fldChar w:fldCharType="begin"/>
      </w:r>
      <w:r>
        <w:rPr>
          <w:sz w:val="24"/>
          <w:szCs w:val="24"/>
        </w:rPr>
        <w:instrText xml:space="preserve"> PAGEREF _Toc505691142 \h </w:instrText>
      </w:r>
      <w:r>
        <w:rPr>
          <w:sz w:val="24"/>
          <w:szCs w:val="24"/>
        </w:rPr>
        <w:fldChar w:fldCharType="separate"/>
      </w:r>
      <w:r>
        <w:rPr>
          <w:sz w:val="24"/>
          <w:szCs w:val="24"/>
        </w:rPr>
        <w:t>26</w:t>
      </w:r>
      <w:r>
        <w:rPr>
          <w:sz w:val="24"/>
          <w:szCs w:val="24"/>
        </w:rPr>
        <w:fldChar w:fldCharType="end"/>
      </w:r>
      <w:r>
        <w:rPr>
          <w:sz w:val="24"/>
          <w:szCs w:val="24"/>
        </w:rPr>
        <w:fldChar w:fldCharType="end"/>
      </w:r>
    </w:p>
    <w:p w14:paraId="7933856B">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"_Toc505691143" </w:instrText>
      </w:r>
      <w:r>
        <w:rPr>
          <w:sz w:val="24"/>
          <w:szCs w:val="24"/>
        </w:rPr>
        <w:fldChar w:fldCharType="separate"/>
      </w:r>
      <w:r>
        <w:rPr>
          <w:rStyle w:val="27"/>
          <w:rFonts w:hint="eastAsia"/>
          <w:sz w:val="24"/>
          <w:szCs w:val="24"/>
        </w:rPr>
        <w:t>第四章合同格式</w:t>
      </w:r>
      <w:r>
        <w:rPr>
          <w:rStyle w:val="27"/>
          <w:sz w:val="24"/>
          <w:szCs w:val="24"/>
        </w:rPr>
        <w:t>(</w:t>
      </w:r>
      <w:r>
        <w:rPr>
          <w:rStyle w:val="27"/>
          <w:rFonts w:hint="eastAsia"/>
          <w:sz w:val="24"/>
          <w:szCs w:val="24"/>
        </w:rPr>
        <w:t>参考</w:t>
      </w:r>
      <w:r>
        <w:rPr>
          <w:rStyle w:val="27"/>
          <w:sz w:val="24"/>
          <w:szCs w:val="24"/>
        </w:rPr>
        <w:t>)</w:t>
      </w:r>
      <w:r>
        <w:rPr>
          <w:sz w:val="24"/>
          <w:szCs w:val="24"/>
        </w:rPr>
        <w:tab/>
      </w:r>
      <w:r>
        <w:rPr>
          <w:sz w:val="24"/>
          <w:szCs w:val="24"/>
        </w:rPr>
        <w:fldChar w:fldCharType="begin"/>
      </w:r>
      <w:r>
        <w:rPr>
          <w:sz w:val="24"/>
          <w:szCs w:val="24"/>
        </w:rPr>
        <w:instrText xml:space="preserve"> PAGEREF _Toc505691143 \h </w:instrText>
      </w:r>
      <w:r>
        <w:rPr>
          <w:sz w:val="24"/>
          <w:szCs w:val="24"/>
        </w:rPr>
        <w:fldChar w:fldCharType="separate"/>
      </w:r>
      <w:r>
        <w:rPr>
          <w:sz w:val="24"/>
          <w:szCs w:val="24"/>
        </w:rPr>
        <w:t>33</w:t>
      </w:r>
      <w:r>
        <w:rPr>
          <w:sz w:val="24"/>
          <w:szCs w:val="24"/>
        </w:rPr>
        <w:fldChar w:fldCharType="end"/>
      </w:r>
      <w:r>
        <w:rPr>
          <w:sz w:val="24"/>
          <w:szCs w:val="24"/>
        </w:rPr>
        <w:fldChar w:fldCharType="end"/>
      </w:r>
    </w:p>
    <w:p w14:paraId="029549BD">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"_Toc505691144" </w:instrText>
      </w:r>
      <w:r>
        <w:rPr>
          <w:sz w:val="24"/>
          <w:szCs w:val="24"/>
        </w:rPr>
        <w:fldChar w:fldCharType="separate"/>
      </w:r>
      <w:r>
        <w:rPr>
          <w:rStyle w:val="27"/>
          <w:rFonts w:hint="eastAsia"/>
          <w:sz w:val="24"/>
          <w:szCs w:val="24"/>
        </w:rPr>
        <w:t>第五章</w:t>
      </w:r>
      <w:r>
        <w:rPr>
          <w:rStyle w:val="27"/>
          <w:rFonts w:hint="eastAsia"/>
          <w:sz w:val="24"/>
          <w:szCs w:val="24"/>
          <w:lang w:val="en-US" w:eastAsia="zh-CN"/>
        </w:rPr>
        <w:t>采购人要求</w:t>
      </w:r>
      <w:r>
        <w:rPr>
          <w:sz w:val="24"/>
          <w:szCs w:val="24"/>
        </w:rPr>
        <w:tab/>
      </w:r>
      <w:r>
        <w:rPr>
          <w:sz w:val="24"/>
          <w:szCs w:val="24"/>
        </w:rPr>
        <w:fldChar w:fldCharType="begin"/>
      </w:r>
      <w:r>
        <w:rPr>
          <w:sz w:val="24"/>
          <w:szCs w:val="24"/>
        </w:rPr>
        <w:instrText xml:space="preserve"> PAGEREF _Toc505691144 \h </w:instrText>
      </w:r>
      <w:r>
        <w:rPr>
          <w:sz w:val="24"/>
          <w:szCs w:val="24"/>
        </w:rPr>
        <w:fldChar w:fldCharType="separate"/>
      </w:r>
      <w:r>
        <w:rPr>
          <w:sz w:val="24"/>
          <w:szCs w:val="24"/>
        </w:rPr>
        <w:t>33</w:t>
      </w:r>
      <w:r>
        <w:rPr>
          <w:sz w:val="24"/>
          <w:szCs w:val="24"/>
        </w:rPr>
        <w:fldChar w:fldCharType="end"/>
      </w:r>
      <w:r>
        <w:rPr>
          <w:sz w:val="24"/>
          <w:szCs w:val="24"/>
        </w:rPr>
        <w:fldChar w:fldCharType="end"/>
      </w:r>
    </w:p>
    <w:p w14:paraId="2DE632ED">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rStyle w:val="27"/>
          <w:sz w:val="24"/>
          <w:szCs w:val="24"/>
        </w:rPr>
      </w:pPr>
      <w:r>
        <w:rPr>
          <w:sz w:val="24"/>
          <w:szCs w:val="24"/>
        </w:rPr>
        <w:fldChar w:fldCharType="begin"/>
      </w:r>
      <w:r>
        <w:rPr>
          <w:sz w:val="24"/>
          <w:szCs w:val="24"/>
        </w:rPr>
        <w:instrText xml:space="preserve"> HYPERLINK \l "_Toc505691145" </w:instrText>
      </w:r>
      <w:r>
        <w:rPr>
          <w:sz w:val="24"/>
          <w:szCs w:val="24"/>
        </w:rPr>
        <w:fldChar w:fldCharType="separate"/>
      </w:r>
      <w:r>
        <w:rPr>
          <w:rStyle w:val="27"/>
          <w:rFonts w:hint="eastAsia"/>
          <w:sz w:val="24"/>
          <w:szCs w:val="24"/>
        </w:rPr>
        <w:t>第六章磋商响应文件格式</w:t>
      </w:r>
      <w:r>
        <w:rPr>
          <w:rStyle w:val="27"/>
          <w:sz w:val="24"/>
          <w:szCs w:val="24"/>
        </w:rPr>
        <w:tab/>
      </w:r>
      <w:r>
        <w:rPr>
          <w:sz w:val="24"/>
          <w:szCs w:val="24"/>
        </w:rPr>
        <w:fldChar w:fldCharType="begin"/>
      </w:r>
      <w:r>
        <w:rPr>
          <w:sz w:val="24"/>
          <w:szCs w:val="24"/>
        </w:rPr>
        <w:instrText xml:space="preserve"> PAGEREF _Toc505691145 \h </w:instrText>
      </w:r>
      <w:r>
        <w:rPr>
          <w:sz w:val="24"/>
          <w:szCs w:val="24"/>
        </w:rPr>
        <w:fldChar w:fldCharType="separate"/>
      </w:r>
      <w:r>
        <w:rPr>
          <w:sz w:val="24"/>
          <w:szCs w:val="24"/>
        </w:rPr>
        <w:t>36</w:t>
      </w:r>
      <w:r>
        <w:rPr>
          <w:sz w:val="24"/>
          <w:szCs w:val="24"/>
        </w:rPr>
        <w:fldChar w:fldCharType="end"/>
      </w:r>
      <w:r>
        <w:rPr>
          <w:sz w:val="24"/>
          <w:szCs w:val="24"/>
        </w:rPr>
        <w:fldChar w:fldCharType="end"/>
      </w:r>
    </w:p>
    <w:p w14:paraId="5197DCE6">
      <w:pPr>
        <w:keepNext w:val="0"/>
        <w:keepLines w:val="0"/>
        <w:pageBreakBefore w:val="0"/>
        <w:widowControl w:val="0"/>
        <w:kinsoku/>
        <w:wordWrap/>
        <w:overflowPunct/>
        <w:topLinePunct w:val="0"/>
        <w:autoSpaceDE/>
        <w:autoSpaceDN/>
        <w:bidi w:val="0"/>
        <w:adjustRightInd/>
        <w:snapToGrid/>
        <w:spacing w:line="600" w:lineRule="exact"/>
        <w:textAlignment w:val="auto"/>
      </w:pPr>
      <w:r>
        <w:rPr>
          <w:sz w:val="24"/>
          <w:szCs w:val="24"/>
        </w:rPr>
        <w:fldChar w:fldCharType="end"/>
      </w:r>
    </w:p>
    <w:p w14:paraId="1D847FB4">
      <w:pPr>
        <w:widowControl/>
        <w:jc w:val="left"/>
        <w:rPr>
          <w:rFonts w:ascii="Cambria" w:hAnsi="Cambria"/>
          <w:b/>
          <w:bCs/>
          <w:sz w:val="28"/>
          <w:szCs w:val="28"/>
        </w:rPr>
      </w:pPr>
    </w:p>
    <w:p w14:paraId="5A230C8B">
      <w:pPr>
        <w:widowControl/>
        <w:jc w:val="left"/>
        <w:rPr>
          <w:rFonts w:ascii="Cambria" w:hAnsi="Cambria"/>
          <w:b/>
          <w:bCs/>
          <w:sz w:val="28"/>
          <w:szCs w:val="28"/>
        </w:rPr>
      </w:pPr>
      <w:bookmarkStart w:id="0" w:name="_Toc505691140"/>
      <w:r>
        <w:rPr>
          <w:sz w:val="28"/>
          <w:szCs w:val="28"/>
        </w:rPr>
        <w:br w:type="page"/>
      </w:r>
    </w:p>
    <w:p w14:paraId="7E5CA7CA">
      <w:pPr>
        <w:pStyle w:val="3"/>
        <w:jc w:val="center"/>
        <w:rPr>
          <w:sz w:val="28"/>
          <w:szCs w:val="28"/>
        </w:rPr>
      </w:pPr>
      <w:r>
        <w:rPr>
          <w:rFonts w:hint="eastAsia"/>
          <w:sz w:val="28"/>
          <w:szCs w:val="28"/>
        </w:rPr>
        <w:t xml:space="preserve">第一章 </w:t>
      </w:r>
      <w:r>
        <w:rPr>
          <w:rFonts w:hint="eastAsia"/>
        </w:rPr>
        <w:t>竞争性磋商公告</w:t>
      </w:r>
      <w:bookmarkEnd w:id="0"/>
    </w:p>
    <w:p w14:paraId="053CAD3E">
      <w:pPr>
        <w:pStyle w:val="2"/>
        <w:spacing w:before="0" w:after="0" w:line="240" w:lineRule="auto"/>
        <w:jc w:val="center"/>
        <w:rPr>
          <w:rFonts w:hint="eastAsia" w:ascii="宋体" w:hAnsi="宋体" w:cs="宋体"/>
          <w:b/>
          <w:bCs/>
          <w:color w:val="000000"/>
          <w:sz w:val="24"/>
          <w:szCs w:val="24"/>
          <w:lang w:val="en-US" w:eastAsia="zh-CN"/>
        </w:rPr>
      </w:pPr>
      <w:bookmarkStart w:id="1" w:name="_Toc505691141"/>
      <w:r>
        <w:rPr>
          <w:rFonts w:hint="eastAsia" w:ascii="宋体" w:hAnsi="宋体" w:cs="宋体"/>
          <w:b/>
          <w:bCs/>
          <w:color w:val="000000"/>
          <w:sz w:val="24"/>
          <w:szCs w:val="24"/>
          <w:lang w:val="en-US" w:eastAsia="zh-CN"/>
        </w:rPr>
        <w:t>安图县地质灾害隐患点和风险区更新调查工作</w:t>
      </w:r>
    </w:p>
    <w:p w14:paraId="3ACFFC62">
      <w:pPr>
        <w:pStyle w:val="2"/>
        <w:spacing w:before="0" w:after="0" w:line="240" w:lineRule="auto"/>
        <w:jc w:val="center"/>
        <w:rPr>
          <w:rFonts w:hint="eastAsia" w:ascii="宋体" w:hAnsi="宋体" w:cs="宋体"/>
          <w:b/>
          <w:bCs/>
          <w:color w:val="000000"/>
          <w:sz w:val="24"/>
          <w:szCs w:val="24"/>
        </w:rPr>
      </w:pPr>
      <w:r>
        <w:rPr>
          <w:rFonts w:hint="eastAsia" w:ascii="宋体" w:hAnsi="宋体" w:cs="宋体"/>
          <w:b/>
          <w:bCs/>
          <w:color w:val="000000"/>
          <w:sz w:val="24"/>
          <w:szCs w:val="24"/>
          <w:lang w:val="en-US" w:eastAsia="zh-CN"/>
        </w:rPr>
        <w:t>招标采购</w:t>
      </w:r>
      <w:r>
        <w:rPr>
          <w:rFonts w:hint="eastAsia" w:ascii="宋体" w:hAnsi="宋体" w:cs="宋体"/>
          <w:b/>
          <w:bCs/>
          <w:color w:val="000000"/>
          <w:sz w:val="24"/>
          <w:szCs w:val="24"/>
        </w:rPr>
        <w:t>公告</w:t>
      </w:r>
    </w:p>
    <w:p w14:paraId="2920CCB0">
      <w:pPr>
        <w:autoSpaceDE w:val="0"/>
        <w:autoSpaceDN w:val="0"/>
        <w:adjustRightInd w:val="0"/>
        <w:spacing w:line="420" w:lineRule="exact"/>
        <w:ind w:right="97" w:rightChars="46" w:firstLine="315" w:firstLineChars="150"/>
        <w:jc w:val="left"/>
        <w:rPr>
          <w:rFonts w:hint="eastAsia"/>
          <w:color w:val="000000"/>
        </w:rPr>
      </w:pP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5"/>
      </w:tblGrid>
      <w:tr w14:paraId="52348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5" w:type="dxa"/>
            <w:noWrap w:val="0"/>
            <w:vAlign w:val="top"/>
          </w:tcPr>
          <w:p w14:paraId="0E221F8E">
            <w:pPr>
              <w:spacing w:line="400" w:lineRule="exact"/>
              <w:ind w:right="18"/>
              <w:jc w:val="left"/>
              <w:rPr>
                <w:rFonts w:hint="eastAsia" w:ascii="宋体" w:hAnsi="宋体" w:cs="宋体"/>
                <w:color w:val="000000"/>
              </w:rPr>
            </w:pPr>
            <w:r>
              <w:rPr>
                <w:rFonts w:hint="eastAsia" w:ascii="宋体" w:hAnsi="宋体" w:cs="宋体"/>
                <w:color w:val="000000"/>
                <w:lang w:val="zh-CN"/>
              </w:rPr>
              <w:t>项目概况</w:t>
            </w:r>
            <w:r>
              <w:rPr>
                <w:rFonts w:hint="eastAsia" w:ascii="宋体" w:hAnsi="宋体" w:cs="宋体"/>
                <w:color w:val="000000"/>
              </w:rPr>
              <w:t>：</w:t>
            </w:r>
          </w:p>
          <w:p w14:paraId="68E1B7E3">
            <w:pPr>
              <w:spacing w:line="400" w:lineRule="exact"/>
              <w:ind w:right="18" w:firstLine="420" w:firstLineChars="200"/>
              <w:jc w:val="left"/>
              <w:rPr>
                <w:rFonts w:hint="eastAsia" w:ascii="宋体" w:hAnsi="宋体" w:cs="宋体"/>
                <w:color w:val="000000"/>
              </w:rPr>
            </w:pPr>
            <w:r>
              <w:rPr>
                <w:rFonts w:hint="eastAsia" w:ascii="宋体" w:hAnsi="宋体" w:cs="宋体"/>
                <w:color w:val="000000"/>
                <w:lang w:eastAsia="zh-CN"/>
              </w:rPr>
              <w:t>安图县地质灾害隐患点和风险区更新调查工作</w:t>
            </w:r>
            <w:r>
              <w:rPr>
                <w:rFonts w:hint="eastAsia" w:ascii="宋体" w:hAnsi="宋体" w:cs="宋体"/>
                <w:color w:val="000000"/>
                <w:lang w:val="zh-CN"/>
              </w:rPr>
              <w:t>的潜在供应商应在</w:t>
            </w:r>
            <w:r>
              <w:rPr>
                <w:rFonts w:hint="eastAsia" w:ascii="宋体" w:hAnsi="宋体" w:cs="宋体"/>
                <w:color w:val="000000"/>
              </w:rPr>
              <w:t>“</w:t>
            </w:r>
            <w:r>
              <w:rPr>
                <w:rFonts w:hint="eastAsia" w:ascii="宋体" w:hAnsi="宋体" w:cs="宋体"/>
                <w:color w:val="000000"/>
                <w:lang w:val="zh-CN"/>
              </w:rPr>
              <w:t>政采云</w:t>
            </w:r>
            <w:r>
              <w:rPr>
                <w:rFonts w:hint="eastAsia" w:ascii="宋体" w:hAnsi="宋体" w:cs="宋体"/>
                <w:color w:val="000000"/>
              </w:rPr>
              <w:t>”</w:t>
            </w:r>
            <w:r>
              <w:rPr>
                <w:rFonts w:hint="eastAsia" w:ascii="宋体" w:hAnsi="宋体" w:cs="宋体"/>
                <w:color w:val="000000"/>
                <w:lang w:val="zh-CN"/>
              </w:rPr>
              <w:t>平台</w:t>
            </w:r>
            <w:r>
              <w:rPr>
                <w:rFonts w:hint="eastAsia" w:ascii="宋体" w:hAnsi="宋体" w:cs="宋体"/>
                <w:color w:val="000000"/>
              </w:rPr>
              <w:t>（http:// www.zcygov.cn）</w:t>
            </w:r>
            <w:r>
              <w:rPr>
                <w:rFonts w:hint="eastAsia" w:ascii="宋体" w:hAnsi="宋体" w:cs="宋体"/>
                <w:color w:val="000000"/>
                <w:lang w:val="zh-CN"/>
              </w:rPr>
              <w:t>获取</w:t>
            </w:r>
            <w:r>
              <w:rPr>
                <w:rFonts w:hint="eastAsia" w:ascii="宋体" w:hAnsi="宋体" w:cs="宋体"/>
                <w:color w:val="auto"/>
                <w:sz w:val="21"/>
                <w:szCs w:val="21"/>
                <w:lang w:val="en-US" w:eastAsia="zh-CN" w:bidi="ar"/>
              </w:rPr>
              <w:t>竞争性磋商</w:t>
            </w:r>
            <w:r>
              <w:rPr>
                <w:rFonts w:hint="eastAsia" w:ascii="宋体" w:hAnsi="宋体" w:cs="宋体"/>
                <w:color w:val="000000"/>
                <w:lang w:val="zh-CN"/>
              </w:rPr>
              <w:t>文件</w:t>
            </w:r>
            <w:r>
              <w:rPr>
                <w:rFonts w:hint="eastAsia" w:ascii="宋体" w:hAnsi="宋体" w:cs="宋体"/>
                <w:color w:val="000000"/>
              </w:rPr>
              <w:t>，</w:t>
            </w:r>
            <w:r>
              <w:rPr>
                <w:rFonts w:hint="eastAsia" w:ascii="宋体" w:hAnsi="宋体" w:cs="宋体"/>
                <w:color w:val="000000"/>
                <w:lang w:val="zh-CN"/>
              </w:rPr>
              <w:t>并</w:t>
            </w:r>
            <w:r>
              <w:rPr>
                <w:rFonts w:hint="eastAsia" w:ascii="宋体" w:hAnsi="宋体" w:cs="宋体"/>
                <w:color w:val="000000"/>
                <w:highlight w:val="none"/>
                <w:lang w:val="zh-CN"/>
              </w:rPr>
              <w:t>于</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23</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14</w:t>
            </w:r>
            <w:r>
              <w:rPr>
                <w:rFonts w:hint="eastAsia" w:ascii="宋体" w:hAnsi="宋体" w:cs="宋体"/>
                <w:color w:val="auto"/>
                <w:highlight w:val="none"/>
                <w:lang w:eastAsia="zh-CN"/>
              </w:rPr>
              <w:t>时00分</w:t>
            </w:r>
            <w:r>
              <w:rPr>
                <w:rFonts w:hint="eastAsia" w:ascii="宋体" w:hAnsi="宋体" w:cs="宋体"/>
                <w:color w:val="000000"/>
                <w:highlight w:val="none"/>
              </w:rPr>
              <w:t>（</w:t>
            </w:r>
            <w:r>
              <w:rPr>
                <w:rFonts w:hint="eastAsia" w:ascii="宋体" w:hAnsi="宋体" w:cs="宋体"/>
                <w:color w:val="000000"/>
                <w:highlight w:val="none"/>
                <w:lang w:val="zh-CN"/>
              </w:rPr>
              <w:t>北</w:t>
            </w:r>
            <w:r>
              <w:rPr>
                <w:rFonts w:hint="eastAsia" w:ascii="宋体" w:hAnsi="宋体" w:cs="宋体"/>
                <w:color w:val="000000"/>
                <w:lang w:val="zh-CN"/>
              </w:rPr>
              <w:t>京时间</w:t>
            </w:r>
            <w:r>
              <w:rPr>
                <w:rFonts w:hint="eastAsia" w:ascii="宋体" w:hAnsi="宋体" w:cs="宋体"/>
                <w:color w:val="000000"/>
              </w:rPr>
              <w:t>）</w:t>
            </w:r>
            <w:r>
              <w:rPr>
                <w:rFonts w:hint="eastAsia" w:ascii="宋体" w:hAnsi="宋体" w:cs="宋体"/>
                <w:color w:val="000000"/>
                <w:lang w:val="zh-CN"/>
              </w:rPr>
              <w:t>前提交响应文件。</w:t>
            </w:r>
          </w:p>
        </w:tc>
      </w:tr>
    </w:tbl>
    <w:p w14:paraId="2156C856">
      <w:pPr>
        <w:autoSpaceDE w:val="0"/>
        <w:autoSpaceDN w:val="0"/>
        <w:adjustRightInd w:val="0"/>
        <w:spacing w:line="420" w:lineRule="exact"/>
        <w:ind w:right="420" w:rightChars="200" w:firstLine="480" w:firstLineChars="200"/>
        <w:jc w:val="left"/>
        <w:rPr>
          <w:rFonts w:hint="eastAsia" w:ascii="宋体" w:hAnsi="宋体" w:cs="宋体"/>
          <w:color w:val="000000"/>
          <w:sz w:val="24"/>
          <w:szCs w:val="24"/>
        </w:rPr>
      </w:pPr>
    </w:p>
    <w:p w14:paraId="49CB6EA1">
      <w:pPr>
        <w:numPr>
          <w:ilvl w:val="0"/>
          <w:numId w:val="2"/>
        </w:numPr>
        <w:autoSpaceDE w:val="0"/>
        <w:autoSpaceDN w:val="0"/>
        <w:adjustRightInd w:val="0"/>
        <w:spacing w:line="420" w:lineRule="exact"/>
        <w:ind w:left="856" w:right="420" w:rightChars="200" w:hanging="856"/>
        <w:jc w:val="left"/>
        <w:rPr>
          <w:rFonts w:hint="eastAsia" w:ascii="宋体" w:hAnsi="宋体" w:cs="宋体"/>
          <w:b/>
          <w:bCs/>
          <w:color w:val="000000"/>
        </w:rPr>
      </w:pPr>
      <w:r>
        <w:rPr>
          <w:rFonts w:hint="eastAsia" w:ascii="宋体" w:hAnsi="宋体" w:cs="宋体"/>
          <w:b/>
          <w:bCs/>
          <w:color w:val="000000"/>
        </w:rPr>
        <w:t>项目基本情况：</w:t>
      </w:r>
    </w:p>
    <w:p w14:paraId="07F57041">
      <w:pPr>
        <w:numPr>
          <w:ilvl w:val="0"/>
          <w:numId w:val="0"/>
        </w:numPr>
        <w:autoSpaceDE w:val="0"/>
        <w:autoSpaceDN w:val="0"/>
        <w:adjustRightInd w:val="0"/>
        <w:spacing w:line="420" w:lineRule="exact"/>
        <w:ind w:leftChars="0" w:right="420" w:rightChars="200" w:firstLine="420" w:firstLineChars="200"/>
        <w:jc w:val="left"/>
        <w:rPr>
          <w:rFonts w:hint="eastAsia" w:ascii="宋体" w:hAnsi="宋体" w:cs="宋体"/>
          <w:color w:val="auto"/>
          <w:lang w:bidi="ar"/>
        </w:rPr>
      </w:pPr>
      <w:r>
        <w:rPr>
          <w:rFonts w:hint="eastAsia" w:ascii="宋体" w:hAnsi="宋体" w:cs="宋体"/>
          <w:color w:val="auto"/>
          <w:lang w:bidi="ar"/>
        </w:rPr>
        <w:t>1.项目名称：</w:t>
      </w:r>
      <w:r>
        <w:rPr>
          <w:rFonts w:hint="eastAsia" w:ascii="宋体" w:hAnsi="宋体" w:cs="宋体"/>
          <w:color w:val="auto"/>
          <w:lang w:val="zh-CN" w:bidi="ar"/>
        </w:rPr>
        <w:t>安图县地质灾害隐患点和风险区更新调查工作</w:t>
      </w:r>
    </w:p>
    <w:p w14:paraId="7FECE182">
      <w:pPr>
        <w:autoSpaceDE w:val="0"/>
        <w:autoSpaceDN w:val="0"/>
        <w:adjustRightInd w:val="0"/>
        <w:spacing w:line="420" w:lineRule="exact"/>
        <w:ind w:right="97" w:rightChars="46" w:firstLine="420" w:firstLineChars="200"/>
        <w:jc w:val="left"/>
        <w:rPr>
          <w:rFonts w:hint="default" w:ascii="宋体" w:hAnsi="宋体" w:cs="宋体"/>
          <w:color w:val="auto"/>
          <w:lang w:val="en-US" w:bidi="ar"/>
        </w:rPr>
      </w:pPr>
      <w:r>
        <w:rPr>
          <w:rFonts w:hint="eastAsia" w:ascii="宋体" w:hAnsi="宋体" w:cs="宋体"/>
          <w:color w:val="auto"/>
          <w:lang w:bidi="ar"/>
        </w:rPr>
        <w:t>2.项目编号：</w:t>
      </w:r>
      <w:r>
        <w:rPr>
          <w:rFonts w:hint="eastAsia" w:ascii="宋体" w:hAnsi="宋体" w:cs="宋体"/>
          <w:color w:val="auto"/>
          <w:lang w:val="en-US" w:eastAsia="zh-CN" w:bidi="ar"/>
        </w:rPr>
        <w:t>LYCZ</w:t>
      </w:r>
      <w:r>
        <w:rPr>
          <w:rFonts w:hint="eastAsia" w:ascii="宋体" w:hAnsi="宋体" w:cs="宋体"/>
          <w:color w:val="auto"/>
          <w:lang w:val="zh-CN" w:bidi="ar"/>
        </w:rPr>
        <w:t>202</w:t>
      </w:r>
      <w:r>
        <w:rPr>
          <w:rFonts w:hint="eastAsia" w:ascii="宋体" w:hAnsi="宋体" w:cs="宋体"/>
          <w:color w:val="auto"/>
          <w:lang w:val="en-US" w:eastAsia="zh-CN" w:bidi="ar"/>
        </w:rPr>
        <w:t>5</w:t>
      </w:r>
      <w:r>
        <w:rPr>
          <w:rFonts w:hint="eastAsia" w:ascii="宋体" w:hAnsi="宋体" w:cs="宋体"/>
          <w:color w:val="auto"/>
          <w:lang w:val="zh-CN" w:bidi="ar"/>
        </w:rPr>
        <w:t>-</w:t>
      </w:r>
      <w:r>
        <w:rPr>
          <w:rFonts w:hint="eastAsia" w:ascii="宋体" w:hAnsi="宋体" w:cs="宋体"/>
          <w:color w:val="auto"/>
          <w:lang w:val="en-US" w:eastAsia="zh-CN" w:bidi="ar"/>
        </w:rPr>
        <w:t>017</w:t>
      </w:r>
    </w:p>
    <w:p w14:paraId="19BABD43">
      <w:pPr>
        <w:autoSpaceDE w:val="0"/>
        <w:autoSpaceDN w:val="0"/>
        <w:adjustRightInd w:val="0"/>
        <w:spacing w:line="420" w:lineRule="exact"/>
        <w:ind w:right="97" w:rightChars="46" w:firstLine="420" w:firstLineChars="200"/>
        <w:jc w:val="left"/>
        <w:rPr>
          <w:rFonts w:hint="eastAsia" w:ascii="宋体" w:hAnsi="宋体" w:cs="宋体"/>
          <w:color w:val="auto"/>
          <w:lang w:val="en-US" w:eastAsia="zh-CN" w:bidi="ar"/>
        </w:rPr>
      </w:pPr>
      <w:r>
        <w:rPr>
          <w:rFonts w:hint="eastAsia" w:ascii="宋体" w:hAnsi="宋体" w:cs="宋体"/>
          <w:color w:val="auto"/>
          <w:lang w:val="en-US" w:eastAsia="zh-CN" w:bidi="ar"/>
        </w:rPr>
        <w:t>3.政府采购编号：采购计划-【2025】00084号</w:t>
      </w:r>
    </w:p>
    <w:p w14:paraId="1CB93FC9">
      <w:pPr>
        <w:autoSpaceDE w:val="0"/>
        <w:autoSpaceDN w:val="0"/>
        <w:adjustRightInd w:val="0"/>
        <w:spacing w:line="420" w:lineRule="exact"/>
        <w:ind w:right="97" w:rightChars="46" w:firstLine="420" w:firstLineChars="200"/>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4.采购方式：竞争性磋商</w:t>
      </w:r>
    </w:p>
    <w:p w14:paraId="130AE246">
      <w:pPr>
        <w:autoSpaceDE w:val="0"/>
        <w:autoSpaceDN w:val="0"/>
        <w:adjustRightInd w:val="0"/>
        <w:spacing w:line="420" w:lineRule="exact"/>
        <w:ind w:right="97" w:rightChars="46" w:firstLine="420" w:firstLineChars="200"/>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5.预算金额：60.3万元</w:t>
      </w:r>
    </w:p>
    <w:p w14:paraId="241A6CC5">
      <w:pPr>
        <w:spacing w:line="360" w:lineRule="auto"/>
        <w:ind w:firstLine="420" w:firstLineChars="200"/>
        <w:rPr>
          <w:rFonts w:hint="eastAsia" w:ascii="宋体" w:hAnsi="宋体" w:cs="宋体"/>
          <w:color w:val="auto"/>
          <w:sz w:val="21"/>
          <w:szCs w:val="21"/>
          <w:lang w:bidi="ar"/>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.采购需求：</w:t>
      </w:r>
      <w:r>
        <w:rPr>
          <w:rFonts w:hint="eastAsia" w:ascii="宋体" w:hAnsi="宋体" w:eastAsia="宋体" w:cs="宋体"/>
          <w:color w:val="auto"/>
          <w:szCs w:val="21"/>
          <w:highlight w:val="none"/>
          <w:lang w:val="en-US" w:eastAsia="zh-CN"/>
        </w:rPr>
        <w:t>根据《吉林省自然资源厅关于开展全省地质灾害隐患点和风险区更新调查工作的通知》（吉自然资函〔2024〕511号）要求，对全县地质灾害隐患点和风险区进行更新调查，进一步提升全县地质灾害防御能力。</w:t>
      </w:r>
    </w:p>
    <w:p w14:paraId="70848686">
      <w:pPr>
        <w:autoSpaceDE w:val="0"/>
        <w:autoSpaceDN w:val="0"/>
        <w:adjustRightInd w:val="0"/>
        <w:spacing w:line="420" w:lineRule="exact"/>
        <w:ind w:right="97" w:rightChars="46" w:firstLine="420" w:firstLineChars="200"/>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服务期限</w:t>
      </w:r>
      <w:r>
        <w:rPr>
          <w:rFonts w:hint="eastAsia" w:ascii="宋体" w:hAnsi="宋体" w:cs="宋体"/>
          <w:color w:val="auto"/>
          <w:sz w:val="21"/>
          <w:szCs w:val="21"/>
          <w:lang w:bidi="ar"/>
        </w:rPr>
        <w:t>：</w:t>
      </w:r>
      <w:r>
        <w:rPr>
          <w:rFonts w:hint="eastAsia" w:ascii="宋体" w:hAnsi="宋体" w:eastAsia="宋体" w:cs="宋体"/>
          <w:color w:val="auto"/>
          <w:szCs w:val="21"/>
          <w:highlight w:val="none"/>
          <w:lang w:val="en-US" w:eastAsia="zh-CN"/>
        </w:rPr>
        <w:t>自合同签订之日起至60日内完成服务</w:t>
      </w:r>
      <w:r>
        <w:rPr>
          <w:rFonts w:hint="eastAsia" w:ascii="宋体" w:hAnsi="宋体" w:cs="宋体"/>
          <w:color w:val="auto"/>
          <w:sz w:val="21"/>
          <w:szCs w:val="21"/>
          <w:lang w:bidi="ar"/>
        </w:rPr>
        <w:t>。</w:t>
      </w:r>
    </w:p>
    <w:p w14:paraId="171686FF">
      <w:pPr>
        <w:autoSpaceDE w:val="0"/>
        <w:autoSpaceDN w:val="0"/>
        <w:adjustRightInd w:val="0"/>
        <w:spacing w:line="420" w:lineRule="exact"/>
        <w:ind w:right="97" w:rightChars="46" w:firstLine="420" w:firstLineChars="200"/>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.本项目不接受联合体。</w:t>
      </w:r>
    </w:p>
    <w:p w14:paraId="7AA87AAD">
      <w:pPr>
        <w:autoSpaceDE w:val="0"/>
        <w:autoSpaceDN w:val="0"/>
        <w:adjustRightInd w:val="0"/>
        <w:spacing w:line="420" w:lineRule="exact"/>
        <w:ind w:left="856" w:right="420" w:rightChars="200" w:hanging="856"/>
        <w:jc w:val="left"/>
        <w:rPr>
          <w:rFonts w:hint="eastAsia" w:ascii="宋体" w:hAnsi="宋体" w:cs="宋体"/>
          <w:b/>
          <w:color w:val="auto"/>
          <w:sz w:val="21"/>
          <w:szCs w:val="21"/>
        </w:rPr>
      </w:pPr>
      <w:r>
        <w:rPr>
          <w:rFonts w:hint="eastAsia" w:ascii="宋体" w:hAnsi="宋体" w:cs="宋体"/>
          <w:b/>
          <w:bCs/>
          <w:color w:val="auto"/>
          <w:sz w:val="21"/>
          <w:szCs w:val="21"/>
          <w:lang w:val="zh-CN"/>
        </w:rPr>
        <w:t>二、供应商的资格条件：</w:t>
      </w:r>
    </w:p>
    <w:p w14:paraId="65C7A26C">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1.满足《中华人民共和国政府采购法》第二十二条规定；</w:t>
      </w:r>
    </w:p>
    <w:p w14:paraId="66702B76">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hint="eastAsia" w:ascii="宋体" w:hAnsi="宋体" w:cs="宋体"/>
          <w:color w:val="auto"/>
          <w:sz w:val="21"/>
          <w:szCs w:val="21"/>
          <w:lang w:val="zh-CN" w:bidi="ar"/>
        </w:rPr>
        <w:t>2.落实政府采购政策需满足的资格要求：</w:t>
      </w:r>
      <w:r>
        <w:rPr>
          <w:rFonts w:hint="eastAsia" w:ascii="宋体" w:hAnsi="宋体" w:cs="宋体"/>
          <w:color w:val="auto"/>
          <w:sz w:val="21"/>
          <w:szCs w:val="21"/>
          <w:lang w:val="zh-CN"/>
        </w:rPr>
        <w:t>本项目专门面向中小企业；</w:t>
      </w:r>
    </w:p>
    <w:p w14:paraId="2ACE351A">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val="zh-CN" w:bidi="ar"/>
        </w:rPr>
        <w:t>（1）</w:t>
      </w:r>
      <w:r>
        <w:rPr>
          <w:rFonts w:hint="eastAsia" w:ascii="宋体" w:hAnsi="宋体" w:cs="宋体"/>
          <w:color w:val="auto"/>
          <w:sz w:val="21"/>
          <w:szCs w:val="21"/>
          <w:lang w:bidi="ar"/>
        </w:rPr>
        <w:t>《政府采购促进中小企业发展管理办法》(财库[2020]46号)；</w:t>
      </w:r>
    </w:p>
    <w:p w14:paraId="630A5B0F">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2</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《关于政府采购支持监狱企业发展有关问题的通知》(财库[2014]68号)；</w:t>
      </w:r>
    </w:p>
    <w:p w14:paraId="5908FF15">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3</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《关于促进残疾人就业政府采购政策的通知》(财库[2017]141号)；</w:t>
      </w:r>
    </w:p>
    <w:p w14:paraId="69B321BA">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3.本项目的特定资格要求：</w:t>
      </w:r>
    </w:p>
    <w:p w14:paraId="5269CD0A">
      <w:pPr>
        <w:autoSpaceDE w:val="0"/>
        <w:autoSpaceDN w:val="0"/>
        <w:adjustRightInd w:val="0"/>
        <w:spacing w:line="420" w:lineRule="exact"/>
        <w:ind w:right="97" w:rightChars="46" w:firstLine="420" w:firstLineChars="200"/>
        <w:jc w:val="left"/>
        <w:rPr>
          <w:rFonts w:hint="eastAsia" w:ascii="宋体" w:hAnsi="宋体" w:eastAsia="宋体" w:cs="宋体"/>
          <w:color w:val="auto"/>
          <w:sz w:val="21"/>
          <w:szCs w:val="21"/>
          <w:lang w:val="zh-CN" w:bidi="ar"/>
        </w:rPr>
      </w:pPr>
      <w:r>
        <w:rPr>
          <w:rFonts w:hint="eastAsia" w:ascii="宋体" w:hAnsi="宋体" w:cs="宋体"/>
          <w:color w:val="auto"/>
          <w:sz w:val="21"/>
          <w:szCs w:val="21"/>
          <w:lang w:val="zh-CN" w:bidi="ar"/>
        </w:rPr>
        <w:t>（1）</w:t>
      </w:r>
      <w:r>
        <w:rPr>
          <w:rFonts w:hint="eastAsia" w:ascii="宋体" w:hAnsi="宋体" w:eastAsia="宋体" w:cs="宋体"/>
          <w:i w:val="0"/>
          <w:iCs w:val="0"/>
          <w:caps w:val="0"/>
          <w:color w:val="auto"/>
          <w:spacing w:val="0"/>
          <w:sz w:val="21"/>
          <w:szCs w:val="21"/>
        </w:rPr>
        <w:t>投标人申请人须在中华人民共和国境内注册，持有效营业执照或事业单位法人证书，具有</w:t>
      </w:r>
      <w:r>
        <w:rPr>
          <w:rFonts w:hint="eastAsia" w:ascii="宋体" w:hAnsi="宋体" w:eastAsia="宋体" w:cs="宋体"/>
          <w:i w:val="0"/>
          <w:iCs w:val="0"/>
          <w:caps w:val="0"/>
          <w:color w:val="auto"/>
          <w:spacing w:val="0"/>
          <w:sz w:val="21"/>
          <w:szCs w:val="21"/>
          <w:lang w:val="en-US" w:eastAsia="zh-CN"/>
        </w:rPr>
        <w:t>地质灾害评估和治理工程勘查设计乙级及以上资质</w:t>
      </w:r>
      <w:r>
        <w:rPr>
          <w:rFonts w:hint="eastAsia" w:ascii="宋体" w:hAnsi="宋体" w:cs="宋体"/>
          <w:color w:val="auto"/>
          <w:szCs w:val="21"/>
          <w:highlight w:val="none"/>
          <w:lang w:val="en-US" w:eastAsia="zh-CN"/>
        </w:rPr>
        <w:t>，具有相应的人员、设备、资金、经验等方面的能力</w:t>
      </w:r>
      <w:r>
        <w:rPr>
          <w:rFonts w:hint="eastAsia" w:ascii="宋体" w:hAnsi="宋体" w:eastAsia="宋体" w:cs="宋体"/>
          <w:color w:val="auto"/>
          <w:sz w:val="21"/>
          <w:szCs w:val="21"/>
          <w:lang w:val="zh-CN" w:bidi="ar"/>
        </w:rPr>
        <w:t>。</w:t>
      </w:r>
    </w:p>
    <w:p w14:paraId="0AF791D7">
      <w:pPr>
        <w:autoSpaceDE w:val="0"/>
        <w:autoSpaceDN w:val="0"/>
        <w:adjustRightInd w:val="0"/>
        <w:spacing w:line="420" w:lineRule="exact"/>
        <w:ind w:right="97" w:rightChars="46" w:firstLine="420" w:firstLineChars="200"/>
        <w:jc w:val="left"/>
        <w:rPr>
          <w:rFonts w:hint="eastAsia" w:ascii="宋体" w:hAnsi="宋体" w:eastAsia="宋体" w:cs="宋体"/>
          <w:color w:val="auto"/>
          <w:sz w:val="21"/>
          <w:szCs w:val="21"/>
          <w:lang w:val="zh-CN" w:eastAsia="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val="zh-CN" w:bidi="ar"/>
        </w:rPr>
        <w:t>）</w:t>
      </w:r>
      <w:r>
        <w:rPr>
          <w:rFonts w:hint="eastAsia" w:ascii="宋体" w:hAnsi="宋体" w:eastAsia="宋体" w:cs="宋体"/>
          <w:color w:val="auto"/>
          <w:kern w:val="0"/>
          <w:sz w:val="21"/>
          <w:szCs w:val="21"/>
        </w:rPr>
        <w:t>项目负责人须具有相关专业</w:t>
      </w:r>
      <w:r>
        <w:rPr>
          <w:rFonts w:hint="eastAsia" w:ascii="宋体" w:hAnsi="宋体" w:eastAsia="宋体" w:cs="宋体"/>
          <w:color w:val="auto"/>
          <w:kern w:val="0"/>
          <w:sz w:val="21"/>
          <w:szCs w:val="21"/>
          <w:lang w:val="en-US" w:eastAsia="zh-CN"/>
        </w:rPr>
        <w:t>中</w:t>
      </w:r>
      <w:r>
        <w:rPr>
          <w:rFonts w:hint="eastAsia" w:ascii="宋体" w:hAnsi="宋体" w:eastAsia="宋体" w:cs="宋体"/>
          <w:color w:val="auto"/>
          <w:kern w:val="0"/>
          <w:sz w:val="21"/>
          <w:szCs w:val="21"/>
        </w:rPr>
        <w:t>级</w:t>
      </w:r>
      <w:r>
        <w:rPr>
          <w:rFonts w:hint="eastAsia" w:ascii="宋体" w:hAnsi="宋体" w:eastAsia="宋体" w:cs="宋体"/>
          <w:color w:val="auto"/>
          <w:kern w:val="0"/>
          <w:sz w:val="21"/>
          <w:szCs w:val="21"/>
          <w:lang w:val="en-US" w:eastAsia="zh-CN"/>
        </w:rPr>
        <w:t>及以上</w:t>
      </w:r>
      <w:r>
        <w:rPr>
          <w:rFonts w:hint="eastAsia" w:ascii="宋体" w:hAnsi="宋体" w:eastAsia="宋体" w:cs="宋体"/>
          <w:color w:val="auto"/>
          <w:kern w:val="0"/>
          <w:sz w:val="21"/>
          <w:szCs w:val="21"/>
        </w:rPr>
        <w:t>资格</w:t>
      </w:r>
      <w:r>
        <w:rPr>
          <w:rFonts w:hint="eastAsia" w:ascii="宋体" w:hAnsi="宋体" w:eastAsia="宋体" w:cs="宋体"/>
          <w:color w:val="auto"/>
          <w:kern w:val="0"/>
          <w:sz w:val="21"/>
          <w:szCs w:val="21"/>
          <w:lang w:eastAsia="zh-CN"/>
        </w:rPr>
        <w:t>。</w:t>
      </w:r>
    </w:p>
    <w:p w14:paraId="4107FA26">
      <w:pPr>
        <w:autoSpaceDE w:val="0"/>
        <w:autoSpaceDN w:val="0"/>
        <w:adjustRightInd w:val="0"/>
        <w:spacing w:line="420" w:lineRule="exact"/>
        <w:ind w:right="97" w:rightChars="46" w:firstLine="420" w:firstLineChars="20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w:t>
      </w:r>
      <w:r>
        <w:rPr>
          <w:rFonts w:hint="eastAsia" w:ascii="宋体" w:hAnsi="宋体" w:eastAsia="宋体" w:cs="宋体"/>
          <w:i w:val="0"/>
          <w:iCs w:val="0"/>
          <w:caps w:val="0"/>
          <w:color w:val="auto"/>
          <w:spacing w:val="0"/>
          <w:sz w:val="21"/>
          <w:szCs w:val="21"/>
          <w:shd w:val="clear" w:color="auto" w:fill="FFFFFF"/>
          <w:lang w:eastAsia="zh-CN"/>
        </w:rPr>
        <w:t>具有202</w:t>
      </w:r>
      <w:r>
        <w:rPr>
          <w:rFonts w:hint="eastAsia" w:ascii="宋体" w:hAnsi="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年度的财务审计报告（新成立不足一年的企业须提供自成立之日起至今企业财务状况良好的承诺书）</w:t>
      </w:r>
      <w:r>
        <w:rPr>
          <w:rFonts w:hint="eastAsia" w:ascii="宋体" w:hAnsi="宋体" w:eastAsia="宋体" w:cs="宋体"/>
          <w:color w:val="auto"/>
          <w:sz w:val="21"/>
          <w:szCs w:val="21"/>
          <w:lang w:bidi="ar"/>
        </w:rPr>
        <w:t>。</w:t>
      </w:r>
    </w:p>
    <w:p w14:paraId="2A9EF8D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投标人须提供（202</w:t>
      </w:r>
      <w:r>
        <w:rPr>
          <w:rFonts w:hint="eastAsia" w:ascii="宋体" w:hAnsi="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年</w:t>
      </w:r>
      <w:r>
        <w:rPr>
          <w:rFonts w:hint="eastAsia" w:ascii="宋体" w:hAnsi="宋体" w:eastAsia="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rPr>
        <w:t>月至今）任意一个月依法缴纳税收和依法缴纳社会保障资金的良好记录证明材料（依法免税的需提供免税证明文件）；</w:t>
      </w:r>
    </w:p>
    <w:p w14:paraId="74CF64B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投标单位和个人（指法定代表人）未在“中国裁判文书（wenshu.court.gov.cn）上有行贿犯罪行为；</w:t>
      </w:r>
    </w:p>
    <w:p w14:paraId="245E358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6</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投标人未被列入“失信被执行人、重大税收违法案件当事人”的记录名单（通过“信用中国”网站www.creditchina.gov.cn查询）；</w:t>
      </w:r>
    </w:p>
    <w:p w14:paraId="103C70A5">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7</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投标人未被列入“政府采购严重违法失信行为记录名单”（通过“中国政府采购网”www.ccgp.gov.cn查询）；</w:t>
      </w:r>
    </w:p>
    <w:p w14:paraId="69A2B4FB">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8</w:t>
      </w:r>
      <w:r>
        <w:rPr>
          <w:rFonts w:hint="eastAsia" w:ascii="宋体" w:hAnsi="宋体" w:eastAsia="宋体" w:cs="宋体"/>
          <w:i w:val="0"/>
          <w:iCs w:val="0"/>
          <w:caps w:val="0"/>
          <w:color w:val="auto"/>
          <w:spacing w:val="0"/>
          <w:sz w:val="21"/>
          <w:szCs w:val="21"/>
          <w:shd w:val="clear" w:color="auto" w:fill="FFFFFF"/>
          <w:lang w:eastAsia="zh-CN"/>
        </w:rPr>
        <w:t>）与采购人存在利害关系可能影响采购公正性的法人、其他组织或者个人，不得参加磋商。具有投资参股关系的关联企业，或者有直接管理或被管理关系的母子公司，或者同一母公司的子公司，或法定代表人为同一人的两个及两个以上法人不得同时对同一标段投标，否则均按废标处理</w:t>
      </w:r>
      <w:r>
        <w:rPr>
          <w:rFonts w:hint="eastAsia" w:ascii="宋体" w:hAnsi="宋体" w:eastAsia="宋体" w:cs="宋体"/>
          <w:i w:val="0"/>
          <w:iCs w:val="0"/>
          <w:caps w:val="0"/>
          <w:color w:val="auto"/>
          <w:spacing w:val="0"/>
          <w:sz w:val="21"/>
          <w:szCs w:val="21"/>
          <w:shd w:val="clear" w:color="auto" w:fill="FFFFFF"/>
        </w:rPr>
        <w:t>。</w:t>
      </w:r>
    </w:p>
    <w:p w14:paraId="1D32D254">
      <w:pPr>
        <w:autoSpaceDE w:val="0"/>
        <w:autoSpaceDN w:val="0"/>
        <w:adjustRightInd w:val="0"/>
        <w:spacing w:line="420" w:lineRule="exact"/>
        <w:ind w:right="97" w:rightChars="46"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val="zh-CN" w:bidi="ar"/>
        </w:rPr>
        <w:t>）拒绝列入政府取消投标资格记录期间的企业或个人参加本次</w:t>
      </w:r>
      <w:r>
        <w:rPr>
          <w:rFonts w:hint="eastAsia" w:ascii="宋体" w:hAnsi="宋体" w:eastAsia="宋体" w:cs="宋体"/>
          <w:color w:val="auto"/>
          <w:sz w:val="21"/>
          <w:szCs w:val="21"/>
          <w:lang w:val="en-US" w:eastAsia="zh-CN" w:bidi="ar"/>
        </w:rPr>
        <w:t>投标</w:t>
      </w:r>
      <w:r>
        <w:rPr>
          <w:rFonts w:hint="eastAsia" w:ascii="宋体" w:hAnsi="宋体" w:eastAsia="宋体" w:cs="宋体"/>
          <w:color w:val="auto"/>
          <w:sz w:val="21"/>
          <w:szCs w:val="21"/>
          <w:lang w:val="zh-CN" w:bidi="ar"/>
        </w:rPr>
        <w:t>活动。</w:t>
      </w:r>
    </w:p>
    <w:p w14:paraId="4D9AF987">
      <w:pPr>
        <w:autoSpaceDE w:val="0"/>
        <w:autoSpaceDN w:val="0"/>
        <w:adjustRightInd w:val="0"/>
        <w:spacing w:line="420" w:lineRule="exact"/>
        <w:ind w:right="97" w:rightChars="46"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）法律、行政法规规定的其他条件。</w:t>
      </w:r>
    </w:p>
    <w:p w14:paraId="115493BD">
      <w:pPr>
        <w:autoSpaceDE w:val="0"/>
        <w:autoSpaceDN w:val="0"/>
        <w:adjustRightInd w:val="0"/>
        <w:spacing w:line="420" w:lineRule="exact"/>
        <w:ind w:left="856" w:right="420" w:rightChars="200" w:hanging="856"/>
        <w:jc w:val="left"/>
        <w:rPr>
          <w:rFonts w:hint="eastAsia" w:ascii="宋体" w:hAnsi="宋体" w:eastAsia="宋体" w:cs="宋体"/>
          <w:b/>
          <w:color w:val="auto"/>
          <w:sz w:val="21"/>
          <w:szCs w:val="21"/>
        </w:rPr>
      </w:pPr>
      <w:r>
        <w:rPr>
          <w:rFonts w:hint="eastAsia" w:ascii="宋体" w:hAnsi="宋体" w:eastAsia="宋体" w:cs="宋体"/>
          <w:b/>
          <w:color w:val="auto"/>
          <w:sz w:val="21"/>
          <w:szCs w:val="21"/>
          <w:lang w:bidi="ar"/>
        </w:rPr>
        <w:t>三、获取</w:t>
      </w:r>
      <w:r>
        <w:rPr>
          <w:rFonts w:hint="eastAsia" w:ascii="宋体" w:hAnsi="宋体" w:eastAsia="宋体" w:cs="宋体"/>
          <w:b/>
          <w:color w:val="auto"/>
          <w:sz w:val="21"/>
          <w:szCs w:val="21"/>
          <w:lang w:val="en-US" w:eastAsia="zh-CN" w:bidi="ar"/>
        </w:rPr>
        <w:t>竞争性磋商</w:t>
      </w:r>
      <w:r>
        <w:rPr>
          <w:rFonts w:hint="eastAsia" w:ascii="宋体" w:hAnsi="宋体" w:eastAsia="宋体" w:cs="宋体"/>
          <w:b/>
          <w:color w:val="auto"/>
          <w:sz w:val="21"/>
          <w:szCs w:val="21"/>
          <w:lang w:bidi="ar"/>
        </w:rPr>
        <w:t>文件的时间、地点和方式：</w:t>
      </w:r>
    </w:p>
    <w:p w14:paraId="23C967DA">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hint="eastAsia" w:ascii="宋体" w:hAnsi="宋体" w:cs="宋体"/>
          <w:color w:val="auto"/>
          <w:sz w:val="21"/>
          <w:szCs w:val="21"/>
          <w:lang w:bidi="ar"/>
        </w:rPr>
        <w:t>1.时间：凡有意参加</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bidi="ar"/>
        </w:rPr>
        <w:t>活动者，请于</w:t>
      </w:r>
      <w:r>
        <w:rPr>
          <w:rFonts w:hint="eastAsia" w:ascii="宋体" w:hAnsi="宋体" w:cs="宋体"/>
          <w:color w:val="auto"/>
          <w:sz w:val="21"/>
          <w:szCs w:val="21"/>
          <w:highlight w:val="none"/>
          <w:lang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11</w:t>
      </w:r>
      <w:r>
        <w:rPr>
          <w:rFonts w:hint="eastAsia" w:ascii="宋体" w:hAnsi="宋体" w:cs="宋体"/>
          <w:color w:val="auto"/>
          <w:sz w:val="21"/>
          <w:szCs w:val="21"/>
          <w:highlight w:val="none"/>
          <w:lang w:bidi="ar"/>
        </w:rPr>
        <w:t>日至202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17</w:t>
      </w:r>
      <w:r>
        <w:rPr>
          <w:rFonts w:hint="eastAsia" w:ascii="宋体" w:hAnsi="宋体" w:cs="宋体"/>
          <w:color w:val="auto"/>
          <w:sz w:val="21"/>
          <w:szCs w:val="21"/>
          <w:highlight w:val="none"/>
          <w:lang w:bidi="ar"/>
        </w:rPr>
        <w:t>日</w:t>
      </w:r>
      <w:r>
        <w:rPr>
          <w:rFonts w:hint="eastAsia" w:ascii="宋体" w:hAnsi="宋体" w:cs="宋体"/>
          <w:color w:val="auto"/>
          <w:sz w:val="21"/>
          <w:szCs w:val="21"/>
          <w:highlight w:val="none"/>
          <w:lang w:val="zh-CN" w:bidi="ar"/>
        </w:rPr>
        <w:t>(法定</w:t>
      </w:r>
      <w:r>
        <w:rPr>
          <w:rFonts w:hint="eastAsia" w:ascii="宋体" w:hAnsi="宋体" w:cs="宋体"/>
          <w:color w:val="auto"/>
          <w:sz w:val="21"/>
          <w:szCs w:val="21"/>
          <w:lang w:val="zh-CN" w:bidi="ar"/>
        </w:rPr>
        <w:t>公休日、法定节假日除外)，每日上午8:30时至11:00时，下午13:30时至1</w:t>
      </w:r>
      <w:r>
        <w:rPr>
          <w:rFonts w:hint="eastAsia" w:ascii="宋体" w:hAnsi="宋体" w:cs="宋体"/>
          <w:color w:val="auto"/>
          <w:sz w:val="21"/>
          <w:szCs w:val="21"/>
          <w:lang w:val="en-US" w:eastAsia="zh-CN" w:bidi="ar"/>
        </w:rPr>
        <w:t>6</w:t>
      </w:r>
      <w:r>
        <w:rPr>
          <w:rFonts w:hint="eastAsia" w:ascii="宋体" w:hAnsi="宋体" w:cs="宋体"/>
          <w:color w:val="auto"/>
          <w:sz w:val="21"/>
          <w:szCs w:val="21"/>
          <w:lang w:val="zh-CN" w:bidi="ar"/>
        </w:rPr>
        <w:t>:00时(北京时间，下同)。</w:t>
      </w:r>
    </w:p>
    <w:p w14:paraId="41E02700">
      <w:pPr>
        <w:autoSpaceDE w:val="0"/>
        <w:autoSpaceDN w:val="0"/>
        <w:adjustRightInd w:val="0"/>
        <w:spacing w:line="420" w:lineRule="exact"/>
        <w:ind w:right="97" w:rightChars="46" w:firstLine="315" w:firstLineChars="150"/>
        <w:jc w:val="left"/>
        <w:rPr>
          <w:rFonts w:ascii="宋体" w:hAnsi="宋体" w:cs="宋体"/>
          <w:color w:val="auto"/>
          <w:sz w:val="21"/>
          <w:szCs w:val="21"/>
          <w:lang w:bidi="ar"/>
        </w:rPr>
      </w:pPr>
      <w:r>
        <w:rPr>
          <w:rFonts w:hint="eastAsia" w:ascii="宋体" w:hAnsi="宋体" w:cs="宋体"/>
          <w:color w:val="auto"/>
          <w:sz w:val="21"/>
          <w:szCs w:val="21"/>
          <w:lang w:bidi="ar"/>
        </w:rPr>
        <w:t>2.地点：</w:t>
      </w:r>
      <w:r>
        <w:rPr>
          <w:rFonts w:hint="eastAsia" w:ascii="宋体" w:hAnsi="宋体" w:cs="宋体"/>
          <w:color w:val="auto"/>
          <w:sz w:val="21"/>
          <w:szCs w:val="21"/>
          <w:lang w:val="zh-CN" w:bidi="ar"/>
        </w:rPr>
        <w:t>在“政采云”平台（http:// www.zcygov.cn）</w:t>
      </w:r>
      <w:r>
        <w:rPr>
          <w:rFonts w:hint="eastAsia" w:ascii="宋体" w:hAnsi="宋体" w:cs="宋体"/>
          <w:color w:val="auto"/>
          <w:sz w:val="21"/>
          <w:szCs w:val="21"/>
          <w:lang w:bidi="ar"/>
        </w:rPr>
        <w:t>自行下载</w:t>
      </w:r>
      <w:r>
        <w:rPr>
          <w:rFonts w:hint="eastAsia" w:ascii="宋体" w:hAnsi="宋体" w:cs="宋体"/>
          <w:color w:val="auto"/>
          <w:sz w:val="21"/>
          <w:szCs w:val="21"/>
          <w:lang w:val="en-US" w:eastAsia="zh-CN" w:bidi="ar"/>
        </w:rPr>
        <w:t>磋商</w:t>
      </w:r>
      <w:r>
        <w:rPr>
          <w:rFonts w:hint="eastAsia" w:ascii="宋体" w:hAnsi="宋体" w:cs="宋体"/>
          <w:color w:val="auto"/>
          <w:sz w:val="21"/>
          <w:szCs w:val="21"/>
          <w:lang w:val="zh-CN" w:bidi="ar"/>
        </w:rPr>
        <w:t>文件</w:t>
      </w:r>
      <w:r>
        <w:rPr>
          <w:rFonts w:hint="eastAsia"/>
          <w:color w:val="auto"/>
          <w:sz w:val="21"/>
          <w:szCs w:val="21"/>
          <w:shd w:val="clear" w:color="auto" w:fill="FFFFFF"/>
          <w:lang w:val="zh-CN"/>
        </w:rPr>
        <w:t>。</w:t>
      </w:r>
    </w:p>
    <w:p w14:paraId="1067697B">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hint="eastAsia" w:ascii="宋体" w:hAnsi="宋体" w:cs="宋体"/>
          <w:color w:val="auto"/>
          <w:sz w:val="21"/>
          <w:szCs w:val="21"/>
          <w:lang w:val="zh-CN" w:bidi="ar"/>
        </w:rPr>
        <w:t>3.方式：凡有意参加者，应当注册成为“政采云”平台供应商。凡已注册的供应商，按照授予的操作权限自行在“政采云”平台（http：//www.zcygov.cn）（操作路径：登录“政采云”平台-项目采购-获取采购文件-找到本项目-点击“申请获取采购文件”）按采购包下载</w:t>
      </w:r>
      <w:r>
        <w:rPr>
          <w:rFonts w:hint="eastAsia" w:ascii="宋体" w:hAnsi="宋体" w:cs="宋体"/>
          <w:color w:val="auto"/>
          <w:sz w:val="21"/>
          <w:szCs w:val="21"/>
          <w:lang w:val="en-US" w:eastAsia="zh-CN" w:bidi="ar"/>
        </w:rPr>
        <w:t>磋商</w:t>
      </w:r>
      <w:r>
        <w:rPr>
          <w:rFonts w:hint="eastAsia" w:ascii="宋体" w:hAnsi="宋体" w:cs="宋体"/>
          <w:color w:val="auto"/>
          <w:sz w:val="21"/>
          <w:szCs w:val="21"/>
          <w:lang w:val="zh-CN" w:bidi="ar"/>
        </w:rPr>
        <w:t>文件并点击下载确认参加本项目</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val="zh-CN" w:bidi="ar"/>
        </w:rPr>
        <w:t>活动。具体注册及下载</w:t>
      </w:r>
      <w:r>
        <w:rPr>
          <w:rFonts w:hint="eastAsia" w:ascii="宋体" w:hAnsi="宋体" w:cs="宋体"/>
          <w:color w:val="auto"/>
          <w:sz w:val="21"/>
          <w:szCs w:val="21"/>
          <w:lang w:val="en-US" w:eastAsia="zh-CN" w:bidi="ar"/>
        </w:rPr>
        <w:t>磋商</w:t>
      </w:r>
      <w:r>
        <w:rPr>
          <w:rFonts w:hint="eastAsia" w:ascii="宋体" w:hAnsi="宋体" w:cs="宋体"/>
          <w:color w:val="auto"/>
          <w:sz w:val="21"/>
          <w:szCs w:val="21"/>
          <w:lang w:val="zh-CN" w:bidi="ar"/>
        </w:rPr>
        <w:t>文件方法请访问“政采云”平台查询相关信息</w:t>
      </w:r>
      <w:r>
        <w:rPr>
          <w:rFonts w:hint="eastAsia" w:ascii="宋体" w:hAnsi="宋体" w:cs="宋体"/>
          <w:color w:val="auto"/>
          <w:sz w:val="21"/>
          <w:szCs w:val="21"/>
          <w:lang w:bidi="ar"/>
        </w:rPr>
        <w:t>。未进行网上注册的供应商将无法参与本次</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bidi="ar"/>
        </w:rPr>
        <w:t>活动</w:t>
      </w:r>
      <w:r>
        <w:rPr>
          <w:rFonts w:hint="eastAsia" w:ascii="宋体" w:hAnsi="宋体" w:cs="宋体"/>
          <w:color w:val="auto"/>
          <w:sz w:val="21"/>
          <w:szCs w:val="21"/>
          <w:lang w:val="zh-CN" w:bidi="ar"/>
        </w:rPr>
        <w:t>。</w:t>
      </w:r>
    </w:p>
    <w:p w14:paraId="3F519C18">
      <w:pPr>
        <w:autoSpaceDE w:val="0"/>
        <w:autoSpaceDN w:val="0"/>
        <w:adjustRightInd w:val="0"/>
        <w:spacing w:line="420" w:lineRule="exact"/>
        <w:ind w:right="97" w:rightChars="46" w:firstLine="315" w:firstLineChars="150"/>
        <w:jc w:val="left"/>
        <w:rPr>
          <w:rFonts w:hint="eastAsia"/>
          <w:color w:val="auto"/>
          <w:sz w:val="21"/>
          <w:szCs w:val="21"/>
        </w:rPr>
      </w:pPr>
      <w:r>
        <w:rPr>
          <w:rFonts w:hint="eastAsia" w:ascii="宋体" w:hAnsi="宋体" w:cs="宋体"/>
          <w:color w:val="auto"/>
          <w:sz w:val="21"/>
          <w:szCs w:val="21"/>
          <w:lang w:bidi="ar"/>
        </w:rPr>
        <w:t>4.售价：免费。</w:t>
      </w:r>
    </w:p>
    <w:p w14:paraId="4E8F6386">
      <w:pPr>
        <w:autoSpaceDE w:val="0"/>
        <w:autoSpaceDN w:val="0"/>
        <w:adjustRightInd w:val="0"/>
        <w:spacing w:line="420" w:lineRule="exact"/>
        <w:ind w:left="856" w:right="420" w:rightChars="200" w:hanging="856"/>
        <w:jc w:val="left"/>
        <w:rPr>
          <w:rFonts w:hint="eastAsia" w:ascii="宋体" w:hAnsi="宋体" w:cs="宋体"/>
          <w:b/>
          <w:color w:val="auto"/>
          <w:sz w:val="21"/>
          <w:szCs w:val="21"/>
        </w:rPr>
      </w:pPr>
      <w:r>
        <w:rPr>
          <w:rFonts w:hint="eastAsia" w:ascii="宋体" w:hAnsi="宋体" w:cs="宋体"/>
          <w:b/>
          <w:color w:val="auto"/>
          <w:sz w:val="21"/>
          <w:szCs w:val="21"/>
          <w:lang w:bidi="ar"/>
        </w:rPr>
        <w:t>四、响应文件的提交方式、提交截止时间和地点，开启方式、时间和地点：</w:t>
      </w:r>
    </w:p>
    <w:p w14:paraId="18767AB0">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hint="eastAsia" w:ascii="宋体" w:hAnsi="宋体" w:cs="宋体"/>
          <w:color w:val="auto"/>
          <w:sz w:val="21"/>
          <w:szCs w:val="21"/>
          <w:lang w:bidi="ar"/>
        </w:rPr>
        <w:t>1.提交响应文件</w:t>
      </w:r>
      <w:r>
        <w:rPr>
          <w:rFonts w:hint="eastAsia" w:ascii="宋体" w:hAnsi="宋体" w:cs="宋体"/>
          <w:color w:val="auto"/>
          <w:sz w:val="21"/>
          <w:szCs w:val="21"/>
          <w:lang w:val="zh-CN" w:bidi="ar"/>
        </w:rPr>
        <w:t>截止时间：</w:t>
      </w:r>
      <w:r>
        <w:rPr>
          <w:rFonts w:hint="eastAsia" w:ascii="宋体" w:hAnsi="宋体" w:cs="宋体"/>
          <w:color w:val="auto"/>
          <w:sz w:val="21"/>
          <w:szCs w:val="21"/>
          <w:highlight w:val="none"/>
          <w:lang w:val="zh-CN"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val="zh-CN" w:bidi="ar"/>
        </w:rPr>
        <w:t>年</w:t>
      </w: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val="zh-CN" w:bidi="ar"/>
        </w:rPr>
        <w:t>月</w:t>
      </w:r>
      <w:r>
        <w:rPr>
          <w:rFonts w:hint="eastAsia" w:ascii="宋体" w:hAnsi="宋体" w:cs="宋体"/>
          <w:color w:val="auto"/>
          <w:sz w:val="21"/>
          <w:szCs w:val="21"/>
          <w:highlight w:val="none"/>
          <w:lang w:val="en-US" w:eastAsia="zh-CN" w:bidi="ar"/>
        </w:rPr>
        <w:t>23</w:t>
      </w:r>
      <w:r>
        <w:rPr>
          <w:rFonts w:hint="eastAsia" w:ascii="宋体" w:hAnsi="宋体" w:cs="宋体"/>
          <w:color w:val="auto"/>
          <w:sz w:val="21"/>
          <w:szCs w:val="21"/>
          <w:highlight w:val="none"/>
          <w:lang w:val="zh-CN" w:bidi="ar"/>
        </w:rPr>
        <w:t>日</w:t>
      </w:r>
      <w:r>
        <w:rPr>
          <w:rFonts w:hint="eastAsia" w:ascii="宋体" w:hAnsi="宋体" w:cs="宋体"/>
          <w:color w:val="auto"/>
          <w:sz w:val="21"/>
          <w:szCs w:val="21"/>
          <w:highlight w:val="none"/>
          <w:lang w:val="en-US" w:eastAsia="zh-CN" w:bidi="ar"/>
        </w:rPr>
        <w:t>14</w:t>
      </w:r>
      <w:r>
        <w:rPr>
          <w:rFonts w:hint="eastAsia" w:ascii="宋体" w:hAnsi="宋体" w:cs="宋体"/>
          <w:color w:val="auto"/>
          <w:sz w:val="21"/>
          <w:szCs w:val="21"/>
          <w:highlight w:val="none"/>
          <w:lang w:val="zh-CN" w:bidi="ar"/>
        </w:rPr>
        <w:t>时00分</w:t>
      </w:r>
      <w:r>
        <w:rPr>
          <w:rFonts w:hint="eastAsia" w:ascii="宋体" w:hAnsi="宋体" w:cs="宋体"/>
          <w:color w:val="auto"/>
          <w:sz w:val="21"/>
          <w:szCs w:val="21"/>
          <w:lang w:val="zh-CN" w:bidi="ar"/>
        </w:rPr>
        <w:t>（北京时间）。</w:t>
      </w:r>
    </w:p>
    <w:p w14:paraId="3A7B4A66">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2.响应文件的提交方式：</w:t>
      </w:r>
      <w:r>
        <w:rPr>
          <w:rFonts w:hint="eastAsia" w:ascii="宋体" w:hAnsi="宋体" w:cs="宋体"/>
          <w:color w:val="auto"/>
          <w:sz w:val="21"/>
          <w:szCs w:val="21"/>
          <w:lang w:val="zh-CN" w:bidi="ar"/>
        </w:rPr>
        <w:t>本项目为全流程电子化项目</w:t>
      </w:r>
      <w:r>
        <w:rPr>
          <w:rFonts w:hint="eastAsia" w:ascii="宋体" w:hAnsi="宋体" w:cs="宋体"/>
          <w:color w:val="auto"/>
          <w:sz w:val="21"/>
          <w:szCs w:val="21"/>
          <w:lang w:bidi="ar"/>
        </w:rPr>
        <w:t>，</w:t>
      </w:r>
      <w:r>
        <w:rPr>
          <w:rFonts w:hint="eastAsia" w:ascii="宋体" w:hAnsi="宋体" w:cs="宋体"/>
          <w:color w:val="auto"/>
          <w:sz w:val="21"/>
          <w:szCs w:val="21"/>
          <w:lang w:val="zh-CN" w:bidi="ar"/>
        </w:rPr>
        <w:t>通过</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w:t>
      </w:r>
      <w:r>
        <w:rPr>
          <w:rFonts w:hint="eastAsia" w:ascii="宋体" w:hAnsi="宋体" w:cs="宋体"/>
          <w:color w:val="auto"/>
          <w:sz w:val="21"/>
          <w:szCs w:val="21"/>
          <w:lang w:bidi="ar"/>
        </w:rPr>
        <w:t>（http：//www.zcygov.cn）</w:t>
      </w:r>
      <w:r>
        <w:rPr>
          <w:rFonts w:hint="eastAsia" w:ascii="宋体" w:hAnsi="宋体" w:cs="宋体"/>
          <w:color w:val="auto"/>
          <w:sz w:val="21"/>
          <w:szCs w:val="21"/>
          <w:lang w:val="zh-CN" w:bidi="ar"/>
        </w:rPr>
        <w:t>实行在线电子投标</w:t>
      </w:r>
      <w:r>
        <w:rPr>
          <w:rFonts w:hint="eastAsia" w:ascii="宋体" w:hAnsi="宋体" w:cs="宋体"/>
          <w:color w:val="auto"/>
          <w:sz w:val="21"/>
          <w:szCs w:val="21"/>
          <w:lang w:bidi="ar"/>
        </w:rPr>
        <w:t>，</w:t>
      </w:r>
      <w:r>
        <w:rPr>
          <w:rFonts w:hint="eastAsia" w:ascii="宋体" w:hAnsi="宋体" w:cs="宋体"/>
          <w:color w:val="auto"/>
          <w:sz w:val="21"/>
          <w:szCs w:val="21"/>
          <w:lang w:val="zh-CN" w:bidi="ar"/>
        </w:rPr>
        <w:t>供应商应先安装</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政采云投标客户端</w:t>
      </w:r>
      <w:r>
        <w:rPr>
          <w:rFonts w:hint="eastAsia" w:ascii="宋体" w:hAnsi="宋体" w:cs="宋体"/>
          <w:color w:val="auto"/>
          <w:sz w:val="21"/>
          <w:szCs w:val="21"/>
          <w:lang w:bidi="ar"/>
        </w:rPr>
        <w:t>”（</w:t>
      </w:r>
      <w:r>
        <w:rPr>
          <w:rFonts w:hint="eastAsia" w:ascii="宋体" w:hAnsi="宋体" w:cs="宋体"/>
          <w:color w:val="auto"/>
          <w:sz w:val="21"/>
          <w:szCs w:val="21"/>
          <w:lang w:val="zh-CN" w:bidi="ar"/>
        </w:rPr>
        <w:t>请自行前往</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平台进行下载</w:t>
      </w:r>
      <w:r>
        <w:rPr>
          <w:rFonts w:hint="eastAsia" w:ascii="宋体" w:hAnsi="宋体" w:cs="宋体"/>
          <w:color w:val="auto"/>
          <w:sz w:val="21"/>
          <w:szCs w:val="21"/>
          <w:lang w:bidi="ar"/>
        </w:rPr>
        <w:t>），</w:t>
      </w:r>
      <w:r>
        <w:rPr>
          <w:rFonts w:hint="eastAsia" w:ascii="宋体" w:hAnsi="宋体" w:cs="宋体"/>
          <w:color w:val="auto"/>
          <w:sz w:val="21"/>
          <w:szCs w:val="21"/>
          <w:lang w:val="zh-CN" w:bidi="ar"/>
        </w:rPr>
        <w:t>并按照本项目</w:t>
      </w:r>
      <w:r>
        <w:rPr>
          <w:rFonts w:hint="eastAsia" w:ascii="宋体" w:hAnsi="宋体" w:cs="宋体"/>
          <w:color w:val="auto"/>
          <w:sz w:val="21"/>
          <w:szCs w:val="21"/>
          <w:lang w:val="en-US" w:eastAsia="zh-CN" w:bidi="ar"/>
        </w:rPr>
        <w:t>磋商</w:t>
      </w:r>
      <w:r>
        <w:rPr>
          <w:rFonts w:hint="eastAsia" w:ascii="宋体" w:hAnsi="宋体" w:cs="宋体"/>
          <w:color w:val="auto"/>
          <w:sz w:val="21"/>
          <w:szCs w:val="21"/>
          <w:lang w:val="zh-CN" w:bidi="ar"/>
        </w:rPr>
        <w:t>文件和</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平台的要求编制、加密后在投标截止时间前通过网络上传至</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w:t>
      </w:r>
      <w:r>
        <w:rPr>
          <w:rFonts w:hint="eastAsia" w:ascii="宋体" w:hAnsi="宋体" w:cs="宋体"/>
          <w:color w:val="auto"/>
          <w:sz w:val="21"/>
          <w:szCs w:val="21"/>
          <w:lang w:bidi="ar"/>
        </w:rPr>
        <w:t>，</w:t>
      </w:r>
      <w:r>
        <w:rPr>
          <w:rFonts w:hint="eastAsia" w:ascii="宋体" w:hAnsi="宋体" w:cs="宋体"/>
          <w:color w:val="auto"/>
          <w:sz w:val="21"/>
          <w:szCs w:val="21"/>
          <w:lang w:val="zh-CN" w:bidi="ar"/>
        </w:rPr>
        <w:t>供应商在</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平台提交电子版响应文件时</w:t>
      </w:r>
      <w:r>
        <w:rPr>
          <w:rFonts w:hint="eastAsia" w:ascii="宋体" w:hAnsi="宋体" w:cs="宋体"/>
          <w:color w:val="auto"/>
          <w:sz w:val="21"/>
          <w:szCs w:val="21"/>
          <w:lang w:bidi="ar"/>
        </w:rPr>
        <w:t>，</w:t>
      </w:r>
      <w:r>
        <w:rPr>
          <w:rFonts w:hint="eastAsia" w:ascii="宋体" w:hAnsi="宋体" w:cs="宋体"/>
          <w:color w:val="auto"/>
          <w:sz w:val="21"/>
          <w:szCs w:val="21"/>
          <w:lang w:val="zh-CN" w:bidi="ar"/>
        </w:rPr>
        <w:t>请填写参加开标活动经办人联系方式</w:t>
      </w:r>
      <w:r>
        <w:rPr>
          <w:rFonts w:hint="eastAsia" w:ascii="宋体" w:hAnsi="宋体" w:cs="宋体"/>
          <w:color w:val="auto"/>
          <w:sz w:val="21"/>
          <w:szCs w:val="21"/>
          <w:lang w:bidi="ar"/>
        </w:rPr>
        <w:t>。</w:t>
      </w:r>
    </w:p>
    <w:p w14:paraId="2F53F886">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ascii="宋体" w:hAnsi="宋体" w:cs="宋体"/>
          <w:color w:val="auto"/>
          <w:sz w:val="21"/>
          <w:szCs w:val="21"/>
          <w:lang w:bidi="ar"/>
        </w:rPr>
        <w:t>3</w:t>
      </w:r>
      <w:r>
        <w:rPr>
          <w:rFonts w:hint="eastAsia" w:ascii="宋体" w:hAnsi="宋体" w:cs="宋体"/>
          <w:color w:val="auto"/>
          <w:sz w:val="21"/>
          <w:szCs w:val="21"/>
          <w:lang w:bidi="ar"/>
        </w:rPr>
        <w:t>.开启方式：</w:t>
      </w:r>
      <w:r>
        <w:rPr>
          <w:rFonts w:hint="eastAsia" w:ascii="宋体" w:hAnsi="宋体" w:cs="宋体"/>
          <w:color w:val="auto"/>
          <w:sz w:val="21"/>
          <w:szCs w:val="21"/>
          <w:lang w:val="zh-CN" w:bidi="ar"/>
        </w:rPr>
        <w:t>响应文件解密截止时间后，“政采云”平台手动公布响应报价信息，供应商持企业数字证书登录“政采云”平台在线查询响应报价信息</w:t>
      </w:r>
      <w:r>
        <w:rPr>
          <w:rFonts w:hint="eastAsia" w:ascii="宋体" w:hAnsi="宋体" w:cs="宋体"/>
          <w:color w:val="auto"/>
          <w:sz w:val="21"/>
          <w:szCs w:val="21"/>
          <w:lang w:bidi="ar"/>
        </w:rPr>
        <w:t>。</w:t>
      </w:r>
    </w:p>
    <w:p w14:paraId="1F851B1B">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ascii="宋体" w:hAnsi="宋体" w:cs="宋体"/>
          <w:color w:val="auto"/>
          <w:sz w:val="21"/>
          <w:szCs w:val="21"/>
          <w:lang w:bidi="ar"/>
        </w:rPr>
        <w:t>4</w:t>
      </w:r>
      <w:r>
        <w:rPr>
          <w:rFonts w:hint="eastAsia" w:ascii="宋体" w:hAnsi="宋体" w:cs="宋体"/>
          <w:color w:val="auto"/>
          <w:sz w:val="21"/>
          <w:szCs w:val="21"/>
          <w:lang w:bidi="ar"/>
        </w:rPr>
        <w:t>.开启时间：同提交响应文件</w:t>
      </w:r>
      <w:r>
        <w:rPr>
          <w:rFonts w:hint="eastAsia" w:ascii="宋体" w:hAnsi="宋体" w:cs="宋体"/>
          <w:color w:val="auto"/>
          <w:sz w:val="21"/>
          <w:szCs w:val="21"/>
          <w:lang w:val="zh-CN" w:bidi="ar"/>
        </w:rPr>
        <w:t>截止时间。</w:t>
      </w:r>
    </w:p>
    <w:p w14:paraId="3B19B02B">
      <w:pPr>
        <w:autoSpaceDE w:val="0"/>
        <w:autoSpaceDN w:val="0"/>
        <w:adjustRightInd w:val="0"/>
        <w:spacing w:line="420" w:lineRule="exact"/>
        <w:ind w:right="97" w:rightChars="46" w:firstLine="315" w:firstLineChars="150"/>
        <w:jc w:val="left"/>
        <w:rPr>
          <w:rFonts w:hint="eastAsia"/>
          <w:color w:val="auto"/>
        </w:rPr>
      </w:pPr>
      <w:r>
        <w:rPr>
          <w:rFonts w:hint="eastAsia" w:ascii="宋体" w:hAnsi="宋体" w:cs="宋体"/>
          <w:color w:val="auto"/>
          <w:sz w:val="21"/>
          <w:szCs w:val="21"/>
          <w:lang w:val="zh-CN" w:bidi="ar"/>
        </w:rPr>
        <w:t>电子响应文件解密期限及方式：开启时间后</w:t>
      </w:r>
      <w:r>
        <w:rPr>
          <w:rFonts w:hint="eastAsia" w:ascii="宋体" w:hAnsi="宋体" w:cs="宋体"/>
          <w:color w:val="auto"/>
          <w:sz w:val="21"/>
          <w:szCs w:val="21"/>
          <w:lang w:bidi="ar"/>
        </w:rPr>
        <w:t>3</w:t>
      </w:r>
      <w:r>
        <w:rPr>
          <w:rFonts w:hint="eastAsia" w:ascii="宋体" w:hAnsi="宋体" w:cs="宋体"/>
          <w:color w:val="auto"/>
          <w:sz w:val="21"/>
          <w:szCs w:val="21"/>
          <w:lang w:val="zh-CN" w:bidi="ar"/>
        </w:rPr>
        <w:t>0分钟内，由供应商持制作该电子响应文件的同一数字证书（CA锁）及电脑进行远程解密（各供应商开标前及网上开评标系统公布供应商名单前，不要提前进行远程解密；具体解密时间在开标直播时采购代理机构工作人员</w:t>
      </w:r>
      <w:r>
        <w:rPr>
          <w:rFonts w:hint="eastAsia" w:ascii="宋体" w:hAnsi="宋体" w:cs="宋体"/>
          <w:color w:val="auto"/>
          <w:lang w:val="zh-CN" w:bidi="ar"/>
        </w:rPr>
        <w:t>会进行通知）。</w:t>
      </w:r>
    </w:p>
    <w:p w14:paraId="2BF2ADBC">
      <w:pPr>
        <w:autoSpaceDE w:val="0"/>
        <w:autoSpaceDN w:val="0"/>
        <w:adjustRightInd w:val="0"/>
        <w:spacing w:line="420" w:lineRule="exact"/>
        <w:ind w:right="97" w:rightChars="46" w:firstLine="315" w:firstLineChars="150"/>
        <w:jc w:val="left"/>
        <w:rPr>
          <w:rFonts w:hint="eastAsia" w:ascii="宋体" w:hAnsi="宋体" w:cs="宋体"/>
          <w:color w:val="auto"/>
          <w:lang w:bidi="ar"/>
        </w:rPr>
      </w:pPr>
      <w:r>
        <w:rPr>
          <w:rFonts w:ascii="宋体" w:hAnsi="宋体" w:cs="宋体"/>
          <w:color w:val="auto"/>
          <w:lang w:bidi="ar"/>
        </w:rPr>
        <w:t>5</w:t>
      </w:r>
      <w:r>
        <w:rPr>
          <w:rFonts w:hint="eastAsia" w:ascii="宋体" w:hAnsi="宋体" w:cs="宋体"/>
          <w:color w:val="auto"/>
          <w:lang w:bidi="ar"/>
        </w:rPr>
        <w:t>.开启地点：</w:t>
      </w:r>
      <w:r>
        <w:rPr>
          <w:rFonts w:hint="eastAsia" w:ascii="宋体" w:hAnsi="宋体" w:cs="宋体"/>
          <w:b/>
          <w:bCs/>
          <w:color w:val="auto"/>
          <w:u w:val="single"/>
          <w:lang w:eastAsia="zh-CN" w:bidi="ar"/>
        </w:rPr>
        <w:t>安图县明月镇延安路8号安图县政务服务中心（4楼公共资源交易中心）</w:t>
      </w:r>
      <w:r>
        <w:rPr>
          <w:rFonts w:hint="eastAsia" w:ascii="宋体" w:hAnsi="宋体" w:cs="宋体"/>
          <w:b/>
          <w:bCs/>
          <w:color w:val="auto"/>
          <w:u w:val="single"/>
          <w:lang w:bidi="ar"/>
        </w:rPr>
        <w:t>。</w:t>
      </w:r>
    </w:p>
    <w:p w14:paraId="6011ECDE">
      <w:pPr>
        <w:autoSpaceDE w:val="0"/>
        <w:autoSpaceDN w:val="0"/>
        <w:adjustRightInd w:val="0"/>
        <w:spacing w:line="420" w:lineRule="exact"/>
        <w:ind w:left="856" w:right="420" w:rightChars="200" w:hanging="856"/>
        <w:jc w:val="left"/>
        <w:rPr>
          <w:rFonts w:hint="eastAsia" w:ascii="宋体" w:hAnsi="宋体" w:cs="宋体"/>
          <w:b/>
          <w:color w:val="auto"/>
          <w:lang w:val="zh-CN" w:bidi="ar"/>
        </w:rPr>
      </w:pPr>
      <w:r>
        <w:rPr>
          <w:rFonts w:hint="eastAsia" w:ascii="宋体" w:hAnsi="宋体" w:cs="宋体"/>
          <w:b/>
          <w:color w:val="auto"/>
          <w:lang w:bidi="ar"/>
        </w:rPr>
        <w:t>五</w:t>
      </w:r>
      <w:r>
        <w:rPr>
          <w:rFonts w:hint="eastAsia" w:ascii="宋体" w:hAnsi="宋体" w:cs="宋体"/>
          <w:b/>
          <w:color w:val="auto"/>
          <w:lang w:val="zh-CN" w:bidi="ar"/>
        </w:rPr>
        <w:t>、公告期限</w:t>
      </w:r>
    </w:p>
    <w:p w14:paraId="5D3527FB">
      <w:pPr>
        <w:autoSpaceDE w:val="0"/>
        <w:autoSpaceDN w:val="0"/>
        <w:adjustRightInd w:val="0"/>
        <w:spacing w:line="420" w:lineRule="exact"/>
        <w:ind w:right="97" w:rightChars="46" w:firstLine="315" w:firstLineChars="150"/>
        <w:jc w:val="left"/>
        <w:rPr>
          <w:rFonts w:hint="eastAsia" w:ascii="宋体" w:hAnsi="宋体" w:cs="宋体"/>
          <w:color w:val="auto"/>
          <w:lang w:bidi="ar"/>
        </w:rPr>
      </w:pPr>
      <w:r>
        <w:rPr>
          <w:rFonts w:hint="eastAsia" w:ascii="宋体" w:hAnsi="宋体" w:cs="宋体"/>
          <w:color w:val="auto"/>
          <w:lang w:bidi="ar"/>
        </w:rPr>
        <w:t>自本公告发出之日起5个工作日。</w:t>
      </w:r>
    </w:p>
    <w:p w14:paraId="1981CDCA">
      <w:pPr>
        <w:autoSpaceDE w:val="0"/>
        <w:autoSpaceDN w:val="0"/>
        <w:adjustRightInd w:val="0"/>
        <w:spacing w:line="420" w:lineRule="exact"/>
        <w:ind w:left="856" w:right="420" w:rightChars="200" w:hanging="856"/>
        <w:jc w:val="left"/>
        <w:rPr>
          <w:rFonts w:hint="eastAsia" w:ascii="宋体" w:hAnsi="宋体" w:cs="宋体"/>
          <w:b/>
          <w:color w:val="auto"/>
          <w:lang w:val="zh-CN" w:bidi="ar"/>
        </w:rPr>
      </w:pPr>
      <w:r>
        <w:rPr>
          <w:rFonts w:hint="eastAsia" w:ascii="宋体" w:hAnsi="宋体" w:cs="宋体"/>
          <w:b/>
          <w:color w:val="auto"/>
          <w:lang w:bidi="ar"/>
        </w:rPr>
        <w:t>六、</w:t>
      </w:r>
      <w:r>
        <w:rPr>
          <w:rFonts w:hint="eastAsia" w:ascii="宋体" w:hAnsi="宋体" w:cs="宋体"/>
          <w:b/>
          <w:color w:val="auto"/>
          <w:lang w:val="zh-CN" w:bidi="ar"/>
        </w:rPr>
        <w:t>其他补充事宜</w:t>
      </w:r>
    </w:p>
    <w:p w14:paraId="030B01C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cs="宋体"/>
          <w:color w:val="auto"/>
          <w:sz w:val="21"/>
          <w:szCs w:val="21"/>
          <w:lang w:val="en-US" w:eastAsia="zh-CN" w:bidi="ar"/>
        </w:rPr>
      </w:pPr>
      <w:r>
        <w:rPr>
          <w:rFonts w:hint="eastAsia" w:ascii="宋体" w:hAnsi="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投标人在政府采购云平台网注册入库成为正式投标人后，在平台上按《政府采购项目电子交易管理操作指南-投标人》进行投标操作。投标人须办理数字证书方可参加投标。</w:t>
      </w:r>
    </w:p>
    <w:p w14:paraId="47935233">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.CA 办理方式：</w:t>
      </w:r>
    </w:p>
    <w:p w14:paraId="5A4E4171">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（1）准备材料：①企业营业执照；② 法定代表人身份证；③经办人身份证；④数字证书申请表 (在获取响应文件附件处下载模板)；⑤授权委托书 (在获取响应文件附件处下载模板) 。</w:t>
      </w:r>
    </w:p>
    <w:p w14:paraId="019C896E">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（2）办理流程：第一步：吉林省公共资源交易平台主体库注册：请先在主体库中注册、完善企业基本信息并上传企业相关资料 ，请进入以下链接进入供应商注册界面。http://139.215.214.77/PSPBidder/memberLogin；第二步：完成主体库注册的用户持以上材料联系软件公司现场或邮寄办理 CA 锁。</w:t>
      </w:r>
    </w:p>
    <w:p w14:paraId="2D7518AE">
      <w:pPr>
        <w:autoSpaceDE w:val="0"/>
        <w:autoSpaceDN w:val="0"/>
        <w:adjustRightInd w:val="0"/>
        <w:spacing w:line="420" w:lineRule="exact"/>
        <w:ind w:right="97" w:rightChars="46" w:firstLine="315" w:firstLineChars="150"/>
        <w:jc w:val="left"/>
        <w:rPr>
          <w:rFonts w:ascii="宋体" w:hAnsi="宋体" w:cs="宋体"/>
          <w:color w:val="auto"/>
          <w:sz w:val="21"/>
          <w:szCs w:val="21"/>
          <w:lang w:bidi="ar"/>
        </w:rPr>
      </w:pPr>
      <w:r>
        <w:rPr>
          <w:rFonts w:hint="eastAsia" w:ascii="宋体" w:hAnsi="宋体" w:cs="宋体"/>
          <w:color w:val="auto"/>
          <w:sz w:val="21"/>
          <w:szCs w:val="21"/>
          <w:lang w:bidi="ar"/>
        </w:rPr>
        <w:t>（3）软件公司联系方式：安信CA 联系电话：0431-85177688；翔晟CA咨询电话：</w:t>
      </w:r>
      <w:r>
        <w:rPr>
          <w:rFonts w:hint="eastAsia" w:ascii="宋体" w:hAnsi="宋体" w:cs="宋体"/>
          <w:color w:val="auto"/>
          <w:sz w:val="21"/>
          <w:szCs w:val="21"/>
          <w:lang w:val="zh-CN"/>
        </w:rPr>
        <w:t>0431-88779428（长春）、15604331467（延边）</w:t>
      </w:r>
      <w:r>
        <w:rPr>
          <w:rFonts w:hint="eastAsia" w:ascii="宋体" w:hAnsi="宋体" w:cs="宋体"/>
          <w:color w:val="auto"/>
          <w:sz w:val="21"/>
          <w:szCs w:val="21"/>
          <w:lang w:bidi="ar"/>
        </w:rPr>
        <w:t>。</w:t>
      </w:r>
    </w:p>
    <w:p w14:paraId="3956F36C">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（4）收到 CA 以后在“政采云”登陆界面，点击 CA 登录-CA 驱动下载-下载并安装政采云投标客户端和安信CA 驱动，账号绑定 CA 后才能进行响应文件制作。</w:t>
      </w:r>
    </w:p>
    <w:p w14:paraId="523C2628">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（5）未进行网上注册并办理 CA 认证的供应商将无法参与本次采购活动。数字证书办理时限为3-5个工作日，供应商须自行考虑办理时间，由于供应商自身原因在开启前无法完成办理，后果自负。</w:t>
      </w:r>
    </w:p>
    <w:p w14:paraId="3800BF2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rPr>
        <w:t>3</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若对项目采购电子交易系统操作有疑问，可登录“政采云”平台，点击右侧咨询小采，获取采小蜜智能服务管家帮助，或拨打政采云服务热线95763获取帮助。</w:t>
      </w:r>
    </w:p>
    <w:p w14:paraId="718E9B90">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有效投标人不足三家时，采购人另行组织采购。</w:t>
      </w:r>
    </w:p>
    <w:p w14:paraId="48A35640">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当投标人的有效投标报价超出招标控制价（预算金额、拦标价）的，该投标报价视为无效报价。</w:t>
      </w:r>
    </w:p>
    <w:p w14:paraId="434B9339">
      <w:pPr>
        <w:autoSpaceDE w:val="0"/>
        <w:autoSpaceDN w:val="0"/>
        <w:adjustRightInd w:val="0"/>
        <w:spacing w:line="420" w:lineRule="exact"/>
        <w:ind w:right="97" w:rightChars="46" w:firstLine="420" w:firstLineChars="200"/>
        <w:jc w:val="left"/>
        <w:rPr>
          <w:rFonts w:hint="eastAsia" w:ascii="宋体" w:hAnsi="宋体" w:cs="宋体"/>
          <w:color w:val="000000"/>
          <w:lang w:bidi="ar"/>
        </w:rPr>
      </w:pPr>
      <w:r>
        <w:rPr>
          <w:rFonts w:hint="eastAsia" w:ascii="宋体" w:hAnsi="宋体" w:eastAsia="宋体" w:cs="宋体"/>
          <w:i w:val="0"/>
          <w:iCs w:val="0"/>
          <w:caps w:val="0"/>
          <w:color w:val="333333"/>
          <w:spacing w:val="0"/>
          <w:sz w:val="21"/>
          <w:szCs w:val="21"/>
          <w:shd w:val="clear" w:color="auto" w:fill="FFFFFF"/>
          <w:lang w:val="en-US" w:eastAsia="zh-CN"/>
        </w:rPr>
        <w:t>6.</w:t>
      </w:r>
      <w:r>
        <w:rPr>
          <w:rFonts w:hint="eastAsia" w:ascii="宋体" w:hAnsi="宋体" w:eastAsia="宋体" w:cs="宋体"/>
          <w:i w:val="0"/>
          <w:iCs w:val="0"/>
          <w:caps w:val="0"/>
          <w:color w:val="333333"/>
          <w:spacing w:val="0"/>
          <w:sz w:val="21"/>
          <w:szCs w:val="21"/>
          <w:shd w:val="clear" w:color="auto" w:fill="FFFFFF"/>
        </w:rPr>
        <w:t>本次招标公告在“政采云”平台 (http:// www.zcygov.cn)</w:t>
      </w:r>
      <w:r>
        <w:rPr>
          <w:rFonts w:hint="eastAsia" w:ascii="宋体" w:hAnsi="宋体" w:cs="宋体"/>
          <w:color w:val="000000"/>
          <w:sz w:val="21"/>
          <w:szCs w:val="21"/>
          <w:lang w:val="zh-CN" w:bidi="ar"/>
        </w:rPr>
        <w:t>、《中国政府采购网》、《吉林省公共资源交易公共服务平台》</w:t>
      </w:r>
      <w:r>
        <w:rPr>
          <w:rFonts w:hint="eastAsia" w:ascii="宋体" w:hAnsi="宋体" w:cs="宋体"/>
          <w:color w:val="000000"/>
          <w:sz w:val="21"/>
          <w:szCs w:val="21"/>
          <w:lang w:bidi="ar"/>
        </w:rPr>
        <w:t>上发布</w:t>
      </w:r>
      <w:r>
        <w:rPr>
          <w:rFonts w:hint="eastAsia" w:ascii="宋体" w:hAnsi="宋体" w:cs="宋体"/>
          <w:color w:val="000000"/>
          <w:sz w:val="21"/>
          <w:szCs w:val="21"/>
          <w:lang w:val="zh-CN" w:bidi="ar"/>
        </w:rPr>
        <w:t>。</w:t>
      </w:r>
    </w:p>
    <w:p w14:paraId="3B445ECE">
      <w:pPr>
        <w:autoSpaceDE w:val="0"/>
        <w:autoSpaceDN w:val="0"/>
        <w:adjustRightInd w:val="0"/>
        <w:spacing w:line="420" w:lineRule="exact"/>
        <w:ind w:left="856" w:right="420" w:rightChars="200" w:hanging="856"/>
        <w:jc w:val="left"/>
        <w:rPr>
          <w:rFonts w:hint="eastAsia" w:ascii="宋体" w:hAnsi="宋体" w:cs="宋体"/>
          <w:b/>
          <w:color w:val="000000"/>
          <w:lang w:val="zh-CN" w:bidi="ar"/>
        </w:rPr>
      </w:pPr>
      <w:r>
        <w:rPr>
          <w:rFonts w:hint="eastAsia" w:ascii="宋体" w:hAnsi="宋体" w:cs="宋体"/>
          <w:b/>
          <w:color w:val="000000"/>
          <w:lang w:val="zh-CN" w:bidi="ar"/>
        </w:rPr>
        <w:t>七、联系方式。</w:t>
      </w:r>
    </w:p>
    <w:p w14:paraId="7D1F930F">
      <w:pPr>
        <w:autoSpaceDE w:val="0"/>
        <w:autoSpaceDN w:val="0"/>
        <w:adjustRightInd w:val="0"/>
        <w:spacing w:line="420" w:lineRule="exact"/>
        <w:ind w:right="97" w:rightChars="46" w:firstLine="315" w:firstLineChars="150"/>
        <w:jc w:val="left"/>
        <w:rPr>
          <w:rFonts w:hint="eastAsia" w:ascii="宋体" w:hAnsi="宋体" w:cs="宋体"/>
          <w:color w:val="000000"/>
          <w:lang w:val="zh-CN" w:bidi="ar"/>
        </w:rPr>
      </w:pPr>
      <w:r>
        <w:rPr>
          <w:rFonts w:hint="eastAsia" w:ascii="宋体" w:hAnsi="宋体" w:cs="宋体"/>
          <w:color w:val="000000"/>
          <w:lang w:bidi="ar"/>
        </w:rPr>
        <w:t>1</w:t>
      </w:r>
      <w:r>
        <w:rPr>
          <w:rFonts w:hint="eastAsia" w:ascii="宋体" w:hAnsi="宋体" w:cs="宋体"/>
          <w:color w:val="000000"/>
          <w:lang w:val="zh-CN" w:bidi="ar"/>
        </w:rPr>
        <w:t>.</w:t>
      </w:r>
      <w:r>
        <w:rPr>
          <w:rFonts w:hint="eastAsia" w:ascii="宋体" w:hAnsi="宋体" w:cs="宋体"/>
          <w:color w:val="000000"/>
          <w:lang w:val="en-US" w:eastAsia="zh-CN" w:bidi="ar"/>
        </w:rPr>
        <w:t>采购</w:t>
      </w:r>
      <w:r>
        <w:rPr>
          <w:rFonts w:hint="eastAsia" w:ascii="宋体" w:hAnsi="宋体" w:cs="宋体"/>
          <w:color w:val="000000"/>
          <w:lang w:bidi="ar"/>
        </w:rPr>
        <w:t>人</w:t>
      </w:r>
      <w:r>
        <w:rPr>
          <w:rFonts w:hint="eastAsia" w:ascii="宋体" w:hAnsi="宋体" w:cs="宋体"/>
          <w:color w:val="000000"/>
          <w:lang w:val="zh-CN" w:bidi="ar"/>
        </w:rPr>
        <w:t>信息</w:t>
      </w:r>
    </w:p>
    <w:p w14:paraId="1E591D89">
      <w:pPr>
        <w:autoSpaceDE w:val="0"/>
        <w:autoSpaceDN w:val="0"/>
        <w:adjustRightInd w:val="0"/>
        <w:spacing w:line="420" w:lineRule="exact"/>
        <w:ind w:right="97" w:rightChars="46" w:firstLine="315" w:firstLineChars="150"/>
        <w:jc w:val="left"/>
        <w:rPr>
          <w:rFonts w:hint="eastAsia" w:ascii="宋体" w:hAnsi="宋体" w:eastAsia="宋体" w:cs="宋体"/>
          <w:color w:val="auto"/>
          <w:lang w:eastAsia="zh-CN" w:bidi="ar"/>
        </w:rPr>
      </w:pPr>
      <w:r>
        <w:rPr>
          <w:rFonts w:hint="eastAsia" w:ascii="宋体" w:hAnsi="宋体" w:cs="宋体"/>
          <w:color w:val="auto"/>
          <w:lang w:bidi="ar"/>
        </w:rPr>
        <w:t>名    称：</w:t>
      </w:r>
      <w:r>
        <w:rPr>
          <w:rFonts w:hint="eastAsia" w:ascii="宋体" w:hAnsi="宋体" w:cs="宋体"/>
          <w:color w:val="auto"/>
          <w:lang w:eastAsia="zh-CN" w:bidi="ar"/>
        </w:rPr>
        <w:t>安图县自然资源和林业局</w:t>
      </w:r>
    </w:p>
    <w:p w14:paraId="2B2622B8">
      <w:pPr>
        <w:autoSpaceDE w:val="0"/>
        <w:autoSpaceDN w:val="0"/>
        <w:adjustRightInd w:val="0"/>
        <w:spacing w:line="420" w:lineRule="exact"/>
        <w:ind w:right="97" w:rightChars="46" w:firstLine="315" w:firstLineChars="150"/>
        <w:jc w:val="left"/>
        <w:rPr>
          <w:rFonts w:hint="default" w:ascii="宋体" w:hAnsi="宋体" w:eastAsia="宋体" w:cs="宋体"/>
          <w:color w:val="auto"/>
          <w:lang w:val="en-US" w:eastAsia="zh-CN" w:bidi="ar"/>
        </w:rPr>
      </w:pPr>
      <w:r>
        <w:rPr>
          <w:rFonts w:hint="eastAsia" w:ascii="宋体" w:hAnsi="宋体" w:cs="宋体"/>
          <w:color w:val="auto"/>
          <w:lang w:bidi="ar"/>
        </w:rPr>
        <w:t>地    址：</w:t>
      </w:r>
      <w:r>
        <w:rPr>
          <w:rFonts w:hint="eastAsia" w:ascii="宋体" w:hAnsi="宋体" w:cs="宋体"/>
          <w:color w:val="auto"/>
          <w:lang w:val="en-US" w:eastAsia="zh-CN" w:bidi="ar"/>
        </w:rPr>
        <w:t>安图县明月镇</w:t>
      </w:r>
    </w:p>
    <w:p w14:paraId="34FF21C9">
      <w:pPr>
        <w:autoSpaceDE w:val="0"/>
        <w:autoSpaceDN w:val="0"/>
        <w:adjustRightInd w:val="0"/>
        <w:spacing w:line="420" w:lineRule="exact"/>
        <w:ind w:right="97" w:rightChars="46" w:firstLine="315" w:firstLineChars="150"/>
        <w:jc w:val="left"/>
        <w:rPr>
          <w:rFonts w:hint="default" w:ascii="宋体" w:hAnsi="宋体" w:eastAsia="宋体" w:cs="宋体"/>
          <w:color w:val="auto"/>
          <w:highlight w:val="none"/>
          <w:lang w:val="en-US" w:eastAsia="zh-CN" w:bidi="ar"/>
        </w:rPr>
      </w:pPr>
      <w:r>
        <w:rPr>
          <w:rFonts w:hint="eastAsia" w:ascii="宋体" w:hAnsi="宋体" w:cs="宋体"/>
          <w:color w:val="auto"/>
          <w:highlight w:val="none"/>
          <w:lang w:bidi="ar"/>
        </w:rPr>
        <w:t>联 系 人：</w:t>
      </w:r>
      <w:r>
        <w:rPr>
          <w:rFonts w:hint="eastAsia" w:ascii="宋体" w:hAnsi="宋体" w:cs="宋体"/>
          <w:color w:val="auto"/>
          <w:highlight w:val="none"/>
          <w:lang w:val="en-US" w:eastAsia="zh-CN" w:bidi="ar"/>
        </w:rPr>
        <w:t>孔令琨</w:t>
      </w:r>
    </w:p>
    <w:p w14:paraId="501CEF44">
      <w:pPr>
        <w:autoSpaceDE w:val="0"/>
        <w:autoSpaceDN w:val="0"/>
        <w:adjustRightInd w:val="0"/>
        <w:spacing w:line="420" w:lineRule="exact"/>
        <w:ind w:right="97" w:rightChars="46" w:firstLine="315" w:firstLineChars="150"/>
        <w:jc w:val="left"/>
        <w:rPr>
          <w:rFonts w:hint="default" w:ascii="宋体" w:hAnsi="宋体" w:eastAsia="宋体" w:cs="宋体"/>
          <w:color w:val="auto"/>
          <w:highlight w:val="none"/>
          <w:u w:val="single"/>
          <w:lang w:val="en-US" w:eastAsia="zh-CN" w:bidi="ar"/>
        </w:rPr>
      </w:pPr>
      <w:r>
        <w:rPr>
          <w:rFonts w:hint="eastAsia" w:ascii="宋体" w:hAnsi="宋体" w:cs="宋体"/>
          <w:color w:val="auto"/>
          <w:highlight w:val="none"/>
          <w:lang w:bidi="ar"/>
        </w:rPr>
        <w:t>联系方式：</w:t>
      </w:r>
      <w:r>
        <w:rPr>
          <w:rFonts w:hint="eastAsia" w:ascii="宋体" w:hAnsi="宋体" w:cs="宋体"/>
          <w:color w:val="auto"/>
          <w:highlight w:val="none"/>
          <w:lang w:val="en-US" w:eastAsia="zh-CN" w:bidi="ar"/>
        </w:rPr>
        <w:t>0433-5839402</w:t>
      </w:r>
    </w:p>
    <w:p w14:paraId="54DAC07D">
      <w:pPr>
        <w:autoSpaceDE w:val="0"/>
        <w:autoSpaceDN w:val="0"/>
        <w:adjustRightInd w:val="0"/>
        <w:spacing w:line="420" w:lineRule="exact"/>
        <w:ind w:right="97" w:rightChars="46" w:firstLine="315" w:firstLineChars="150"/>
        <w:jc w:val="left"/>
        <w:rPr>
          <w:rFonts w:hint="eastAsia" w:ascii="宋体" w:hAnsi="宋体" w:cs="宋体"/>
          <w:color w:val="000000"/>
          <w:lang w:bidi="ar"/>
        </w:rPr>
      </w:pPr>
      <w:r>
        <w:rPr>
          <w:rFonts w:hint="eastAsia" w:ascii="宋体" w:hAnsi="宋体" w:cs="宋体"/>
          <w:color w:val="000000"/>
          <w:lang w:bidi="ar"/>
        </w:rPr>
        <w:t>2.采购代理机构信息</w:t>
      </w:r>
    </w:p>
    <w:p w14:paraId="149B7E76">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名称：</w:t>
      </w:r>
      <w:r>
        <w:rPr>
          <w:rFonts w:hint="eastAsia" w:ascii="宋体" w:hAnsi="宋体" w:cs="宋体"/>
          <w:color w:val="000000"/>
          <w:lang w:val="en-US" w:eastAsia="zh-CN" w:bidi="ar"/>
        </w:rPr>
        <w:t>吉林省隆元工程管理咨询有限公司</w:t>
      </w:r>
    </w:p>
    <w:p w14:paraId="19F4340E">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地址：</w:t>
      </w:r>
      <w:r>
        <w:rPr>
          <w:rFonts w:hint="eastAsia" w:ascii="宋体" w:hAnsi="宋体" w:cs="宋体"/>
          <w:color w:val="000000"/>
          <w:lang w:val="en-US" w:eastAsia="zh-CN" w:bidi="ar"/>
        </w:rPr>
        <w:t>安图县明月镇明月路101号</w:t>
      </w:r>
    </w:p>
    <w:p w14:paraId="48703B39">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联系方式：</w:t>
      </w:r>
      <w:r>
        <w:rPr>
          <w:rFonts w:hint="eastAsia" w:ascii="宋体" w:hAnsi="宋体" w:cs="宋体"/>
          <w:color w:val="000000"/>
          <w:lang w:eastAsia="zh-CN" w:bidi="ar"/>
        </w:rPr>
        <w:t>0433</w:t>
      </w:r>
      <w:r>
        <w:rPr>
          <w:rFonts w:hint="eastAsia" w:ascii="宋体" w:hAnsi="宋体" w:cs="宋体"/>
          <w:color w:val="000000"/>
          <w:lang w:val="en-US" w:eastAsia="zh-CN" w:bidi="ar"/>
        </w:rPr>
        <w:t>-5812769</w:t>
      </w:r>
    </w:p>
    <w:p w14:paraId="400FB885">
      <w:pPr>
        <w:autoSpaceDE w:val="0"/>
        <w:autoSpaceDN w:val="0"/>
        <w:adjustRightInd w:val="0"/>
        <w:spacing w:line="420" w:lineRule="exact"/>
        <w:ind w:right="97" w:rightChars="46" w:firstLine="315" w:firstLineChars="150"/>
        <w:jc w:val="left"/>
        <w:rPr>
          <w:rFonts w:hint="eastAsia" w:ascii="宋体" w:hAnsi="宋体" w:cs="宋体"/>
          <w:color w:val="000000"/>
          <w:lang w:bidi="ar"/>
        </w:rPr>
      </w:pPr>
      <w:r>
        <w:rPr>
          <w:rFonts w:hint="eastAsia" w:ascii="宋体" w:hAnsi="宋体" w:cs="宋体"/>
          <w:color w:val="000000"/>
          <w:lang w:bidi="ar"/>
        </w:rPr>
        <w:t>3.项目联系方式</w:t>
      </w:r>
    </w:p>
    <w:p w14:paraId="3EBD27AF">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项目联系人：</w:t>
      </w:r>
      <w:r>
        <w:rPr>
          <w:rFonts w:hint="eastAsia" w:ascii="宋体" w:hAnsi="宋体" w:cs="宋体"/>
          <w:color w:val="000000"/>
          <w:lang w:val="en-US" w:eastAsia="zh-CN" w:bidi="ar"/>
        </w:rPr>
        <w:t>王怀成</w:t>
      </w:r>
    </w:p>
    <w:p w14:paraId="0BEF3DD1">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电话：</w:t>
      </w:r>
      <w:r>
        <w:rPr>
          <w:rFonts w:hint="eastAsia" w:ascii="宋体" w:hAnsi="宋体" w:cs="宋体"/>
          <w:color w:val="000000"/>
          <w:lang w:eastAsia="zh-CN" w:bidi="ar"/>
        </w:rPr>
        <w:t>0433</w:t>
      </w:r>
      <w:r>
        <w:rPr>
          <w:rFonts w:hint="eastAsia" w:ascii="宋体" w:hAnsi="宋体" w:cs="宋体"/>
          <w:color w:val="000000"/>
          <w:lang w:val="en-US" w:eastAsia="zh-CN" w:bidi="ar"/>
        </w:rPr>
        <w:t>-5812769</w:t>
      </w:r>
    </w:p>
    <w:p w14:paraId="11B4E7A1">
      <w:pPr>
        <w:autoSpaceDE w:val="0"/>
        <w:autoSpaceDN w:val="0"/>
        <w:adjustRightInd w:val="0"/>
        <w:spacing w:line="420" w:lineRule="exact"/>
        <w:ind w:right="97" w:rightChars="46" w:firstLine="315" w:firstLineChars="150"/>
        <w:jc w:val="left"/>
        <w:rPr>
          <w:rFonts w:hint="default" w:ascii="宋体" w:hAnsi="宋体" w:cs="宋体"/>
          <w:color w:val="000000"/>
          <w:lang w:val="en-US" w:bidi="ar"/>
        </w:rPr>
      </w:pPr>
      <w:r>
        <w:rPr>
          <w:rFonts w:hint="eastAsia" w:ascii="宋体" w:hAnsi="宋体" w:cs="宋体"/>
          <w:color w:val="000000"/>
          <w:lang w:bidi="ar"/>
        </w:rPr>
        <w:t>5</w:t>
      </w:r>
      <w:r>
        <w:rPr>
          <w:rFonts w:hint="eastAsia" w:ascii="宋体" w:hAnsi="宋体" w:cs="宋体"/>
          <w:color w:val="000000"/>
          <w:lang w:val="zh-CN" w:bidi="ar"/>
        </w:rPr>
        <w:t>.监督管理部门：</w:t>
      </w:r>
      <w:r>
        <w:rPr>
          <w:rFonts w:hint="eastAsia" w:ascii="宋体" w:hAnsi="宋体" w:cs="宋体"/>
          <w:color w:val="000000"/>
          <w:lang w:val="en-US" w:eastAsia="zh-CN" w:bidi="ar"/>
        </w:rPr>
        <w:t>安图县财政局采购监督管理办公室</w:t>
      </w:r>
    </w:p>
    <w:p w14:paraId="675EE482">
      <w:pPr>
        <w:autoSpaceDE w:val="0"/>
        <w:autoSpaceDN w:val="0"/>
        <w:adjustRightInd w:val="0"/>
        <w:spacing w:before="120" w:beforeLines="50" w:after="120" w:afterLines="50"/>
        <w:ind w:firstLine="420" w:firstLineChars="200"/>
        <w:jc w:val="left"/>
        <w:rPr>
          <w:rFonts w:hint="eastAsia" w:ascii="宋体" w:hAnsi="宋体" w:cs="宋体"/>
          <w:color w:val="000000"/>
          <w:lang w:val="zh-CN"/>
        </w:rPr>
      </w:pPr>
    </w:p>
    <w:p w14:paraId="0552DCB4">
      <w:pPr>
        <w:spacing w:line="360" w:lineRule="auto"/>
        <w:ind w:right="480" w:firstLine="4410" w:firstLineChars="2100"/>
        <w:rPr>
          <w:rFonts w:hint="eastAsia" w:ascii="宋体" w:hAnsi="宋体" w:cs="宋体"/>
          <w:color w:val="000000"/>
          <w:lang w:val="zh-CN"/>
        </w:rPr>
      </w:pPr>
      <w:r>
        <w:rPr>
          <w:rFonts w:hint="eastAsia" w:ascii="宋体" w:hAnsi="宋体" w:cs="宋体"/>
          <w:color w:val="000000"/>
          <w:lang w:val="zh-CN"/>
        </w:rPr>
        <w:t>吉林省降元工程管理咨询有限公司</w:t>
      </w:r>
    </w:p>
    <w:p w14:paraId="715EA4DA">
      <w:pPr>
        <w:jc w:val="center"/>
        <w:rPr>
          <w:rFonts w:hint="eastAsia" w:ascii="宋体" w:hAnsi="宋体" w:cs="宋体"/>
          <w:color w:val="auto"/>
          <w:highlight w:val="none"/>
          <w:lang w:val="zh-CN"/>
        </w:rPr>
      </w:pPr>
      <w:bookmarkStart w:id="2" w:name="_Toc32728"/>
      <w:r>
        <w:rPr>
          <w:rFonts w:hint="eastAsia" w:ascii="宋体" w:hAnsi="宋体" w:cs="宋体"/>
          <w:color w:val="auto"/>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202</w:t>
      </w:r>
      <w:r>
        <w:rPr>
          <w:rFonts w:hint="eastAsia" w:ascii="宋体" w:hAnsi="宋体" w:cs="宋体"/>
          <w:color w:val="auto"/>
          <w:highlight w:val="none"/>
          <w:lang w:val="en-US" w:eastAsia="zh-CN"/>
        </w:rPr>
        <w:t>5</w:t>
      </w:r>
      <w:r>
        <w:rPr>
          <w:rFonts w:hint="eastAsia" w:ascii="宋体" w:hAnsi="宋体" w:cs="宋体"/>
          <w:color w:val="auto"/>
          <w:highlight w:val="none"/>
          <w:lang w:val="zh-CN"/>
        </w:rPr>
        <w:t>年</w:t>
      </w:r>
      <w:r>
        <w:rPr>
          <w:rFonts w:hint="eastAsia" w:ascii="宋体" w:hAnsi="宋体" w:cs="宋体"/>
          <w:color w:val="auto"/>
          <w:highlight w:val="none"/>
          <w:lang w:val="en-US" w:eastAsia="zh-CN"/>
        </w:rPr>
        <w:t>7</w:t>
      </w:r>
      <w:r>
        <w:rPr>
          <w:rFonts w:hint="eastAsia" w:ascii="宋体" w:hAnsi="宋体" w:cs="宋体"/>
          <w:color w:val="auto"/>
          <w:highlight w:val="none"/>
          <w:lang w:val="zh-CN"/>
        </w:rPr>
        <w:t>月</w:t>
      </w:r>
      <w:r>
        <w:rPr>
          <w:rFonts w:hint="eastAsia" w:ascii="宋体" w:hAnsi="宋体" w:cs="宋体"/>
          <w:color w:val="auto"/>
          <w:highlight w:val="none"/>
          <w:lang w:val="en-US" w:eastAsia="zh-CN"/>
        </w:rPr>
        <w:t>10</w:t>
      </w:r>
      <w:r>
        <w:rPr>
          <w:rFonts w:hint="eastAsia" w:ascii="宋体" w:hAnsi="宋体" w:cs="宋体"/>
          <w:color w:val="auto"/>
          <w:highlight w:val="none"/>
          <w:lang w:val="zh-CN"/>
        </w:rPr>
        <w:t>日</w:t>
      </w:r>
      <w:bookmarkEnd w:id="2"/>
    </w:p>
    <w:p w14:paraId="3B100840">
      <w:pPr>
        <w:jc w:val="center"/>
        <w:rPr>
          <w:rFonts w:hint="eastAsia" w:ascii="宋体" w:hAnsi="宋体" w:cs="宋体"/>
          <w:color w:val="auto"/>
          <w:highlight w:val="none"/>
          <w:lang w:val="zh-CN"/>
        </w:rPr>
      </w:pPr>
    </w:p>
    <w:p w14:paraId="3EFB8FB8">
      <w:pPr>
        <w:jc w:val="center"/>
        <w:rPr>
          <w:rFonts w:hint="eastAsia" w:ascii="宋体" w:hAnsi="宋体" w:cs="宋体"/>
          <w:color w:val="auto"/>
          <w:highlight w:val="none"/>
          <w:lang w:val="zh-CN"/>
        </w:rPr>
      </w:pPr>
    </w:p>
    <w:p w14:paraId="7F088666">
      <w:pPr>
        <w:jc w:val="center"/>
        <w:rPr>
          <w:rFonts w:hint="eastAsia" w:ascii="宋体" w:hAnsi="宋体" w:cs="宋体"/>
          <w:color w:val="auto"/>
          <w:highlight w:val="none"/>
          <w:lang w:val="zh-CN"/>
        </w:rPr>
      </w:pPr>
    </w:p>
    <w:p w14:paraId="517AC705">
      <w:pPr>
        <w:jc w:val="center"/>
        <w:rPr>
          <w:rFonts w:hint="eastAsia" w:ascii="宋体" w:hAnsi="宋体" w:cs="宋体"/>
          <w:color w:val="auto"/>
          <w:highlight w:val="none"/>
          <w:lang w:val="zh-CN"/>
        </w:rPr>
      </w:pPr>
    </w:p>
    <w:p w14:paraId="5A013407">
      <w:pPr>
        <w:jc w:val="center"/>
        <w:rPr>
          <w:rFonts w:hint="eastAsia" w:ascii="宋体" w:hAnsi="宋体" w:cs="宋体"/>
          <w:color w:val="auto"/>
          <w:highlight w:val="none"/>
          <w:lang w:val="zh-CN"/>
        </w:rPr>
      </w:pPr>
    </w:p>
    <w:p w14:paraId="331A473A">
      <w:pPr>
        <w:jc w:val="center"/>
        <w:rPr>
          <w:rFonts w:hint="eastAsia" w:ascii="宋体" w:hAnsi="宋体" w:cs="宋体"/>
          <w:color w:val="auto"/>
          <w:highlight w:val="none"/>
          <w:lang w:val="zh-CN"/>
        </w:rPr>
      </w:pPr>
    </w:p>
    <w:p w14:paraId="7B0E1E5E">
      <w:pPr>
        <w:jc w:val="center"/>
        <w:rPr>
          <w:rFonts w:hint="eastAsia" w:ascii="宋体" w:hAnsi="宋体" w:cs="宋体"/>
          <w:color w:val="auto"/>
          <w:highlight w:val="none"/>
          <w:lang w:val="zh-CN"/>
        </w:rPr>
      </w:pPr>
    </w:p>
    <w:p w14:paraId="6FDD5EEF">
      <w:pPr>
        <w:jc w:val="center"/>
        <w:rPr>
          <w:rFonts w:hint="eastAsia" w:ascii="宋体" w:hAnsi="宋体" w:cs="宋体"/>
          <w:color w:val="auto"/>
          <w:highlight w:val="none"/>
          <w:lang w:val="zh-CN"/>
        </w:rPr>
      </w:pPr>
    </w:p>
    <w:p w14:paraId="3533807D">
      <w:pPr>
        <w:jc w:val="center"/>
        <w:rPr>
          <w:rFonts w:hint="eastAsia" w:ascii="宋体" w:hAnsi="宋体" w:cs="宋体"/>
          <w:color w:val="auto"/>
          <w:highlight w:val="none"/>
          <w:lang w:val="zh-CN"/>
        </w:rPr>
      </w:pPr>
    </w:p>
    <w:p w14:paraId="6EDC9737">
      <w:pPr>
        <w:jc w:val="center"/>
        <w:rPr>
          <w:rFonts w:hint="eastAsia" w:ascii="宋体" w:hAnsi="宋体" w:cs="宋体"/>
          <w:color w:val="auto"/>
          <w:highlight w:val="none"/>
          <w:lang w:val="zh-CN"/>
        </w:rPr>
      </w:pPr>
    </w:p>
    <w:p w14:paraId="0B4E3064">
      <w:pPr>
        <w:jc w:val="center"/>
        <w:rPr>
          <w:rFonts w:hint="eastAsia" w:ascii="宋体" w:hAnsi="宋体" w:cs="宋体"/>
          <w:color w:val="auto"/>
          <w:highlight w:val="none"/>
          <w:lang w:val="zh-CN"/>
        </w:rPr>
      </w:pPr>
    </w:p>
    <w:p w14:paraId="2EB6CDE1">
      <w:pPr>
        <w:jc w:val="center"/>
        <w:rPr>
          <w:rFonts w:hint="eastAsia" w:ascii="宋体" w:hAnsi="宋体" w:cs="宋体"/>
          <w:color w:val="auto"/>
          <w:highlight w:val="none"/>
          <w:lang w:val="zh-CN"/>
        </w:rPr>
      </w:pPr>
    </w:p>
    <w:p w14:paraId="6B59DCBA">
      <w:pPr>
        <w:jc w:val="center"/>
        <w:rPr>
          <w:rFonts w:hint="eastAsia" w:ascii="宋体" w:hAnsi="宋体" w:cs="宋体"/>
          <w:color w:val="auto"/>
          <w:highlight w:val="none"/>
          <w:lang w:val="zh-CN"/>
        </w:rPr>
      </w:pPr>
    </w:p>
    <w:p w14:paraId="397E49FB">
      <w:pPr>
        <w:jc w:val="center"/>
        <w:rPr>
          <w:rFonts w:hint="eastAsia" w:ascii="宋体" w:hAnsi="宋体" w:cs="宋体"/>
          <w:color w:val="auto"/>
          <w:highlight w:val="none"/>
          <w:lang w:val="zh-CN"/>
        </w:rPr>
      </w:pPr>
    </w:p>
    <w:p w14:paraId="68D49C3A">
      <w:pPr>
        <w:jc w:val="center"/>
        <w:rPr>
          <w:rFonts w:hint="eastAsia" w:ascii="宋体" w:hAnsi="宋体" w:cs="宋体"/>
          <w:color w:val="auto"/>
          <w:highlight w:val="none"/>
          <w:lang w:val="zh-CN"/>
        </w:rPr>
      </w:pPr>
    </w:p>
    <w:p w14:paraId="74E64C9C">
      <w:pPr>
        <w:jc w:val="center"/>
        <w:rPr>
          <w:rFonts w:hint="eastAsia" w:ascii="宋体" w:hAnsi="宋体" w:cs="宋体"/>
          <w:color w:val="auto"/>
          <w:highlight w:val="none"/>
          <w:lang w:val="zh-CN"/>
        </w:rPr>
      </w:pPr>
    </w:p>
    <w:p w14:paraId="6AADD6C3">
      <w:pPr>
        <w:jc w:val="center"/>
        <w:rPr>
          <w:rFonts w:hint="eastAsia" w:ascii="宋体" w:hAnsi="宋体" w:cs="宋体"/>
          <w:color w:val="auto"/>
          <w:highlight w:val="none"/>
          <w:lang w:val="zh-CN"/>
        </w:rPr>
      </w:pPr>
    </w:p>
    <w:p w14:paraId="59DF9E70">
      <w:pPr>
        <w:jc w:val="center"/>
        <w:rPr>
          <w:rFonts w:hint="eastAsia" w:ascii="宋体" w:hAnsi="宋体" w:cs="宋体"/>
          <w:color w:val="auto"/>
          <w:highlight w:val="none"/>
          <w:lang w:val="zh-CN"/>
        </w:rPr>
      </w:pPr>
    </w:p>
    <w:p w14:paraId="4C72CFF6">
      <w:pPr>
        <w:jc w:val="center"/>
        <w:rPr>
          <w:rFonts w:hint="eastAsia" w:ascii="宋体" w:hAnsi="宋体" w:cs="宋体"/>
          <w:color w:val="auto"/>
          <w:highlight w:val="none"/>
          <w:lang w:val="zh-CN"/>
        </w:rPr>
      </w:pPr>
    </w:p>
    <w:p w14:paraId="113523B2">
      <w:pPr>
        <w:pStyle w:val="2"/>
        <w:rPr>
          <w:rFonts w:hint="eastAsia" w:ascii="宋体" w:hAnsi="宋体" w:cs="宋体"/>
          <w:color w:val="auto"/>
          <w:highlight w:val="none"/>
          <w:lang w:val="zh-CN"/>
        </w:rPr>
      </w:pPr>
    </w:p>
    <w:p w14:paraId="38A59592">
      <w:pPr>
        <w:rPr>
          <w:rFonts w:hint="eastAsia"/>
          <w:lang w:val="zh-CN"/>
        </w:rPr>
      </w:pPr>
    </w:p>
    <w:p w14:paraId="64560D21">
      <w:pPr>
        <w:jc w:val="center"/>
        <w:rPr>
          <w:rFonts w:hint="eastAsia" w:ascii="宋体" w:hAnsi="宋体" w:cs="宋体"/>
          <w:color w:val="auto"/>
          <w:highlight w:val="none"/>
          <w:lang w:val="zh-CN"/>
        </w:rPr>
      </w:pPr>
    </w:p>
    <w:p w14:paraId="42116618">
      <w:pPr>
        <w:jc w:val="center"/>
        <w:rPr>
          <w:rFonts w:hint="eastAsia" w:ascii="宋体" w:hAnsi="宋体" w:cs="宋体"/>
          <w:color w:val="auto"/>
          <w:highlight w:val="none"/>
          <w:lang w:val="zh-CN"/>
        </w:rPr>
      </w:pPr>
    </w:p>
    <w:p w14:paraId="0A6208BC"/>
    <w:p w14:paraId="73C0DFD9">
      <w:pPr>
        <w:pStyle w:val="3"/>
        <w:jc w:val="center"/>
      </w:pPr>
      <w:r>
        <w:rPr>
          <w:sz w:val="30"/>
          <w:szCs w:val="30"/>
        </w:rPr>
        <w:t>第二章</w:t>
      </w:r>
      <w:r>
        <w:rPr>
          <w:rFonts w:hint="eastAsia"/>
        </w:rPr>
        <w:t>供应商须知</w:t>
      </w:r>
      <w:bookmarkEnd w:id="1"/>
    </w:p>
    <w:p w14:paraId="1C5B47E6">
      <w:pPr>
        <w:jc w:val="center"/>
        <w:rPr>
          <w:rFonts w:ascii="宋体" w:hAnsi="宋体"/>
          <w:b/>
          <w:bCs/>
          <w:sz w:val="26"/>
        </w:rPr>
      </w:pPr>
      <w:bookmarkStart w:id="3" w:name="_Toc28831"/>
      <w:r>
        <w:rPr>
          <w:rFonts w:hint="eastAsia" w:ascii="宋体" w:hAnsi="宋体"/>
          <w:b/>
          <w:bCs/>
          <w:sz w:val="26"/>
        </w:rPr>
        <w:t>供应商须知前附表</w:t>
      </w:r>
      <w:bookmarkEnd w:id="3"/>
    </w:p>
    <w:tbl>
      <w:tblPr>
        <w:tblStyle w:val="23"/>
        <w:tblW w:w="9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080"/>
        <w:gridCol w:w="6116"/>
      </w:tblGrid>
      <w:tr w14:paraId="2408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4DC62912">
            <w:pPr>
              <w:spacing w:line="360" w:lineRule="auto"/>
              <w:rPr>
                <w:rFonts w:ascii="宋体" w:hAnsi="宋体"/>
                <w:szCs w:val="21"/>
              </w:rPr>
            </w:pPr>
            <w:r>
              <w:rPr>
                <w:rFonts w:hint="eastAsia" w:ascii="宋体" w:hAnsi="宋体"/>
                <w:szCs w:val="21"/>
              </w:rPr>
              <w:t>条款号</w:t>
            </w:r>
          </w:p>
        </w:tc>
        <w:tc>
          <w:tcPr>
            <w:tcW w:w="2080" w:type="dxa"/>
            <w:vAlign w:val="center"/>
          </w:tcPr>
          <w:p w14:paraId="0A74A556">
            <w:pPr>
              <w:spacing w:line="360" w:lineRule="auto"/>
              <w:rPr>
                <w:rFonts w:ascii="宋体" w:hAnsi="宋体"/>
                <w:szCs w:val="21"/>
              </w:rPr>
            </w:pPr>
            <w:r>
              <w:rPr>
                <w:rFonts w:hint="eastAsia" w:ascii="宋体" w:hAnsi="宋体"/>
                <w:szCs w:val="21"/>
              </w:rPr>
              <w:t>条  款  名  称</w:t>
            </w:r>
          </w:p>
        </w:tc>
        <w:tc>
          <w:tcPr>
            <w:tcW w:w="6116" w:type="dxa"/>
            <w:vAlign w:val="center"/>
          </w:tcPr>
          <w:p w14:paraId="5A07D5DD">
            <w:pPr>
              <w:spacing w:line="360" w:lineRule="auto"/>
              <w:rPr>
                <w:rFonts w:ascii="宋体" w:hAnsi="宋体"/>
                <w:szCs w:val="21"/>
              </w:rPr>
            </w:pPr>
            <w:r>
              <w:rPr>
                <w:rFonts w:hint="eastAsia" w:ascii="宋体" w:hAnsi="宋体"/>
                <w:szCs w:val="21"/>
              </w:rPr>
              <w:t>编  列  内  容</w:t>
            </w:r>
          </w:p>
        </w:tc>
      </w:tr>
      <w:tr w14:paraId="19BC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shd w:val="clear" w:color="auto" w:fill="auto"/>
            <w:vAlign w:val="center"/>
          </w:tcPr>
          <w:p w14:paraId="56CC37A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1.1.1</w:t>
            </w:r>
          </w:p>
        </w:tc>
        <w:tc>
          <w:tcPr>
            <w:tcW w:w="2080" w:type="dxa"/>
            <w:shd w:val="clear" w:color="auto" w:fill="auto"/>
            <w:vAlign w:val="center"/>
          </w:tcPr>
          <w:p w14:paraId="6573447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采购人</w:t>
            </w:r>
          </w:p>
        </w:tc>
        <w:tc>
          <w:tcPr>
            <w:tcW w:w="6116" w:type="dxa"/>
            <w:shd w:val="clear" w:color="auto" w:fill="FFFFFF"/>
            <w:vAlign w:val="center"/>
          </w:tcPr>
          <w:p w14:paraId="583FFA43">
            <w:pPr>
              <w:keepNext w:val="0"/>
              <w:keepLines w:val="0"/>
              <w:pageBreakBefore w:val="0"/>
              <w:kinsoku/>
              <w:wordWrap/>
              <w:overflowPunct/>
              <w:topLinePunct w:val="0"/>
              <w:bidi w:val="0"/>
              <w:adjustRightInd/>
              <w:snapToGrid/>
              <w:spacing w:line="320" w:lineRule="exact"/>
              <w:textAlignment w:val="auto"/>
              <w:rPr>
                <w:rFonts w:hint="eastAsia" w:eastAsia="宋体"/>
                <w:sz w:val="21"/>
                <w:szCs w:val="21"/>
                <w:lang w:eastAsia="zh-CN"/>
              </w:rPr>
            </w:pPr>
            <w:r>
              <w:rPr>
                <w:rFonts w:hint="eastAsia"/>
                <w:sz w:val="21"/>
                <w:szCs w:val="21"/>
              </w:rPr>
              <w:t>招标人：</w:t>
            </w:r>
            <w:r>
              <w:rPr>
                <w:rFonts w:hint="eastAsia"/>
                <w:sz w:val="21"/>
                <w:szCs w:val="21"/>
                <w:lang w:eastAsia="zh-CN"/>
              </w:rPr>
              <w:t>安图县自然资源和林业局</w:t>
            </w:r>
          </w:p>
          <w:p w14:paraId="76E31839">
            <w:pPr>
              <w:keepNext w:val="0"/>
              <w:keepLines w:val="0"/>
              <w:pageBreakBefore w:val="0"/>
              <w:kinsoku/>
              <w:wordWrap/>
              <w:overflowPunct/>
              <w:topLinePunct w:val="0"/>
              <w:bidi w:val="0"/>
              <w:adjustRightInd/>
              <w:snapToGrid/>
              <w:spacing w:line="320" w:lineRule="exact"/>
              <w:textAlignment w:val="auto"/>
              <w:rPr>
                <w:rFonts w:hint="default"/>
                <w:sz w:val="21"/>
                <w:szCs w:val="21"/>
                <w:lang w:val="en-US"/>
              </w:rPr>
            </w:pPr>
            <w:r>
              <w:rPr>
                <w:rFonts w:hint="eastAsia"/>
                <w:sz w:val="21"/>
                <w:szCs w:val="21"/>
              </w:rPr>
              <w:t>地  址：</w:t>
            </w:r>
            <w:r>
              <w:rPr>
                <w:rFonts w:hint="eastAsia" w:ascii="宋体" w:hAnsi="宋体" w:cs="宋体"/>
                <w:bCs/>
                <w:color w:val="0C0C0C"/>
                <w:sz w:val="21"/>
                <w:szCs w:val="21"/>
                <w:lang w:val="en-US" w:eastAsia="zh-CN"/>
              </w:rPr>
              <w:t>安图县明月镇</w:t>
            </w:r>
          </w:p>
          <w:p w14:paraId="395339FD">
            <w:pPr>
              <w:keepNext w:val="0"/>
              <w:keepLines w:val="0"/>
              <w:pageBreakBefore w:val="0"/>
              <w:kinsoku/>
              <w:wordWrap/>
              <w:overflowPunct/>
              <w:topLinePunct w:val="0"/>
              <w:bidi w:val="0"/>
              <w:adjustRightInd/>
              <w:snapToGrid/>
              <w:spacing w:line="320" w:lineRule="exact"/>
              <w:textAlignment w:val="auto"/>
              <w:rPr>
                <w:rFonts w:hint="eastAsia" w:eastAsia="宋体"/>
                <w:sz w:val="21"/>
                <w:szCs w:val="21"/>
                <w:lang w:eastAsia="zh-CN"/>
              </w:rPr>
            </w:pPr>
            <w:r>
              <w:rPr>
                <w:rFonts w:hint="eastAsia"/>
                <w:sz w:val="21"/>
                <w:szCs w:val="21"/>
              </w:rPr>
              <w:t>联系人：</w:t>
            </w:r>
            <w:r>
              <w:rPr>
                <w:rFonts w:hint="eastAsia"/>
                <w:sz w:val="21"/>
                <w:szCs w:val="21"/>
                <w:lang w:eastAsia="zh-CN"/>
              </w:rPr>
              <w:t>孔令琨</w:t>
            </w:r>
          </w:p>
          <w:p w14:paraId="3B6BC014">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highlight w:val="yellow"/>
                <w:lang w:eastAsia="zh-CN"/>
              </w:rPr>
            </w:pPr>
            <w:r>
              <w:rPr>
                <w:rFonts w:hint="eastAsia"/>
                <w:sz w:val="21"/>
                <w:szCs w:val="21"/>
              </w:rPr>
              <w:t>联系电话：</w:t>
            </w:r>
            <w:r>
              <w:rPr>
                <w:rFonts w:hint="eastAsia"/>
                <w:sz w:val="21"/>
                <w:szCs w:val="21"/>
                <w:lang w:eastAsia="zh-CN"/>
              </w:rPr>
              <w:t>0433-5839402</w:t>
            </w:r>
          </w:p>
        </w:tc>
      </w:tr>
      <w:tr w14:paraId="4CFF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97" w:type="dxa"/>
            <w:vAlign w:val="center"/>
          </w:tcPr>
          <w:p w14:paraId="4BA73B6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1.1.2</w:t>
            </w:r>
          </w:p>
        </w:tc>
        <w:tc>
          <w:tcPr>
            <w:tcW w:w="2080" w:type="dxa"/>
            <w:vAlign w:val="center"/>
          </w:tcPr>
          <w:p w14:paraId="2503F09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采购代理机构</w:t>
            </w:r>
          </w:p>
        </w:tc>
        <w:tc>
          <w:tcPr>
            <w:tcW w:w="6116" w:type="dxa"/>
            <w:vAlign w:val="center"/>
          </w:tcPr>
          <w:p w14:paraId="2E6541C4">
            <w:pPr>
              <w:keepNext w:val="0"/>
              <w:keepLines w:val="0"/>
              <w:pageBreakBefore w:val="0"/>
              <w:kinsoku/>
              <w:wordWrap/>
              <w:overflowPunct/>
              <w:topLinePunct w:val="0"/>
              <w:autoSpaceDE w:val="0"/>
              <w:autoSpaceDN w:val="0"/>
              <w:bidi w:val="0"/>
              <w:adjustRightInd/>
              <w:snapToGrid/>
              <w:spacing w:line="320" w:lineRule="exact"/>
              <w:jc w:val="left"/>
              <w:textAlignment w:val="auto"/>
              <w:rPr>
                <w:rFonts w:ascii="宋体" w:hAnsi="宋体"/>
                <w:sz w:val="21"/>
                <w:szCs w:val="21"/>
                <w:lang w:val="zh-CN"/>
              </w:rPr>
            </w:pPr>
            <w:r>
              <w:rPr>
                <w:rFonts w:hint="eastAsia" w:ascii="宋体" w:hAnsi="宋体"/>
                <w:sz w:val="21"/>
                <w:szCs w:val="21"/>
                <w:lang w:val="zh-CN"/>
              </w:rPr>
              <w:t>招标代理机构：吉林省隆元工程管理咨询有限公司</w:t>
            </w:r>
          </w:p>
          <w:p w14:paraId="500552F0">
            <w:pPr>
              <w:keepNext w:val="0"/>
              <w:keepLines w:val="0"/>
              <w:pageBreakBefore w:val="0"/>
              <w:kinsoku/>
              <w:wordWrap/>
              <w:overflowPunct/>
              <w:topLinePunct w:val="0"/>
              <w:autoSpaceDE w:val="0"/>
              <w:autoSpaceDN w:val="0"/>
              <w:bidi w:val="0"/>
              <w:adjustRightInd/>
              <w:snapToGrid/>
              <w:spacing w:line="320" w:lineRule="exact"/>
              <w:jc w:val="left"/>
              <w:textAlignment w:val="auto"/>
              <w:rPr>
                <w:rFonts w:ascii="宋体" w:hAnsi="宋体"/>
                <w:sz w:val="21"/>
                <w:szCs w:val="21"/>
                <w:lang w:val="zh-CN"/>
              </w:rPr>
            </w:pPr>
            <w:r>
              <w:rPr>
                <w:rFonts w:hint="eastAsia" w:ascii="宋体" w:hAnsi="宋体"/>
                <w:sz w:val="21"/>
                <w:szCs w:val="21"/>
                <w:lang w:val="zh-CN"/>
              </w:rPr>
              <w:t xml:space="preserve">地址：吉林省安图县明月镇明月路101号  </w:t>
            </w:r>
          </w:p>
          <w:p w14:paraId="09EB31F2">
            <w:pPr>
              <w:keepNext w:val="0"/>
              <w:keepLines w:val="0"/>
              <w:pageBreakBefore w:val="0"/>
              <w:kinsoku/>
              <w:wordWrap/>
              <w:overflowPunct/>
              <w:topLinePunct w:val="0"/>
              <w:autoSpaceDE w:val="0"/>
              <w:autoSpaceDN w:val="0"/>
              <w:bidi w:val="0"/>
              <w:adjustRightInd/>
              <w:snapToGrid/>
              <w:spacing w:line="320" w:lineRule="exact"/>
              <w:jc w:val="left"/>
              <w:textAlignment w:val="auto"/>
              <w:rPr>
                <w:rFonts w:ascii="宋体" w:hAnsi="宋体"/>
                <w:sz w:val="21"/>
                <w:szCs w:val="21"/>
                <w:lang w:val="zh-CN"/>
              </w:rPr>
            </w:pPr>
            <w:r>
              <w:rPr>
                <w:rFonts w:hint="eastAsia" w:ascii="宋体" w:hAnsi="宋体"/>
                <w:sz w:val="21"/>
                <w:szCs w:val="21"/>
                <w:lang w:val="zh-CN"/>
              </w:rPr>
              <w:t>联系人：王怀成</w:t>
            </w:r>
          </w:p>
          <w:p w14:paraId="0B69EBBF">
            <w:pPr>
              <w:keepNext w:val="0"/>
              <w:keepLines w:val="0"/>
              <w:pageBreakBefore w:val="0"/>
              <w:kinsoku/>
              <w:wordWrap/>
              <w:overflowPunct/>
              <w:topLinePunct w:val="0"/>
              <w:bidi w:val="0"/>
              <w:adjustRightInd/>
              <w:snapToGrid/>
              <w:spacing w:line="320" w:lineRule="exact"/>
              <w:jc w:val="left"/>
              <w:textAlignment w:val="auto"/>
              <w:rPr>
                <w:rFonts w:ascii="宋体" w:hAnsi="宋体"/>
                <w:sz w:val="21"/>
                <w:szCs w:val="21"/>
                <w:lang w:val="zh-CN"/>
              </w:rPr>
            </w:pPr>
            <w:r>
              <w:rPr>
                <w:rFonts w:hint="eastAsia" w:ascii="宋体" w:hAnsi="宋体"/>
                <w:sz w:val="21"/>
                <w:szCs w:val="21"/>
                <w:lang w:val="zh-CN"/>
              </w:rPr>
              <w:t>联系电话：0433-5812769</w:t>
            </w:r>
          </w:p>
        </w:tc>
      </w:tr>
      <w:tr w14:paraId="2B76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7" w:type="dxa"/>
            <w:vAlign w:val="center"/>
          </w:tcPr>
          <w:p w14:paraId="6F2DDB6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1.1.3</w:t>
            </w:r>
          </w:p>
        </w:tc>
        <w:tc>
          <w:tcPr>
            <w:tcW w:w="2080" w:type="dxa"/>
            <w:vAlign w:val="center"/>
          </w:tcPr>
          <w:p w14:paraId="02B2263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项目名称</w:t>
            </w:r>
          </w:p>
        </w:tc>
        <w:tc>
          <w:tcPr>
            <w:tcW w:w="6116" w:type="dxa"/>
            <w:vAlign w:val="center"/>
          </w:tcPr>
          <w:p w14:paraId="64EE2023">
            <w:pPr>
              <w:keepNext w:val="0"/>
              <w:keepLines w:val="0"/>
              <w:pageBreakBefore w:val="0"/>
              <w:kinsoku/>
              <w:wordWrap/>
              <w:overflowPunct/>
              <w:topLinePunct w:val="0"/>
              <w:bidi w:val="0"/>
              <w:adjustRightInd/>
              <w:snapToGrid/>
              <w:spacing w:line="320" w:lineRule="exact"/>
              <w:textAlignment w:val="auto"/>
              <w:rPr>
                <w:rFonts w:hint="eastAsia" w:eastAsia="宋体"/>
                <w:sz w:val="21"/>
                <w:szCs w:val="21"/>
                <w:lang w:eastAsia="zh-CN"/>
              </w:rPr>
            </w:pPr>
            <w:r>
              <w:rPr>
                <w:rFonts w:hint="eastAsia"/>
                <w:sz w:val="21"/>
                <w:szCs w:val="21"/>
                <w:lang w:eastAsia="zh-CN"/>
              </w:rPr>
              <w:t>安图县地质灾害隐患点和风险区更新调查工作</w:t>
            </w:r>
          </w:p>
        </w:tc>
      </w:tr>
      <w:tr w14:paraId="58C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4A9B477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1.2.1</w:t>
            </w:r>
          </w:p>
        </w:tc>
        <w:tc>
          <w:tcPr>
            <w:tcW w:w="2080" w:type="dxa"/>
            <w:vAlign w:val="center"/>
          </w:tcPr>
          <w:p w14:paraId="526EC76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资金来源</w:t>
            </w:r>
          </w:p>
        </w:tc>
        <w:tc>
          <w:tcPr>
            <w:tcW w:w="6116" w:type="dxa"/>
            <w:vAlign w:val="center"/>
          </w:tcPr>
          <w:p w14:paraId="7ADD1F3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财政资金</w:t>
            </w:r>
          </w:p>
        </w:tc>
      </w:tr>
      <w:tr w14:paraId="0C6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76B185C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1.2.2</w:t>
            </w:r>
          </w:p>
        </w:tc>
        <w:tc>
          <w:tcPr>
            <w:tcW w:w="2080" w:type="dxa"/>
            <w:vAlign w:val="center"/>
          </w:tcPr>
          <w:p w14:paraId="134FF76B">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出资比例</w:t>
            </w:r>
          </w:p>
        </w:tc>
        <w:tc>
          <w:tcPr>
            <w:tcW w:w="6116" w:type="dxa"/>
            <w:vAlign w:val="center"/>
          </w:tcPr>
          <w:p w14:paraId="12D9C9F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100%</w:t>
            </w:r>
          </w:p>
        </w:tc>
      </w:tr>
      <w:tr w14:paraId="60E4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533ADE5A">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1.2.3</w:t>
            </w:r>
          </w:p>
        </w:tc>
        <w:tc>
          <w:tcPr>
            <w:tcW w:w="2080" w:type="dxa"/>
            <w:vAlign w:val="center"/>
          </w:tcPr>
          <w:p w14:paraId="39CDC39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资金落实情况</w:t>
            </w:r>
          </w:p>
        </w:tc>
        <w:tc>
          <w:tcPr>
            <w:tcW w:w="6116" w:type="dxa"/>
            <w:vAlign w:val="center"/>
          </w:tcPr>
          <w:p w14:paraId="2DC1327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已落实</w:t>
            </w:r>
          </w:p>
        </w:tc>
      </w:tr>
      <w:tr w14:paraId="3D83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4650641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1.3.1</w:t>
            </w:r>
          </w:p>
        </w:tc>
        <w:tc>
          <w:tcPr>
            <w:tcW w:w="2080" w:type="dxa"/>
            <w:vAlign w:val="center"/>
          </w:tcPr>
          <w:p w14:paraId="101FAE1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采购范围</w:t>
            </w:r>
          </w:p>
        </w:tc>
        <w:tc>
          <w:tcPr>
            <w:tcW w:w="6116" w:type="dxa"/>
            <w:vAlign w:val="center"/>
          </w:tcPr>
          <w:p w14:paraId="5BB2A58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sz w:val="21"/>
                <w:szCs w:val="21"/>
                <w:lang w:eastAsia="zh-CN"/>
              </w:rPr>
              <w:t>安图县地质灾害隐患点和风险区更新调查工作</w:t>
            </w:r>
            <w:r>
              <w:rPr>
                <w:rFonts w:hint="eastAsia" w:ascii="宋体" w:hAnsi="宋体" w:eastAsia="宋体"/>
                <w:color w:val="auto"/>
                <w:highlight w:val="none"/>
              </w:rPr>
              <w:t>（详见磋商文件第五章采购人要求）</w:t>
            </w:r>
          </w:p>
        </w:tc>
      </w:tr>
      <w:tr w14:paraId="40B2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97" w:type="dxa"/>
            <w:vAlign w:val="center"/>
          </w:tcPr>
          <w:p w14:paraId="7C4CF78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1.3.2</w:t>
            </w:r>
          </w:p>
        </w:tc>
        <w:tc>
          <w:tcPr>
            <w:tcW w:w="2080" w:type="dxa"/>
            <w:vAlign w:val="top"/>
          </w:tcPr>
          <w:p w14:paraId="0AD3FC34">
            <w:pPr>
              <w:pStyle w:val="51"/>
              <w:keepNext w:val="0"/>
              <w:keepLines w:val="0"/>
              <w:pageBreakBefore w:val="0"/>
              <w:kinsoku/>
              <w:wordWrap/>
              <w:overflowPunct/>
              <w:topLinePunct w:val="0"/>
              <w:bidi w:val="0"/>
              <w:adjustRightInd/>
              <w:snapToGrid/>
              <w:spacing w:before="201" w:line="320" w:lineRule="exact"/>
              <w:textAlignment w:val="auto"/>
              <w:rPr>
                <w:rFonts w:ascii="宋体" w:hAnsi="宋体"/>
                <w:sz w:val="21"/>
                <w:szCs w:val="21"/>
              </w:rPr>
            </w:pPr>
            <w:r>
              <w:rPr>
                <w:spacing w:val="-2"/>
                <w:sz w:val="21"/>
                <w:szCs w:val="21"/>
              </w:rPr>
              <w:t>服务期限</w:t>
            </w:r>
          </w:p>
        </w:tc>
        <w:tc>
          <w:tcPr>
            <w:tcW w:w="6116" w:type="dxa"/>
            <w:vAlign w:val="top"/>
          </w:tcPr>
          <w:p w14:paraId="6255D068">
            <w:pPr>
              <w:pStyle w:val="51"/>
              <w:keepNext w:val="0"/>
              <w:keepLines w:val="0"/>
              <w:pageBreakBefore w:val="0"/>
              <w:kinsoku/>
              <w:wordWrap/>
              <w:overflowPunct/>
              <w:topLinePunct w:val="0"/>
              <w:bidi w:val="0"/>
              <w:adjustRightInd/>
              <w:snapToGrid/>
              <w:spacing w:before="213" w:line="320" w:lineRule="exact"/>
              <w:textAlignment w:val="auto"/>
              <w:rPr>
                <w:rFonts w:hint="eastAsia" w:ascii="宋体" w:hAnsi="宋体" w:eastAsia="宋体"/>
                <w:sz w:val="21"/>
                <w:szCs w:val="21"/>
                <w:lang w:eastAsia="zh-CN"/>
              </w:rPr>
            </w:pPr>
            <w:r>
              <w:rPr>
                <w:rFonts w:hint="eastAsia" w:ascii="宋体" w:hAnsi="宋体" w:eastAsia="宋体" w:cs="宋体"/>
                <w:color w:val="auto"/>
                <w:szCs w:val="21"/>
                <w:highlight w:val="none"/>
                <w:lang w:val="en-US" w:eastAsia="zh-CN"/>
              </w:rPr>
              <w:t>自合同签订之日起至60日内完成服务</w:t>
            </w:r>
          </w:p>
        </w:tc>
      </w:tr>
      <w:tr w14:paraId="7853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7" w:type="dxa"/>
            <w:vAlign w:val="center"/>
          </w:tcPr>
          <w:p w14:paraId="645F080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1.4.1</w:t>
            </w:r>
          </w:p>
        </w:tc>
        <w:tc>
          <w:tcPr>
            <w:tcW w:w="2080" w:type="dxa"/>
            <w:vAlign w:val="center"/>
          </w:tcPr>
          <w:p w14:paraId="3CDE000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供应商资质条件、</w:t>
            </w:r>
          </w:p>
          <w:p w14:paraId="53CEA87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能力和信誉</w:t>
            </w:r>
          </w:p>
        </w:tc>
        <w:tc>
          <w:tcPr>
            <w:tcW w:w="6116" w:type="dxa"/>
            <w:vAlign w:val="center"/>
          </w:tcPr>
          <w:p w14:paraId="23E1B2ED">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bidi="ar"/>
              </w:rPr>
              <w:t>1.满足《中华人民共和国政府采购法》第二十二条规定；</w:t>
            </w:r>
          </w:p>
          <w:p w14:paraId="102B341A">
            <w:pPr>
              <w:autoSpaceDE w:val="0"/>
              <w:autoSpaceDN w:val="0"/>
              <w:adjustRightInd w:val="0"/>
              <w:spacing w:line="420" w:lineRule="exact"/>
              <w:ind w:right="97" w:rightChars="46"/>
              <w:jc w:val="left"/>
              <w:rPr>
                <w:rFonts w:hint="eastAsia" w:ascii="宋体" w:hAnsi="宋体" w:cs="宋体"/>
                <w:color w:val="auto"/>
                <w:sz w:val="21"/>
                <w:szCs w:val="21"/>
                <w:lang w:val="zh-CN" w:bidi="ar"/>
              </w:rPr>
            </w:pPr>
            <w:r>
              <w:rPr>
                <w:rFonts w:hint="eastAsia" w:ascii="宋体" w:hAnsi="宋体" w:cs="宋体"/>
                <w:color w:val="auto"/>
                <w:sz w:val="21"/>
                <w:szCs w:val="21"/>
                <w:lang w:val="zh-CN" w:bidi="ar"/>
              </w:rPr>
              <w:t>2.落实政府采购政策需满足的资格要求：</w:t>
            </w:r>
            <w:r>
              <w:rPr>
                <w:rFonts w:hint="eastAsia" w:ascii="宋体" w:hAnsi="宋体" w:cs="宋体"/>
                <w:color w:val="auto"/>
                <w:sz w:val="21"/>
                <w:szCs w:val="21"/>
                <w:lang w:val="zh-CN"/>
              </w:rPr>
              <w:t>本项目专门面向中小企业；</w:t>
            </w:r>
          </w:p>
          <w:p w14:paraId="15D34505">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val="zh-CN" w:bidi="ar"/>
              </w:rPr>
              <w:t>（1）</w:t>
            </w:r>
            <w:r>
              <w:rPr>
                <w:rFonts w:hint="eastAsia" w:ascii="宋体" w:hAnsi="宋体" w:cs="宋体"/>
                <w:color w:val="auto"/>
                <w:sz w:val="21"/>
                <w:szCs w:val="21"/>
                <w:lang w:bidi="ar"/>
              </w:rPr>
              <w:t>《政府采购促进中小企业发展管理办法》(财库[2020]46号)；</w:t>
            </w:r>
          </w:p>
          <w:p w14:paraId="0B6E2CAF">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2</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《关于政府采购支持监狱企业发展有关问题的通知》(财库[2014]68号)；</w:t>
            </w:r>
          </w:p>
          <w:p w14:paraId="3B8CE15B">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3</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《关于促进残疾人就业政府采购政策的通知》(财库[2017]141号)；</w:t>
            </w:r>
          </w:p>
          <w:p w14:paraId="52FBAD15">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bidi="ar"/>
              </w:rPr>
              <w:t>3.本项目的特定资格要求：</w:t>
            </w:r>
          </w:p>
          <w:p w14:paraId="4C29CA39">
            <w:pPr>
              <w:autoSpaceDE w:val="0"/>
              <w:autoSpaceDN w:val="0"/>
              <w:adjustRightInd w:val="0"/>
              <w:spacing w:line="420" w:lineRule="exact"/>
              <w:ind w:right="97" w:rightChars="46"/>
              <w:jc w:val="left"/>
              <w:rPr>
                <w:rFonts w:hint="eastAsia" w:ascii="宋体" w:hAnsi="宋体" w:eastAsia="宋体" w:cs="宋体"/>
                <w:color w:val="auto"/>
                <w:sz w:val="21"/>
                <w:szCs w:val="21"/>
                <w:lang w:val="zh-CN" w:bidi="ar"/>
              </w:rPr>
            </w:pPr>
            <w:r>
              <w:rPr>
                <w:rFonts w:hint="eastAsia" w:ascii="宋体" w:hAnsi="宋体" w:cs="宋体"/>
                <w:color w:val="auto"/>
                <w:sz w:val="21"/>
                <w:szCs w:val="21"/>
                <w:lang w:val="zh-CN" w:bidi="ar"/>
              </w:rPr>
              <w:t>（1）</w:t>
            </w:r>
            <w:r>
              <w:rPr>
                <w:rFonts w:hint="eastAsia" w:ascii="宋体" w:hAnsi="宋体" w:eastAsia="宋体" w:cs="宋体"/>
                <w:i w:val="0"/>
                <w:iCs w:val="0"/>
                <w:caps w:val="0"/>
                <w:color w:val="auto"/>
                <w:spacing w:val="0"/>
                <w:sz w:val="21"/>
                <w:szCs w:val="21"/>
              </w:rPr>
              <w:t>投标人申请人须在中华人民共和国境内注册，持有效营业执照或事业单位法人证书，具有</w:t>
            </w:r>
            <w:r>
              <w:rPr>
                <w:rFonts w:hint="eastAsia" w:ascii="宋体" w:hAnsi="宋体" w:eastAsia="宋体" w:cs="宋体"/>
                <w:i w:val="0"/>
                <w:iCs w:val="0"/>
                <w:caps w:val="0"/>
                <w:color w:val="auto"/>
                <w:spacing w:val="0"/>
                <w:sz w:val="21"/>
                <w:szCs w:val="21"/>
                <w:lang w:val="en-US" w:eastAsia="zh-CN"/>
              </w:rPr>
              <w:t>地质灾害评估和治理工程勘查设计乙级及以上资质</w:t>
            </w:r>
            <w:r>
              <w:rPr>
                <w:rFonts w:hint="eastAsia" w:ascii="宋体" w:hAnsi="宋体" w:cs="宋体"/>
                <w:color w:val="auto"/>
                <w:szCs w:val="21"/>
                <w:highlight w:val="none"/>
                <w:lang w:val="en-US" w:eastAsia="zh-CN"/>
              </w:rPr>
              <w:t>，具有相应的人员、设备、资金、经验等方面的能力</w:t>
            </w:r>
            <w:r>
              <w:rPr>
                <w:rFonts w:hint="eastAsia" w:ascii="宋体" w:hAnsi="宋体" w:eastAsia="宋体" w:cs="宋体"/>
                <w:color w:val="auto"/>
                <w:sz w:val="21"/>
                <w:szCs w:val="21"/>
                <w:lang w:val="zh-CN" w:bidi="ar"/>
              </w:rPr>
              <w:t>。</w:t>
            </w:r>
          </w:p>
          <w:p w14:paraId="3BAB1DFC">
            <w:pPr>
              <w:autoSpaceDE w:val="0"/>
              <w:autoSpaceDN w:val="0"/>
              <w:adjustRightInd w:val="0"/>
              <w:spacing w:line="420" w:lineRule="exact"/>
              <w:ind w:right="97" w:rightChars="46"/>
              <w:jc w:val="left"/>
              <w:rPr>
                <w:rFonts w:hint="eastAsia" w:ascii="宋体" w:hAnsi="宋体" w:eastAsia="宋体" w:cs="宋体"/>
                <w:color w:val="auto"/>
                <w:sz w:val="21"/>
                <w:szCs w:val="21"/>
                <w:lang w:val="zh-CN" w:eastAsia="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val="zh-CN" w:bidi="ar"/>
              </w:rPr>
              <w:t>）</w:t>
            </w:r>
            <w:r>
              <w:rPr>
                <w:rFonts w:hint="eastAsia" w:ascii="宋体" w:hAnsi="宋体" w:eastAsia="宋体" w:cs="宋体"/>
                <w:color w:val="auto"/>
                <w:kern w:val="0"/>
                <w:sz w:val="21"/>
                <w:szCs w:val="21"/>
              </w:rPr>
              <w:t>项目负责人须具有相关专业</w:t>
            </w:r>
            <w:r>
              <w:rPr>
                <w:rFonts w:hint="eastAsia" w:ascii="宋体" w:hAnsi="宋体" w:eastAsia="宋体" w:cs="宋体"/>
                <w:color w:val="auto"/>
                <w:kern w:val="0"/>
                <w:sz w:val="21"/>
                <w:szCs w:val="21"/>
                <w:lang w:val="en-US" w:eastAsia="zh-CN"/>
              </w:rPr>
              <w:t>中</w:t>
            </w:r>
            <w:r>
              <w:rPr>
                <w:rFonts w:hint="eastAsia" w:ascii="宋体" w:hAnsi="宋体" w:eastAsia="宋体" w:cs="宋体"/>
                <w:color w:val="auto"/>
                <w:kern w:val="0"/>
                <w:sz w:val="21"/>
                <w:szCs w:val="21"/>
              </w:rPr>
              <w:t>级</w:t>
            </w:r>
            <w:r>
              <w:rPr>
                <w:rFonts w:hint="eastAsia" w:ascii="宋体" w:hAnsi="宋体" w:eastAsia="宋体" w:cs="宋体"/>
                <w:color w:val="auto"/>
                <w:kern w:val="0"/>
                <w:sz w:val="21"/>
                <w:szCs w:val="21"/>
                <w:lang w:val="en-US" w:eastAsia="zh-CN"/>
              </w:rPr>
              <w:t>及以上</w:t>
            </w:r>
            <w:r>
              <w:rPr>
                <w:rFonts w:hint="eastAsia" w:ascii="宋体" w:hAnsi="宋体" w:eastAsia="宋体" w:cs="宋体"/>
                <w:color w:val="auto"/>
                <w:kern w:val="0"/>
                <w:sz w:val="21"/>
                <w:szCs w:val="21"/>
              </w:rPr>
              <w:t>资格</w:t>
            </w:r>
            <w:r>
              <w:rPr>
                <w:rFonts w:hint="eastAsia" w:ascii="宋体" w:hAnsi="宋体" w:eastAsia="宋体" w:cs="宋体"/>
                <w:color w:val="auto"/>
                <w:kern w:val="0"/>
                <w:sz w:val="21"/>
                <w:szCs w:val="21"/>
                <w:lang w:eastAsia="zh-CN"/>
              </w:rPr>
              <w:t>。</w:t>
            </w:r>
          </w:p>
          <w:p w14:paraId="4DEDDCE3">
            <w:pPr>
              <w:autoSpaceDE w:val="0"/>
              <w:autoSpaceDN w:val="0"/>
              <w:adjustRightInd w:val="0"/>
              <w:spacing w:line="420" w:lineRule="exact"/>
              <w:ind w:right="97" w:rightChars="46"/>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w:t>
            </w:r>
            <w:r>
              <w:rPr>
                <w:rFonts w:hint="eastAsia" w:ascii="宋体" w:hAnsi="宋体" w:eastAsia="宋体" w:cs="宋体"/>
                <w:i w:val="0"/>
                <w:iCs w:val="0"/>
                <w:caps w:val="0"/>
                <w:color w:val="auto"/>
                <w:spacing w:val="0"/>
                <w:sz w:val="21"/>
                <w:szCs w:val="21"/>
                <w:shd w:val="clear" w:color="auto" w:fill="FFFFFF"/>
                <w:lang w:eastAsia="zh-CN"/>
              </w:rPr>
              <w:t>具有202</w:t>
            </w:r>
            <w:r>
              <w:rPr>
                <w:rFonts w:hint="eastAsia" w:ascii="宋体" w:hAnsi="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年度的财务审计报告（新成立不足一年的企业须提供自成立之日起至今企业财务状况良好的承诺书）</w:t>
            </w:r>
            <w:r>
              <w:rPr>
                <w:rFonts w:hint="eastAsia" w:ascii="宋体" w:hAnsi="宋体" w:eastAsia="宋体" w:cs="宋体"/>
                <w:color w:val="auto"/>
                <w:sz w:val="21"/>
                <w:szCs w:val="21"/>
                <w:lang w:bidi="ar"/>
              </w:rPr>
              <w:t>。</w:t>
            </w:r>
          </w:p>
          <w:p w14:paraId="45D6CAB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投标人须提供（202</w:t>
            </w:r>
            <w:r>
              <w:rPr>
                <w:rFonts w:hint="eastAsia" w:ascii="宋体" w:hAnsi="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年</w:t>
            </w:r>
            <w:r>
              <w:rPr>
                <w:rFonts w:hint="eastAsia" w:ascii="宋体" w:hAnsi="宋体" w:eastAsia="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rPr>
              <w:t>月至今）任意一个月依法缴纳税收和依法缴纳社会保障资金的良好记录证明材料（依法免税的需提供免税证明文件）；</w:t>
            </w:r>
          </w:p>
          <w:p w14:paraId="148E3D4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投标单位和个人（指法定代表人）未在“中国裁判文书（wenshu.court.gov.cn）上有行贿犯罪行为；</w:t>
            </w:r>
          </w:p>
          <w:p w14:paraId="7B2F387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6</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投标人未被列入“失信被执行人、重大税收违法案件当事人”的记录名单（通过“信用中国”网站www.creditchina.gov.cn查询）；</w:t>
            </w:r>
          </w:p>
          <w:p w14:paraId="6C2272C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7</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投标人未被列入“政府采购严重违法失信行为记录名单”（通过“中国政府采购网”www.ccgp.gov.cn查询）；</w:t>
            </w:r>
          </w:p>
          <w:p w14:paraId="116BB26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8</w:t>
            </w:r>
            <w:r>
              <w:rPr>
                <w:rFonts w:hint="eastAsia" w:ascii="宋体" w:hAnsi="宋体" w:eastAsia="宋体" w:cs="宋体"/>
                <w:i w:val="0"/>
                <w:iCs w:val="0"/>
                <w:caps w:val="0"/>
                <w:color w:val="auto"/>
                <w:spacing w:val="0"/>
                <w:sz w:val="21"/>
                <w:szCs w:val="21"/>
                <w:shd w:val="clear" w:color="auto" w:fill="FFFFFF"/>
                <w:lang w:eastAsia="zh-CN"/>
              </w:rPr>
              <w:t>）与采购人存在利害关系可能影响采购公正性的法人、其他组织或者个人，不得参加磋商。具有投资参股关系的关联企业，或者有直接管理或被管理关系的母子公司，或者同一母公司的子公司，或法定代表人为同一人的两个及两个以上法人不得同时对同一标段投标，否则均按废标处理</w:t>
            </w:r>
            <w:r>
              <w:rPr>
                <w:rFonts w:hint="eastAsia" w:ascii="宋体" w:hAnsi="宋体" w:eastAsia="宋体" w:cs="宋体"/>
                <w:i w:val="0"/>
                <w:iCs w:val="0"/>
                <w:caps w:val="0"/>
                <w:color w:val="auto"/>
                <w:spacing w:val="0"/>
                <w:sz w:val="21"/>
                <w:szCs w:val="21"/>
                <w:shd w:val="clear" w:color="auto" w:fill="FFFFFF"/>
              </w:rPr>
              <w:t>。</w:t>
            </w:r>
          </w:p>
          <w:p w14:paraId="276979BC">
            <w:pPr>
              <w:autoSpaceDE w:val="0"/>
              <w:autoSpaceDN w:val="0"/>
              <w:adjustRightInd w:val="0"/>
              <w:spacing w:line="420" w:lineRule="exact"/>
              <w:ind w:right="97" w:rightChars="46"/>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val="zh-CN" w:bidi="ar"/>
              </w:rPr>
              <w:t>）拒绝列入政府取消投标资格记录期间的企业或个人参加本次</w:t>
            </w:r>
            <w:r>
              <w:rPr>
                <w:rFonts w:hint="eastAsia" w:ascii="宋体" w:hAnsi="宋体" w:eastAsia="宋体" w:cs="宋体"/>
                <w:color w:val="auto"/>
                <w:sz w:val="21"/>
                <w:szCs w:val="21"/>
                <w:lang w:val="en-US" w:eastAsia="zh-CN" w:bidi="ar"/>
              </w:rPr>
              <w:t>投标</w:t>
            </w:r>
            <w:r>
              <w:rPr>
                <w:rFonts w:hint="eastAsia" w:ascii="宋体" w:hAnsi="宋体" w:eastAsia="宋体" w:cs="宋体"/>
                <w:color w:val="auto"/>
                <w:sz w:val="21"/>
                <w:szCs w:val="21"/>
                <w:lang w:val="zh-CN" w:bidi="ar"/>
              </w:rPr>
              <w:t>活动。</w:t>
            </w:r>
          </w:p>
          <w:p w14:paraId="3E887F2F">
            <w:pPr>
              <w:autoSpaceDE w:val="0"/>
              <w:autoSpaceDN w:val="0"/>
              <w:adjustRightInd w:val="0"/>
              <w:spacing w:line="420" w:lineRule="exact"/>
              <w:ind w:right="97" w:rightChars="46"/>
              <w:jc w:val="left"/>
              <w:rPr>
                <w:rFonts w:ascii="宋体" w:hAnsi="宋体"/>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）法律、行政法规规定的其他条件。</w:t>
            </w:r>
          </w:p>
        </w:tc>
      </w:tr>
      <w:tr w14:paraId="4023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97" w:type="dxa"/>
            <w:vAlign w:val="center"/>
          </w:tcPr>
          <w:p w14:paraId="49E3E6E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1.4.2</w:t>
            </w:r>
          </w:p>
        </w:tc>
        <w:tc>
          <w:tcPr>
            <w:tcW w:w="2080" w:type="dxa"/>
            <w:vAlign w:val="center"/>
          </w:tcPr>
          <w:p w14:paraId="0D40DFA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是否接受联合体</w:t>
            </w:r>
          </w:p>
        </w:tc>
        <w:tc>
          <w:tcPr>
            <w:tcW w:w="6116" w:type="dxa"/>
            <w:vAlign w:val="center"/>
          </w:tcPr>
          <w:p w14:paraId="7D5B973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☑不接受</w:t>
            </w:r>
          </w:p>
          <w:p w14:paraId="470948E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□接受，应满足下列要求：                 </w:t>
            </w:r>
          </w:p>
          <w:p w14:paraId="04C2CB0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联合体业务分工按照联合体协议约定的分工认定。</w:t>
            </w:r>
          </w:p>
        </w:tc>
      </w:tr>
      <w:tr w14:paraId="0AF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97" w:type="dxa"/>
            <w:vAlign w:val="center"/>
          </w:tcPr>
          <w:p w14:paraId="255B6D8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1.5.1</w:t>
            </w:r>
          </w:p>
        </w:tc>
        <w:tc>
          <w:tcPr>
            <w:tcW w:w="2080" w:type="dxa"/>
            <w:vAlign w:val="center"/>
          </w:tcPr>
          <w:p w14:paraId="0A78822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踏勘现场</w:t>
            </w:r>
          </w:p>
        </w:tc>
        <w:tc>
          <w:tcPr>
            <w:tcW w:w="6116" w:type="dxa"/>
            <w:vAlign w:val="center"/>
          </w:tcPr>
          <w:p w14:paraId="44CD6F1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☑不组织</w:t>
            </w:r>
          </w:p>
          <w:p w14:paraId="6675E01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□组织，踏勘时间：</w:t>
            </w:r>
          </w:p>
          <w:p w14:paraId="6FCDF71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踏勘集中地点：</w:t>
            </w:r>
          </w:p>
        </w:tc>
      </w:tr>
      <w:tr w14:paraId="4A4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97" w:type="dxa"/>
            <w:vAlign w:val="center"/>
          </w:tcPr>
          <w:p w14:paraId="6C49F45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1.6.1</w:t>
            </w:r>
          </w:p>
        </w:tc>
        <w:tc>
          <w:tcPr>
            <w:tcW w:w="2080" w:type="dxa"/>
            <w:vAlign w:val="center"/>
          </w:tcPr>
          <w:p w14:paraId="77794B0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预备会</w:t>
            </w:r>
          </w:p>
        </w:tc>
        <w:tc>
          <w:tcPr>
            <w:tcW w:w="6116" w:type="dxa"/>
            <w:vAlign w:val="center"/>
          </w:tcPr>
          <w:p w14:paraId="53E6930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☑不召开</w:t>
            </w:r>
          </w:p>
          <w:p w14:paraId="3EFED2B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□召开，召开时间：</w:t>
            </w:r>
          </w:p>
          <w:p w14:paraId="260DE3B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召开地点：</w:t>
            </w:r>
          </w:p>
        </w:tc>
      </w:tr>
      <w:tr w14:paraId="274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7" w:type="dxa"/>
            <w:vAlign w:val="center"/>
          </w:tcPr>
          <w:p w14:paraId="37BE10A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1.6.2</w:t>
            </w:r>
          </w:p>
        </w:tc>
        <w:tc>
          <w:tcPr>
            <w:tcW w:w="2080" w:type="dxa"/>
            <w:vAlign w:val="center"/>
          </w:tcPr>
          <w:p w14:paraId="31DAFD1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供应商提出问题的</w:t>
            </w:r>
          </w:p>
          <w:p w14:paraId="3AE66C7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截止时间</w:t>
            </w:r>
          </w:p>
        </w:tc>
        <w:tc>
          <w:tcPr>
            <w:tcW w:w="6116" w:type="dxa"/>
            <w:vAlign w:val="center"/>
          </w:tcPr>
          <w:p w14:paraId="64358C8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召开竞争性磋商之日5个工作日前</w:t>
            </w:r>
          </w:p>
        </w:tc>
      </w:tr>
      <w:tr w14:paraId="1C0D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97" w:type="dxa"/>
            <w:vAlign w:val="center"/>
          </w:tcPr>
          <w:p w14:paraId="12671E3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1.7</w:t>
            </w:r>
          </w:p>
        </w:tc>
        <w:tc>
          <w:tcPr>
            <w:tcW w:w="2080" w:type="dxa"/>
            <w:vAlign w:val="center"/>
          </w:tcPr>
          <w:p w14:paraId="6ABFBA47">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分  包</w:t>
            </w:r>
          </w:p>
        </w:tc>
        <w:tc>
          <w:tcPr>
            <w:tcW w:w="6116" w:type="dxa"/>
            <w:vAlign w:val="center"/>
          </w:tcPr>
          <w:p w14:paraId="652B2759">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☑不允许</w:t>
            </w:r>
          </w:p>
          <w:p w14:paraId="091635B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□允许，分包内容要求：</w:t>
            </w:r>
          </w:p>
          <w:p w14:paraId="0141F89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分包金额要求：</w:t>
            </w:r>
          </w:p>
          <w:p w14:paraId="78853FD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接受分包的第三人资质要求：</w:t>
            </w:r>
          </w:p>
        </w:tc>
      </w:tr>
      <w:tr w14:paraId="3186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97" w:type="dxa"/>
            <w:vAlign w:val="center"/>
          </w:tcPr>
          <w:p w14:paraId="0D6F929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1.8</w:t>
            </w:r>
          </w:p>
        </w:tc>
        <w:tc>
          <w:tcPr>
            <w:tcW w:w="2080" w:type="dxa"/>
            <w:vAlign w:val="center"/>
          </w:tcPr>
          <w:p w14:paraId="3123A95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偏  离</w:t>
            </w:r>
          </w:p>
        </w:tc>
        <w:tc>
          <w:tcPr>
            <w:tcW w:w="6116" w:type="dxa"/>
            <w:vAlign w:val="center"/>
          </w:tcPr>
          <w:p w14:paraId="5907B19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□不允许</w:t>
            </w:r>
          </w:p>
          <w:p w14:paraId="43F6590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☑允许</w:t>
            </w:r>
          </w:p>
          <w:p w14:paraId="519F7B49">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接受细微偏离有助于项目的顺利开展</w:t>
            </w:r>
          </w:p>
        </w:tc>
      </w:tr>
      <w:tr w14:paraId="35AB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14C2BD1E">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1.10.2</w:t>
            </w:r>
          </w:p>
        </w:tc>
        <w:tc>
          <w:tcPr>
            <w:tcW w:w="2080" w:type="dxa"/>
            <w:vAlign w:val="center"/>
          </w:tcPr>
          <w:p w14:paraId="552298C2">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lang w:eastAsia="zh-CN"/>
              </w:rPr>
              <w:t>供应商</w:t>
            </w:r>
            <w:r>
              <w:rPr>
                <w:rFonts w:hint="eastAsia" w:ascii="宋体" w:hAnsi="宋体" w:cs="宋体"/>
                <w:sz w:val="21"/>
                <w:szCs w:val="21"/>
              </w:rPr>
              <w:t>提出问题的截止时间</w:t>
            </w:r>
          </w:p>
        </w:tc>
        <w:tc>
          <w:tcPr>
            <w:tcW w:w="6116" w:type="dxa"/>
            <w:vAlign w:val="center"/>
          </w:tcPr>
          <w:p w14:paraId="35D0BEB1">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rPr>
            </w:pPr>
            <w:r>
              <w:rPr>
                <w:rFonts w:hint="eastAsia" w:ascii="宋体" w:hAnsi="宋体" w:cs="宋体"/>
                <w:bCs/>
                <w:sz w:val="21"/>
                <w:szCs w:val="21"/>
                <w:lang w:eastAsia="zh-CN"/>
              </w:rPr>
              <w:t>供应商</w:t>
            </w:r>
            <w:r>
              <w:rPr>
                <w:rFonts w:hint="eastAsia" w:ascii="宋体" w:hAnsi="宋体" w:cs="宋体"/>
                <w:bCs/>
                <w:sz w:val="21"/>
                <w:szCs w:val="21"/>
              </w:rPr>
              <w:t>在下载</w:t>
            </w:r>
            <w:r>
              <w:rPr>
                <w:rFonts w:hint="eastAsia" w:ascii="宋体" w:hAnsi="宋体" w:cs="宋体"/>
                <w:sz w:val="21"/>
                <w:szCs w:val="21"/>
              </w:rPr>
              <w:t>磋商</w:t>
            </w:r>
            <w:r>
              <w:rPr>
                <w:rFonts w:hint="eastAsia" w:ascii="宋体" w:hAnsi="宋体" w:cs="宋体"/>
                <w:bCs/>
                <w:sz w:val="21"/>
                <w:szCs w:val="21"/>
              </w:rPr>
              <w:t>文件后，应仔细检查</w:t>
            </w:r>
            <w:r>
              <w:rPr>
                <w:rFonts w:hint="eastAsia" w:ascii="宋体" w:hAnsi="宋体" w:cs="宋体"/>
                <w:sz w:val="21"/>
                <w:szCs w:val="21"/>
              </w:rPr>
              <w:t>磋商</w:t>
            </w:r>
            <w:r>
              <w:rPr>
                <w:rFonts w:hint="eastAsia" w:ascii="宋体" w:hAnsi="宋体" w:cs="宋体"/>
                <w:bCs/>
                <w:sz w:val="21"/>
                <w:szCs w:val="21"/>
              </w:rPr>
              <w:t>文件的所有内容，如有残缺或文字表述不清，图纸尺寸标注不明以及存在错、碰、漏、缺、概念模糊和有可能出现歧义或理解上的偏差的内容等应在</w:t>
            </w:r>
            <w:r>
              <w:rPr>
                <w:rFonts w:hint="eastAsia" w:ascii="宋体" w:hAnsi="宋体" w:cs="宋体"/>
                <w:sz w:val="21"/>
                <w:szCs w:val="21"/>
              </w:rPr>
              <w:t>投标截止时间5天前</w:t>
            </w:r>
            <w:r>
              <w:rPr>
                <w:rFonts w:hint="eastAsia" w:ascii="宋体" w:hAnsi="宋体" w:cs="宋体"/>
                <w:bCs/>
                <w:sz w:val="21"/>
                <w:szCs w:val="21"/>
              </w:rPr>
              <w:t>在“政采云”平台（https://www.zcygov.cn）提出，并按照招标公告中载明的招标代理机构的联系方式电话通知招标代理机构。</w:t>
            </w:r>
          </w:p>
        </w:tc>
      </w:tr>
      <w:tr w14:paraId="60B9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7" w:type="dxa"/>
            <w:vAlign w:val="center"/>
          </w:tcPr>
          <w:p w14:paraId="4042123E">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1.10.3</w:t>
            </w:r>
          </w:p>
        </w:tc>
        <w:tc>
          <w:tcPr>
            <w:tcW w:w="2080" w:type="dxa"/>
            <w:vAlign w:val="center"/>
          </w:tcPr>
          <w:p w14:paraId="7F0C1DBA">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采购人书面澄清的时间</w:t>
            </w:r>
          </w:p>
        </w:tc>
        <w:tc>
          <w:tcPr>
            <w:tcW w:w="6116" w:type="dxa"/>
            <w:vAlign w:val="center"/>
          </w:tcPr>
          <w:p w14:paraId="30B3A1F1">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投标截止时间前 5 天前</w:t>
            </w:r>
          </w:p>
        </w:tc>
      </w:tr>
      <w:tr w14:paraId="733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7A78E7AA">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2.1</w:t>
            </w:r>
          </w:p>
        </w:tc>
        <w:tc>
          <w:tcPr>
            <w:tcW w:w="2080" w:type="dxa"/>
            <w:vAlign w:val="center"/>
          </w:tcPr>
          <w:p w14:paraId="192871B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构成竞争性磋商文件的其他材料</w:t>
            </w:r>
          </w:p>
        </w:tc>
        <w:tc>
          <w:tcPr>
            <w:tcW w:w="6116" w:type="dxa"/>
            <w:vAlign w:val="center"/>
          </w:tcPr>
          <w:p w14:paraId="1140E7B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p>
        </w:tc>
      </w:tr>
      <w:tr w14:paraId="5BF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07B0261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2.2</w:t>
            </w:r>
          </w:p>
        </w:tc>
        <w:tc>
          <w:tcPr>
            <w:tcW w:w="2080" w:type="dxa"/>
            <w:vAlign w:val="center"/>
          </w:tcPr>
          <w:p w14:paraId="01F45BC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供应商要求</w:t>
            </w:r>
          </w:p>
          <w:p w14:paraId="6CC41E8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澄清竞争性磋商文件的截止时间</w:t>
            </w:r>
          </w:p>
        </w:tc>
        <w:tc>
          <w:tcPr>
            <w:tcW w:w="6116" w:type="dxa"/>
            <w:vAlign w:val="center"/>
          </w:tcPr>
          <w:p w14:paraId="7B1A862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cs="宋体"/>
                <w:sz w:val="21"/>
                <w:szCs w:val="21"/>
              </w:rPr>
              <w:t>代理机构及招标人将视所提问题具体情况进行答复澄清，在“政采云”平台（https://www.zcygov.cn）发布。</w:t>
            </w:r>
            <w:r>
              <w:rPr>
                <w:rFonts w:hint="eastAsia" w:ascii="宋体" w:hAnsi="宋体" w:cs="宋体"/>
                <w:sz w:val="21"/>
                <w:szCs w:val="21"/>
                <w:lang w:eastAsia="zh-CN"/>
              </w:rPr>
              <w:t>供应商</w:t>
            </w:r>
            <w:r>
              <w:rPr>
                <w:rFonts w:hint="eastAsia" w:ascii="宋体" w:hAnsi="宋体" w:cs="宋体"/>
                <w:sz w:val="21"/>
                <w:szCs w:val="21"/>
              </w:rPr>
              <w:t>自行在“政采云”平台（https://www.zcygov.cn）查看。否则，后果自负。招标代理机构及采购人不接受供应商的书面质疑。为使</w:t>
            </w:r>
            <w:r>
              <w:rPr>
                <w:rFonts w:hint="eastAsia" w:ascii="宋体" w:hAnsi="宋体" w:cs="宋体"/>
                <w:sz w:val="21"/>
                <w:szCs w:val="21"/>
                <w:lang w:eastAsia="zh-CN"/>
              </w:rPr>
              <w:t>供应商</w:t>
            </w:r>
            <w:r>
              <w:rPr>
                <w:rFonts w:hint="eastAsia" w:ascii="宋体" w:hAnsi="宋体" w:cs="宋体"/>
                <w:sz w:val="21"/>
                <w:szCs w:val="21"/>
              </w:rPr>
              <w:t>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w:t>
            </w:r>
            <w:r>
              <w:rPr>
                <w:rFonts w:hint="eastAsia" w:ascii="宋体" w:hAnsi="宋体" w:cs="宋体"/>
                <w:sz w:val="21"/>
                <w:szCs w:val="21"/>
                <w:lang w:eastAsia="zh-CN"/>
              </w:rPr>
              <w:t>供应商</w:t>
            </w:r>
            <w:r>
              <w:rPr>
                <w:rFonts w:hint="eastAsia" w:ascii="宋体" w:hAnsi="宋体" w:cs="宋体"/>
                <w:sz w:val="21"/>
                <w:szCs w:val="21"/>
              </w:rPr>
              <w:t>发布。在这种情况下，采购人和</w:t>
            </w:r>
            <w:r>
              <w:rPr>
                <w:rFonts w:hint="eastAsia" w:ascii="宋体" w:hAnsi="宋体" w:cs="宋体"/>
                <w:sz w:val="21"/>
                <w:szCs w:val="21"/>
                <w:lang w:eastAsia="zh-CN"/>
              </w:rPr>
              <w:t>供应商</w:t>
            </w:r>
            <w:r>
              <w:rPr>
                <w:rFonts w:hint="eastAsia" w:ascii="宋体" w:hAnsi="宋体" w:cs="宋体"/>
                <w:sz w:val="21"/>
                <w:szCs w:val="21"/>
              </w:rPr>
              <w:t>受投标截止时间制约的所有权利和义务均相应延长至新的投标截止时间。</w:t>
            </w:r>
          </w:p>
        </w:tc>
      </w:tr>
      <w:tr w14:paraId="35B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4C9D47C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3.1.1</w:t>
            </w:r>
          </w:p>
        </w:tc>
        <w:tc>
          <w:tcPr>
            <w:tcW w:w="2080" w:type="dxa"/>
            <w:vAlign w:val="center"/>
          </w:tcPr>
          <w:p w14:paraId="19A929F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构成响应文件的其他材料</w:t>
            </w:r>
          </w:p>
        </w:tc>
        <w:tc>
          <w:tcPr>
            <w:tcW w:w="6116" w:type="dxa"/>
            <w:vAlign w:val="center"/>
          </w:tcPr>
          <w:p w14:paraId="5B805529">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w:t>
            </w:r>
          </w:p>
        </w:tc>
      </w:tr>
      <w:tr w14:paraId="79D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C3FF8F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3.2.1</w:t>
            </w:r>
          </w:p>
        </w:tc>
        <w:tc>
          <w:tcPr>
            <w:tcW w:w="2080" w:type="dxa"/>
            <w:vAlign w:val="center"/>
          </w:tcPr>
          <w:p w14:paraId="65B17F0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预算控制价</w:t>
            </w:r>
          </w:p>
        </w:tc>
        <w:tc>
          <w:tcPr>
            <w:tcW w:w="6116" w:type="dxa"/>
            <w:vAlign w:val="center"/>
          </w:tcPr>
          <w:p w14:paraId="1D77324B">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lang w:eastAsia="zh-CN"/>
              </w:rPr>
            </w:pPr>
            <w:r>
              <w:rPr>
                <w:rFonts w:hint="eastAsia" w:ascii="宋体" w:hAnsi="宋体"/>
                <w:sz w:val="21"/>
                <w:szCs w:val="21"/>
                <w:lang w:val="en-US" w:eastAsia="zh-CN"/>
              </w:rPr>
              <w:t>60.3</w:t>
            </w:r>
            <w:r>
              <w:rPr>
                <w:rFonts w:hint="eastAsia" w:ascii="宋体" w:hAnsi="宋体"/>
                <w:sz w:val="21"/>
                <w:szCs w:val="21"/>
                <w:lang w:eastAsia="zh-CN"/>
              </w:rPr>
              <w:t>万元</w:t>
            </w:r>
          </w:p>
        </w:tc>
      </w:tr>
      <w:tr w14:paraId="5EC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6DF690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3.3.1</w:t>
            </w:r>
          </w:p>
        </w:tc>
        <w:tc>
          <w:tcPr>
            <w:tcW w:w="2080" w:type="dxa"/>
            <w:vAlign w:val="center"/>
          </w:tcPr>
          <w:p w14:paraId="5183C71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响应文件有效期</w:t>
            </w:r>
          </w:p>
        </w:tc>
        <w:tc>
          <w:tcPr>
            <w:tcW w:w="6116" w:type="dxa"/>
            <w:vAlign w:val="center"/>
          </w:tcPr>
          <w:p w14:paraId="66DD738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90</w:t>
            </w:r>
            <w:r>
              <w:rPr>
                <w:rFonts w:hint="eastAsia" w:ascii="宋体" w:hAnsi="宋体"/>
                <w:sz w:val="21"/>
                <w:szCs w:val="21"/>
              </w:rPr>
              <w:t xml:space="preserve"> 天</w:t>
            </w:r>
          </w:p>
        </w:tc>
      </w:tr>
      <w:tr w14:paraId="25D9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97" w:type="dxa"/>
            <w:vAlign w:val="center"/>
          </w:tcPr>
          <w:p w14:paraId="23CBB94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3.4.1</w:t>
            </w:r>
          </w:p>
        </w:tc>
        <w:tc>
          <w:tcPr>
            <w:tcW w:w="2080" w:type="dxa"/>
            <w:vAlign w:val="center"/>
          </w:tcPr>
          <w:p w14:paraId="55FDF1A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磋商保证金</w:t>
            </w:r>
          </w:p>
        </w:tc>
        <w:tc>
          <w:tcPr>
            <w:tcW w:w="6116" w:type="dxa"/>
            <w:vAlign w:val="center"/>
          </w:tcPr>
          <w:p w14:paraId="0E10ED2C">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磋商保证金额：</w:t>
            </w:r>
            <w:r>
              <w:rPr>
                <w:rFonts w:hint="eastAsia" w:ascii="宋体" w:hAnsi="宋体" w:cs="宋体"/>
                <w:sz w:val="21"/>
                <w:szCs w:val="21"/>
                <w:lang w:val="en-US" w:eastAsia="zh-CN"/>
              </w:rPr>
              <w:t>6000</w:t>
            </w:r>
            <w:r>
              <w:rPr>
                <w:rFonts w:hint="eastAsia" w:ascii="宋体" w:hAnsi="宋体" w:cs="宋体"/>
                <w:sz w:val="21"/>
                <w:szCs w:val="21"/>
              </w:rPr>
              <w:t>元。保证金应当以支票、汇票、本票或者金融机构、担保机构出具的保函等非现金形式提交。保证金应从基本账户转出。银行电汇单据扫描件及基本账户开户许可证扫描件应放入响应文件中。</w:t>
            </w:r>
          </w:p>
          <w:p w14:paraId="3D2366C7">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磋商保证金的递交时间及地点：于</w:t>
            </w:r>
            <w:r>
              <w:rPr>
                <w:rFonts w:hint="eastAsia" w:ascii="宋体" w:hAnsi="宋体" w:cs="宋体"/>
                <w:sz w:val="21"/>
                <w:szCs w:val="21"/>
                <w:lang w:eastAsia="zh-CN"/>
              </w:rPr>
              <w:t>202</w:t>
            </w:r>
            <w:r>
              <w:rPr>
                <w:rFonts w:hint="eastAsia" w:ascii="宋体" w:hAnsi="宋体" w:cs="宋体"/>
                <w:sz w:val="21"/>
                <w:szCs w:val="21"/>
                <w:lang w:val="en-US" w:eastAsia="zh-CN"/>
              </w:rPr>
              <w:t>5</w:t>
            </w:r>
            <w:r>
              <w:rPr>
                <w:rFonts w:hint="eastAsia" w:ascii="宋体" w:hAnsi="宋体" w:cs="宋体"/>
                <w:sz w:val="21"/>
                <w:szCs w:val="21"/>
                <w:lang w:eastAsia="zh-CN"/>
              </w:rPr>
              <w:t>年</w:t>
            </w:r>
            <w:r>
              <w:rPr>
                <w:rFonts w:hint="eastAsia" w:ascii="宋体" w:hAnsi="宋体" w:cs="宋体"/>
                <w:sz w:val="21"/>
                <w:szCs w:val="21"/>
                <w:lang w:val="en-US" w:eastAsia="zh-CN"/>
              </w:rPr>
              <w:t>7</w:t>
            </w:r>
            <w:r>
              <w:rPr>
                <w:rFonts w:hint="eastAsia" w:ascii="宋体" w:hAnsi="宋体" w:cs="宋体"/>
                <w:sz w:val="21"/>
                <w:szCs w:val="21"/>
                <w:lang w:eastAsia="zh-CN"/>
              </w:rPr>
              <w:t>月</w:t>
            </w:r>
            <w:r>
              <w:rPr>
                <w:rFonts w:hint="eastAsia" w:ascii="宋体" w:hAnsi="宋体" w:cs="宋体"/>
                <w:sz w:val="21"/>
                <w:szCs w:val="21"/>
                <w:lang w:val="en-US" w:eastAsia="zh-CN"/>
              </w:rPr>
              <w:t>23</w:t>
            </w:r>
            <w:r>
              <w:rPr>
                <w:rFonts w:hint="eastAsia" w:ascii="宋体" w:hAnsi="宋体" w:cs="宋体"/>
                <w:sz w:val="21"/>
                <w:szCs w:val="21"/>
                <w:lang w:eastAsia="zh-CN"/>
              </w:rPr>
              <w:t>日</w:t>
            </w:r>
            <w:r>
              <w:rPr>
                <w:rFonts w:hint="eastAsia" w:ascii="宋体" w:hAnsi="宋体" w:cs="宋体"/>
                <w:sz w:val="21"/>
                <w:szCs w:val="21"/>
                <w:lang w:val="en-US" w:eastAsia="zh-CN"/>
              </w:rPr>
              <w:t>14</w:t>
            </w:r>
            <w:r>
              <w:rPr>
                <w:rFonts w:hint="eastAsia" w:ascii="宋体" w:hAnsi="宋体" w:cs="宋体"/>
                <w:sz w:val="21"/>
                <w:szCs w:val="21"/>
                <w:lang w:eastAsia="zh-CN"/>
              </w:rPr>
              <w:t>时00分</w:t>
            </w:r>
            <w:r>
              <w:rPr>
                <w:rFonts w:hint="eastAsia" w:ascii="宋体" w:hAnsi="宋体" w:cs="宋体"/>
                <w:sz w:val="21"/>
                <w:szCs w:val="21"/>
              </w:rPr>
              <w:t>（北京时间）前请电汇至</w:t>
            </w:r>
          </w:p>
          <w:p w14:paraId="176CB574">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收款单位：</w:t>
            </w:r>
            <w:r>
              <w:rPr>
                <w:rFonts w:hint="eastAsia"/>
                <w:sz w:val="21"/>
                <w:szCs w:val="21"/>
                <w:lang w:val="en-US" w:eastAsia="zh-CN"/>
              </w:rPr>
              <w:t>吉林省隆元工程管理咨询有限公司</w:t>
            </w:r>
          </w:p>
          <w:p w14:paraId="33C72F98">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开户行：</w:t>
            </w:r>
            <w:r>
              <w:rPr>
                <w:rFonts w:hint="eastAsia"/>
                <w:sz w:val="21"/>
                <w:szCs w:val="21"/>
              </w:rPr>
              <w:t>吉林安图农村商业银行股份有限公司营业部</w:t>
            </w:r>
          </w:p>
          <w:p w14:paraId="21F2A690">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帐  号：</w:t>
            </w:r>
            <w:r>
              <w:rPr>
                <w:rFonts w:hint="eastAsia"/>
                <w:sz w:val="21"/>
                <w:szCs w:val="21"/>
              </w:rPr>
              <w:t>0790802011015200011660</w:t>
            </w:r>
          </w:p>
          <w:p w14:paraId="17270003">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联系人：王怀成</w:t>
            </w:r>
          </w:p>
          <w:p w14:paraId="21EC04B1">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联系电话：0433-5812769</w:t>
            </w:r>
          </w:p>
          <w:p w14:paraId="5994E172">
            <w:pPr>
              <w:keepNext w:val="0"/>
              <w:keepLines w:val="0"/>
              <w:pageBreakBefore w:val="0"/>
              <w:kinsoku/>
              <w:wordWrap/>
              <w:overflowPunct/>
              <w:topLinePunct w:val="0"/>
              <w:bidi w:val="0"/>
              <w:adjustRightInd/>
              <w:snapToGrid/>
              <w:spacing w:line="320" w:lineRule="exact"/>
              <w:textAlignment w:val="auto"/>
              <w:rPr>
                <w:b/>
                <w:bCs/>
                <w:sz w:val="21"/>
                <w:szCs w:val="21"/>
                <w:lang w:val="zh-CN"/>
              </w:rPr>
            </w:pPr>
            <w:r>
              <w:rPr>
                <w:rFonts w:hint="eastAsia"/>
                <w:b/>
                <w:bCs/>
                <w:sz w:val="21"/>
                <w:szCs w:val="21"/>
                <w:lang w:val="zh-CN"/>
              </w:rPr>
              <w:t>注：各投标单位应在汇款时认真核对收款单位、开户行名称、账号准确无误，确保保证金按时到账，否则后果自负。</w:t>
            </w:r>
          </w:p>
          <w:p w14:paraId="135DF2A6">
            <w:pPr>
              <w:keepNext w:val="0"/>
              <w:keepLines w:val="0"/>
              <w:pageBreakBefore w:val="0"/>
              <w:kinsoku/>
              <w:wordWrap/>
              <w:overflowPunct/>
              <w:topLinePunct w:val="0"/>
              <w:autoSpaceDE w:val="0"/>
              <w:autoSpaceDN w:val="0"/>
              <w:bidi w:val="0"/>
              <w:adjustRightInd/>
              <w:snapToGrid/>
              <w:spacing w:line="320" w:lineRule="exact"/>
              <w:jc w:val="left"/>
              <w:textAlignment w:val="auto"/>
              <w:rPr>
                <w:rFonts w:ascii="宋体" w:hAnsi="宋体"/>
                <w:sz w:val="21"/>
                <w:szCs w:val="21"/>
              </w:rPr>
            </w:pPr>
            <w:r>
              <w:rPr>
                <w:rFonts w:hint="eastAsia"/>
                <w:b/>
                <w:bCs/>
                <w:sz w:val="21"/>
                <w:szCs w:val="21"/>
                <w:lang w:val="zh-CN"/>
              </w:rPr>
              <w:t>投标保证金应写明项目全称或简称</w:t>
            </w:r>
            <w:r>
              <w:rPr>
                <w:rFonts w:hint="eastAsia"/>
                <w:b/>
                <w:bCs/>
                <w:sz w:val="21"/>
                <w:szCs w:val="21"/>
              </w:rPr>
              <w:t>,</w:t>
            </w:r>
            <w:r>
              <w:rPr>
                <w:rFonts w:hint="eastAsia"/>
                <w:b/>
                <w:bCs/>
                <w:sz w:val="21"/>
                <w:szCs w:val="21"/>
                <w:lang w:val="zh-CN"/>
              </w:rPr>
              <w:t>否则后果自负。</w:t>
            </w:r>
          </w:p>
        </w:tc>
      </w:tr>
      <w:tr w14:paraId="1A5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897" w:type="dxa"/>
            <w:vAlign w:val="center"/>
          </w:tcPr>
          <w:p w14:paraId="68B83E5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3.4.2</w:t>
            </w:r>
          </w:p>
        </w:tc>
        <w:tc>
          <w:tcPr>
            <w:tcW w:w="2080" w:type="dxa"/>
            <w:vAlign w:val="center"/>
          </w:tcPr>
          <w:p w14:paraId="26CA5E0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退还响应保证金</w:t>
            </w:r>
          </w:p>
        </w:tc>
        <w:tc>
          <w:tcPr>
            <w:tcW w:w="6116" w:type="dxa"/>
            <w:vAlign w:val="center"/>
          </w:tcPr>
          <w:p w14:paraId="28740CA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退还办法：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tc>
      </w:tr>
      <w:tr w14:paraId="0E99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97" w:type="dxa"/>
            <w:vAlign w:val="center"/>
          </w:tcPr>
          <w:p w14:paraId="53ACF393">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3.5.2</w:t>
            </w:r>
          </w:p>
        </w:tc>
        <w:tc>
          <w:tcPr>
            <w:tcW w:w="2080" w:type="dxa"/>
            <w:vAlign w:val="center"/>
          </w:tcPr>
          <w:p w14:paraId="22F8FFD8">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近年财务状况的年份要求</w:t>
            </w:r>
          </w:p>
        </w:tc>
        <w:tc>
          <w:tcPr>
            <w:tcW w:w="6116" w:type="dxa"/>
            <w:vAlign w:val="center"/>
          </w:tcPr>
          <w:p w14:paraId="028A5C4A">
            <w:pPr>
              <w:pStyle w:val="51"/>
              <w:keepNext w:val="0"/>
              <w:keepLines w:val="0"/>
              <w:pageBreakBefore w:val="0"/>
              <w:kinsoku/>
              <w:wordWrap/>
              <w:overflowPunct/>
              <w:topLinePunct w:val="0"/>
              <w:bidi w:val="0"/>
              <w:adjustRightInd/>
              <w:snapToGrid/>
              <w:spacing w:before="72" w:line="320" w:lineRule="exact"/>
              <w:jc w:val="both"/>
              <w:textAlignment w:val="auto"/>
              <w:rPr>
                <w:rFonts w:ascii="宋体" w:hAnsi="宋体" w:cs="宋体"/>
                <w:sz w:val="21"/>
                <w:szCs w:val="21"/>
              </w:rPr>
            </w:pPr>
            <w:r>
              <w:rPr>
                <w:spacing w:val="-1"/>
                <w:sz w:val="21"/>
                <w:szCs w:val="21"/>
              </w:rPr>
              <w:t>指202</w:t>
            </w:r>
            <w:r>
              <w:rPr>
                <w:rFonts w:hint="eastAsia"/>
                <w:spacing w:val="-1"/>
                <w:sz w:val="21"/>
                <w:szCs w:val="21"/>
                <w:lang w:val="en-US" w:eastAsia="zh-CN"/>
              </w:rPr>
              <w:t>4</w:t>
            </w:r>
            <w:r>
              <w:rPr>
                <w:spacing w:val="-1"/>
                <w:sz w:val="21"/>
                <w:szCs w:val="21"/>
              </w:rPr>
              <w:t>年。</w:t>
            </w:r>
          </w:p>
        </w:tc>
      </w:tr>
      <w:tr w14:paraId="6CDC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97" w:type="dxa"/>
            <w:vAlign w:val="center"/>
          </w:tcPr>
          <w:p w14:paraId="701ACE7D">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3.5.3</w:t>
            </w:r>
          </w:p>
        </w:tc>
        <w:tc>
          <w:tcPr>
            <w:tcW w:w="2080" w:type="dxa"/>
            <w:vAlign w:val="center"/>
          </w:tcPr>
          <w:p w14:paraId="3BB95EEA">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近年完成的类似项目的年份要求</w:t>
            </w:r>
          </w:p>
        </w:tc>
        <w:tc>
          <w:tcPr>
            <w:tcW w:w="6116" w:type="dxa"/>
            <w:vAlign w:val="center"/>
          </w:tcPr>
          <w:p w14:paraId="44465889">
            <w:pPr>
              <w:pStyle w:val="51"/>
              <w:keepNext w:val="0"/>
              <w:keepLines w:val="0"/>
              <w:pageBreakBefore w:val="0"/>
              <w:kinsoku/>
              <w:wordWrap/>
              <w:overflowPunct/>
              <w:topLinePunct w:val="0"/>
              <w:bidi w:val="0"/>
              <w:adjustRightInd/>
              <w:snapToGrid/>
              <w:spacing w:before="71" w:line="320" w:lineRule="exact"/>
              <w:jc w:val="both"/>
              <w:textAlignment w:val="auto"/>
              <w:rPr>
                <w:rFonts w:ascii="宋体" w:hAnsi="宋体" w:cs="宋体"/>
                <w:sz w:val="21"/>
                <w:szCs w:val="21"/>
              </w:rPr>
            </w:pPr>
            <w:r>
              <w:rPr>
                <w:spacing w:val="-1"/>
                <w:sz w:val="21"/>
                <w:szCs w:val="21"/>
              </w:rPr>
              <w:t>3年，指202</w:t>
            </w:r>
            <w:r>
              <w:rPr>
                <w:rFonts w:hint="eastAsia"/>
                <w:spacing w:val="-1"/>
                <w:sz w:val="21"/>
                <w:szCs w:val="21"/>
                <w:lang w:val="en-US" w:eastAsia="zh-CN"/>
              </w:rPr>
              <w:t>2</w:t>
            </w:r>
            <w:r>
              <w:rPr>
                <w:spacing w:val="-1"/>
                <w:sz w:val="21"/>
                <w:szCs w:val="21"/>
              </w:rPr>
              <w:t>年</w:t>
            </w:r>
            <w:r>
              <w:rPr>
                <w:rFonts w:hint="eastAsia"/>
                <w:spacing w:val="-1"/>
                <w:sz w:val="21"/>
                <w:szCs w:val="21"/>
                <w:lang w:val="en-US" w:eastAsia="zh-CN"/>
              </w:rPr>
              <w:t>07</w:t>
            </w:r>
            <w:r>
              <w:rPr>
                <w:spacing w:val="-1"/>
                <w:sz w:val="21"/>
                <w:szCs w:val="21"/>
              </w:rPr>
              <w:t>月</w:t>
            </w:r>
            <w:r>
              <w:rPr>
                <w:rFonts w:hint="eastAsia"/>
                <w:spacing w:val="-1"/>
                <w:sz w:val="21"/>
                <w:szCs w:val="21"/>
                <w:lang w:val="en-US" w:eastAsia="zh-CN"/>
              </w:rPr>
              <w:t>0</w:t>
            </w:r>
            <w:r>
              <w:rPr>
                <w:spacing w:val="-1"/>
                <w:sz w:val="21"/>
                <w:szCs w:val="21"/>
              </w:rPr>
              <w:t>1日起至今。</w:t>
            </w:r>
          </w:p>
        </w:tc>
      </w:tr>
      <w:tr w14:paraId="6772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73D96E5D">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3.5.5</w:t>
            </w:r>
          </w:p>
        </w:tc>
        <w:tc>
          <w:tcPr>
            <w:tcW w:w="2080" w:type="dxa"/>
            <w:vAlign w:val="center"/>
          </w:tcPr>
          <w:p w14:paraId="00F10E12">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近年发生的诉讼及仲裁情况的年份要求</w:t>
            </w:r>
          </w:p>
        </w:tc>
        <w:tc>
          <w:tcPr>
            <w:tcW w:w="6116" w:type="dxa"/>
            <w:vAlign w:val="center"/>
          </w:tcPr>
          <w:p w14:paraId="1450B563">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202</w:t>
            </w:r>
            <w:r>
              <w:rPr>
                <w:rFonts w:hint="eastAsia" w:ascii="宋体" w:hAnsi="宋体" w:cs="宋体"/>
                <w:sz w:val="21"/>
                <w:szCs w:val="21"/>
                <w:lang w:val="en-US" w:eastAsia="zh-CN"/>
              </w:rPr>
              <w:t>2</w:t>
            </w:r>
            <w:r>
              <w:rPr>
                <w:rFonts w:hint="eastAsia" w:ascii="宋体" w:hAnsi="宋体" w:cs="宋体"/>
                <w:sz w:val="21"/>
                <w:szCs w:val="21"/>
              </w:rPr>
              <w:t>年0</w:t>
            </w:r>
            <w:r>
              <w:rPr>
                <w:rFonts w:hint="eastAsia" w:ascii="宋体" w:hAnsi="宋体" w:cs="宋体"/>
                <w:sz w:val="21"/>
                <w:szCs w:val="21"/>
                <w:lang w:val="en-US" w:eastAsia="zh-CN"/>
              </w:rPr>
              <w:t>7</w:t>
            </w:r>
            <w:r>
              <w:rPr>
                <w:rFonts w:hint="eastAsia" w:ascii="宋体" w:hAnsi="宋体" w:cs="宋体"/>
                <w:sz w:val="21"/>
                <w:szCs w:val="21"/>
              </w:rPr>
              <w:t>月01日至今</w:t>
            </w:r>
          </w:p>
        </w:tc>
      </w:tr>
      <w:tr w14:paraId="5CBB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97" w:type="dxa"/>
            <w:vAlign w:val="center"/>
          </w:tcPr>
          <w:p w14:paraId="505E53C7">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3.6</w:t>
            </w:r>
          </w:p>
        </w:tc>
        <w:tc>
          <w:tcPr>
            <w:tcW w:w="2080" w:type="dxa"/>
            <w:vAlign w:val="center"/>
          </w:tcPr>
          <w:p w14:paraId="0297319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是否允许递交</w:t>
            </w:r>
          </w:p>
          <w:p w14:paraId="32239C4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备选响应方案</w:t>
            </w:r>
          </w:p>
        </w:tc>
        <w:tc>
          <w:tcPr>
            <w:tcW w:w="6116" w:type="dxa"/>
            <w:vAlign w:val="center"/>
          </w:tcPr>
          <w:p w14:paraId="3003F0D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不允许</w:t>
            </w:r>
          </w:p>
        </w:tc>
      </w:tr>
      <w:tr w14:paraId="62B6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97" w:type="dxa"/>
            <w:vAlign w:val="center"/>
          </w:tcPr>
          <w:p w14:paraId="11AB0F8D">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3.7.3</w:t>
            </w:r>
          </w:p>
        </w:tc>
        <w:tc>
          <w:tcPr>
            <w:tcW w:w="2080" w:type="dxa"/>
            <w:vAlign w:val="center"/>
          </w:tcPr>
          <w:p w14:paraId="04DFDEFF">
            <w:pPr>
              <w:pStyle w:val="20"/>
              <w:keepNext w:val="0"/>
              <w:keepLines w:val="0"/>
              <w:widowControl/>
              <w:suppressLineNumbers w:val="0"/>
              <w:spacing w:before="0" w:beforeAutospacing="0" w:after="0" w:afterAutospacing="0" w:line="300" w:lineRule="exact"/>
              <w:ind w:left="0" w:leftChars="0" w:right="0" w:rightChars="0"/>
              <w:jc w:val="center"/>
              <w:rPr>
                <w:rFonts w:ascii="宋体" w:hAnsi="宋体" w:cs="宋体"/>
                <w:sz w:val="21"/>
                <w:szCs w:val="21"/>
              </w:rPr>
            </w:pPr>
            <w:r>
              <w:rPr>
                <w:rFonts w:hint="eastAsia" w:ascii="宋体" w:hAnsi="宋体" w:eastAsia="宋体" w:cs="宋体"/>
                <w:b w:val="0"/>
                <w:bCs w:val="0"/>
                <w:i w:val="0"/>
                <w:iCs w:val="0"/>
                <w:color w:val="000000"/>
                <w:spacing w:val="0"/>
                <w:w w:val="100"/>
                <w:sz w:val="21"/>
                <w:szCs w:val="21"/>
                <w:vertAlign w:val="baseline"/>
              </w:rPr>
              <w:t>响应文件份数</w:t>
            </w:r>
          </w:p>
        </w:tc>
        <w:tc>
          <w:tcPr>
            <w:tcW w:w="6116" w:type="dxa"/>
            <w:vAlign w:val="center"/>
          </w:tcPr>
          <w:p w14:paraId="3FA7EE58">
            <w:pPr>
              <w:pStyle w:val="20"/>
              <w:keepNext w:val="0"/>
              <w:keepLines w:val="0"/>
              <w:widowControl/>
              <w:suppressLineNumbers w:val="0"/>
              <w:spacing w:before="0" w:beforeAutospacing="0" w:after="0" w:afterAutospacing="0" w:line="300" w:lineRule="exact"/>
              <w:ind w:left="0" w:leftChars="0" w:right="0" w:rightChars="0"/>
              <w:jc w:val="both"/>
              <w:rPr>
                <w:rFonts w:ascii="宋体" w:hAnsi="宋体" w:cs="宋体"/>
                <w:sz w:val="21"/>
                <w:szCs w:val="21"/>
              </w:rPr>
            </w:pPr>
            <w:r>
              <w:rPr>
                <w:rFonts w:hint="eastAsia" w:ascii="宋体" w:hAnsi="宋体" w:eastAsia="宋体" w:cs="宋体"/>
                <w:b w:val="0"/>
                <w:bCs w:val="0"/>
                <w:i w:val="0"/>
                <w:iCs w:val="0"/>
                <w:color w:val="000000"/>
                <w:spacing w:val="0"/>
                <w:w w:val="100"/>
                <w:sz w:val="21"/>
                <w:szCs w:val="21"/>
                <w:vertAlign w:val="baseline"/>
              </w:rPr>
              <w:t>本项目采用全流程电子化招投标，投标人无需提交纸质版响应 文件及相关证明材料原件（磋商文件另有规定的除外）。电子响应文件与纸质文件具有同等法律效力，存档时以平台下载的电子文件为准。</w:t>
            </w:r>
          </w:p>
        </w:tc>
      </w:tr>
      <w:tr w14:paraId="2CC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7" w:type="dxa"/>
            <w:vAlign w:val="center"/>
          </w:tcPr>
          <w:p w14:paraId="2DE4B59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4.2.1</w:t>
            </w:r>
          </w:p>
        </w:tc>
        <w:tc>
          <w:tcPr>
            <w:tcW w:w="2080" w:type="dxa"/>
            <w:vAlign w:val="center"/>
          </w:tcPr>
          <w:p w14:paraId="0C9FA55B">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ascii="宋体" w:hAnsi="宋体"/>
                <w:sz w:val="21"/>
                <w:szCs w:val="21"/>
              </w:rPr>
            </w:pPr>
            <w:r>
              <w:rPr>
                <w:rFonts w:hint="eastAsia" w:ascii="宋体" w:hAnsi="宋体" w:eastAsia="宋体" w:cs="宋体"/>
                <w:sz w:val="21"/>
                <w:szCs w:val="21"/>
                <w:highlight w:val="none"/>
              </w:rPr>
              <w:t>响应文件递交截止时间</w:t>
            </w:r>
          </w:p>
        </w:tc>
        <w:tc>
          <w:tcPr>
            <w:tcW w:w="6116" w:type="dxa"/>
            <w:vAlign w:val="center"/>
          </w:tcPr>
          <w:p w14:paraId="30D16B9C">
            <w:pPr>
              <w:keepNext w:val="0"/>
              <w:keepLines w:val="0"/>
              <w:pageBreakBefore w:val="0"/>
              <w:widowControl w:val="0"/>
              <w:kinsoku/>
              <w:wordWrap/>
              <w:overflowPunct/>
              <w:topLinePunct w:val="0"/>
              <w:autoSpaceDE/>
              <w:autoSpaceDN/>
              <w:bidi w:val="0"/>
              <w:snapToGrid/>
              <w:spacing w:line="300" w:lineRule="exact"/>
              <w:rPr>
                <w:rFonts w:hint="eastAsia" w:ascii="宋体" w:hAnsi="宋体"/>
                <w:sz w:val="21"/>
                <w:szCs w:val="21"/>
              </w:rPr>
            </w:pPr>
            <w:r>
              <w:rPr>
                <w:rFonts w:hint="default" w:ascii="宋体" w:hAnsi="宋体" w:eastAsia="宋体" w:cs="宋体"/>
                <w:snapToGrid w:val="0"/>
                <w:kern w:val="0"/>
                <w:sz w:val="21"/>
                <w:szCs w:val="21"/>
                <w:highlight w:val="none"/>
                <w:lang w:val="en-US"/>
              </w:rPr>
              <w:t xml:space="preserve"> 供应商应在供应商须知前附表规定的投标截止时间前在“政采云”上传响应文件</w:t>
            </w:r>
          </w:p>
        </w:tc>
      </w:tr>
      <w:tr w14:paraId="390F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97" w:type="dxa"/>
            <w:vAlign w:val="center"/>
          </w:tcPr>
          <w:p w14:paraId="297415BB">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5.1.1</w:t>
            </w:r>
          </w:p>
        </w:tc>
        <w:tc>
          <w:tcPr>
            <w:tcW w:w="2080" w:type="dxa"/>
            <w:vAlign w:val="center"/>
          </w:tcPr>
          <w:p w14:paraId="044600FA">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竞争性磋商响应文件开启时间和地点</w:t>
            </w:r>
          </w:p>
        </w:tc>
        <w:tc>
          <w:tcPr>
            <w:tcW w:w="6116" w:type="dxa"/>
            <w:vAlign w:val="center"/>
          </w:tcPr>
          <w:p w14:paraId="6F21FD5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开标时间：</w:t>
            </w:r>
            <w:r>
              <w:rPr>
                <w:rFonts w:hint="eastAsia" w:ascii="宋体" w:hAnsi="宋体" w:cs="宋体"/>
                <w:color w:val="auto"/>
                <w:sz w:val="21"/>
                <w:szCs w:val="21"/>
                <w:highlight w:val="none"/>
                <w:lang w:val="zh-CN"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val="zh-CN" w:bidi="ar"/>
              </w:rPr>
              <w:t>年</w:t>
            </w: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val="zh-CN" w:bidi="ar"/>
              </w:rPr>
              <w:t>月</w:t>
            </w:r>
            <w:r>
              <w:rPr>
                <w:rFonts w:hint="eastAsia" w:ascii="宋体" w:hAnsi="宋体" w:cs="宋体"/>
                <w:color w:val="auto"/>
                <w:sz w:val="21"/>
                <w:szCs w:val="21"/>
                <w:highlight w:val="none"/>
                <w:lang w:val="en-US" w:eastAsia="zh-CN" w:bidi="ar"/>
              </w:rPr>
              <w:t>23</w:t>
            </w:r>
            <w:r>
              <w:rPr>
                <w:rFonts w:hint="eastAsia" w:ascii="宋体" w:hAnsi="宋体" w:cs="宋体"/>
                <w:color w:val="auto"/>
                <w:sz w:val="21"/>
                <w:szCs w:val="21"/>
                <w:highlight w:val="none"/>
                <w:lang w:val="zh-CN" w:bidi="ar"/>
              </w:rPr>
              <w:t>日</w:t>
            </w:r>
            <w:r>
              <w:rPr>
                <w:rFonts w:hint="eastAsia" w:ascii="宋体" w:hAnsi="宋体" w:cs="宋体"/>
                <w:color w:val="auto"/>
                <w:sz w:val="21"/>
                <w:szCs w:val="21"/>
                <w:highlight w:val="none"/>
                <w:lang w:val="en-US" w:eastAsia="zh-CN" w:bidi="ar"/>
              </w:rPr>
              <w:t>14</w:t>
            </w:r>
            <w:r>
              <w:rPr>
                <w:rFonts w:hint="eastAsia" w:ascii="宋体" w:hAnsi="宋体" w:cs="宋体"/>
                <w:color w:val="auto"/>
                <w:sz w:val="21"/>
                <w:szCs w:val="21"/>
                <w:highlight w:val="none"/>
                <w:lang w:val="zh-CN" w:bidi="ar"/>
              </w:rPr>
              <w:t>时</w:t>
            </w:r>
            <w:r>
              <w:rPr>
                <w:rFonts w:hint="eastAsia" w:ascii="宋体" w:hAnsi="宋体" w:cs="宋体"/>
                <w:color w:val="auto"/>
                <w:sz w:val="21"/>
                <w:szCs w:val="21"/>
                <w:highlight w:val="none"/>
                <w:lang w:val="en-US" w:eastAsia="zh-CN" w:bidi="ar"/>
              </w:rPr>
              <w:t>0</w:t>
            </w:r>
            <w:r>
              <w:rPr>
                <w:rFonts w:hint="eastAsia" w:ascii="宋体" w:hAnsi="宋体" w:cs="宋体"/>
                <w:color w:val="auto"/>
                <w:sz w:val="21"/>
                <w:szCs w:val="21"/>
                <w:highlight w:val="none"/>
                <w:lang w:val="zh-CN" w:bidi="ar"/>
              </w:rPr>
              <w:t>0分</w:t>
            </w:r>
            <w:r>
              <w:rPr>
                <w:rFonts w:hint="eastAsia" w:ascii="宋体" w:hAnsi="宋体" w:cs="宋体"/>
                <w:color w:val="auto"/>
                <w:sz w:val="21"/>
                <w:szCs w:val="21"/>
                <w:lang w:val="zh-CN" w:bidi="ar"/>
              </w:rPr>
              <w:t>（北京时间）</w:t>
            </w:r>
          </w:p>
          <w:p w14:paraId="53086C5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开标地点：</w:t>
            </w:r>
            <w:r>
              <w:rPr>
                <w:rFonts w:hint="eastAsia" w:ascii="宋体" w:hAnsi="宋体" w:cs="宋体"/>
                <w:b/>
                <w:bCs/>
                <w:color w:val="auto"/>
                <w:u w:val="single"/>
                <w:lang w:eastAsia="zh-CN" w:bidi="ar"/>
              </w:rPr>
              <w:t>安图县明月镇延安路8号安图县政务服务中心（4楼公共资源交易中心）</w:t>
            </w:r>
          </w:p>
        </w:tc>
      </w:tr>
      <w:tr w14:paraId="222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7" w:type="dxa"/>
            <w:vAlign w:val="center"/>
          </w:tcPr>
          <w:p w14:paraId="4AD57CB1">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5.2</w:t>
            </w:r>
          </w:p>
        </w:tc>
        <w:tc>
          <w:tcPr>
            <w:tcW w:w="2080" w:type="dxa"/>
            <w:vAlign w:val="center"/>
          </w:tcPr>
          <w:p w14:paraId="38989B0E">
            <w:pPr>
              <w:keepNext w:val="0"/>
              <w:keepLines w:val="0"/>
              <w:pageBreakBefore w:val="0"/>
              <w:widowControl w:val="0"/>
              <w:kinsoku/>
              <w:wordWrap/>
              <w:overflowPunct/>
              <w:topLinePunct w:val="0"/>
              <w:bidi w:val="0"/>
              <w:adjustRightInd w:val="0"/>
              <w:snapToGrid/>
              <w:spacing w:line="300" w:lineRule="exact"/>
              <w:jc w:val="center"/>
              <w:textAlignment w:val="baseline"/>
              <w:rPr>
                <w:rFonts w:ascii="宋体" w:hAnsi="宋体" w:cs="宋体"/>
                <w:sz w:val="21"/>
                <w:szCs w:val="21"/>
              </w:rPr>
            </w:pPr>
            <w:r>
              <w:rPr>
                <w:rFonts w:hint="eastAsia" w:ascii="宋体" w:hAnsi="宋体" w:cs="宋体"/>
                <w:sz w:val="21"/>
                <w:szCs w:val="21"/>
                <w:highlight w:val="none"/>
              </w:rPr>
              <w:t>开标时间和方式</w:t>
            </w:r>
          </w:p>
        </w:tc>
        <w:tc>
          <w:tcPr>
            <w:tcW w:w="6116" w:type="dxa"/>
            <w:vAlign w:val="center"/>
          </w:tcPr>
          <w:p w14:paraId="29E282AD">
            <w:pPr>
              <w:pStyle w:val="20"/>
              <w:keepNext w:val="0"/>
              <w:keepLines w:val="0"/>
              <w:widowControl/>
              <w:suppressLineNumbers w:val="0"/>
              <w:spacing w:before="0" w:beforeAutospacing="0" w:after="0" w:afterAutospacing="0" w:line="300" w:lineRule="exact"/>
              <w:ind w:left="0" w:right="0"/>
              <w:jc w:val="both"/>
            </w:pPr>
            <w:r>
              <w:rPr>
                <w:rFonts w:hint="eastAsia" w:ascii="宋体" w:hAnsi="宋体" w:eastAsia="宋体" w:cs="宋体"/>
                <w:b w:val="0"/>
                <w:bCs w:val="0"/>
                <w:i w:val="0"/>
                <w:iCs w:val="0"/>
                <w:color w:val="000000"/>
                <w:spacing w:val="0"/>
                <w:w w:val="100"/>
                <w:sz w:val="21"/>
                <w:szCs w:val="21"/>
                <w:vertAlign w:val="baseline"/>
              </w:rPr>
              <w:t>开标时间：同磋商截止时间</w:t>
            </w:r>
          </w:p>
          <w:p w14:paraId="71CA89A9">
            <w:pPr>
              <w:pStyle w:val="20"/>
              <w:keepNext w:val="0"/>
              <w:keepLines w:val="0"/>
              <w:widowControl/>
              <w:suppressLineNumbers w:val="0"/>
              <w:spacing w:before="0" w:beforeAutospacing="0" w:after="0" w:afterAutospacing="0" w:line="300" w:lineRule="exact"/>
              <w:ind w:left="0" w:right="0"/>
              <w:jc w:val="both"/>
            </w:pPr>
            <w:r>
              <w:rPr>
                <w:rFonts w:hint="eastAsia" w:ascii="宋体" w:hAnsi="宋体" w:eastAsia="宋体" w:cs="宋体"/>
                <w:b w:val="0"/>
                <w:bCs w:val="0"/>
                <w:i w:val="0"/>
                <w:iCs w:val="0"/>
                <w:color w:val="000000"/>
                <w:spacing w:val="0"/>
                <w:w w:val="100"/>
                <w:sz w:val="21"/>
                <w:szCs w:val="21"/>
                <w:vertAlign w:val="baseline"/>
              </w:rPr>
              <w:t>开标地点：“政采云”线上开标</w:t>
            </w:r>
          </w:p>
          <w:p w14:paraId="20806CA1">
            <w:pPr>
              <w:pStyle w:val="20"/>
              <w:keepNext w:val="0"/>
              <w:keepLines w:val="0"/>
              <w:widowControl/>
              <w:suppressLineNumbers w:val="0"/>
              <w:spacing w:before="0" w:beforeAutospacing="0" w:after="0" w:afterAutospacing="0" w:line="300" w:lineRule="exact"/>
              <w:ind w:left="0" w:right="0"/>
              <w:jc w:val="both"/>
            </w:pPr>
            <w:r>
              <w:rPr>
                <w:rFonts w:hint="eastAsia" w:ascii="宋体" w:hAnsi="宋体" w:eastAsia="宋体" w:cs="宋体"/>
                <w:b w:val="0"/>
                <w:bCs w:val="0"/>
                <w:i w:val="0"/>
                <w:iCs w:val="0"/>
                <w:color w:val="000000"/>
                <w:spacing w:val="0"/>
                <w:w w:val="100"/>
                <w:sz w:val="21"/>
                <w:szCs w:val="21"/>
                <w:vertAlign w:val="baseline"/>
              </w:rPr>
              <w:t>开启时间：同响应文件递交截止时间</w:t>
            </w:r>
          </w:p>
          <w:p w14:paraId="066625D6">
            <w:pPr>
              <w:pStyle w:val="20"/>
              <w:keepNext w:val="0"/>
              <w:keepLines w:val="0"/>
              <w:widowControl/>
              <w:suppressLineNumbers w:val="0"/>
              <w:spacing w:before="0" w:beforeAutospacing="0" w:after="0" w:afterAutospacing="0" w:line="300" w:lineRule="exact"/>
              <w:ind w:left="0" w:leftChars="0" w:right="0" w:rightChars="0"/>
              <w:jc w:val="both"/>
              <w:rPr>
                <w:rFonts w:ascii="宋体" w:hAnsi="宋体" w:cs="宋体"/>
                <w:sz w:val="21"/>
                <w:szCs w:val="21"/>
              </w:rPr>
            </w:pPr>
            <w:r>
              <w:rPr>
                <w:rFonts w:hint="eastAsia" w:ascii="宋体" w:hAnsi="宋体" w:eastAsia="宋体" w:cs="宋体"/>
                <w:b w:val="0"/>
                <w:bCs w:val="0"/>
                <w:i w:val="0"/>
                <w:iCs w:val="0"/>
                <w:color w:val="000000"/>
                <w:spacing w:val="0"/>
                <w:w w:val="100"/>
                <w:sz w:val="21"/>
                <w:szCs w:val="21"/>
                <w:vertAlign w:val="baseline"/>
              </w:rPr>
              <w:t>开启方式：开启时间后30分钟内，由供应商持制作该电子响应文件的同一数字证书（CA锁）及电脑进行远程解密（各供应商开标前及网上开评标系统公布供应商名单前，不要提前进行远程解密；具体解密时间在开标直播时采购代理机构工作人员会进行通知）</w:t>
            </w:r>
          </w:p>
        </w:tc>
      </w:tr>
      <w:tr w14:paraId="7DC3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3F5D439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6.1.1</w:t>
            </w:r>
          </w:p>
        </w:tc>
        <w:tc>
          <w:tcPr>
            <w:tcW w:w="2080" w:type="dxa"/>
            <w:vAlign w:val="center"/>
          </w:tcPr>
          <w:p w14:paraId="16F0911B">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磋商小组的组建</w:t>
            </w:r>
          </w:p>
        </w:tc>
        <w:tc>
          <w:tcPr>
            <w:tcW w:w="6116" w:type="dxa"/>
            <w:vAlign w:val="center"/>
          </w:tcPr>
          <w:p w14:paraId="416624DC">
            <w:pPr>
              <w:keepNext w:val="0"/>
              <w:keepLines w:val="0"/>
              <w:pageBreakBefore w:val="0"/>
              <w:kinsoku/>
              <w:wordWrap/>
              <w:overflowPunct/>
              <w:topLinePunct w:val="0"/>
              <w:bidi w:val="0"/>
              <w:adjustRightInd/>
              <w:snapToGrid/>
              <w:spacing w:line="320" w:lineRule="exact"/>
              <w:textAlignment w:val="auto"/>
              <w:rPr>
                <w:rFonts w:ascii="宋体" w:hAnsi="宋体"/>
                <w:color w:val="FF0000"/>
                <w:sz w:val="21"/>
                <w:szCs w:val="21"/>
              </w:rPr>
            </w:pPr>
            <w:r>
              <w:rPr>
                <w:rFonts w:hint="eastAsia" w:ascii="宋体" w:hAnsi="宋体"/>
                <w:sz w:val="21"/>
                <w:szCs w:val="21"/>
              </w:rPr>
              <w:t>竞争性磋商小组构成：3人组成，其中采购人代表</w:t>
            </w:r>
            <w:r>
              <w:rPr>
                <w:rFonts w:hint="eastAsia" w:ascii="宋体" w:hAnsi="宋体"/>
                <w:sz w:val="21"/>
                <w:szCs w:val="21"/>
                <w:lang w:val="en-US" w:eastAsia="zh-CN"/>
              </w:rPr>
              <w:t>1</w:t>
            </w:r>
            <w:r>
              <w:rPr>
                <w:rFonts w:hint="eastAsia" w:ascii="宋体" w:hAnsi="宋体"/>
                <w:sz w:val="21"/>
                <w:szCs w:val="21"/>
              </w:rPr>
              <w:t>人，专家</w:t>
            </w:r>
            <w:r>
              <w:rPr>
                <w:rFonts w:hint="eastAsia" w:ascii="宋体" w:hAnsi="宋体"/>
                <w:sz w:val="21"/>
                <w:szCs w:val="21"/>
                <w:lang w:val="en-US" w:eastAsia="zh-CN"/>
              </w:rPr>
              <w:t>2</w:t>
            </w:r>
            <w:r>
              <w:rPr>
                <w:rFonts w:hint="eastAsia" w:ascii="宋体" w:hAnsi="宋体"/>
                <w:sz w:val="21"/>
                <w:szCs w:val="21"/>
              </w:rPr>
              <w:t>人。</w:t>
            </w:r>
          </w:p>
          <w:p w14:paraId="75E9F11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color w:val="auto"/>
                <w:sz w:val="21"/>
                <w:szCs w:val="21"/>
              </w:rPr>
              <w:t>评标专家确定方式：</w:t>
            </w:r>
            <w:r>
              <w:rPr>
                <w:rFonts w:hint="eastAsia" w:ascii="宋体" w:hAnsi="宋体"/>
                <w:color w:val="auto"/>
                <w:sz w:val="21"/>
                <w:szCs w:val="21"/>
                <w:lang w:val="en-US" w:eastAsia="zh-CN"/>
              </w:rPr>
              <w:t>评标专家库中随机抽取</w:t>
            </w:r>
            <w:r>
              <w:rPr>
                <w:rFonts w:hint="eastAsia" w:ascii="宋体" w:hAnsi="宋体"/>
                <w:color w:val="auto"/>
                <w:sz w:val="21"/>
                <w:szCs w:val="21"/>
              </w:rPr>
              <w:t>。</w:t>
            </w:r>
          </w:p>
        </w:tc>
      </w:tr>
      <w:tr w14:paraId="695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97" w:type="dxa"/>
            <w:vAlign w:val="center"/>
          </w:tcPr>
          <w:p w14:paraId="014DD8F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7.1</w:t>
            </w:r>
          </w:p>
        </w:tc>
        <w:tc>
          <w:tcPr>
            <w:tcW w:w="2080" w:type="dxa"/>
            <w:vAlign w:val="center"/>
          </w:tcPr>
          <w:p w14:paraId="0BD23E5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是否书面授权磋商小组直接确定成交供应商</w:t>
            </w:r>
          </w:p>
        </w:tc>
        <w:tc>
          <w:tcPr>
            <w:tcW w:w="6116" w:type="dxa"/>
            <w:vAlign w:val="center"/>
          </w:tcPr>
          <w:p w14:paraId="196DCA8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□是</w:t>
            </w:r>
          </w:p>
          <w:p w14:paraId="1FC18FD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MS Mincho" w:hAnsi="MS Mincho" w:eastAsia="MS Mincho" w:cs="MS Mincho"/>
                <w:sz w:val="21"/>
                <w:szCs w:val="21"/>
              </w:rPr>
              <w:t>☑</w:t>
            </w:r>
            <w:r>
              <w:rPr>
                <w:rFonts w:hint="eastAsia" w:ascii="宋体" w:hAnsi="宋体" w:cs="宋体"/>
                <w:sz w:val="21"/>
                <w:szCs w:val="21"/>
              </w:rPr>
              <w:t>否，推荐的成交候选人数：</w:t>
            </w:r>
            <w:r>
              <w:rPr>
                <w:rFonts w:hint="eastAsia" w:ascii="宋体" w:hAnsi="宋体"/>
                <w:sz w:val="21"/>
                <w:szCs w:val="21"/>
              </w:rPr>
              <w:t xml:space="preserve">3名     </w:t>
            </w:r>
          </w:p>
        </w:tc>
      </w:tr>
      <w:tr w14:paraId="6D69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6FD7E2E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7.2</w:t>
            </w:r>
          </w:p>
        </w:tc>
        <w:tc>
          <w:tcPr>
            <w:tcW w:w="2080" w:type="dxa"/>
            <w:vAlign w:val="center"/>
          </w:tcPr>
          <w:p w14:paraId="2DA1BB5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磋商结果公示媒介</w:t>
            </w:r>
          </w:p>
        </w:tc>
        <w:tc>
          <w:tcPr>
            <w:tcW w:w="6116" w:type="dxa"/>
            <w:vAlign w:val="center"/>
          </w:tcPr>
          <w:p w14:paraId="272BD3A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sz w:val="21"/>
                <w:szCs w:val="21"/>
              </w:rPr>
              <w:t>本项目磋商公告发布的相同媒介。</w:t>
            </w:r>
          </w:p>
        </w:tc>
      </w:tr>
      <w:tr w14:paraId="5AD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97" w:type="dxa"/>
            <w:vAlign w:val="center"/>
          </w:tcPr>
          <w:p w14:paraId="3E32A24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7.3.1</w:t>
            </w:r>
          </w:p>
        </w:tc>
        <w:tc>
          <w:tcPr>
            <w:tcW w:w="2080" w:type="dxa"/>
            <w:vAlign w:val="top"/>
          </w:tcPr>
          <w:p w14:paraId="53BD82DE">
            <w:pPr>
              <w:pStyle w:val="51"/>
              <w:keepNext w:val="0"/>
              <w:keepLines w:val="0"/>
              <w:pageBreakBefore w:val="0"/>
              <w:kinsoku/>
              <w:wordWrap/>
              <w:overflowPunct/>
              <w:topLinePunct w:val="0"/>
              <w:bidi w:val="0"/>
              <w:adjustRightInd/>
              <w:snapToGrid/>
              <w:spacing w:before="231" w:line="320" w:lineRule="exact"/>
              <w:ind w:left="487" w:leftChars="0"/>
              <w:textAlignment w:val="auto"/>
              <w:rPr>
                <w:rFonts w:ascii="宋体" w:hAnsi="宋体"/>
                <w:sz w:val="21"/>
                <w:szCs w:val="21"/>
              </w:rPr>
            </w:pPr>
            <w:r>
              <w:rPr>
                <w:spacing w:val="-3"/>
                <w:sz w:val="21"/>
                <w:szCs w:val="21"/>
              </w:rPr>
              <w:t>履约担保</w:t>
            </w:r>
          </w:p>
        </w:tc>
        <w:tc>
          <w:tcPr>
            <w:tcW w:w="6116" w:type="dxa"/>
            <w:vAlign w:val="top"/>
          </w:tcPr>
          <w:p w14:paraId="14C245E7">
            <w:pPr>
              <w:pStyle w:val="51"/>
              <w:keepNext w:val="0"/>
              <w:keepLines w:val="0"/>
              <w:pageBreakBefore w:val="0"/>
              <w:kinsoku/>
              <w:wordWrap/>
              <w:overflowPunct/>
              <w:topLinePunct w:val="0"/>
              <w:bidi w:val="0"/>
              <w:adjustRightInd/>
              <w:snapToGrid/>
              <w:spacing w:before="231" w:line="320" w:lineRule="exact"/>
              <w:ind w:left="114" w:leftChars="0"/>
              <w:textAlignment w:val="auto"/>
              <w:rPr>
                <w:rFonts w:ascii="宋体" w:hAnsi="宋体"/>
                <w:sz w:val="21"/>
                <w:szCs w:val="21"/>
              </w:rPr>
            </w:pPr>
            <w:r>
              <w:rPr>
                <w:sz w:val="21"/>
                <w:szCs w:val="21"/>
              </w:rPr>
              <w:t>无</w:t>
            </w:r>
          </w:p>
        </w:tc>
      </w:tr>
      <w:tr w14:paraId="3256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7" w:type="dxa"/>
            <w:vAlign w:val="center"/>
          </w:tcPr>
          <w:p w14:paraId="3F4965BD">
            <w:pPr>
              <w:keepNext w:val="0"/>
              <w:keepLines w:val="0"/>
              <w:pageBreakBefore w:val="0"/>
              <w:kinsoku/>
              <w:wordWrap/>
              <w:overflowPunct/>
              <w:topLinePunct w:val="0"/>
              <w:bidi w:val="0"/>
              <w:adjustRightInd/>
              <w:snapToGrid/>
              <w:spacing w:line="320" w:lineRule="exact"/>
              <w:textAlignment w:val="auto"/>
              <w:rPr>
                <w:rFonts w:hint="default" w:ascii="宋体" w:hAnsi="宋体" w:eastAsia="宋体"/>
                <w:sz w:val="21"/>
                <w:szCs w:val="21"/>
                <w:lang w:val="en-US" w:eastAsia="zh-CN"/>
              </w:rPr>
            </w:pPr>
            <w:r>
              <w:rPr>
                <w:rFonts w:hint="eastAsia" w:ascii="宋体" w:hAnsi="宋体"/>
                <w:sz w:val="21"/>
                <w:szCs w:val="21"/>
                <w:lang w:val="en-US" w:eastAsia="zh-CN"/>
              </w:rPr>
              <w:t>10.1</w:t>
            </w:r>
          </w:p>
        </w:tc>
        <w:tc>
          <w:tcPr>
            <w:tcW w:w="2080" w:type="dxa"/>
            <w:shd w:val="clear" w:color="auto" w:fill="auto"/>
            <w:vAlign w:val="top"/>
          </w:tcPr>
          <w:p w14:paraId="7A14D38A">
            <w:pPr>
              <w:pStyle w:val="51"/>
              <w:keepNext w:val="0"/>
              <w:keepLines w:val="0"/>
              <w:pageBreakBefore w:val="0"/>
              <w:kinsoku/>
              <w:wordWrap/>
              <w:overflowPunct/>
              <w:topLinePunct w:val="0"/>
              <w:bidi w:val="0"/>
              <w:adjustRightInd/>
              <w:snapToGrid/>
              <w:spacing w:before="178" w:line="320" w:lineRule="exact"/>
              <w:ind w:left="339" w:leftChars="0" w:right="112" w:rightChars="0" w:hanging="200" w:firstLineChars="0"/>
              <w:textAlignment w:val="auto"/>
              <w:rPr>
                <w:rFonts w:ascii="宋体" w:hAnsi="宋体" w:eastAsia="宋体" w:cs="宋体"/>
                <w:kern w:val="2"/>
                <w:sz w:val="21"/>
                <w:szCs w:val="21"/>
                <w:lang w:val="en-US" w:eastAsia="en-US" w:bidi="ar-SA"/>
              </w:rPr>
            </w:pPr>
            <w:r>
              <w:rPr>
                <w:spacing w:val="-10"/>
                <w:sz w:val="21"/>
                <w:szCs w:val="21"/>
              </w:rPr>
              <w:t>中标公</w:t>
            </w:r>
            <w:r>
              <w:rPr>
                <w:sz w:val="21"/>
                <w:szCs w:val="21"/>
              </w:rPr>
              <w:t>示</w:t>
            </w:r>
          </w:p>
        </w:tc>
        <w:tc>
          <w:tcPr>
            <w:tcW w:w="6116" w:type="dxa"/>
            <w:shd w:val="clear" w:color="auto" w:fill="auto"/>
            <w:vAlign w:val="top"/>
          </w:tcPr>
          <w:p w14:paraId="5A02D97A">
            <w:pPr>
              <w:pStyle w:val="51"/>
              <w:keepNext w:val="0"/>
              <w:keepLines w:val="0"/>
              <w:pageBreakBefore w:val="0"/>
              <w:kinsoku/>
              <w:wordWrap/>
              <w:overflowPunct/>
              <w:topLinePunct w:val="0"/>
              <w:bidi w:val="0"/>
              <w:adjustRightInd/>
              <w:snapToGrid/>
              <w:spacing w:before="180" w:line="320" w:lineRule="exact"/>
              <w:ind w:left="132" w:leftChars="0"/>
              <w:textAlignment w:val="auto"/>
              <w:rPr>
                <w:rFonts w:ascii="宋体" w:hAnsi="宋体" w:eastAsia="宋体" w:cs="宋体"/>
                <w:kern w:val="2"/>
                <w:sz w:val="21"/>
                <w:szCs w:val="21"/>
                <w:lang w:val="en-US" w:eastAsia="en-US" w:bidi="ar-SA"/>
              </w:rPr>
            </w:pPr>
            <w:r>
              <w:rPr>
                <w:spacing w:val="-2"/>
                <w:sz w:val="21"/>
                <w:szCs w:val="21"/>
              </w:rPr>
              <w:t>中标结果将在招标公告发布的媒体进行公示，发布</w:t>
            </w:r>
            <w:r>
              <w:rPr>
                <w:spacing w:val="-30"/>
                <w:sz w:val="21"/>
                <w:szCs w:val="21"/>
              </w:rPr>
              <w:t xml:space="preserve"> </w:t>
            </w:r>
            <w:r>
              <w:rPr>
                <w:spacing w:val="-3"/>
                <w:sz w:val="21"/>
                <w:szCs w:val="21"/>
              </w:rPr>
              <w:t>1</w:t>
            </w:r>
            <w:r>
              <w:rPr>
                <w:spacing w:val="-49"/>
                <w:sz w:val="21"/>
                <w:szCs w:val="21"/>
              </w:rPr>
              <w:t xml:space="preserve"> </w:t>
            </w:r>
            <w:r>
              <w:rPr>
                <w:spacing w:val="-3"/>
                <w:sz w:val="21"/>
                <w:szCs w:val="21"/>
              </w:rPr>
              <w:t>个工作日。</w:t>
            </w:r>
          </w:p>
        </w:tc>
      </w:tr>
      <w:tr w14:paraId="35DB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97" w:type="dxa"/>
            <w:vAlign w:val="center"/>
          </w:tcPr>
          <w:p w14:paraId="6BB37B08">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lang w:eastAsia="zh-CN"/>
              </w:rPr>
            </w:pPr>
            <w:r>
              <w:rPr>
                <w:rFonts w:hint="eastAsia" w:ascii="宋体" w:hAnsi="宋体"/>
                <w:sz w:val="21"/>
                <w:szCs w:val="21"/>
              </w:rPr>
              <w:t>10.</w:t>
            </w:r>
            <w:r>
              <w:rPr>
                <w:rFonts w:hint="eastAsia" w:ascii="宋体" w:hAnsi="宋体"/>
                <w:sz w:val="21"/>
                <w:szCs w:val="21"/>
                <w:lang w:val="en-US" w:eastAsia="zh-CN"/>
              </w:rPr>
              <w:t>2</w:t>
            </w:r>
          </w:p>
        </w:tc>
        <w:tc>
          <w:tcPr>
            <w:tcW w:w="2080" w:type="dxa"/>
            <w:shd w:val="clear" w:color="auto" w:fill="auto"/>
            <w:vAlign w:val="center"/>
          </w:tcPr>
          <w:p w14:paraId="0EE4C2D3">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cs="黑体"/>
                <w:kern w:val="2"/>
                <w:sz w:val="21"/>
                <w:szCs w:val="21"/>
                <w:lang w:val="en-US" w:eastAsia="zh-CN" w:bidi="ar-SA"/>
              </w:rPr>
            </w:pPr>
            <w:r>
              <w:rPr>
                <w:rFonts w:hint="eastAsia" w:ascii="宋体" w:hAnsi="宋体"/>
                <w:sz w:val="21"/>
                <w:szCs w:val="21"/>
              </w:rPr>
              <w:t>同义词语</w:t>
            </w:r>
          </w:p>
        </w:tc>
        <w:tc>
          <w:tcPr>
            <w:tcW w:w="6116" w:type="dxa"/>
            <w:shd w:val="clear" w:color="auto" w:fill="auto"/>
            <w:vAlign w:val="center"/>
          </w:tcPr>
          <w:p w14:paraId="63AD6176">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sz w:val="21"/>
                <w:szCs w:val="21"/>
              </w:rPr>
              <w:t>构成竞争性磋商文件组成部分的“通用合同条款”、“专用合同条款”、“技术标准和要求”等章节中出现的措辞“发包人”和“承包人”，在竞争性磋商采购阶段应当分别按“采购人”、“招标人”和“供应商”“</w:t>
            </w:r>
            <w:r>
              <w:rPr>
                <w:rFonts w:hint="eastAsia" w:ascii="宋体" w:hAnsi="宋体"/>
                <w:sz w:val="21"/>
                <w:szCs w:val="21"/>
                <w:lang w:eastAsia="zh-CN"/>
              </w:rPr>
              <w:t>供应商</w:t>
            </w:r>
            <w:r>
              <w:rPr>
                <w:rFonts w:hint="eastAsia" w:ascii="宋体" w:hAnsi="宋体"/>
                <w:sz w:val="21"/>
                <w:szCs w:val="21"/>
              </w:rPr>
              <w:t>”进行理解。</w:t>
            </w:r>
          </w:p>
        </w:tc>
      </w:tr>
      <w:tr w14:paraId="25A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7" w:type="dxa"/>
            <w:vAlign w:val="center"/>
          </w:tcPr>
          <w:p w14:paraId="60BF750B">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lang w:eastAsia="zh-CN"/>
              </w:rPr>
            </w:pPr>
            <w:r>
              <w:rPr>
                <w:rFonts w:hint="eastAsia" w:ascii="宋体" w:hAnsi="宋体"/>
                <w:sz w:val="21"/>
                <w:szCs w:val="21"/>
              </w:rPr>
              <w:t>10.</w:t>
            </w:r>
            <w:r>
              <w:rPr>
                <w:rFonts w:hint="eastAsia" w:ascii="宋体" w:hAnsi="宋体"/>
                <w:sz w:val="21"/>
                <w:szCs w:val="21"/>
                <w:lang w:val="en-US" w:eastAsia="zh-CN"/>
              </w:rPr>
              <w:t>3</w:t>
            </w:r>
          </w:p>
        </w:tc>
        <w:tc>
          <w:tcPr>
            <w:tcW w:w="2080" w:type="dxa"/>
            <w:shd w:val="clear" w:color="auto" w:fill="auto"/>
            <w:vAlign w:val="center"/>
          </w:tcPr>
          <w:p w14:paraId="4D9E9347">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sz w:val="21"/>
                <w:szCs w:val="21"/>
              </w:rPr>
              <w:t>解释权</w:t>
            </w:r>
          </w:p>
        </w:tc>
        <w:tc>
          <w:tcPr>
            <w:tcW w:w="6116" w:type="dxa"/>
            <w:shd w:val="clear" w:color="auto" w:fill="auto"/>
            <w:vAlign w:val="center"/>
          </w:tcPr>
          <w:p w14:paraId="1E3A42B5">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sz w:val="21"/>
                <w:szCs w:val="21"/>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竞争性磋商采购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B1E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7" w:type="dxa"/>
            <w:vAlign w:val="center"/>
          </w:tcPr>
          <w:p w14:paraId="2876E7EB">
            <w:pPr>
              <w:keepNext w:val="0"/>
              <w:keepLines w:val="0"/>
              <w:pageBreakBefore w:val="0"/>
              <w:kinsoku/>
              <w:wordWrap/>
              <w:overflowPunct/>
              <w:topLinePunct w:val="0"/>
              <w:bidi w:val="0"/>
              <w:adjustRightInd/>
              <w:snapToGrid/>
              <w:spacing w:line="320" w:lineRule="exact"/>
              <w:textAlignment w:val="auto"/>
              <w:rPr>
                <w:rFonts w:hint="default" w:ascii="宋体" w:hAnsi="宋体" w:eastAsia="宋体"/>
                <w:sz w:val="21"/>
                <w:szCs w:val="21"/>
                <w:lang w:val="en-US" w:eastAsia="zh-CN"/>
              </w:rPr>
            </w:pPr>
            <w:r>
              <w:rPr>
                <w:rFonts w:hint="eastAsia" w:ascii="宋体" w:hAnsi="宋体"/>
                <w:sz w:val="21"/>
                <w:szCs w:val="21"/>
                <w:lang w:val="en-US" w:eastAsia="zh-CN"/>
              </w:rPr>
              <w:t>10.4</w:t>
            </w:r>
          </w:p>
        </w:tc>
        <w:tc>
          <w:tcPr>
            <w:tcW w:w="2080" w:type="dxa"/>
            <w:shd w:val="clear" w:color="auto" w:fill="auto"/>
            <w:vAlign w:val="center"/>
          </w:tcPr>
          <w:p w14:paraId="59881AE2">
            <w:pPr>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小型和微型企业</w:t>
            </w:r>
            <w:r>
              <w:rPr>
                <w:rFonts w:hint="eastAsia" w:ascii="宋体" w:hAnsi="宋体" w:eastAsia="宋体" w:cs="宋体"/>
                <w:b w:val="0"/>
                <w:bCs/>
                <w:color w:val="auto"/>
                <w:sz w:val="21"/>
                <w:szCs w:val="21"/>
                <w:lang w:val="en-US" w:eastAsia="zh-CN"/>
              </w:rPr>
              <w:t>证明</w:t>
            </w:r>
          </w:p>
        </w:tc>
        <w:tc>
          <w:tcPr>
            <w:tcW w:w="6116" w:type="dxa"/>
            <w:shd w:val="clear" w:color="auto" w:fill="auto"/>
            <w:vAlign w:val="center"/>
          </w:tcPr>
          <w:p w14:paraId="2CD9FB16">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b w:val="0"/>
                <w:bCs/>
                <w:color w:val="auto"/>
                <w:kern w:val="2"/>
                <w:sz w:val="21"/>
                <w:szCs w:val="21"/>
                <w:lang w:val="en-US" w:eastAsia="zh-CN"/>
              </w:rPr>
              <w:t>提供</w:t>
            </w: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小微</w:t>
            </w:r>
            <w:r>
              <w:rPr>
                <w:rFonts w:hint="eastAsia" w:ascii="宋体" w:hAnsi="宋体" w:eastAsia="宋体" w:cs="宋体"/>
                <w:b w:val="0"/>
                <w:bCs/>
                <w:color w:val="auto"/>
                <w:kern w:val="2"/>
                <w:sz w:val="21"/>
                <w:szCs w:val="21"/>
              </w:rPr>
              <w:t>企业声明函</w:t>
            </w:r>
            <w:r>
              <w:rPr>
                <w:rFonts w:hint="eastAsia" w:cs="宋体"/>
                <w:b w:val="0"/>
                <w:bCs/>
                <w:color w:val="auto"/>
                <w:kern w:val="2"/>
                <w:sz w:val="21"/>
                <w:szCs w:val="21"/>
                <w:lang w:eastAsia="zh-CN"/>
              </w:rPr>
              <w:t>。</w:t>
            </w:r>
          </w:p>
        </w:tc>
      </w:tr>
      <w:tr w14:paraId="1DD7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97" w:type="dxa"/>
            <w:vAlign w:val="center"/>
          </w:tcPr>
          <w:p w14:paraId="2DC634F7">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lang w:eastAsia="zh-CN"/>
              </w:rPr>
            </w:pPr>
            <w:r>
              <w:rPr>
                <w:rFonts w:hint="eastAsia" w:ascii="宋体" w:hAnsi="宋体"/>
                <w:sz w:val="21"/>
                <w:szCs w:val="21"/>
              </w:rPr>
              <w:t>10.</w:t>
            </w:r>
            <w:r>
              <w:rPr>
                <w:rFonts w:hint="eastAsia" w:ascii="宋体" w:hAnsi="宋体"/>
                <w:sz w:val="21"/>
                <w:szCs w:val="21"/>
                <w:lang w:val="en-US" w:eastAsia="zh-CN"/>
              </w:rPr>
              <w:t>5</w:t>
            </w:r>
          </w:p>
        </w:tc>
        <w:tc>
          <w:tcPr>
            <w:tcW w:w="2080" w:type="dxa"/>
            <w:shd w:val="clear" w:color="auto" w:fill="auto"/>
            <w:vAlign w:val="center"/>
          </w:tcPr>
          <w:p w14:paraId="755CFB5A">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sz w:val="21"/>
                <w:szCs w:val="21"/>
              </w:rPr>
              <w:t>代理服务费</w:t>
            </w:r>
          </w:p>
        </w:tc>
        <w:tc>
          <w:tcPr>
            <w:tcW w:w="6116" w:type="dxa"/>
            <w:shd w:val="clear" w:color="auto" w:fill="auto"/>
            <w:vAlign w:val="center"/>
          </w:tcPr>
          <w:p w14:paraId="5D4B1074">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cs="宋体"/>
                <w:sz w:val="21"/>
                <w:szCs w:val="21"/>
                <w:highlight w:val="none"/>
                <w:lang w:val="en-US" w:eastAsia="zh-CN"/>
              </w:rPr>
              <w:t>由中标（成交）供应商支付，</w:t>
            </w:r>
            <w:r>
              <w:rPr>
                <w:rFonts w:hint="eastAsia" w:ascii="宋体" w:hAnsi="宋体" w:eastAsia="宋体" w:cs="宋体"/>
                <w:sz w:val="21"/>
                <w:szCs w:val="21"/>
                <w:highlight w:val="none"/>
                <w:lang w:val="zh-CN"/>
              </w:rPr>
              <w:t>执行《国家发展改革委关于进一步放开建设项目专业服务价格的通知》（发改价格〔2015〕299号）</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按照中标价格的1.5%计取采购代理服务费</w:t>
            </w:r>
            <w:r>
              <w:rPr>
                <w:rFonts w:hint="eastAsia" w:ascii="宋体" w:hAnsi="宋体" w:eastAsia="宋体" w:cs="宋体"/>
                <w:sz w:val="21"/>
                <w:szCs w:val="21"/>
                <w:highlight w:val="none"/>
                <w:lang w:val="zh-CN"/>
              </w:rPr>
              <w:t>。中标结果公示结束后中标通知书发放前由中标人向招标代理机构足额缴纳。</w:t>
            </w:r>
          </w:p>
        </w:tc>
      </w:tr>
    </w:tbl>
    <w:p w14:paraId="0CD94B6D">
      <w:pPr>
        <w:jc w:val="center"/>
        <w:rPr>
          <w:sz w:val="30"/>
          <w:szCs w:val="30"/>
        </w:rPr>
      </w:pPr>
    </w:p>
    <w:p w14:paraId="48AB4678">
      <w:pPr>
        <w:widowControl/>
        <w:jc w:val="left"/>
        <w:rPr>
          <w:rFonts w:hint="eastAsia" w:ascii="宋体" w:hAnsi="宋体" w:eastAsia="宋体" w:cs="宋体"/>
          <w:sz w:val="24"/>
          <w:szCs w:val="24"/>
        </w:rPr>
      </w:pPr>
      <w:r>
        <w:rPr>
          <w:sz w:val="30"/>
          <w:szCs w:val="30"/>
        </w:rPr>
        <w:br w:type="page"/>
      </w:r>
    </w:p>
    <w:p w14:paraId="2D1559A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供应商须知正文部分</w:t>
      </w:r>
    </w:p>
    <w:p w14:paraId="19E5FD6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4" w:name="_Toc31763"/>
      <w:bookmarkStart w:id="5" w:name="_Toc403382372"/>
      <w:bookmarkStart w:id="6" w:name="_Toc179632546"/>
      <w:bookmarkStart w:id="7" w:name="_Toc152042305"/>
      <w:bookmarkStart w:id="8" w:name="_Toc144974497"/>
      <w:bookmarkStart w:id="9" w:name="_Toc152045529"/>
      <w:r>
        <w:rPr>
          <w:rFonts w:hint="eastAsia" w:ascii="宋体" w:hAnsi="宋体" w:eastAsia="宋体" w:cs="宋体"/>
          <w:sz w:val="24"/>
          <w:szCs w:val="24"/>
        </w:rPr>
        <w:t>1. 总则</w:t>
      </w:r>
      <w:bookmarkEnd w:id="4"/>
      <w:bookmarkEnd w:id="5"/>
      <w:bookmarkEnd w:id="6"/>
      <w:bookmarkEnd w:id="7"/>
      <w:bookmarkEnd w:id="8"/>
      <w:bookmarkEnd w:id="9"/>
    </w:p>
    <w:p w14:paraId="58B3632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0" w:name="_Toc144974498"/>
      <w:bookmarkStart w:id="11" w:name="_Toc152042306"/>
      <w:bookmarkStart w:id="12" w:name="_Toc403382373"/>
      <w:bookmarkStart w:id="13" w:name="_Toc152045530"/>
      <w:bookmarkStart w:id="14" w:name="_Toc179632547"/>
      <w:r>
        <w:rPr>
          <w:rFonts w:hint="eastAsia" w:ascii="宋体" w:hAnsi="宋体" w:eastAsia="宋体" w:cs="宋体"/>
          <w:sz w:val="24"/>
          <w:szCs w:val="24"/>
        </w:rPr>
        <w:t>1.1 项目概况</w:t>
      </w:r>
      <w:bookmarkEnd w:id="10"/>
      <w:bookmarkEnd w:id="11"/>
      <w:bookmarkEnd w:id="12"/>
      <w:bookmarkEnd w:id="13"/>
      <w:bookmarkEnd w:id="14"/>
    </w:p>
    <w:p w14:paraId="5A37EE6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1.1.1根据《中华人民共和国政府采购法》</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《中华人民共和国政府采购法实施条例》</w:t>
      </w:r>
      <w:r>
        <w:rPr>
          <w:rFonts w:hint="eastAsia" w:ascii="宋体" w:hAnsi="宋体" w:eastAsia="宋体" w:cs="宋体"/>
          <w:sz w:val="24"/>
          <w:szCs w:val="24"/>
          <w:lang w:eastAsia="zh-CN"/>
        </w:rPr>
        <w:t>、</w:t>
      </w:r>
      <w:r>
        <w:rPr>
          <w:rFonts w:hint="eastAsia" w:ascii="宋体" w:hAnsi="宋体" w:eastAsia="宋体" w:cs="宋体"/>
          <w:sz w:val="24"/>
          <w:szCs w:val="24"/>
        </w:rPr>
        <w:t>《政府采购货物和服务招标投标管理办法》</w:t>
      </w:r>
      <w:r>
        <w:rPr>
          <w:rFonts w:hint="eastAsia" w:ascii="宋体" w:hAnsi="宋体" w:eastAsia="宋体" w:cs="宋体"/>
          <w:sz w:val="24"/>
          <w:szCs w:val="24"/>
          <w:lang w:eastAsia="zh-CN"/>
        </w:rPr>
        <w:t>、</w:t>
      </w:r>
      <w:r>
        <w:rPr>
          <w:rFonts w:hint="eastAsia" w:ascii="宋体" w:hAnsi="宋体" w:eastAsia="宋体" w:cs="宋体"/>
          <w:sz w:val="24"/>
          <w:szCs w:val="24"/>
        </w:rPr>
        <w:t>《政府采购竞争性磋商采购方式管理暂行办法》等有关法律、法规和规章的规定，本项目已具备采购条件，现对本项目进行竞争性磋商采购。</w:t>
      </w:r>
    </w:p>
    <w:p w14:paraId="63128B3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本政府采购项目采购人：见供应商须知前附表。</w:t>
      </w:r>
    </w:p>
    <w:p w14:paraId="1D44785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本项目包采购代理机构：见供应商须知前附表。</w:t>
      </w:r>
    </w:p>
    <w:p w14:paraId="4AE2B0A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本政府采购项目名称：见供应商须知前附表。</w:t>
      </w:r>
    </w:p>
    <w:p w14:paraId="677679B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5" w:name="_Toc144974499"/>
      <w:bookmarkStart w:id="16" w:name="_Toc152042307"/>
      <w:bookmarkStart w:id="17" w:name="_Toc152045531"/>
      <w:bookmarkStart w:id="18" w:name="_Toc179632548"/>
      <w:bookmarkStart w:id="19" w:name="_Toc403382374"/>
      <w:r>
        <w:rPr>
          <w:rFonts w:hint="eastAsia" w:ascii="宋体" w:hAnsi="宋体" w:eastAsia="宋体" w:cs="宋体"/>
          <w:sz w:val="24"/>
          <w:szCs w:val="24"/>
        </w:rPr>
        <w:t>1.2 资金来源和落实情况</w:t>
      </w:r>
      <w:bookmarkEnd w:id="15"/>
      <w:bookmarkEnd w:id="16"/>
      <w:bookmarkEnd w:id="17"/>
      <w:bookmarkEnd w:id="18"/>
      <w:bookmarkEnd w:id="19"/>
    </w:p>
    <w:p w14:paraId="1D92CEC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本政府采购项目的资金来源：见供应商须知前附表。</w:t>
      </w:r>
    </w:p>
    <w:p w14:paraId="6DC5B73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 本政府采购项目的出资比例：见供应商须知前附表。</w:t>
      </w:r>
    </w:p>
    <w:p w14:paraId="38DB181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本政府采购项目的资金落实情况：见供应商须知前附表。</w:t>
      </w:r>
    </w:p>
    <w:p w14:paraId="6A514E0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0" w:name="_Toc152045532"/>
      <w:bookmarkStart w:id="21" w:name="_Toc144974500"/>
      <w:bookmarkStart w:id="22" w:name="_Toc152042308"/>
      <w:bookmarkStart w:id="23" w:name="_Toc403382375"/>
      <w:bookmarkStart w:id="24" w:name="_Toc179632549"/>
      <w:r>
        <w:rPr>
          <w:rFonts w:hint="eastAsia" w:ascii="宋体" w:hAnsi="宋体" w:eastAsia="宋体" w:cs="宋体"/>
          <w:sz w:val="24"/>
          <w:szCs w:val="24"/>
        </w:rPr>
        <w:t>1.3 采购范围和要求</w:t>
      </w:r>
      <w:bookmarkEnd w:id="20"/>
      <w:bookmarkEnd w:id="21"/>
      <w:bookmarkEnd w:id="22"/>
      <w:bookmarkEnd w:id="23"/>
      <w:bookmarkEnd w:id="24"/>
    </w:p>
    <w:p w14:paraId="6011A6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 本次采购范围：见供应商须知前附表。</w:t>
      </w:r>
    </w:p>
    <w:p w14:paraId="56C2A3C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 本项目包的服务期：见供应商须知前附表。</w:t>
      </w:r>
    </w:p>
    <w:p w14:paraId="2BD5DD2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5" w:name="_Toc152042310"/>
      <w:bookmarkStart w:id="26" w:name="_Toc179632551"/>
      <w:bookmarkStart w:id="27" w:name="_Toc152045534"/>
      <w:bookmarkStart w:id="28" w:name="_Toc144974502"/>
      <w:bookmarkStart w:id="29" w:name="_Toc403382377"/>
      <w:r>
        <w:rPr>
          <w:rFonts w:hint="eastAsia" w:ascii="宋体" w:hAnsi="宋体" w:eastAsia="宋体" w:cs="宋体"/>
          <w:sz w:val="24"/>
          <w:szCs w:val="24"/>
        </w:rPr>
        <w:t>1.4 供应商资格要求</w:t>
      </w:r>
      <w:bookmarkEnd w:id="25"/>
      <w:bookmarkEnd w:id="26"/>
      <w:bookmarkEnd w:id="27"/>
      <w:bookmarkEnd w:id="28"/>
      <w:bookmarkEnd w:id="29"/>
    </w:p>
    <w:p w14:paraId="3C5BDD6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1.4.1供应商应具备承担本项目包资质条件、能力和信誉：见供应商须知前附表。</w:t>
      </w:r>
    </w:p>
    <w:p w14:paraId="4BCF74C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1.4.2 供应商须知前附表规定接受联合体磋商的，除应符合本章第1.4.1项和供应商须知前附表的要求外，还应遵守以下规定： </w:t>
      </w:r>
    </w:p>
    <w:p w14:paraId="5C5027A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采购人提交联合协议，载明联合体各方承担的工作和义务；</w:t>
      </w:r>
    </w:p>
    <w:p w14:paraId="2FFC255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（2）联合体各方应当共同与采购人签订采购合同，就采购合同约定的事项对采购人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"http://baike.baidu.com/view/278880.htm" \t "http://baike.baidu.com/_blank"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承担连带责任</w:t>
      </w:r>
      <w:r>
        <w:rPr>
          <w:rFonts w:hint="eastAsia" w:ascii="宋体" w:hAnsi="宋体" w:eastAsia="宋体" w:cs="宋体"/>
          <w:sz w:val="24"/>
          <w:szCs w:val="24"/>
        </w:rPr>
        <w:fldChar w:fldCharType="end"/>
      </w:r>
      <w:r>
        <w:rPr>
          <w:rFonts w:hint="eastAsia" w:ascii="宋体" w:hAnsi="宋体" w:eastAsia="宋体" w:cs="宋体"/>
          <w:sz w:val="24"/>
          <w:szCs w:val="24"/>
        </w:rPr>
        <w:t>；</w:t>
      </w:r>
    </w:p>
    <w:p w14:paraId="1D5E7FD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（3）联合体中有同类资质的供应商按照联合体分工承担相同工作的，应当按照资质等级较低的供应商确定资质等级；</w:t>
      </w:r>
    </w:p>
    <w:p w14:paraId="250D1B2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（4）以联合体形式参加政府采购活动的，联合体各方不得再单独参加或者与其他供应商另外组成联合体参加同一合同项下的政府采购活动。</w:t>
      </w:r>
    </w:p>
    <w:p w14:paraId="5F26A12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本项目不适用</w:t>
      </w:r>
    </w:p>
    <w:p w14:paraId="44755FC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1.4.3供应商存在下列情形之一的，相关响应文件均无效：</w:t>
      </w:r>
    </w:p>
    <w:p w14:paraId="07D665F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（1）与采购人员及相关人员存在利害关系影响公正性的；</w:t>
      </w:r>
    </w:p>
    <w:p w14:paraId="1F93855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（2）单位负责人为同一人或者存在直接控股、管理关系的不同供应商，参加同一合同项下的政府采购活动的，共同组成联合体的除外。</w:t>
      </w:r>
    </w:p>
    <w:p w14:paraId="385B0DD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30" w:name="_Toc144974503"/>
      <w:bookmarkStart w:id="31" w:name="_Toc403382378"/>
      <w:bookmarkStart w:id="32" w:name="_Toc152045535"/>
      <w:bookmarkStart w:id="33" w:name="_Toc152042311"/>
      <w:bookmarkStart w:id="34" w:name="_Toc179632552"/>
      <w:r>
        <w:rPr>
          <w:rFonts w:hint="eastAsia" w:ascii="宋体" w:hAnsi="宋体" w:eastAsia="宋体" w:cs="宋体"/>
          <w:sz w:val="24"/>
          <w:szCs w:val="24"/>
        </w:rPr>
        <w:t>1.5 费用承担</w:t>
      </w:r>
      <w:bookmarkEnd w:id="30"/>
      <w:bookmarkEnd w:id="31"/>
      <w:bookmarkEnd w:id="32"/>
      <w:bookmarkEnd w:id="33"/>
      <w:bookmarkEnd w:id="34"/>
    </w:p>
    <w:p w14:paraId="1A5C621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供应商准备和参加政府采购活动发生的费用自理。</w:t>
      </w:r>
    </w:p>
    <w:p w14:paraId="45189AA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35" w:name="_Toc179632553"/>
      <w:bookmarkStart w:id="36" w:name="_Toc152042312"/>
      <w:bookmarkStart w:id="37" w:name="_Toc152045536"/>
      <w:bookmarkStart w:id="38" w:name="_Toc403382379"/>
      <w:bookmarkStart w:id="39" w:name="_Toc144974504"/>
      <w:r>
        <w:rPr>
          <w:rFonts w:hint="eastAsia" w:ascii="宋体" w:hAnsi="宋体" w:eastAsia="宋体" w:cs="宋体"/>
          <w:sz w:val="24"/>
          <w:szCs w:val="24"/>
        </w:rPr>
        <w:t>1.6 保密</w:t>
      </w:r>
      <w:bookmarkEnd w:id="35"/>
      <w:bookmarkEnd w:id="36"/>
      <w:bookmarkEnd w:id="37"/>
      <w:bookmarkEnd w:id="38"/>
      <w:bookmarkEnd w:id="39"/>
    </w:p>
    <w:p w14:paraId="0D01BF5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参与政府采购活动的各方应对竞争性磋商文件和响应文件中的商业和技术等秘密保密，违者应对由此造成的后果承担法律责任。 </w:t>
      </w:r>
    </w:p>
    <w:p w14:paraId="147A751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40" w:name="_Toc144974505"/>
      <w:bookmarkStart w:id="41" w:name="_Toc152045537"/>
      <w:bookmarkStart w:id="42" w:name="_Toc179632554"/>
      <w:bookmarkStart w:id="43" w:name="_Toc403382380"/>
      <w:bookmarkStart w:id="44" w:name="_Toc152042313"/>
      <w:r>
        <w:rPr>
          <w:rFonts w:hint="eastAsia" w:ascii="宋体" w:hAnsi="宋体" w:eastAsia="宋体" w:cs="宋体"/>
          <w:sz w:val="24"/>
          <w:szCs w:val="24"/>
        </w:rPr>
        <w:t>1.7 语言</w:t>
      </w:r>
      <w:bookmarkEnd w:id="40"/>
      <w:r>
        <w:rPr>
          <w:rFonts w:hint="eastAsia" w:ascii="宋体" w:hAnsi="宋体" w:eastAsia="宋体" w:cs="宋体"/>
          <w:sz w:val="24"/>
          <w:szCs w:val="24"/>
        </w:rPr>
        <w:t>文字</w:t>
      </w:r>
      <w:bookmarkEnd w:id="41"/>
      <w:bookmarkEnd w:id="42"/>
      <w:bookmarkEnd w:id="43"/>
      <w:bookmarkEnd w:id="44"/>
    </w:p>
    <w:p w14:paraId="1E57378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除专用术语外，与磋商文件有关的语言均使用中文。必要时专用术语应附有中文注释。</w:t>
      </w:r>
    </w:p>
    <w:p w14:paraId="4C2120E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45" w:name="_Toc403382381"/>
      <w:bookmarkStart w:id="46" w:name="_Toc152042314"/>
      <w:bookmarkStart w:id="47" w:name="_Toc152045538"/>
      <w:bookmarkStart w:id="48" w:name="_Toc144974506"/>
      <w:bookmarkStart w:id="49" w:name="_Toc179632555"/>
      <w:r>
        <w:rPr>
          <w:rFonts w:hint="eastAsia" w:ascii="宋体" w:hAnsi="宋体" w:eastAsia="宋体" w:cs="宋体"/>
          <w:sz w:val="24"/>
          <w:szCs w:val="24"/>
        </w:rPr>
        <w:t>1.8 计量单位</w:t>
      </w:r>
      <w:bookmarkEnd w:id="45"/>
      <w:bookmarkEnd w:id="46"/>
      <w:bookmarkEnd w:id="47"/>
      <w:bookmarkEnd w:id="48"/>
      <w:bookmarkEnd w:id="49"/>
    </w:p>
    <w:p w14:paraId="3AC537A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680D54F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50" w:name="_Toc144974510"/>
      <w:bookmarkStart w:id="51" w:name="_Toc403382386"/>
      <w:bookmarkStart w:id="52" w:name="_Toc4133"/>
      <w:bookmarkStart w:id="53" w:name="_Toc179632560"/>
      <w:bookmarkStart w:id="54" w:name="_Toc152045542"/>
      <w:bookmarkStart w:id="55" w:name="_Toc152042318"/>
      <w:r>
        <w:rPr>
          <w:rFonts w:hint="eastAsia" w:ascii="宋体" w:hAnsi="宋体" w:eastAsia="宋体" w:cs="宋体"/>
          <w:sz w:val="24"/>
          <w:szCs w:val="24"/>
        </w:rPr>
        <w:t xml:space="preserve">2. </w:t>
      </w:r>
      <w:bookmarkEnd w:id="50"/>
      <w:bookmarkEnd w:id="51"/>
      <w:bookmarkEnd w:id="52"/>
      <w:bookmarkEnd w:id="53"/>
      <w:bookmarkEnd w:id="54"/>
      <w:bookmarkEnd w:id="55"/>
      <w:r>
        <w:rPr>
          <w:rFonts w:hint="eastAsia" w:ascii="宋体" w:hAnsi="宋体" w:eastAsia="宋体" w:cs="宋体"/>
          <w:sz w:val="24"/>
          <w:szCs w:val="24"/>
        </w:rPr>
        <w:t>竞争性磋商文件</w:t>
      </w:r>
    </w:p>
    <w:p w14:paraId="5D04809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56" w:name="_Toc144974511"/>
      <w:bookmarkStart w:id="57" w:name="_Toc403382387"/>
      <w:bookmarkStart w:id="58" w:name="_Toc152045543"/>
      <w:bookmarkStart w:id="59" w:name="_Toc152042319"/>
      <w:bookmarkStart w:id="60" w:name="_Toc179632561"/>
      <w:r>
        <w:rPr>
          <w:rFonts w:hint="eastAsia" w:ascii="宋体" w:hAnsi="宋体" w:eastAsia="宋体" w:cs="宋体"/>
          <w:sz w:val="24"/>
          <w:szCs w:val="24"/>
        </w:rPr>
        <w:t>2.1 竞争性磋商文件的组成</w:t>
      </w:r>
      <w:bookmarkEnd w:id="56"/>
      <w:bookmarkEnd w:id="57"/>
      <w:bookmarkEnd w:id="58"/>
      <w:bookmarkEnd w:id="59"/>
      <w:bookmarkEnd w:id="60"/>
    </w:p>
    <w:p w14:paraId="75263D98">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本竞争性磋商文件包括：</w:t>
      </w:r>
    </w:p>
    <w:p w14:paraId="15494FB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（1）竞争性磋商公告（磋商邀请）；</w:t>
      </w:r>
    </w:p>
    <w:p w14:paraId="2D12475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（2）供应商须知；</w:t>
      </w:r>
    </w:p>
    <w:p w14:paraId="6C6EFD7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（3）评审办法；</w:t>
      </w:r>
    </w:p>
    <w:p w14:paraId="1EB2A16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（4）合同条款及格式；</w:t>
      </w:r>
    </w:p>
    <w:p w14:paraId="5606B54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（5）技术标准和要求；</w:t>
      </w:r>
    </w:p>
    <w:p w14:paraId="4B0D24F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（6）响应文件格式；</w:t>
      </w:r>
    </w:p>
    <w:p w14:paraId="79266FC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（7）供应商须知前附表规定的其他材料。</w:t>
      </w:r>
    </w:p>
    <w:p w14:paraId="7FCC96D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对竞争性磋商文件所作的澄清、修改，构成竞争性磋商文件的组成部分。</w:t>
      </w:r>
    </w:p>
    <w:p w14:paraId="0A94122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61" w:name="_Toc152045544"/>
      <w:bookmarkStart w:id="62" w:name="_Toc144974512"/>
      <w:bookmarkStart w:id="63" w:name="_Toc403382388"/>
      <w:bookmarkStart w:id="64" w:name="_Toc152042320"/>
      <w:bookmarkStart w:id="65" w:name="_Toc179632562"/>
      <w:r>
        <w:rPr>
          <w:rFonts w:hint="eastAsia" w:ascii="宋体" w:hAnsi="宋体" w:eastAsia="宋体" w:cs="宋体"/>
          <w:sz w:val="24"/>
          <w:szCs w:val="24"/>
        </w:rPr>
        <w:t>2.2 竞争性磋商文件的澄清</w:t>
      </w:r>
      <w:bookmarkEnd w:id="61"/>
      <w:bookmarkEnd w:id="62"/>
      <w:bookmarkEnd w:id="63"/>
      <w:bookmarkEnd w:id="64"/>
      <w:bookmarkEnd w:id="65"/>
    </w:p>
    <w:p w14:paraId="7059BFF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供应商应仔细阅读和检查竞争性磋商文件的全部内容。如发现缺页或附件不全，应及时向采购人提出，以便补齐。如有疑问，应在供应商须知前附表规定的时间前，以书面形式要求采购人对竞争性磋商文件予以澄清。</w:t>
      </w:r>
    </w:p>
    <w:p w14:paraId="07A0B6C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 提交首次响应文件截止之日前，采购人、采购代理机构或者磋商小组可以对已发出的磋商文件进行必要的澄清，澄清的内容作为磋商文件的组成部分。澄清的内容可能影响响应文件编制的，采购人、采购代理机构或者磋商小组应当在提交首次响应文件截止之日5日前，在“政采云”平台（https://www.zcygov.cn）发布。供应商自行在“政采云”平台（https://www.zcygov.cn）下载更正文件，不足5日的，将顺延提交首次响应文件截止之日。</w:t>
      </w:r>
    </w:p>
    <w:p w14:paraId="186F1A6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澄清通知发出的同时,会在竞争性磋商公告发布媒体上发布变更公告（更正公告）供应商应注意及时浏览网上发出的变更公告（更正公告），因供应商自身原因未及时获知澄清内容而导致的任何后果将由供应商自行承担。</w:t>
      </w:r>
    </w:p>
    <w:p w14:paraId="1B20A1A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66" w:name="_Toc152045545"/>
      <w:bookmarkStart w:id="67" w:name="_Toc403382389"/>
      <w:bookmarkStart w:id="68" w:name="_Toc152042321"/>
      <w:bookmarkStart w:id="69" w:name="_Toc179632563"/>
      <w:bookmarkStart w:id="70" w:name="_Toc144974513"/>
      <w:r>
        <w:rPr>
          <w:rFonts w:hint="eastAsia" w:ascii="宋体" w:hAnsi="宋体" w:eastAsia="宋体" w:cs="宋体"/>
          <w:sz w:val="24"/>
          <w:szCs w:val="24"/>
        </w:rPr>
        <w:t>2.3 竞争性磋商文件的修改</w:t>
      </w:r>
      <w:bookmarkEnd w:id="66"/>
      <w:bookmarkEnd w:id="67"/>
      <w:bookmarkEnd w:id="68"/>
      <w:bookmarkEnd w:id="69"/>
      <w:bookmarkEnd w:id="70"/>
    </w:p>
    <w:p w14:paraId="685F2AE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 提交首次响应文件截止之日前，采购人、采购代理机构或者磋商小组可以对已发出的磋商文件进行必要的修改，修改的内容作为磋商文件的组成部分。修改的内容可能影响响应文件编制的，采购人、采购代理机构或者磋商小组应当在提交首次响应文件截止时间至少5日前，在“政采云”平台（https://www.zcygov.cn）发布，不足5日的，将顺延提交首次响应文件截止时间。</w:t>
      </w:r>
    </w:p>
    <w:p w14:paraId="4AA4009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2.3.2 修改通知发出的同时,会在竞争性磋商公告发布媒体上发布变更公告（更正公告）供应商应注意及时浏览网上发出的变更公告（更正公告），因供应商自身原因未及时获知修改内容而导致的任何后果将由供应商自行承担。</w:t>
      </w:r>
    </w:p>
    <w:p w14:paraId="3A00A1D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71" w:name="_Toc403382390"/>
      <w:r>
        <w:rPr>
          <w:rFonts w:hint="eastAsia" w:ascii="宋体" w:hAnsi="宋体" w:eastAsia="宋体" w:cs="宋体"/>
          <w:sz w:val="24"/>
          <w:szCs w:val="24"/>
        </w:rPr>
        <w:t>2.4 竞争性磋商的</w:t>
      </w:r>
      <w:bookmarkEnd w:id="71"/>
      <w:r>
        <w:rPr>
          <w:rFonts w:hint="eastAsia" w:ascii="宋体" w:hAnsi="宋体" w:eastAsia="宋体" w:cs="宋体"/>
          <w:sz w:val="24"/>
          <w:szCs w:val="24"/>
        </w:rPr>
        <w:t>询问与质疑</w:t>
      </w:r>
    </w:p>
    <w:p w14:paraId="3518D51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2.4.1供应商对政府采购活动事项有疑问的，可以向采购人提出询问，采购人或者采购代理机构应当在2个工作日内对供应商依法提出的询问作出答复。</w:t>
      </w:r>
    </w:p>
    <w:p w14:paraId="5C8C7B1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2.4.2供应商认为磋商文件、采购过程和成交、成交结果使自己的权益受到损害的，可以在知道或者应知其权益受到损害之日起七个工作日内，以书面形式向采购人提出质疑。</w:t>
      </w:r>
    </w:p>
    <w:p w14:paraId="5AAC3AD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 供应商应知其权益受到损害之日，是指：</w:t>
      </w:r>
    </w:p>
    <w:p w14:paraId="5138E50B">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对可以质疑的磋商文件提出质疑的，为收到竞争性磋商文件之日；</w:t>
      </w:r>
    </w:p>
    <w:p w14:paraId="5FB7B7C2">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对采购过程提出质疑的，为各采购程序环节结束之日；</w:t>
      </w:r>
    </w:p>
    <w:p w14:paraId="64406C05">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对成交或者成交结果提出质疑的，为成交或者成交结果公告期限届满之日</w:t>
      </w:r>
    </w:p>
    <w:p w14:paraId="593046A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 采购人对质疑的答复构成对竞争性磋商文件澄清或者修改的，采购人将按照本章第2.2款、第2.3款规定办理。</w:t>
      </w:r>
    </w:p>
    <w:p w14:paraId="748DE75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72" w:name="_Toc144974514"/>
      <w:bookmarkStart w:id="73" w:name="_Toc152042322"/>
      <w:bookmarkStart w:id="74" w:name="_Toc26173"/>
      <w:bookmarkStart w:id="75" w:name="_Toc179632564"/>
      <w:bookmarkStart w:id="76" w:name="_Toc403382391"/>
      <w:bookmarkStart w:id="77" w:name="_Toc152045546"/>
      <w:r>
        <w:rPr>
          <w:rFonts w:hint="eastAsia" w:ascii="宋体" w:hAnsi="宋体" w:eastAsia="宋体" w:cs="宋体"/>
          <w:sz w:val="24"/>
          <w:szCs w:val="24"/>
        </w:rPr>
        <w:t xml:space="preserve">3. </w:t>
      </w:r>
      <w:bookmarkEnd w:id="72"/>
      <w:bookmarkEnd w:id="73"/>
      <w:bookmarkEnd w:id="74"/>
      <w:bookmarkEnd w:id="75"/>
      <w:bookmarkEnd w:id="76"/>
      <w:bookmarkEnd w:id="77"/>
      <w:r>
        <w:rPr>
          <w:rFonts w:hint="eastAsia" w:ascii="宋体" w:hAnsi="宋体" w:eastAsia="宋体" w:cs="宋体"/>
          <w:sz w:val="24"/>
          <w:szCs w:val="24"/>
        </w:rPr>
        <w:t>响应文件</w:t>
      </w:r>
    </w:p>
    <w:p w14:paraId="061A5DE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78" w:name="_Toc403382392"/>
      <w:bookmarkStart w:id="79" w:name="_Toc144974515"/>
      <w:bookmarkStart w:id="80" w:name="_Toc152045547"/>
      <w:bookmarkStart w:id="81" w:name="_Toc179632565"/>
      <w:bookmarkStart w:id="82" w:name="_Toc152042323"/>
      <w:r>
        <w:rPr>
          <w:rFonts w:hint="eastAsia" w:ascii="宋体" w:hAnsi="宋体" w:eastAsia="宋体" w:cs="宋体"/>
          <w:sz w:val="24"/>
          <w:szCs w:val="24"/>
        </w:rPr>
        <w:t>3.1 响应文件的组成</w:t>
      </w:r>
      <w:bookmarkEnd w:id="78"/>
      <w:bookmarkEnd w:id="79"/>
      <w:bookmarkEnd w:id="80"/>
      <w:bookmarkEnd w:id="81"/>
      <w:bookmarkEnd w:id="82"/>
    </w:p>
    <w:p w14:paraId="3A0FD8C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3.1.1响应文件应包括下列内容：</w:t>
      </w:r>
    </w:p>
    <w:p w14:paraId="40BD73D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（1）响应函及报价一览表；</w:t>
      </w:r>
    </w:p>
    <w:p w14:paraId="1DEE279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（2）法定代表人身份证明；</w:t>
      </w:r>
    </w:p>
    <w:p w14:paraId="3B28123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（3）授权委托书；</w:t>
      </w:r>
    </w:p>
    <w:p w14:paraId="08FBA4B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供应商</w:t>
      </w:r>
      <w:r>
        <w:rPr>
          <w:rFonts w:hint="eastAsia" w:ascii="宋体" w:hAnsi="宋体" w:eastAsia="宋体" w:cs="宋体"/>
          <w:sz w:val="24"/>
          <w:szCs w:val="24"/>
        </w:rPr>
        <w:t>基本情况；</w:t>
      </w:r>
    </w:p>
    <w:p w14:paraId="388B43E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（5）供应商承诺函； </w:t>
      </w:r>
    </w:p>
    <w:p w14:paraId="1F1517E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（6）保证金；</w:t>
      </w:r>
    </w:p>
    <w:p w14:paraId="0DE83AA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（7）服务实施方案；</w:t>
      </w:r>
    </w:p>
    <w:p w14:paraId="72D7408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（8）项目管理机构；</w:t>
      </w:r>
    </w:p>
    <w:p w14:paraId="0952324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（9）资格审查资料；</w:t>
      </w:r>
    </w:p>
    <w:p w14:paraId="1F3B02A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（10）其他材料。</w:t>
      </w:r>
    </w:p>
    <w:p w14:paraId="0D271A1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3.1.2 供应商须知前附表规定不接受联合体的，或供应商没有组成联合体的，响应文件不包括本章第3.1.1（3）目所指的联合体协议书。 </w:t>
      </w:r>
    </w:p>
    <w:p w14:paraId="653346D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3.1.3 供应商应当按照竞争性磋商文件的要求编制响应文件，并对其提交的响应文件的真实性、合法性承担法律责任。</w:t>
      </w:r>
    </w:p>
    <w:p w14:paraId="334A9C3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83" w:name="_Toc179632566"/>
      <w:bookmarkStart w:id="84" w:name="_Toc152042324"/>
      <w:bookmarkStart w:id="85" w:name="_Toc152045548"/>
      <w:bookmarkStart w:id="86" w:name="_Toc403382393"/>
      <w:bookmarkStart w:id="87" w:name="_Toc144974516"/>
      <w:r>
        <w:rPr>
          <w:rFonts w:hint="eastAsia" w:ascii="宋体" w:hAnsi="宋体" w:eastAsia="宋体" w:cs="宋体"/>
          <w:sz w:val="24"/>
          <w:szCs w:val="24"/>
        </w:rPr>
        <w:t>3.2 报价</w:t>
      </w:r>
      <w:bookmarkEnd w:id="83"/>
      <w:bookmarkEnd w:id="84"/>
      <w:bookmarkEnd w:id="85"/>
      <w:bookmarkEnd w:id="86"/>
      <w:bookmarkEnd w:id="87"/>
      <w:r>
        <w:rPr>
          <w:rFonts w:hint="eastAsia" w:ascii="宋体" w:hAnsi="宋体" w:eastAsia="宋体" w:cs="宋体"/>
          <w:sz w:val="24"/>
          <w:szCs w:val="24"/>
        </w:rPr>
        <w:t>要求</w:t>
      </w:r>
    </w:p>
    <w:p w14:paraId="44F8F63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 供应商应按竞争性磋商的要求填写相应表格。</w:t>
      </w:r>
    </w:p>
    <w:p w14:paraId="419A284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 采购人按供应商须知前附表的规定设置或不设置预算控制价，设置预算控制价的，预算控制价明细在竞争性磋商文件中发给所有购买竞争性磋商文件的供应商。</w:t>
      </w:r>
    </w:p>
    <w:p w14:paraId="2183BC0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供应商响应函及报价一览表中的大写报价或算术错误修正后的报价大于预算控制价的，其磋商响应无效。</w:t>
      </w:r>
    </w:p>
    <w:p w14:paraId="1421E6A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88" w:name="_Toc152042325"/>
      <w:bookmarkStart w:id="89" w:name="_Toc179632567"/>
      <w:bookmarkStart w:id="90" w:name="_Toc144974517"/>
      <w:bookmarkStart w:id="91" w:name="_Toc403382394"/>
      <w:bookmarkStart w:id="92" w:name="_Toc152045549"/>
      <w:r>
        <w:rPr>
          <w:rFonts w:hint="eastAsia" w:ascii="宋体" w:hAnsi="宋体" w:eastAsia="宋体" w:cs="宋体"/>
          <w:sz w:val="24"/>
          <w:szCs w:val="24"/>
        </w:rPr>
        <w:t>3.3 响应文件有效期</w:t>
      </w:r>
      <w:bookmarkEnd w:id="88"/>
      <w:bookmarkEnd w:id="89"/>
      <w:bookmarkEnd w:id="90"/>
      <w:bookmarkEnd w:id="91"/>
      <w:bookmarkEnd w:id="92"/>
    </w:p>
    <w:p w14:paraId="7C8057A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 在供应商须知前附表规定的响应文件有效期内，供应商不得要求撤销或修改其响应文件。</w:t>
      </w:r>
    </w:p>
    <w:p w14:paraId="152D307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3.3.2出现特殊情况需要延长响应文件有效期的，采购人以书面形式通知所有供应商（或在“政采云”平台（https://www.zcygov.cn）发布信息）延长响应文件有效期。供应商同意延长的，应相应延长其磋商保证金的有效期，但不得要求或被允许修改或撤销其响应文件；供应商拒绝延长的，其磋商响应无效，但供应商有权收回其磋商保证金。 </w:t>
      </w:r>
    </w:p>
    <w:p w14:paraId="0F85AA6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93" w:name="_Toc152042326"/>
      <w:bookmarkStart w:id="94" w:name="_Toc144974518"/>
      <w:bookmarkStart w:id="95" w:name="_Toc152045550"/>
      <w:bookmarkStart w:id="96" w:name="_Toc403382395"/>
      <w:bookmarkStart w:id="97" w:name="_Toc179632568"/>
      <w:r>
        <w:rPr>
          <w:rFonts w:hint="eastAsia" w:ascii="宋体" w:hAnsi="宋体" w:eastAsia="宋体" w:cs="宋体"/>
          <w:sz w:val="24"/>
          <w:szCs w:val="24"/>
        </w:rPr>
        <w:t xml:space="preserve">3.4 </w:t>
      </w:r>
      <w:bookmarkEnd w:id="93"/>
      <w:bookmarkEnd w:id="94"/>
      <w:bookmarkEnd w:id="95"/>
      <w:bookmarkEnd w:id="96"/>
      <w:bookmarkEnd w:id="97"/>
      <w:r>
        <w:rPr>
          <w:rFonts w:hint="eastAsia" w:ascii="宋体" w:hAnsi="宋体" w:eastAsia="宋体" w:cs="宋体"/>
          <w:sz w:val="24"/>
          <w:szCs w:val="24"/>
        </w:rPr>
        <w:t>磋商保证金</w:t>
      </w:r>
    </w:p>
    <w:p w14:paraId="6ABA266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供应商须知前附表规定提交磋商保证金的，供应商在递交响应文件的同时，应按供应商须知前附表规定的形式、金额、递交截止时间、递交方式提交磋商保证金，并作为其响应文件的组成部分。联合体参与磋商的，可以由联合体中的一方或者多方共同交纳保证金，其交纳的保证金对联合体各方均具有约束力，并应符合供应商须知前附表的规定。</w:t>
      </w:r>
    </w:p>
    <w:p w14:paraId="507380A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 供应商不按本章第3.4.1项要求提交磋商保证金的，其磋商响应无效。</w:t>
      </w:r>
    </w:p>
    <w:p w14:paraId="66F7401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3.4.3 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p w14:paraId="7ACDBAD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3.4.4 有下列情形之一的，磋商保证金将不予退还： </w:t>
      </w:r>
    </w:p>
    <w:p w14:paraId="11770C5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98" w:name="_Toc144974519"/>
      <w:bookmarkStart w:id="99" w:name="_Toc152042327"/>
      <w:bookmarkStart w:id="100" w:name="_Toc179632569"/>
      <w:bookmarkStart w:id="101" w:name="_Toc152045551"/>
      <w:bookmarkStart w:id="102" w:name="_Toc403382396"/>
      <w:r>
        <w:rPr>
          <w:rFonts w:hint="eastAsia" w:ascii="宋体" w:hAnsi="宋体" w:eastAsia="宋体" w:cs="宋体"/>
          <w:sz w:val="24"/>
          <w:szCs w:val="24"/>
        </w:rPr>
        <w:t>供应商在提交响应文件截止时间后撤回响应文件的；</w:t>
      </w:r>
    </w:p>
    <w:p w14:paraId="100B7B5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供应商在响应文件中提供虚假材料的；</w:t>
      </w:r>
    </w:p>
    <w:p w14:paraId="25CCED6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除因不可抗力或磋商文件认可的情形以外，成交供应商不与采购人签订合同的；</w:t>
      </w:r>
    </w:p>
    <w:p w14:paraId="18C6CA7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供应商与采购人、其他供应商或者采购代理机构恶意串通的；</w:t>
      </w:r>
    </w:p>
    <w:p w14:paraId="40A2063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磋商文件规定的其他情形。 </w:t>
      </w:r>
    </w:p>
    <w:bookmarkEnd w:id="98"/>
    <w:bookmarkEnd w:id="99"/>
    <w:bookmarkEnd w:id="100"/>
    <w:bookmarkEnd w:id="101"/>
    <w:bookmarkEnd w:id="102"/>
    <w:p w14:paraId="1FDF1A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03" w:name="_Toc152042328"/>
      <w:bookmarkStart w:id="104" w:name="_Toc152045552"/>
      <w:bookmarkStart w:id="105" w:name="_Toc144974520"/>
      <w:bookmarkStart w:id="106" w:name="_Toc403382397"/>
      <w:bookmarkStart w:id="107" w:name="_Toc179632570"/>
      <w:r>
        <w:rPr>
          <w:rFonts w:hint="eastAsia" w:ascii="宋体" w:hAnsi="宋体" w:eastAsia="宋体" w:cs="宋体"/>
          <w:sz w:val="24"/>
          <w:szCs w:val="24"/>
        </w:rPr>
        <w:t>3.5 资格审查资料</w:t>
      </w:r>
      <w:bookmarkEnd w:id="103"/>
      <w:bookmarkEnd w:id="104"/>
      <w:bookmarkEnd w:id="105"/>
      <w:bookmarkEnd w:id="106"/>
      <w:bookmarkEnd w:id="107"/>
    </w:p>
    <w:p w14:paraId="4FBEFA6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08" w:name="_Toc144974521"/>
      <w:bookmarkStart w:id="109" w:name="_Toc152045553"/>
      <w:bookmarkStart w:id="110" w:name="_Toc179632571"/>
      <w:bookmarkStart w:id="111" w:name="_Toc403382398"/>
      <w:bookmarkStart w:id="112" w:name="_Toc152042329"/>
      <w:r>
        <w:rPr>
          <w:rFonts w:hint="eastAsia" w:ascii="宋体" w:hAnsi="宋体" w:eastAsia="宋体" w:cs="宋体"/>
          <w:sz w:val="24"/>
          <w:szCs w:val="24"/>
        </w:rPr>
        <w:t>3.5.1 “供应商基本情况表”应附供应商营业执照副本、资质证书副本等材料的复印件。</w:t>
      </w:r>
    </w:p>
    <w:p w14:paraId="3B53D95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3.5.2 “近年完成的类似项目情况表”应附成交通知书和（或）合同协议书及其他证明材料（如需要）的复印件。每张表格只填写一个项目，并标明序号。</w:t>
      </w:r>
    </w:p>
    <w:p w14:paraId="7A95D41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3.5.3供应商须知前附表规定接受联合体参与磋商的，本章第3.5项规定的表格和资料应包括联合体各方相关情况。</w:t>
      </w:r>
    </w:p>
    <w:p w14:paraId="722F032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本竞争性磋商文件中“类似项目”的定义见供应商须知前附表。</w:t>
      </w:r>
    </w:p>
    <w:p w14:paraId="5CE5BEA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3.5.5 “竞争性磋商公告要求的其他资格证明材料”应根据本项目竞争性磋商公告的要求提供资格证明材料的复印件和（或）原件。</w:t>
      </w:r>
    </w:p>
    <w:p w14:paraId="5218B79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 备选方案</w:t>
      </w:r>
      <w:bookmarkEnd w:id="108"/>
      <w:bookmarkEnd w:id="109"/>
      <w:bookmarkEnd w:id="110"/>
      <w:bookmarkEnd w:id="111"/>
      <w:bookmarkEnd w:id="112"/>
    </w:p>
    <w:p w14:paraId="783A6EA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供应商须知前附表另有规定外，供应商不得递交备选方案。允许供应商递交备选方案的，只有成交供应商所递交的备选方案方可予以考虑。磋商小组认为成交候选人的备选方案优于其按照竞争性磋商文件要求编制的磋商响应方案的，该成交候选人被确定成交供应商后，采购人可以接受该备选方案。</w:t>
      </w:r>
    </w:p>
    <w:p w14:paraId="0A6C611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13" w:name="_Toc144974522"/>
      <w:bookmarkStart w:id="114" w:name="_Toc152042330"/>
      <w:bookmarkStart w:id="115" w:name="_Toc179632572"/>
      <w:bookmarkStart w:id="116" w:name="_Toc403382399"/>
      <w:bookmarkStart w:id="117" w:name="_Toc152045554"/>
      <w:r>
        <w:rPr>
          <w:rFonts w:hint="eastAsia" w:ascii="宋体" w:hAnsi="宋体" w:eastAsia="宋体" w:cs="宋体"/>
          <w:sz w:val="24"/>
          <w:szCs w:val="24"/>
        </w:rPr>
        <w:t>3.7 响应文件的编制</w:t>
      </w:r>
      <w:bookmarkEnd w:id="113"/>
      <w:bookmarkEnd w:id="114"/>
      <w:bookmarkEnd w:id="115"/>
      <w:bookmarkEnd w:id="116"/>
      <w:bookmarkEnd w:id="117"/>
    </w:p>
    <w:p w14:paraId="42360A9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3.7.1响应文件应按第六章“响应文件格式”进行编写，如有必要，可以增加附页，作为响应文件的组成部分。</w:t>
      </w:r>
    </w:p>
    <w:p w14:paraId="449F787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3.7.2 响应文件应当对竞争性磋商文件有关服务期、响应文件有效期、质量要求、技术标准和要求、采购范围等实质性内容作出响应。</w:t>
      </w:r>
    </w:p>
    <w:p w14:paraId="6A99533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lang w:val="en-US" w:eastAsia="zh-CN"/>
        </w:rPr>
      </w:pPr>
      <w:bookmarkStart w:id="118" w:name="_Toc144974523"/>
      <w:bookmarkStart w:id="119" w:name="_Toc152045555"/>
      <w:bookmarkStart w:id="120" w:name="_Toc152042331"/>
      <w:bookmarkStart w:id="121" w:name="_Toc179632573"/>
      <w:bookmarkStart w:id="122" w:name="_Toc403382400"/>
      <w:bookmarkStart w:id="123" w:name="_Toc1087"/>
      <w:r>
        <w:rPr>
          <w:rFonts w:hint="eastAsia" w:ascii="宋体" w:hAnsi="宋体" w:cs="宋体"/>
          <w:sz w:val="24"/>
          <w:szCs w:val="24"/>
          <w:lang w:val="en-US" w:eastAsia="zh-CN"/>
        </w:rPr>
        <w:t>4.投标</w:t>
      </w:r>
    </w:p>
    <w:p w14:paraId="307AD3C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1</w:t>
      </w:r>
      <w:r>
        <w:rPr>
          <w:rFonts w:hint="eastAsia" w:ascii="宋体" w:hAnsi="宋体" w:eastAsia="宋体" w:cs="宋体"/>
          <w:sz w:val="24"/>
          <w:szCs w:val="24"/>
        </w:rPr>
        <w:t xml:space="preserve"> </w:t>
      </w:r>
      <w:bookmarkEnd w:id="118"/>
      <w:bookmarkEnd w:id="119"/>
      <w:bookmarkEnd w:id="120"/>
      <w:bookmarkEnd w:id="121"/>
      <w:bookmarkEnd w:id="122"/>
      <w:r>
        <w:rPr>
          <w:rFonts w:hint="eastAsia" w:ascii="宋体" w:hAnsi="宋体" w:eastAsia="宋体" w:cs="宋体"/>
          <w:sz w:val="24"/>
          <w:szCs w:val="24"/>
        </w:rPr>
        <w:t>响应文件的递交</w:t>
      </w:r>
      <w:bookmarkEnd w:id="123"/>
    </w:p>
    <w:p w14:paraId="62332DB8">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480" w:firstLineChars="200"/>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lang w:val="en-US"/>
        </w:rPr>
        <w:t>4.1</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en-US"/>
        </w:rPr>
        <w:t xml:space="preserve"> 供应商应在供应商须知前附表规定的投标截止时间前在“政采云”上传响应文件</w:t>
      </w:r>
    </w:p>
    <w:p w14:paraId="29F2C222">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480" w:firstLineChars="200"/>
        <w:textAlignment w:val="auto"/>
        <w:rPr>
          <w:rFonts w:hint="eastAsia" w:ascii="宋体" w:hAnsi="宋体" w:eastAsia="宋体" w:cs="宋体"/>
          <w:sz w:val="24"/>
          <w:szCs w:val="24"/>
          <w:highlight w:val="none"/>
        </w:rPr>
      </w:pPr>
      <w:bookmarkStart w:id="124" w:name="_Toc252705879"/>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供应商递交响应文件的地点：见供应商须知前附表。</w:t>
      </w:r>
      <w:bookmarkEnd w:id="124"/>
    </w:p>
    <w:p w14:paraId="37A773DD">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 除供应商须知前附表另有规定外，供应商所递交的响应文件不予退还。</w:t>
      </w:r>
    </w:p>
    <w:p w14:paraId="3C8F3B89">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4 逾期送达的或者未送达指定地点的响应文件，采购人不予受理</w:t>
      </w:r>
    </w:p>
    <w:p w14:paraId="3405E6AD">
      <w:pPr>
        <w:pStyle w:val="3"/>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highlight w:val="yellow"/>
          <w:lang w:val="zh-CN"/>
        </w:rPr>
        <w:t>注</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zh-CN"/>
        </w:rPr>
        <w:t>本项目仅需上传电子投标文件到</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zh-CN"/>
        </w:rPr>
        <w:t>政采云</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zh-CN"/>
        </w:rPr>
        <w:t>平台</w:t>
      </w:r>
      <w:r>
        <w:rPr>
          <w:rFonts w:hint="eastAsia" w:ascii="宋体" w:hAnsi="宋体" w:eastAsia="宋体" w:cs="宋体"/>
          <w:sz w:val="24"/>
          <w:szCs w:val="24"/>
          <w:highlight w:val="yellow"/>
        </w:rPr>
        <w:t>（https://www.zcygov.cn）</w:t>
      </w:r>
      <w:r>
        <w:rPr>
          <w:rFonts w:hint="eastAsia" w:ascii="宋体" w:hAnsi="宋体" w:eastAsia="宋体" w:cs="宋体"/>
          <w:sz w:val="24"/>
          <w:szCs w:val="24"/>
          <w:highlight w:val="yellow"/>
          <w:lang w:val="zh-CN"/>
        </w:rPr>
        <w:t>。否则按无效投标处理。</w:t>
      </w:r>
    </w:p>
    <w:p w14:paraId="45D5B3E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25" w:name="_Toc403382403"/>
      <w:bookmarkStart w:id="126" w:name="_Toc152045558"/>
      <w:bookmarkStart w:id="127" w:name="_Toc144974526"/>
      <w:bookmarkStart w:id="128" w:name="_Toc179632576"/>
      <w:bookmarkStart w:id="129" w:name="_Toc152042334"/>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 xml:space="preserve"> 响应文件的修改与撤回</w:t>
      </w:r>
      <w:bookmarkEnd w:id="125"/>
      <w:bookmarkEnd w:id="126"/>
      <w:bookmarkEnd w:id="127"/>
      <w:bookmarkEnd w:id="128"/>
      <w:bookmarkEnd w:id="129"/>
    </w:p>
    <w:p w14:paraId="0E693F0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.1 在本章第4.2.1项规定的响应文件送达截止时间前，供应商可以对所提交的响应文件进行补充、修改或者撤回，并书面通知采购人、采购代理机构。补充、修改的内容作为响应文件的组成部分。补充、修改的内容与响应文件不一致的，以补充、修改的内容为准。</w:t>
      </w:r>
    </w:p>
    <w:p w14:paraId="5766012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.2 供应商补充、修改或撤回已递交响应文件的书面通知应按照本章要求签字和盖章。</w:t>
      </w:r>
    </w:p>
    <w:p w14:paraId="504FC65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.3 供应商修改响应文件的，应当按照本章第3条、第4条规定进行编制、密封、标识和递交。其中，对现场递交的响应文件在封套上还应标明“修改”字样。</w:t>
      </w:r>
    </w:p>
    <w:p w14:paraId="7ECC7CB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30" w:name="_Toc152045559"/>
      <w:bookmarkStart w:id="131" w:name="_Toc152042335"/>
      <w:bookmarkStart w:id="132" w:name="_Toc403382404"/>
      <w:bookmarkStart w:id="133" w:name="_Toc179632577"/>
      <w:bookmarkStart w:id="134" w:name="_Toc144974527"/>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.4 在本章第4.2.1项规定的响应文件送达截止时间前，供应商撤回响应文件的，采购人自收到供应商书面撤回通知后，根据本磋商文件附件关于保证金缴纳的规定无息退还已收取的磋商保证金。</w:t>
      </w:r>
    </w:p>
    <w:p w14:paraId="51EA2D3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35" w:name="_Toc965"/>
      <w:r>
        <w:rPr>
          <w:rFonts w:hint="eastAsia" w:ascii="宋体" w:hAnsi="宋体" w:eastAsia="宋体" w:cs="宋体"/>
          <w:sz w:val="24"/>
          <w:szCs w:val="24"/>
        </w:rPr>
        <w:t>磋商仪式及</w:t>
      </w:r>
      <w:bookmarkEnd w:id="135"/>
      <w:r>
        <w:rPr>
          <w:rFonts w:hint="eastAsia" w:ascii="宋体" w:hAnsi="宋体" w:eastAsia="宋体" w:cs="宋体"/>
          <w:sz w:val="24"/>
          <w:szCs w:val="24"/>
        </w:rPr>
        <w:t>磋商程序</w:t>
      </w:r>
    </w:p>
    <w:p w14:paraId="738B6F6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响应文件开启时间和地点</w:t>
      </w:r>
    </w:p>
    <w:p w14:paraId="5568463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 采购人在本章第4.2.1项规定的响应文件送达截止时间和供应商须知前附表规定的地点（网络平台）举行磋商，并邀请所有供应商代表准时参加。</w:t>
      </w:r>
    </w:p>
    <w:p w14:paraId="04B98D8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采购代理机构按“竞争性磋商公告”中规定的日期、时间和地点（网络平台）组织现场磋商仪式。供应商须派竞争性磋商会由代理机构主持，邀请采购人和监管部门参加出席，供应商拟派的授权代表应按时参加网上磋商仪式。</w:t>
      </w:r>
    </w:p>
    <w:p w14:paraId="5A9CABF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 磋商顺序</w:t>
      </w:r>
    </w:p>
    <w:p w14:paraId="37E5C63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按上传递交磋商响应文件的顺序。</w:t>
      </w:r>
    </w:p>
    <w:p w14:paraId="39B6231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5.3初步审查</w:t>
      </w:r>
    </w:p>
    <w:p w14:paraId="7A9EBF6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磋商小组应当对各供应商的响应文件进行初步审查（具体审查标准详见第三章“评审办法”）。未通过初步审查的响应文件按无效处理，磋商小组应当告知有关供应商。</w:t>
      </w:r>
    </w:p>
    <w:p w14:paraId="740909D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5.4竞争性磋商程序</w:t>
      </w:r>
    </w:p>
    <w:p w14:paraId="3854564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5.4.1 初步审查完毕后，磋商小组对通过初步审查的供应商按其递交磋商响应文件的逆顺序依次进行磋商。</w:t>
      </w:r>
    </w:p>
    <w:p w14:paraId="31CAFA1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 磋商最初报价；</w:t>
      </w:r>
    </w:p>
    <w:p w14:paraId="05EB1AD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 供应商介绍企业情况；</w:t>
      </w:r>
    </w:p>
    <w:p w14:paraId="75B02F7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 供应商阐述本项目技术、服务要求以及合同草案条款的各项响应方案；</w:t>
      </w:r>
    </w:p>
    <w:p w14:paraId="7BCFDF9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 供应商需要说明的其他事项及其他优惠说明；</w:t>
      </w:r>
    </w:p>
    <w:p w14:paraId="2CE470F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⑸ 磋商小组对供应商提问，供应商答复及承诺；</w:t>
      </w:r>
    </w:p>
    <w:p w14:paraId="7316C75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⑹ 磋商小组所有成员应当集中与单一供应商分别进行磋商，并给予所有参加磋商的供应商平等的磋商机会</w:t>
      </w:r>
    </w:p>
    <w:p w14:paraId="10AC331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5.4.2磋商变动</w:t>
      </w:r>
    </w:p>
    <w:p w14:paraId="261B2A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7B023D2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5.4.3磋商变动后响应文件的变更</w:t>
      </w:r>
    </w:p>
    <w:p w14:paraId="2F821F1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当按照磋商文件的变动情况和磋商小组的要求重新提交响应文件，并由其法定代表人、负责人或授权代表签字或加盖公章。由授权代表签字的，应当附法定代表人授权书。供应商为自然人的，应当由本人签字并附身份证明。</w:t>
      </w:r>
    </w:p>
    <w:p w14:paraId="62B9C0B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5.4.4最后报价</w:t>
      </w:r>
    </w:p>
    <w:p w14:paraId="210463F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5.4.4.1 竞争性磋商文件能够详细列明采购标的的技术、服务要求的，磋商结束后，磋商小组应当要求所有继续参加磋商的供应商在规定时间内</w:t>
      </w:r>
      <w:r>
        <w:rPr>
          <w:rFonts w:hint="eastAsia" w:ascii="宋体" w:hAnsi="宋体" w:eastAsia="宋体" w:cs="宋体"/>
          <w:sz w:val="24"/>
          <w:szCs w:val="24"/>
          <w:highlight w:val="yellow"/>
        </w:rPr>
        <w:t>网上提交最后报价。所有投标响应人开评标阶段应时刻关注政采云平台，在平台提示进行二次报价（最终报价）时及时提交对应报价。</w:t>
      </w:r>
    </w:p>
    <w:p w14:paraId="50C4EEC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5.4.4.2 磋商文件不能详细列明采购标的的技术、服务要求，需经磋商由供应商提供最终设计方案或解决方案的，磋商结束后，磋商小组应当按照少数服从多数的原则投票推荐3家（含）以上供应商的设计方案或者解决方案，并要求其在规定时间内提交最后报价。</w:t>
      </w:r>
    </w:p>
    <w:p w14:paraId="42BFFCE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5.4.4.3 最后报价是供应商响应文件的有效组成部分。</w:t>
      </w:r>
    </w:p>
    <w:p w14:paraId="03942AC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5.4.4.4 已提交响应文件的供应商，在提交最后报价之前，可以根据磋商情况退出磋商。</w:t>
      </w:r>
    </w:p>
    <w:bookmarkEnd w:id="130"/>
    <w:bookmarkEnd w:id="131"/>
    <w:bookmarkEnd w:id="132"/>
    <w:bookmarkEnd w:id="133"/>
    <w:bookmarkEnd w:id="134"/>
    <w:p w14:paraId="7D593F7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36" w:name="_Toc152042338"/>
      <w:bookmarkStart w:id="137" w:name="_Toc144974530"/>
      <w:bookmarkStart w:id="138" w:name="_Toc179632580"/>
      <w:bookmarkStart w:id="139" w:name="_Toc152045562"/>
      <w:bookmarkStart w:id="140" w:name="_Toc403382409"/>
      <w:bookmarkStart w:id="141" w:name="_Toc2367"/>
      <w:r>
        <w:rPr>
          <w:rFonts w:hint="eastAsia" w:ascii="宋体" w:hAnsi="宋体" w:eastAsia="宋体" w:cs="宋体"/>
          <w:sz w:val="24"/>
          <w:szCs w:val="24"/>
        </w:rPr>
        <w:t>6. 评</w:t>
      </w:r>
      <w:bookmarkEnd w:id="136"/>
      <w:bookmarkEnd w:id="137"/>
      <w:bookmarkEnd w:id="138"/>
      <w:bookmarkEnd w:id="139"/>
      <w:bookmarkEnd w:id="140"/>
      <w:r>
        <w:rPr>
          <w:rFonts w:hint="eastAsia" w:ascii="宋体" w:hAnsi="宋体" w:eastAsia="宋体" w:cs="宋体"/>
          <w:sz w:val="24"/>
          <w:szCs w:val="24"/>
        </w:rPr>
        <w:t>审</w:t>
      </w:r>
      <w:bookmarkEnd w:id="141"/>
    </w:p>
    <w:p w14:paraId="2F1491B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42" w:name="_Toc179632581"/>
      <w:bookmarkStart w:id="143" w:name="_Toc144974531"/>
      <w:bookmarkStart w:id="144" w:name="_Toc152045563"/>
      <w:bookmarkStart w:id="145" w:name="_Toc152042339"/>
      <w:bookmarkStart w:id="146" w:name="_Toc403382410"/>
      <w:r>
        <w:rPr>
          <w:rFonts w:hint="eastAsia" w:ascii="宋体" w:hAnsi="宋体" w:eastAsia="宋体" w:cs="宋体"/>
          <w:sz w:val="24"/>
          <w:szCs w:val="24"/>
        </w:rPr>
        <w:t xml:space="preserve">6.1 </w:t>
      </w:r>
      <w:bookmarkEnd w:id="142"/>
      <w:bookmarkEnd w:id="143"/>
      <w:bookmarkEnd w:id="144"/>
      <w:bookmarkEnd w:id="145"/>
      <w:bookmarkEnd w:id="146"/>
      <w:r>
        <w:rPr>
          <w:rFonts w:hint="eastAsia" w:ascii="宋体" w:hAnsi="宋体" w:eastAsia="宋体" w:cs="宋体"/>
          <w:sz w:val="24"/>
          <w:szCs w:val="24"/>
        </w:rPr>
        <w:t>磋商小组</w:t>
      </w:r>
    </w:p>
    <w:p w14:paraId="52F35D1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47" w:name="_Toc179632582"/>
      <w:bookmarkStart w:id="148" w:name="_Toc403382411"/>
      <w:bookmarkStart w:id="149" w:name="_Toc152042340"/>
      <w:bookmarkStart w:id="150" w:name="_Toc144974532"/>
      <w:bookmarkStart w:id="151" w:name="_Toc152045564"/>
      <w:r>
        <w:rPr>
          <w:rFonts w:hint="eastAsia" w:ascii="宋体" w:hAnsi="宋体" w:eastAsia="宋体" w:cs="宋体"/>
          <w:sz w:val="24"/>
          <w:szCs w:val="24"/>
        </w:rPr>
        <w:t>6.1.1采购代理机构将按照《中华人民共和国政府采购法》《中华人民共和国政府采购法实施条例》和《政府采购竞争性磋商采购方式管理暂行办法》有关规定组建磋商小组。</w:t>
      </w:r>
    </w:p>
    <w:p w14:paraId="3996EEE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 磋商小组由采购人代表和评审专家共3人以上单数组成，其中评审专家人数不得少于竞争性磋商小组成员总数的三分之二，采购人不得以评审专家身份参加本部门或本单位采购项目的评审。</w:t>
      </w:r>
    </w:p>
    <w:p w14:paraId="1C7DDF7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6.1.3 在政府采购活动中，采购人员及相关人员与供应商有下列利害关系之一的，应当回避：</w:t>
      </w:r>
    </w:p>
    <w:p w14:paraId="0DB7FDC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参加采购活动前3年内与供应商存在劳动关系；</w:t>
      </w:r>
    </w:p>
    <w:p w14:paraId="519762B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参加采购活动前3年内担任供应商的董事、监事；</w:t>
      </w:r>
    </w:p>
    <w:p w14:paraId="3221E68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参加采购活动前3年内是供应商的控股股东或者实际控制人；</w:t>
      </w:r>
    </w:p>
    <w:p w14:paraId="3D69C7A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与供应商的法定代表人或者负责人有夫妻、直系血亲、三代以内旁系血亲或者近姻亲关系；</w:t>
      </w:r>
    </w:p>
    <w:p w14:paraId="1C38F03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与供应商有其他可能影响政府采购活动公平、公正进行的关系。</w:t>
      </w:r>
    </w:p>
    <w:p w14:paraId="1785C23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 评审原则</w:t>
      </w:r>
      <w:bookmarkEnd w:id="147"/>
      <w:bookmarkEnd w:id="148"/>
      <w:bookmarkEnd w:id="149"/>
      <w:bookmarkEnd w:id="150"/>
      <w:bookmarkEnd w:id="151"/>
      <w:r>
        <w:rPr>
          <w:rFonts w:hint="eastAsia" w:ascii="宋体" w:hAnsi="宋体" w:eastAsia="宋体" w:cs="宋体"/>
          <w:sz w:val="24"/>
          <w:szCs w:val="24"/>
        </w:rPr>
        <w:tab/>
      </w:r>
    </w:p>
    <w:p w14:paraId="374D4412">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bookmarkStart w:id="152" w:name="_Toc152045565"/>
      <w:bookmarkStart w:id="153" w:name="_Toc403382412"/>
      <w:bookmarkStart w:id="154" w:name="_Toc179632583"/>
      <w:bookmarkStart w:id="155" w:name="_Toc144974533"/>
      <w:bookmarkStart w:id="156" w:name="_Toc152042341"/>
      <w:r>
        <w:rPr>
          <w:rFonts w:hint="eastAsia" w:ascii="宋体" w:hAnsi="宋体" w:eastAsia="宋体" w:cs="宋体"/>
          <w:sz w:val="24"/>
          <w:szCs w:val="24"/>
        </w:rPr>
        <w:t xml:space="preserve">    竞争性磋商小组成员按照客观、公正、审慎的原则，根据磋商文件规定的评审程序、评审方法和评审标准进行独立评审。</w:t>
      </w:r>
    </w:p>
    <w:p w14:paraId="6950202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 评</w:t>
      </w:r>
      <w:bookmarkEnd w:id="152"/>
      <w:bookmarkEnd w:id="153"/>
      <w:bookmarkEnd w:id="154"/>
      <w:bookmarkEnd w:id="155"/>
      <w:bookmarkEnd w:id="156"/>
      <w:r>
        <w:rPr>
          <w:rFonts w:hint="eastAsia" w:ascii="宋体" w:hAnsi="宋体" w:eastAsia="宋体" w:cs="宋体"/>
          <w:sz w:val="24"/>
          <w:szCs w:val="24"/>
        </w:rPr>
        <w:t>审</w:t>
      </w:r>
    </w:p>
    <w:p w14:paraId="25CD80A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6.3.1磋商小组按照第三章“评审办法”规定的方法、评审因素、标准和程序对响应文件进行评审。第三章“评审办法”没有规定的方法、评审因素和标准，不作为评审依据。</w:t>
      </w:r>
    </w:p>
    <w:p w14:paraId="2A4658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6.4磋商及评审过程保密</w:t>
      </w:r>
    </w:p>
    <w:p w14:paraId="2CF075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6.4.1凡是属于审查、澄清、评价和比较各供应商的有关资料以及推荐意向等，磋商小组及有关工作人员自始至终均不得向供应商或其它无关的人员透露。</w:t>
      </w:r>
    </w:p>
    <w:p w14:paraId="44AA232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6.4.2在磋商评审期间，供应商企图影响采购人、采购代理机构和磋商小组而获得评审信息的任何活动，都将导致其响应文件被拒绝，并承担相应的法律责任。</w:t>
      </w:r>
    </w:p>
    <w:p w14:paraId="729EF9A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6.4.3采购人、采购代理机构应当按照政府采购法和本办法的规定组织开展非招标采购活动，并采取必要措施，保证评审在严格保密的情况下进行。 </w:t>
      </w:r>
    </w:p>
    <w:p w14:paraId="68E0BED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6.4.4 磋商小组成员以及与评审工作有关的人员不得泄露评审情况以及评审过程中获悉的国家秘密、商业秘密。</w:t>
      </w:r>
    </w:p>
    <w:p w14:paraId="2B30C85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57" w:name="_Toc152042342"/>
      <w:bookmarkStart w:id="158" w:name="_Toc152045566"/>
      <w:bookmarkStart w:id="159" w:name="_Toc179632584"/>
      <w:bookmarkStart w:id="160" w:name="_Toc31393"/>
      <w:bookmarkStart w:id="161" w:name="_Toc403382413"/>
      <w:bookmarkStart w:id="162" w:name="_Toc144974534"/>
      <w:r>
        <w:rPr>
          <w:rFonts w:hint="eastAsia" w:ascii="宋体" w:hAnsi="宋体" w:eastAsia="宋体" w:cs="宋体"/>
          <w:sz w:val="24"/>
          <w:szCs w:val="24"/>
        </w:rPr>
        <w:t>7. 合同授予</w:t>
      </w:r>
      <w:bookmarkEnd w:id="157"/>
      <w:bookmarkEnd w:id="158"/>
      <w:bookmarkEnd w:id="159"/>
      <w:bookmarkEnd w:id="160"/>
      <w:bookmarkEnd w:id="161"/>
      <w:bookmarkEnd w:id="162"/>
    </w:p>
    <w:p w14:paraId="2CC94D9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63" w:name="_Toc179632585"/>
      <w:bookmarkStart w:id="164" w:name="_Toc152045567"/>
      <w:bookmarkStart w:id="165" w:name="_Toc152042343"/>
      <w:bookmarkStart w:id="166" w:name="_Toc144974535"/>
      <w:bookmarkStart w:id="167" w:name="_Toc403382414"/>
      <w:r>
        <w:rPr>
          <w:rFonts w:hint="eastAsia" w:ascii="宋体" w:hAnsi="宋体" w:eastAsia="宋体" w:cs="宋体"/>
          <w:sz w:val="24"/>
          <w:szCs w:val="24"/>
        </w:rPr>
        <w:t>7.</w:t>
      </w:r>
      <w:bookmarkEnd w:id="163"/>
      <w:bookmarkEnd w:id="164"/>
      <w:bookmarkEnd w:id="165"/>
      <w:bookmarkEnd w:id="166"/>
      <w:bookmarkEnd w:id="167"/>
      <w:r>
        <w:rPr>
          <w:rFonts w:hint="eastAsia" w:ascii="宋体" w:hAnsi="宋体" w:eastAsia="宋体" w:cs="宋体"/>
          <w:sz w:val="24"/>
          <w:szCs w:val="24"/>
        </w:rPr>
        <w:t>1确定成交供应商</w:t>
      </w:r>
    </w:p>
    <w:p w14:paraId="063CE31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w:t>
      </w:r>
    </w:p>
    <w:p w14:paraId="23D943D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68" w:name="_Toc403382415"/>
      <w:r>
        <w:rPr>
          <w:rFonts w:hint="eastAsia" w:ascii="宋体" w:hAnsi="宋体" w:eastAsia="宋体" w:cs="宋体"/>
          <w:sz w:val="24"/>
          <w:szCs w:val="24"/>
        </w:rPr>
        <w:t>7.2 评审结果公</w:t>
      </w:r>
      <w:bookmarkEnd w:id="168"/>
      <w:r>
        <w:rPr>
          <w:rFonts w:hint="eastAsia" w:ascii="宋体" w:hAnsi="宋体" w:eastAsia="宋体" w:cs="宋体"/>
          <w:sz w:val="24"/>
          <w:szCs w:val="24"/>
        </w:rPr>
        <w:t>告</w:t>
      </w:r>
    </w:p>
    <w:p w14:paraId="0E48C2D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7.2.1采购人应当在收到评审报告后5个工作日内确定成交供应商，并在供应商须知前附表规定的媒介公告成交结果。</w:t>
      </w:r>
    </w:p>
    <w:p w14:paraId="7827D7F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7.2.2采购人或者采购代理机构应当自成交供应商确定之日起2个工作日内，发出成交通知书，并在省级以上人民政府财政部门指定的媒体上公告成交结果，同时公告竞争性磋商文件。</w:t>
      </w:r>
    </w:p>
    <w:p w14:paraId="01D3B77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7.2.3供应商对成交结果提出质疑的，应在成交结果公告期限届满之日前按规定提出。采购人自收到异议之日后将在规定内作出答复；作出答复前，暂停政府采购活动。</w:t>
      </w:r>
    </w:p>
    <w:p w14:paraId="55A1CE5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69" w:name="_Toc152042344"/>
      <w:bookmarkStart w:id="170" w:name="_Toc152045568"/>
      <w:bookmarkStart w:id="171" w:name="_Toc179632586"/>
      <w:bookmarkStart w:id="172" w:name="_Toc144974536"/>
      <w:bookmarkStart w:id="173" w:name="_Toc403382417"/>
      <w:r>
        <w:rPr>
          <w:rFonts w:hint="eastAsia" w:ascii="宋体" w:hAnsi="宋体" w:eastAsia="宋体" w:cs="宋体"/>
          <w:sz w:val="24"/>
          <w:szCs w:val="24"/>
        </w:rPr>
        <w:t xml:space="preserve">7.3 </w:t>
      </w:r>
      <w:bookmarkEnd w:id="169"/>
      <w:bookmarkEnd w:id="170"/>
      <w:bookmarkEnd w:id="171"/>
      <w:bookmarkEnd w:id="172"/>
      <w:bookmarkEnd w:id="173"/>
      <w:r>
        <w:rPr>
          <w:rFonts w:hint="eastAsia" w:ascii="宋体" w:hAnsi="宋体" w:eastAsia="宋体" w:cs="宋体"/>
          <w:sz w:val="24"/>
          <w:szCs w:val="24"/>
        </w:rPr>
        <w:t>成交通知</w:t>
      </w:r>
    </w:p>
    <w:p w14:paraId="1B933B2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采购人或者采购代理机构将自成交结果公告发布同时，以书面形式向成交供应商发出成交通知书。</w:t>
      </w:r>
    </w:p>
    <w:p w14:paraId="40C1892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74" w:name="_Toc152042345"/>
      <w:bookmarkStart w:id="175" w:name="_Toc144974537"/>
      <w:bookmarkStart w:id="176" w:name="_Toc179632587"/>
      <w:bookmarkStart w:id="177" w:name="_Toc152045569"/>
      <w:bookmarkStart w:id="178" w:name="_Toc403382418"/>
      <w:r>
        <w:rPr>
          <w:rFonts w:hint="eastAsia" w:ascii="宋体" w:hAnsi="宋体" w:eastAsia="宋体" w:cs="宋体"/>
          <w:sz w:val="24"/>
          <w:szCs w:val="24"/>
        </w:rPr>
        <w:t>7.4 履约</w:t>
      </w:r>
      <w:bookmarkEnd w:id="174"/>
      <w:bookmarkEnd w:id="175"/>
      <w:bookmarkEnd w:id="176"/>
      <w:bookmarkEnd w:id="177"/>
      <w:r>
        <w:rPr>
          <w:rFonts w:hint="eastAsia" w:ascii="宋体" w:hAnsi="宋体" w:eastAsia="宋体" w:cs="宋体"/>
          <w:sz w:val="24"/>
          <w:szCs w:val="24"/>
        </w:rPr>
        <w:t>保证金</w:t>
      </w:r>
      <w:bookmarkEnd w:id="178"/>
    </w:p>
    <w:p w14:paraId="1E71DE0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7.4.1在签订合同前，成交供应商应按供应商须知前附表规定的金额、担保形式和竞争性磋商文件第四章“合同条款及格式”规定的履约保证金格式或者事先经过采购人书面认可的履约保证金格式向采购人提交履约担保。联合体成交的，其履约保证金由牵头人递交，并应符合供应商须知前附表的规定。</w:t>
      </w:r>
    </w:p>
    <w:p w14:paraId="05EA15C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7.4.2 成交供应商不能按要求提交履约保证金的，视为放弃成交，其磋商保证金不予退还，给采购人造成的损失超过磋商保证金数额的，成交供应商还应当对超过部分予以赔偿。</w:t>
      </w:r>
    </w:p>
    <w:p w14:paraId="2FF0D00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79" w:name="_Toc403382419"/>
      <w:bookmarkStart w:id="180" w:name="_Toc144974538"/>
      <w:bookmarkStart w:id="181" w:name="_Toc179632588"/>
      <w:bookmarkStart w:id="182" w:name="_Toc152045570"/>
      <w:bookmarkStart w:id="183" w:name="_Toc152042346"/>
      <w:r>
        <w:rPr>
          <w:rFonts w:hint="eastAsia" w:ascii="宋体" w:hAnsi="宋体" w:eastAsia="宋体" w:cs="宋体"/>
          <w:sz w:val="24"/>
          <w:szCs w:val="24"/>
        </w:rPr>
        <w:t>7.5 签订合同</w:t>
      </w:r>
      <w:bookmarkEnd w:id="179"/>
      <w:bookmarkEnd w:id="180"/>
      <w:bookmarkEnd w:id="181"/>
      <w:bookmarkEnd w:id="182"/>
      <w:bookmarkEnd w:id="183"/>
    </w:p>
    <w:p w14:paraId="5A08239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7.5.1采购人和成交供应商应当在响应文件有效期内并自成交通知书发出之日起7日内，根据竞争性磋商文件和成交供应商的响应文件订立书面合同。成交供应商无正当理由拒签合同或在签订合同时向采购人提出附加条件的，采购人取消其成交资格，其磋商保证金不予退还；给采购人造成的损失超过磋商保证金数额的，成交供应商还应当对超过部分予以赔偿。成交供应商拒绝与采购人签订合同的，采购人可以按照评审报告推荐的成交候选人名单排序，确定下一候选人为成交供应商，也可以重新开展政府采购活动。</w:t>
      </w:r>
    </w:p>
    <w:p w14:paraId="5883EEE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7.5.2  签约合同价的确定原则如下：</w:t>
      </w:r>
    </w:p>
    <w:p w14:paraId="0C314A5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磋商时响应函中大写总价应为签约合同价。按照第三章“评审办法”的规定，如报价有算术错误的，修正的价格经供应商书面确认后，以修正后的总价为签约合同价。</w:t>
      </w:r>
    </w:p>
    <w:p w14:paraId="2FC1BA9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84" w:name="_Toc14138"/>
      <w:r>
        <w:rPr>
          <w:rFonts w:hint="eastAsia" w:ascii="宋体" w:hAnsi="宋体" w:eastAsia="宋体" w:cs="宋体"/>
          <w:sz w:val="24"/>
          <w:szCs w:val="24"/>
        </w:rPr>
        <w:t>8.重新评审、重新组织采购活动和终止采购</w:t>
      </w:r>
      <w:bookmarkEnd w:id="184"/>
    </w:p>
    <w:p w14:paraId="68E6CC7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 重新评审</w:t>
      </w:r>
    </w:p>
    <w:p w14:paraId="7ACD26F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549BE34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 重新开展采购活动</w:t>
      </w:r>
    </w:p>
    <w:p w14:paraId="6477D1C5">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相关政府采购当事人有政府采购法第七十一条、第七十二条规定的违法行为之一，影响或者可能影响成交、成交结果的，依照下列规定处理：</w:t>
      </w:r>
    </w:p>
    <w:p w14:paraId="318BEF66">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⑴ 未确定成交供应商的，终止本次政府采购活动，重新开展政府采购活动。</w:t>
      </w:r>
    </w:p>
    <w:p w14:paraId="2C05E314">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⑵ 已确定成交供应商但尚未签订政府采购合同的，成交结果无效，从合格的成交候选人中另行确定成交供应商；没有合格的成交候选人的，重新开展政府采购活动。</w:t>
      </w:r>
    </w:p>
    <w:p w14:paraId="2DE25F2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 政府采购合同已签订但尚未履行的，撤销合同，从合格的成交候选人中另行确定成交供应商；没有合格的成交候选人的，重新开展政府采购活动。</w:t>
      </w:r>
    </w:p>
    <w:p w14:paraId="09B79D2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 政府采购合同已经履行，给采购人、供应商造成损失的，由责任人承担赔偿责任。</w:t>
      </w:r>
    </w:p>
    <w:p w14:paraId="20C1ACD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 终止采购</w:t>
      </w:r>
    </w:p>
    <w:p w14:paraId="4F3410E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3F4C548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 因情况变化，不再符合规定的竞争性磋商采购方式适用情形的；</w:t>
      </w:r>
    </w:p>
    <w:p w14:paraId="6B651FF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 出现影响采购公正的违法、违规行为的；</w:t>
      </w:r>
    </w:p>
    <w:p w14:paraId="6D72927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⑶ 在采购过程中符合要求的供应商或者报价未超过采购预算的供应商不足3家的，但《政府采购竞争性磋商采购方式管理暂行办法》第二十一条第三款规定的情形除外</w:t>
      </w:r>
      <w:r>
        <w:rPr>
          <w:rFonts w:hint="eastAsia" w:ascii="宋体" w:hAnsi="宋体" w:eastAsia="宋体" w:cs="宋体"/>
          <w:sz w:val="24"/>
          <w:szCs w:val="24"/>
          <w:lang w:eastAsia="zh-CN"/>
        </w:rPr>
        <w:t>。</w:t>
      </w:r>
    </w:p>
    <w:p w14:paraId="7D0FA39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85" w:name="_Toc403382424"/>
      <w:bookmarkStart w:id="186" w:name="_Toc19614"/>
      <w:bookmarkStart w:id="187" w:name="_Toc152045574"/>
      <w:bookmarkStart w:id="188" w:name="_Toc144974542"/>
      <w:bookmarkStart w:id="189" w:name="_Toc152042350"/>
      <w:bookmarkStart w:id="190" w:name="_Toc179632592"/>
      <w:r>
        <w:rPr>
          <w:rFonts w:hint="eastAsia" w:ascii="宋体" w:hAnsi="宋体" w:eastAsia="宋体" w:cs="宋体"/>
          <w:sz w:val="24"/>
          <w:szCs w:val="24"/>
        </w:rPr>
        <w:t>9. 纪律和监督</w:t>
      </w:r>
      <w:bookmarkEnd w:id="185"/>
      <w:bookmarkEnd w:id="186"/>
      <w:bookmarkEnd w:id="187"/>
      <w:bookmarkEnd w:id="188"/>
      <w:bookmarkEnd w:id="189"/>
      <w:bookmarkEnd w:id="190"/>
    </w:p>
    <w:p w14:paraId="0117F4B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91" w:name="_Toc403382425"/>
      <w:bookmarkStart w:id="192" w:name="_Toc179632593"/>
      <w:bookmarkStart w:id="193" w:name="_Toc144974543"/>
      <w:bookmarkStart w:id="194" w:name="_Toc152042351"/>
      <w:bookmarkStart w:id="195" w:name="_Toc152045575"/>
      <w:r>
        <w:rPr>
          <w:rFonts w:hint="eastAsia" w:ascii="宋体" w:hAnsi="宋体" w:eastAsia="宋体" w:cs="宋体"/>
          <w:sz w:val="24"/>
          <w:szCs w:val="24"/>
        </w:rPr>
        <w:t>9.1 对采购人的纪律要求</w:t>
      </w:r>
      <w:bookmarkEnd w:id="191"/>
      <w:bookmarkEnd w:id="192"/>
      <w:bookmarkEnd w:id="193"/>
      <w:bookmarkEnd w:id="194"/>
      <w:bookmarkEnd w:id="195"/>
    </w:p>
    <w:p w14:paraId="12C43EE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采购人不得泄漏政府采购活动中应当保密的情况和资料，不得与供应商串通损害国家利益、社会公共利益或者他人合法权益。</w:t>
      </w:r>
    </w:p>
    <w:p w14:paraId="10328AB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96" w:name="_Toc152042352"/>
      <w:bookmarkStart w:id="197" w:name="_Toc152045576"/>
      <w:bookmarkStart w:id="198" w:name="_Toc403382426"/>
      <w:bookmarkStart w:id="199" w:name="_Toc144974544"/>
      <w:bookmarkStart w:id="200" w:name="_Toc179632594"/>
      <w:r>
        <w:rPr>
          <w:rFonts w:hint="eastAsia" w:ascii="宋体" w:hAnsi="宋体" w:eastAsia="宋体" w:cs="宋体"/>
          <w:sz w:val="24"/>
          <w:szCs w:val="24"/>
        </w:rPr>
        <w:t>9.2 对供应商的纪律要求</w:t>
      </w:r>
      <w:bookmarkEnd w:id="196"/>
      <w:bookmarkEnd w:id="197"/>
      <w:bookmarkEnd w:id="198"/>
      <w:bookmarkEnd w:id="199"/>
      <w:bookmarkEnd w:id="200"/>
    </w:p>
    <w:p w14:paraId="65DFFEC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供应商不得相互串通或者与采购人串通，不得向采购人或者磋商小组成员行贿谋取成交，不得以他人名义参与磋商或者以其他方式弄虚作假骗取成交；供应商不得以任何方式干扰、影响评审工作。</w:t>
      </w:r>
    </w:p>
    <w:p w14:paraId="4D5FF16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01" w:name="_Toc152045577"/>
      <w:bookmarkStart w:id="202" w:name="_Toc403382427"/>
      <w:bookmarkStart w:id="203" w:name="_Toc152042353"/>
      <w:bookmarkStart w:id="204" w:name="_Toc144974545"/>
      <w:bookmarkStart w:id="205" w:name="_Toc179632595"/>
      <w:r>
        <w:rPr>
          <w:rFonts w:hint="eastAsia" w:ascii="宋体" w:hAnsi="宋体" w:eastAsia="宋体" w:cs="宋体"/>
          <w:sz w:val="24"/>
          <w:szCs w:val="24"/>
        </w:rPr>
        <w:t>9.3 对磋商小组成员的纪律要求</w:t>
      </w:r>
      <w:bookmarkEnd w:id="201"/>
      <w:bookmarkEnd w:id="202"/>
      <w:bookmarkEnd w:id="203"/>
      <w:bookmarkEnd w:id="204"/>
      <w:bookmarkEnd w:id="205"/>
    </w:p>
    <w:p w14:paraId="5E6AF24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成员不得与任何供应商或者与评审结果有利害关系的人进行私下接触，不得收受供应商、中介人、其他利害关系人的财物或者其他好处，不得向他人透漏对响应文件的评审和比较、成交候选人的推荐情况以及评审有关的其他情况。在评审活动中，磋商小组成员不得应当回避而不回避，不得擅离职守，影响评审程序正常进行，不得向采购人征询其确定成交供应商的意向，不得接受任何单位或者个人明示或者暗示提出的倾向或者排斥特定供应商的要求，不得暗示或者诱导供应商作出澄清、说明或者接受供应商主动提出的澄清、说明；不得使用第三章“评审办法”没有规定的评审因素和标准进行评审。</w:t>
      </w:r>
    </w:p>
    <w:p w14:paraId="170E3A8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06" w:name="_Toc403382428"/>
      <w:bookmarkStart w:id="207" w:name="_Toc179632596"/>
      <w:bookmarkStart w:id="208" w:name="_Toc152042354"/>
      <w:bookmarkStart w:id="209" w:name="_Toc152045578"/>
      <w:bookmarkStart w:id="210" w:name="_Toc144974546"/>
      <w:r>
        <w:rPr>
          <w:rFonts w:hint="eastAsia" w:ascii="宋体" w:hAnsi="宋体" w:eastAsia="宋体" w:cs="宋体"/>
          <w:sz w:val="24"/>
          <w:szCs w:val="24"/>
        </w:rPr>
        <w:t>9.4 对与评审活动有关的工作人员的纪律要求</w:t>
      </w:r>
      <w:bookmarkEnd w:id="206"/>
      <w:bookmarkEnd w:id="207"/>
      <w:bookmarkEnd w:id="208"/>
      <w:bookmarkEnd w:id="209"/>
    </w:p>
    <w:p w14:paraId="2F3E6A3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11" w:name="_Toc152042355"/>
      <w:r>
        <w:rPr>
          <w:rFonts w:hint="eastAsia" w:ascii="宋体" w:hAnsi="宋体" w:eastAsia="宋体" w:cs="宋体"/>
          <w:sz w:val="24"/>
          <w:szCs w:val="24"/>
        </w:rPr>
        <w:t>与评审活动有关的工作人员不得收受他人的财物或者其他好处，不得向他人透漏对响应文件的评审和比较、成交候选人的推荐情况以及评审有关的其他情况。</w:t>
      </w:r>
      <w:bookmarkEnd w:id="211"/>
    </w:p>
    <w:p w14:paraId="5EFD3D9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12" w:name="_Toc179632597"/>
      <w:bookmarkStart w:id="213" w:name="_Toc152045579"/>
      <w:bookmarkStart w:id="214" w:name="_Toc152042356"/>
      <w:bookmarkStart w:id="215" w:name="_Toc403382429"/>
      <w:r>
        <w:rPr>
          <w:rFonts w:hint="eastAsia" w:ascii="宋体" w:hAnsi="宋体" w:eastAsia="宋体" w:cs="宋体"/>
          <w:sz w:val="24"/>
          <w:szCs w:val="24"/>
        </w:rPr>
        <w:t>9.5 投诉</w:t>
      </w:r>
      <w:bookmarkEnd w:id="210"/>
      <w:bookmarkEnd w:id="212"/>
      <w:bookmarkEnd w:id="213"/>
      <w:bookmarkEnd w:id="214"/>
      <w:bookmarkEnd w:id="215"/>
    </w:p>
    <w:p w14:paraId="3209007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本次政府采购活动及其相关当事人应当接受有关行政监督部门依法实施的监督。</w:t>
      </w:r>
    </w:p>
    <w:p w14:paraId="7BA91F1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供应商对采购人、采购代理机构的答复不满意或者采购人、采购代理机构未在规定的时间内作出答复的，可以在答复期满后十五个工作日内向同级政府采购监督管理部门投诉。其中对竞争性磋商文件的内容、磋商程序、评审结果进行投诉的，应当按本章第2.4款、第7.2款的规定先向采购人或采购代理机构提出书面质疑后，方可向有关行政监督部门投诉。</w:t>
      </w:r>
    </w:p>
    <w:p w14:paraId="1E03617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供应商的投诉应按照《政府采购供应商投诉处理办法》的规定进行。</w:t>
      </w:r>
    </w:p>
    <w:p w14:paraId="07876A6C">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16" w:name="_Toc144974547"/>
      <w:bookmarkStart w:id="217" w:name="_Toc29336"/>
      <w:bookmarkStart w:id="218" w:name="_Toc403382430"/>
      <w:bookmarkStart w:id="219" w:name="_Toc152042357"/>
      <w:bookmarkStart w:id="220" w:name="_Toc152045580"/>
      <w:bookmarkStart w:id="221" w:name="_Toc179632598"/>
      <w:r>
        <w:rPr>
          <w:rFonts w:hint="eastAsia" w:ascii="宋体" w:hAnsi="宋体" w:eastAsia="宋体" w:cs="宋体"/>
          <w:sz w:val="24"/>
          <w:szCs w:val="24"/>
          <w:lang w:val="en-US" w:eastAsia="zh-CN"/>
        </w:rPr>
        <w:t>10.</w:t>
      </w:r>
      <w:r>
        <w:rPr>
          <w:rFonts w:hint="eastAsia" w:ascii="宋体" w:hAnsi="宋体" w:eastAsia="宋体" w:cs="宋体"/>
          <w:sz w:val="24"/>
          <w:szCs w:val="24"/>
        </w:rPr>
        <w:t>需要补充的其他内容</w:t>
      </w:r>
      <w:bookmarkEnd w:id="216"/>
      <w:bookmarkEnd w:id="217"/>
      <w:bookmarkEnd w:id="218"/>
      <w:bookmarkEnd w:id="219"/>
      <w:bookmarkEnd w:id="220"/>
      <w:bookmarkEnd w:id="221"/>
    </w:p>
    <w:p w14:paraId="5D45469D">
      <w:pPr>
        <w:widowControl w:val="0"/>
        <w:numPr>
          <w:ilvl w:val="0"/>
          <w:numId w:val="0"/>
        </w:numPr>
        <w:spacing w:line="360" w:lineRule="auto"/>
        <w:jc w:val="both"/>
        <w:rPr>
          <w:rFonts w:hint="eastAsia" w:ascii="宋体" w:hAnsi="宋体" w:eastAsia="宋体" w:cs="宋体"/>
          <w:sz w:val="28"/>
          <w:szCs w:val="28"/>
        </w:rPr>
      </w:pPr>
    </w:p>
    <w:p w14:paraId="0DE43E81">
      <w:pPr>
        <w:widowControl w:val="0"/>
        <w:numPr>
          <w:ilvl w:val="0"/>
          <w:numId w:val="0"/>
        </w:numPr>
        <w:spacing w:line="360" w:lineRule="auto"/>
        <w:jc w:val="both"/>
        <w:rPr>
          <w:rFonts w:hint="eastAsia" w:ascii="宋体" w:hAnsi="宋体" w:eastAsia="宋体" w:cs="宋体"/>
          <w:sz w:val="28"/>
          <w:szCs w:val="28"/>
        </w:rPr>
      </w:pPr>
    </w:p>
    <w:p w14:paraId="4FCE44CA">
      <w:pPr>
        <w:widowControl w:val="0"/>
        <w:numPr>
          <w:ilvl w:val="0"/>
          <w:numId w:val="0"/>
        </w:numPr>
        <w:spacing w:line="360" w:lineRule="auto"/>
        <w:jc w:val="both"/>
        <w:rPr>
          <w:rFonts w:hint="eastAsia" w:ascii="宋体" w:hAnsi="宋体" w:eastAsia="宋体" w:cs="宋体"/>
          <w:sz w:val="28"/>
          <w:szCs w:val="28"/>
        </w:rPr>
      </w:pPr>
    </w:p>
    <w:p w14:paraId="5BF027EA">
      <w:pPr>
        <w:widowControl w:val="0"/>
        <w:numPr>
          <w:ilvl w:val="0"/>
          <w:numId w:val="0"/>
        </w:numPr>
        <w:spacing w:line="360" w:lineRule="auto"/>
        <w:jc w:val="both"/>
        <w:rPr>
          <w:rFonts w:hint="eastAsia" w:ascii="宋体" w:hAnsi="宋体" w:eastAsia="宋体" w:cs="宋体"/>
          <w:sz w:val="28"/>
          <w:szCs w:val="28"/>
        </w:rPr>
      </w:pPr>
    </w:p>
    <w:p w14:paraId="5F2E6799">
      <w:pPr>
        <w:pStyle w:val="3"/>
        <w:jc w:val="center"/>
        <w:rPr>
          <w:rFonts w:hint="eastAsia" w:ascii="宋体" w:hAnsi="宋体" w:eastAsia="宋体" w:cs="宋体"/>
        </w:rPr>
      </w:pPr>
      <w:bookmarkStart w:id="222" w:name="_Toc20916"/>
      <w:bookmarkStart w:id="223" w:name="_Toc505691142"/>
      <w:r>
        <w:rPr>
          <w:rFonts w:hint="eastAsia" w:ascii="宋体" w:hAnsi="宋体" w:eastAsia="宋体" w:cs="宋体"/>
        </w:rPr>
        <w:t>第三章评审办法</w:t>
      </w:r>
      <w:bookmarkEnd w:id="222"/>
      <w:bookmarkEnd w:id="223"/>
    </w:p>
    <w:p w14:paraId="6FDCB03E">
      <w:pPr>
        <w:spacing w:line="360" w:lineRule="auto"/>
        <w:jc w:val="center"/>
        <w:rPr>
          <w:rFonts w:hint="eastAsia" w:ascii="宋体" w:hAnsi="宋体" w:eastAsia="宋体" w:cs="宋体"/>
          <w:b/>
          <w:bCs/>
          <w:sz w:val="28"/>
          <w:szCs w:val="28"/>
        </w:rPr>
      </w:pPr>
      <w:bookmarkStart w:id="224" w:name="_Toc19236"/>
      <w:bookmarkStart w:id="225" w:name="_Toc403382450"/>
      <w:r>
        <w:rPr>
          <w:rFonts w:hint="eastAsia" w:ascii="宋体" w:hAnsi="宋体" w:eastAsia="宋体" w:cs="宋体"/>
          <w:b/>
          <w:bCs/>
          <w:sz w:val="28"/>
          <w:szCs w:val="28"/>
        </w:rPr>
        <w:t>评审办法前附表</w:t>
      </w:r>
      <w:bookmarkEnd w:id="224"/>
      <w:bookmarkEnd w:id="225"/>
      <w:r>
        <w:rPr>
          <w:rFonts w:hint="eastAsia" w:ascii="宋体" w:hAnsi="宋体" w:eastAsia="宋体" w:cs="宋体"/>
          <w:b/>
          <w:bCs/>
          <w:sz w:val="28"/>
          <w:szCs w:val="28"/>
        </w:rPr>
        <w:t>（一）</w:t>
      </w:r>
    </w:p>
    <w:tbl>
      <w:tblPr>
        <w:tblStyle w:val="23"/>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1440"/>
        <w:gridCol w:w="1624"/>
        <w:gridCol w:w="3764"/>
      </w:tblGrid>
      <w:tr w14:paraId="3F7A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gridSpan w:val="2"/>
            <w:vAlign w:val="center"/>
          </w:tcPr>
          <w:p w14:paraId="6A47EBEA">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条款号</w:t>
            </w:r>
          </w:p>
        </w:tc>
        <w:tc>
          <w:tcPr>
            <w:tcW w:w="1440" w:type="dxa"/>
            <w:vAlign w:val="center"/>
          </w:tcPr>
          <w:p w14:paraId="43E8FD8C">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评审因素</w:t>
            </w:r>
          </w:p>
        </w:tc>
        <w:tc>
          <w:tcPr>
            <w:tcW w:w="1624" w:type="dxa"/>
            <w:vAlign w:val="center"/>
          </w:tcPr>
          <w:p w14:paraId="10D5A59D">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依据</w:t>
            </w:r>
          </w:p>
        </w:tc>
        <w:tc>
          <w:tcPr>
            <w:tcW w:w="3764" w:type="dxa"/>
            <w:vAlign w:val="center"/>
          </w:tcPr>
          <w:p w14:paraId="12480716">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评审标准</w:t>
            </w:r>
          </w:p>
        </w:tc>
      </w:tr>
      <w:tr w14:paraId="62F8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4B4A14E7">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2.1.1</w:t>
            </w:r>
          </w:p>
        </w:tc>
        <w:tc>
          <w:tcPr>
            <w:tcW w:w="780" w:type="dxa"/>
            <w:vMerge w:val="restart"/>
            <w:vAlign w:val="center"/>
          </w:tcPr>
          <w:p w14:paraId="2D96C592">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形</w:t>
            </w:r>
          </w:p>
          <w:p w14:paraId="4C2A3FC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式</w:t>
            </w:r>
          </w:p>
          <w:p w14:paraId="1B48E3B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w:t>
            </w:r>
          </w:p>
          <w:p w14:paraId="38C4F0F6">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审</w:t>
            </w:r>
          </w:p>
          <w:p w14:paraId="1F905C8D">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标</w:t>
            </w:r>
          </w:p>
          <w:p w14:paraId="7C582E6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准</w:t>
            </w:r>
          </w:p>
        </w:tc>
        <w:tc>
          <w:tcPr>
            <w:tcW w:w="1440" w:type="dxa"/>
            <w:vAlign w:val="center"/>
          </w:tcPr>
          <w:p w14:paraId="6772EB60">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供应商名称</w:t>
            </w:r>
          </w:p>
        </w:tc>
        <w:tc>
          <w:tcPr>
            <w:tcW w:w="1624" w:type="dxa"/>
            <w:vAlign w:val="center"/>
          </w:tcPr>
          <w:p w14:paraId="0EC1C63F">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第二章“评标办法前附表”</w:t>
            </w:r>
          </w:p>
        </w:tc>
        <w:tc>
          <w:tcPr>
            <w:tcW w:w="3764" w:type="dxa"/>
            <w:vAlign w:val="center"/>
          </w:tcPr>
          <w:p w14:paraId="3188F654">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与营业执照一致</w:t>
            </w:r>
          </w:p>
        </w:tc>
      </w:tr>
      <w:tr w14:paraId="6B8C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32531582">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6B5E04F3">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6BC9BDC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投标函签字盖章</w:t>
            </w:r>
          </w:p>
        </w:tc>
        <w:tc>
          <w:tcPr>
            <w:tcW w:w="1624" w:type="dxa"/>
            <w:vAlign w:val="center"/>
          </w:tcPr>
          <w:p w14:paraId="7E6A31ED">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w:t>
            </w:r>
          </w:p>
        </w:tc>
        <w:tc>
          <w:tcPr>
            <w:tcW w:w="3764" w:type="dxa"/>
            <w:vAlign w:val="center"/>
          </w:tcPr>
          <w:p w14:paraId="64AE000B">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有法定代表人或其委托代理人签字且加盖单位章。</w:t>
            </w:r>
          </w:p>
        </w:tc>
      </w:tr>
      <w:tr w14:paraId="464D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40" w:type="dxa"/>
            <w:vMerge w:val="continue"/>
            <w:vAlign w:val="center"/>
          </w:tcPr>
          <w:p w14:paraId="2046A1BE">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6E28475C">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084BC9CF">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响应文件</w:t>
            </w:r>
          </w:p>
          <w:p w14:paraId="7B16F39A">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格式</w:t>
            </w:r>
          </w:p>
        </w:tc>
        <w:tc>
          <w:tcPr>
            <w:tcW w:w="1624" w:type="dxa"/>
            <w:vAlign w:val="center"/>
          </w:tcPr>
          <w:p w14:paraId="2EA41653">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第六章“磋商响应文件格式”</w:t>
            </w:r>
          </w:p>
        </w:tc>
        <w:tc>
          <w:tcPr>
            <w:tcW w:w="3764" w:type="dxa"/>
            <w:vAlign w:val="center"/>
          </w:tcPr>
          <w:p w14:paraId="572189EE">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符合第六章“磋商响应文件格式”的要求。</w:t>
            </w:r>
          </w:p>
        </w:tc>
      </w:tr>
      <w:tr w14:paraId="2C6A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40" w:type="dxa"/>
            <w:vMerge w:val="restart"/>
            <w:vAlign w:val="center"/>
          </w:tcPr>
          <w:p w14:paraId="240E3136">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2.1.2</w:t>
            </w:r>
          </w:p>
        </w:tc>
        <w:tc>
          <w:tcPr>
            <w:tcW w:w="780" w:type="dxa"/>
            <w:vMerge w:val="restart"/>
            <w:vAlign w:val="center"/>
          </w:tcPr>
          <w:p w14:paraId="124F7D1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资</w:t>
            </w:r>
          </w:p>
          <w:p w14:paraId="7CDBB4B2">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格</w:t>
            </w:r>
          </w:p>
          <w:p w14:paraId="5CEDF1FF">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w:t>
            </w:r>
          </w:p>
          <w:p w14:paraId="0972F87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审</w:t>
            </w:r>
          </w:p>
          <w:p w14:paraId="7A4067EE">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标</w:t>
            </w:r>
          </w:p>
          <w:p w14:paraId="0C1084FC">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准</w:t>
            </w:r>
          </w:p>
          <w:p w14:paraId="1C73BD50">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41F1F97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营业执照</w:t>
            </w:r>
          </w:p>
        </w:tc>
        <w:tc>
          <w:tcPr>
            <w:tcW w:w="1624" w:type="dxa"/>
            <w:vAlign w:val="center"/>
          </w:tcPr>
          <w:p w14:paraId="686843A7">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12FD8995">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具备有效的营业执照</w:t>
            </w:r>
          </w:p>
        </w:tc>
      </w:tr>
      <w:tr w14:paraId="3053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40" w:type="dxa"/>
            <w:vMerge w:val="continue"/>
            <w:vAlign w:val="center"/>
          </w:tcPr>
          <w:p w14:paraId="5D15CB6A">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6FA40DB3">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372888CA">
            <w:pPr>
              <w:autoSpaceDE w:val="0"/>
              <w:autoSpaceDN w:val="0"/>
              <w:adjustRightInd w:val="0"/>
              <w:spacing w:line="0" w:lineRule="atLeast"/>
              <w:jc w:val="center"/>
              <w:rPr>
                <w:rFonts w:hint="default" w:ascii="宋体" w:hAnsi="宋体" w:eastAsia="宋体" w:cs="宋体"/>
                <w:bCs/>
                <w:szCs w:val="21"/>
                <w:lang w:val="en-US" w:eastAsia="zh-CN"/>
              </w:rPr>
            </w:pPr>
            <w:r>
              <w:rPr>
                <w:rFonts w:hint="eastAsia" w:ascii="宋体" w:hAnsi="宋体" w:cs="宋体"/>
                <w:bCs/>
                <w:szCs w:val="21"/>
                <w:lang w:val="en-US" w:eastAsia="zh-CN"/>
              </w:rPr>
              <w:t>资质证书</w:t>
            </w:r>
          </w:p>
        </w:tc>
        <w:tc>
          <w:tcPr>
            <w:tcW w:w="1624" w:type="dxa"/>
            <w:vAlign w:val="center"/>
          </w:tcPr>
          <w:p w14:paraId="54570D74">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003430B2">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i w:val="0"/>
                <w:iCs w:val="0"/>
                <w:caps w:val="0"/>
                <w:color w:val="auto"/>
                <w:spacing w:val="0"/>
                <w:sz w:val="21"/>
                <w:szCs w:val="21"/>
              </w:rPr>
              <w:t>具有</w:t>
            </w:r>
            <w:r>
              <w:rPr>
                <w:rFonts w:hint="eastAsia" w:ascii="宋体" w:hAnsi="宋体" w:eastAsia="宋体" w:cs="宋体"/>
                <w:i w:val="0"/>
                <w:iCs w:val="0"/>
                <w:caps w:val="0"/>
                <w:color w:val="auto"/>
                <w:spacing w:val="0"/>
                <w:sz w:val="21"/>
                <w:szCs w:val="21"/>
                <w:lang w:val="en-US" w:eastAsia="zh-CN"/>
              </w:rPr>
              <w:t>地质灾害评估和治理工程勘查设计乙级及以上资质。</w:t>
            </w:r>
          </w:p>
        </w:tc>
      </w:tr>
      <w:tr w14:paraId="7B07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0" w:type="dxa"/>
            <w:vMerge w:val="continue"/>
            <w:vAlign w:val="center"/>
          </w:tcPr>
          <w:p w14:paraId="52EF3FA7">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32C95D8A">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03F84037">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财务要求</w:t>
            </w:r>
          </w:p>
        </w:tc>
        <w:tc>
          <w:tcPr>
            <w:tcW w:w="1624" w:type="dxa"/>
            <w:vAlign w:val="center"/>
          </w:tcPr>
          <w:p w14:paraId="12D28A25">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5DEB6CB8">
            <w:pPr>
              <w:autoSpaceDE w:val="0"/>
              <w:autoSpaceDN w:val="0"/>
              <w:adjustRightInd w:val="0"/>
              <w:spacing w:line="0" w:lineRule="atLeast"/>
              <w:jc w:val="left"/>
              <w:rPr>
                <w:rFonts w:hint="eastAsia" w:ascii="宋体" w:hAnsi="宋体" w:eastAsia="宋体" w:cs="宋体"/>
                <w:bCs/>
                <w:szCs w:val="21"/>
                <w:lang w:val="en-US" w:eastAsia="zh-CN"/>
              </w:rPr>
            </w:pPr>
            <w:r>
              <w:rPr>
                <w:rFonts w:hint="eastAsia" w:ascii="宋体" w:hAnsi="宋体" w:eastAsia="宋体" w:cs="宋体"/>
                <w:i w:val="0"/>
                <w:iCs w:val="0"/>
                <w:caps w:val="0"/>
                <w:color w:val="auto"/>
                <w:spacing w:val="0"/>
                <w:sz w:val="21"/>
                <w:szCs w:val="21"/>
                <w:shd w:val="clear" w:color="auto" w:fill="FFFFFF"/>
                <w:lang w:eastAsia="zh-CN"/>
              </w:rPr>
              <w:t>具有202</w:t>
            </w:r>
            <w:r>
              <w:rPr>
                <w:rFonts w:hint="eastAsia" w:ascii="宋体" w:hAnsi="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年度的财务审计报告（新成立不足一年的企业须提供自成立之日起至今企业财务状况良好的承诺书）</w:t>
            </w:r>
            <w:r>
              <w:rPr>
                <w:rFonts w:hint="eastAsia" w:ascii="宋体" w:hAnsi="宋体" w:eastAsia="宋体" w:cs="宋体"/>
                <w:spacing w:val="9"/>
                <w:sz w:val="20"/>
                <w:szCs w:val="20"/>
              </w:rPr>
              <w:t>。</w:t>
            </w:r>
          </w:p>
        </w:tc>
      </w:tr>
      <w:tr w14:paraId="47A5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4" w:hRule="atLeast"/>
          <w:jc w:val="center"/>
        </w:trPr>
        <w:tc>
          <w:tcPr>
            <w:tcW w:w="840" w:type="dxa"/>
            <w:vMerge w:val="continue"/>
            <w:vAlign w:val="center"/>
          </w:tcPr>
          <w:p w14:paraId="10DE3BEF">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6D64CFFD">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472AF1F2">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信誉要求</w:t>
            </w:r>
          </w:p>
        </w:tc>
        <w:tc>
          <w:tcPr>
            <w:tcW w:w="1624" w:type="dxa"/>
            <w:vAlign w:val="center"/>
          </w:tcPr>
          <w:p w14:paraId="66C09816">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469BD264">
            <w:pPr>
              <w:pStyle w:val="2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招标文件要求的网页截图加盖公章。包含：</w:t>
            </w:r>
            <w:r>
              <w:rPr>
                <w:rFonts w:hint="eastAsia" w:ascii="宋体" w:hAnsi="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val="en-US" w:eastAsia="zh-CN"/>
              </w:rPr>
              <w:t>1</w:t>
            </w:r>
            <w:r>
              <w:rPr>
                <w:rFonts w:hint="eastAsia" w:ascii="宋体" w:hAnsi="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t>
            </w:r>
            <w:r>
              <w:rPr>
                <w:rFonts w:hint="eastAsia" w:ascii="宋体" w:hAnsi="宋体" w:eastAsia="宋体" w:cs="宋体"/>
                <w:i w:val="0"/>
                <w:iCs w:val="0"/>
                <w:caps w:val="0"/>
                <w:color w:val="auto"/>
                <w:spacing w:val="0"/>
                <w:sz w:val="21"/>
                <w:szCs w:val="21"/>
                <w:shd w:val="clear" w:color="auto" w:fill="FFFFFF"/>
                <w:lang w:val="en-US" w:eastAsia="zh-CN"/>
              </w:rPr>
              <w:t>网查询</w:t>
            </w:r>
            <w:r>
              <w:rPr>
                <w:rFonts w:hint="eastAsia" w:ascii="宋体" w:hAnsi="宋体" w:eastAsia="宋体" w:cs="宋体"/>
                <w:i w:val="0"/>
                <w:iCs w:val="0"/>
                <w:caps w:val="0"/>
                <w:color w:val="auto"/>
                <w:spacing w:val="0"/>
                <w:sz w:val="21"/>
                <w:szCs w:val="21"/>
                <w:shd w:val="clear" w:color="auto" w:fill="FFFFFF"/>
              </w:rPr>
              <w:t>行贿犯罪</w:t>
            </w:r>
            <w:r>
              <w:rPr>
                <w:rFonts w:hint="eastAsia" w:ascii="宋体" w:hAnsi="宋体" w:eastAsia="宋体" w:cs="宋体"/>
                <w:i w:val="0"/>
                <w:iCs w:val="0"/>
                <w:caps w:val="0"/>
                <w:color w:val="auto"/>
                <w:spacing w:val="0"/>
                <w:sz w:val="21"/>
                <w:szCs w:val="21"/>
                <w:shd w:val="clear" w:color="auto" w:fill="FFFFFF"/>
                <w:lang w:val="en-US" w:eastAsia="zh-CN"/>
              </w:rPr>
              <w:t>截图</w:t>
            </w:r>
            <w:r>
              <w:rPr>
                <w:rFonts w:hint="eastAsia" w:ascii="宋体" w:hAnsi="宋体" w:eastAsia="宋体" w:cs="宋体"/>
                <w:i w:val="0"/>
                <w:iCs w:val="0"/>
                <w:caps w:val="0"/>
                <w:color w:val="auto"/>
                <w:spacing w:val="0"/>
                <w:sz w:val="21"/>
                <w:szCs w:val="21"/>
                <w:shd w:val="clear" w:color="auto" w:fill="FFFFFF"/>
              </w:rPr>
              <w:t>；</w:t>
            </w:r>
            <w:r>
              <w:rPr>
                <w:rFonts w:hint="eastAsia" w:ascii="宋体" w:hAnsi="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2</w:t>
            </w:r>
            <w:r>
              <w:rPr>
                <w:rFonts w:hint="eastAsia" w:ascii="宋体" w:hAnsi="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eastAsia="zh-CN"/>
              </w:rPr>
              <w:t>供应商</w:t>
            </w:r>
            <w:r>
              <w:rPr>
                <w:rFonts w:hint="eastAsia" w:ascii="宋体" w:hAnsi="宋体" w:eastAsia="宋体" w:cs="宋体"/>
                <w:i w:val="0"/>
                <w:iCs w:val="0"/>
                <w:caps w:val="0"/>
                <w:color w:val="auto"/>
                <w:spacing w:val="0"/>
                <w:sz w:val="21"/>
                <w:szCs w:val="21"/>
                <w:shd w:val="clear" w:color="auto" w:fill="FFFFFF"/>
              </w:rPr>
              <w:t>未被列入“失信被执行人、重大税收违法案件当事人”的记录名单（通过“信用中国”网站查询）；</w:t>
            </w:r>
            <w:r>
              <w:rPr>
                <w:rFonts w:hint="eastAsia" w:ascii="宋体" w:hAnsi="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3</w:t>
            </w:r>
            <w:r>
              <w:rPr>
                <w:rFonts w:hint="eastAsia" w:ascii="宋体" w:hAnsi="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eastAsia="zh-CN"/>
              </w:rPr>
              <w:t>供应商</w:t>
            </w:r>
            <w:r>
              <w:rPr>
                <w:rFonts w:hint="eastAsia" w:ascii="宋体" w:hAnsi="宋体" w:eastAsia="宋体" w:cs="宋体"/>
                <w:i w:val="0"/>
                <w:iCs w:val="0"/>
                <w:caps w:val="0"/>
                <w:color w:val="auto"/>
                <w:spacing w:val="0"/>
                <w:sz w:val="21"/>
                <w:szCs w:val="21"/>
                <w:shd w:val="clear" w:color="auto" w:fill="FFFFFF"/>
              </w:rPr>
              <w:t>未被列入“政府采购严重违法失信行为记录名单”（通过“中国政府采购网”查询）；</w:t>
            </w:r>
          </w:p>
          <w:p w14:paraId="09EBEB5D">
            <w:pPr>
              <w:pStyle w:val="5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Cs/>
                <w:szCs w:val="21"/>
                <w:lang w:val="zh-CN"/>
              </w:rPr>
            </w:pPr>
            <w:r>
              <w:rPr>
                <w:rFonts w:hint="eastAsia" w:ascii="宋体" w:hAnsi="宋体"/>
                <w:lang w:val="en-US" w:eastAsia="zh-CN"/>
              </w:rPr>
              <w:t>2、</w:t>
            </w:r>
            <w:r>
              <w:rPr>
                <w:rFonts w:hint="eastAsia" w:ascii="宋体" w:hAnsi="宋体"/>
              </w:rPr>
              <w:t>拒绝列入政府取消投标资格记录期间的企业或个人投标</w:t>
            </w:r>
            <w:r>
              <w:rPr>
                <w:rFonts w:hint="eastAsia" w:ascii="宋体" w:hAnsi="宋体"/>
                <w:lang w:eastAsia="zh-CN"/>
              </w:rPr>
              <w:t>（</w:t>
            </w:r>
            <w:r>
              <w:rPr>
                <w:rFonts w:hint="eastAsia" w:ascii="宋体" w:hAnsi="宋体"/>
                <w:b/>
                <w:bCs/>
                <w:color w:val="FF0000"/>
              </w:rPr>
              <w:t>附由法定代表人或其委托代理人签字并加盖投标单位公章的承诺书</w:t>
            </w:r>
            <w:r>
              <w:rPr>
                <w:rFonts w:hint="eastAsia" w:ascii="宋体" w:hAnsi="宋体"/>
                <w:b/>
                <w:bCs/>
                <w:color w:val="FF0000"/>
                <w:lang w:eastAsia="zh-CN"/>
              </w:rPr>
              <w:t>）。</w:t>
            </w:r>
          </w:p>
        </w:tc>
      </w:tr>
      <w:tr w14:paraId="1420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40" w:type="dxa"/>
            <w:vMerge w:val="continue"/>
            <w:vAlign w:val="center"/>
          </w:tcPr>
          <w:p w14:paraId="1AAAFE1C">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7BD32E69">
            <w:pPr>
              <w:autoSpaceDE w:val="0"/>
              <w:autoSpaceDN w:val="0"/>
              <w:adjustRightInd w:val="0"/>
              <w:spacing w:line="0" w:lineRule="atLeast"/>
              <w:jc w:val="center"/>
              <w:rPr>
                <w:rFonts w:hint="eastAsia" w:ascii="宋体" w:hAnsi="宋体" w:eastAsia="宋体" w:cs="宋体"/>
                <w:bCs/>
                <w:szCs w:val="21"/>
                <w:lang w:val="zh-CN"/>
              </w:rPr>
            </w:pPr>
          </w:p>
        </w:tc>
        <w:tc>
          <w:tcPr>
            <w:tcW w:w="1440" w:type="dxa"/>
            <w:shd w:val="clear" w:color="auto" w:fill="auto"/>
            <w:vAlign w:val="center"/>
          </w:tcPr>
          <w:p w14:paraId="221A9961">
            <w:pPr>
              <w:jc w:val="center"/>
              <w:rPr>
                <w:rFonts w:hint="eastAsia" w:ascii="Times New Roman" w:hAnsi="Times New Roman" w:eastAsia="宋体" w:cs="Times New Roman"/>
                <w:kern w:val="2"/>
                <w:sz w:val="21"/>
                <w:szCs w:val="24"/>
                <w:lang w:val="zh-CN" w:eastAsia="zh-CN" w:bidi="ar-SA"/>
              </w:rPr>
            </w:pP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小型和微型企业</w:t>
            </w:r>
            <w:r>
              <w:rPr>
                <w:rFonts w:hint="eastAsia" w:ascii="宋体" w:hAnsi="宋体" w:eastAsia="宋体" w:cs="宋体"/>
                <w:b w:val="0"/>
                <w:bCs/>
                <w:color w:val="auto"/>
                <w:sz w:val="21"/>
                <w:szCs w:val="21"/>
                <w:lang w:val="en-US" w:eastAsia="zh-CN"/>
              </w:rPr>
              <w:t>证明</w:t>
            </w:r>
          </w:p>
        </w:tc>
        <w:tc>
          <w:tcPr>
            <w:tcW w:w="1624" w:type="dxa"/>
            <w:shd w:val="clear" w:color="auto" w:fill="auto"/>
            <w:vAlign w:val="center"/>
          </w:tcPr>
          <w:p w14:paraId="5BB3DAAC">
            <w:pPr>
              <w:rPr>
                <w:rFonts w:hint="eastAsia" w:ascii="Times New Roman" w:hAnsi="Times New Roman" w:eastAsia="宋体" w:cs="Times New Roman"/>
                <w:kern w:val="2"/>
                <w:sz w:val="21"/>
                <w:szCs w:val="24"/>
                <w:lang w:val="zh-CN" w:eastAsia="zh-CN" w:bidi="ar-SA"/>
              </w:rPr>
            </w:pPr>
            <w:r>
              <w:rPr>
                <w:rFonts w:hint="eastAsia" w:ascii="宋体" w:hAnsi="宋体" w:eastAsia="宋体" w:cs="宋体"/>
                <w:bCs/>
                <w:szCs w:val="21"/>
                <w:lang w:val="zh-CN"/>
              </w:rPr>
              <w:t>第二章“供应商须知前附表”</w:t>
            </w:r>
          </w:p>
        </w:tc>
        <w:tc>
          <w:tcPr>
            <w:tcW w:w="3764" w:type="dxa"/>
            <w:vAlign w:val="center"/>
          </w:tcPr>
          <w:p w14:paraId="43150DDA">
            <w:pPr>
              <w:pStyle w:val="5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lang w:val="en-US" w:eastAsia="zh-CN"/>
              </w:rPr>
            </w:pPr>
            <w:r>
              <w:rPr>
                <w:rFonts w:hint="eastAsia" w:ascii="宋体" w:hAnsi="宋体" w:eastAsia="宋体" w:cs="宋体"/>
                <w:b w:val="0"/>
                <w:bCs/>
                <w:color w:val="auto"/>
                <w:kern w:val="2"/>
                <w:sz w:val="21"/>
                <w:szCs w:val="21"/>
                <w:lang w:val="en-US" w:eastAsia="zh-CN"/>
              </w:rPr>
              <w:t>提供</w:t>
            </w: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小微</w:t>
            </w:r>
            <w:r>
              <w:rPr>
                <w:rFonts w:hint="eastAsia" w:ascii="宋体" w:hAnsi="宋体" w:eastAsia="宋体" w:cs="宋体"/>
                <w:b w:val="0"/>
                <w:bCs/>
                <w:color w:val="auto"/>
                <w:kern w:val="2"/>
                <w:sz w:val="21"/>
                <w:szCs w:val="21"/>
              </w:rPr>
              <w:t>企业声明函</w:t>
            </w:r>
            <w:r>
              <w:rPr>
                <w:rFonts w:hint="eastAsia" w:cs="宋体"/>
                <w:b w:val="0"/>
                <w:bCs/>
                <w:color w:val="auto"/>
                <w:kern w:val="2"/>
                <w:sz w:val="21"/>
                <w:szCs w:val="21"/>
                <w:lang w:eastAsia="zh-CN"/>
              </w:rPr>
              <w:t>。</w:t>
            </w:r>
          </w:p>
        </w:tc>
      </w:tr>
      <w:tr w14:paraId="7288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0C820575">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2.1.3</w:t>
            </w:r>
          </w:p>
        </w:tc>
        <w:tc>
          <w:tcPr>
            <w:tcW w:w="780" w:type="dxa"/>
            <w:vMerge w:val="restart"/>
            <w:vAlign w:val="center"/>
          </w:tcPr>
          <w:p w14:paraId="39B6580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响</w:t>
            </w:r>
          </w:p>
          <w:p w14:paraId="0AB2B91D">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应</w:t>
            </w:r>
          </w:p>
          <w:p w14:paraId="52254A2A">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性</w:t>
            </w:r>
          </w:p>
          <w:p w14:paraId="11807738">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w:t>
            </w:r>
          </w:p>
          <w:p w14:paraId="25ED724A">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审</w:t>
            </w:r>
          </w:p>
          <w:p w14:paraId="37BEEF8B">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标</w:t>
            </w:r>
          </w:p>
          <w:p w14:paraId="1AFFF796">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准</w:t>
            </w:r>
          </w:p>
          <w:p w14:paraId="75C511A0">
            <w:pPr>
              <w:autoSpaceDE w:val="0"/>
              <w:autoSpaceDN w:val="0"/>
              <w:adjustRightInd w:val="0"/>
              <w:spacing w:line="0" w:lineRule="atLeast"/>
              <w:rPr>
                <w:rFonts w:hint="eastAsia" w:ascii="宋体" w:hAnsi="宋体" w:eastAsia="宋体" w:cs="宋体"/>
                <w:bCs/>
                <w:szCs w:val="21"/>
                <w:lang w:val="zh-CN"/>
              </w:rPr>
            </w:pPr>
          </w:p>
        </w:tc>
        <w:tc>
          <w:tcPr>
            <w:tcW w:w="1440" w:type="dxa"/>
            <w:vAlign w:val="center"/>
          </w:tcPr>
          <w:p w14:paraId="0751700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投标内容</w:t>
            </w:r>
          </w:p>
        </w:tc>
        <w:tc>
          <w:tcPr>
            <w:tcW w:w="1624" w:type="dxa"/>
            <w:vAlign w:val="center"/>
          </w:tcPr>
          <w:p w14:paraId="3666AD62">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694055F2">
            <w:pPr>
              <w:autoSpaceDE w:val="0"/>
              <w:autoSpaceDN w:val="0"/>
              <w:adjustRightInd w:val="0"/>
              <w:spacing w:line="0" w:lineRule="atLeast"/>
              <w:jc w:val="left"/>
              <w:rPr>
                <w:rFonts w:hint="eastAsia" w:ascii="宋体" w:hAnsi="宋体" w:eastAsia="宋体" w:cs="宋体"/>
                <w:bCs/>
                <w:szCs w:val="21"/>
                <w:lang w:val="zh-CN"/>
              </w:rPr>
            </w:pPr>
            <w:r>
              <w:rPr>
                <w:rFonts w:hint="eastAsia" w:ascii="宋体" w:hAnsi="宋体" w:eastAsia="宋体" w:cs="宋体"/>
                <w:bCs/>
                <w:szCs w:val="21"/>
                <w:lang w:val="zh-CN"/>
              </w:rPr>
              <w:t>符合第二章“供应商须知前附表”规定</w:t>
            </w:r>
          </w:p>
        </w:tc>
      </w:tr>
      <w:tr w14:paraId="7201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40" w:type="dxa"/>
            <w:vMerge w:val="continue"/>
          </w:tcPr>
          <w:p w14:paraId="067FB534">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09DEFA2B">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48F91EC0">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服务期</w:t>
            </w:r>
          </w:p>
        </w:tc>
        <w:tc>
          <w:tcPr>
            <w:tcW w:w="1624" w:type="dxa"/>
            <w:vAlign w:val="center"/>
          </w:tcPr>
          <w:p w14:paraId="2AD570D0">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6FE19E55">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符合第二章“供应商须知前附表”规定</w:t>
            </w:r>
          </w:p>
        </w:tc>
      </w:tr>
      <w:tr w14:paraId="2963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EB781F8">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5C2FC883">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64B0BD50">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质量要求</w:t>
            </w:r>
          </w:p>
        </w:tc>
        <w:tc>
          <w:tcPr>
            <w:tcW w:w="1624" w:type="dxa"/>
            <w:vAlign w:val="center"/>
          </w:tcPr>
          <w:p w14:paraId="32C125B2">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1A9D3E98">
            <w:pPr>
              <w:autoSpaceDE w:val="0"/>
              <w:autoSpaceDN w:val="0"/>
              <w:adjustRightInd w:val="0"/>
              <w:spacing w:line="0" w:lineRule="atLeast"/>
              <w:jc w:val="left"/>
              <w:rPr>
                <w:rFonts w:hint="eastAsia" w:ascii="宋体" w:hAnsi="宋体" w:eastAsia="宋体" w:cs="宋体"/>
                <w:bCs/>
                <w:szCs w:val="21"/>
                <w:lang w:val="zh-CN"/>
              </w:rPr>
            </w:pPr>
            <w:r>
              <w:rPr>
                <w:rFonts w:hint="eastAsia" w:ascii="宋体" w:hAnsi="宋体" w:eastAsia="宋体" w:cs="宋体"/>
                <w:i w:val="0"/>
                <w:iCs w:val="0"/>
                <w:caps w:val="0"/>
                <w:color w:val="auto"/>
                <w:spacing w:val="0"/>
                <w:sz w:val="21"/>
                <w:szCs w:val="21"/>
                <w:shd w:val="clear" w:color="auto" w:fill="FFFFFF"/>
              </w:rPr>
              <w:t>符合国家、行业、地方相关规定合格标准</w:t>
            </w:r>
          </w:p>
        </w:tc>
      </w:tr>
      <w:tr w14:paraId="65D5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06AFDC9">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5F82403E">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61C94C39">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投标有效期</w:t>
            </w:r>
          </w:p>
        </w:tc>
        <w:tc>
          <w:tcPr>
            <w:tcW w:w="1624" w:type="dxa"/>
            <w:vAlign w:val="center"/>
          </w:tcPr>
          <w:p w14:paraId="749A7DB0">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245BBB44">
            <w:pPr>
              <w:autoSpaceDE w:val="0"/>
              <w:autoSpaceDN w:val="0"/>
              <w:adjustRightInd w:val="0"/>
              <w:spacing w:line="0" w:lineRule="atLeast"/>
              <w:rPr>
                <w:rFonts w:hint="eastAsia" w:ascii="宋体" w:hAnsi="宋体" w:eastAsia="宋体" w:cs="宋体"/>
                <w:bCs/>
                <w:szCs w:val="21"/>
                <w:lang w:val="zh-CN"/>
              </w:rPr>
            </w:pPr>
            <w:r>
              <w:rPr>
                <w:rFonts w:hint="eastAsia" w:ascii="宋体" w:hAnsi="宋体" w:cs="宋体"/>
                <w:bCs/>
                <w:szCs w:val="21"/>
                <w:lang w:val="en-US" w:eastAsia="zh-CN"/>
              </w:rPr>
              <w:t>90</w:t>
            </w:r>
            <w:r>
              <w:rPr>
                <w:rFonts w:hint="eastAsia" w:ascii="宋体" w:hAnsi="宋体" w:eastAsia="宋体" w:cs="宋体"/>
                <w:bCs/>
                <w:szCs w:val="21"/>
                <w:lang w:val="zh-CN"/>
              </w:rPr>
              <w:t>天</w:t>
            </w:r>
          </w:p>
        </w:tc>
      </w:tr>
      <w:tr w14:paraId="2B7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5CAD7EA">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5C7919CC">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1B26299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磋商保证金</w:t>
            </w:r>
          </w:p>
        </w:tc>
        <w:tc>
          <w:tcPr>
            <w:tcW w:w="1624" w:type="dxa"/>
            <w:vAlign w:val="center"/>
          </w:tcPr>
          <w:p w14:paraId="3BDC703B">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5200CBC9">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符合第二章“供应商须知前附表”</w:t>
            </w:r>
          </w:p>
        </w:tc>
      </w:tr>
      <w:tr w14:paraId="0202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8B6FF78">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2B45D6D4">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064BD4C5">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技术标准和要求</w:t>
            </w:r>
          </w:p>
        </w:tc>
        <w:tc>
          <w:tcPr>
            <w:tcW w:w="1624" w:type="dxa"/>
            <w:vAlign w:val="center"/>
          </w:tcPr>
          <w:p w14:paraId="51CC2E3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第五章“技术标准和要求”</w:t>
            </w:r>
          </w:p>
        </w:tc>
        <w:tc>
          <w:tcPr>
            <w:tcW w:w="3764" w:type="dxa"/>
            <w:vAlign w:val="center"/>
          </w:tcPr>
          <w:p w14:paraId="252541EB">
            <w:pPr>
              <w:autoSpaceDE w:val="0"/>
              <w:autoSpaceDN w:val="0"/>
              <w:adjustRightInd w:val="0"/>
              <w:spacing w:line="0" w:lineRule="atLeast"/>
              <w:jc w:val="left"/>
              <w:rPr>
                <w:rFonts w:hint="eastAsia" w:ascii="宋体" w:hAnsi="宋体" w:eastAsia="宋体" w:cs="宋体"/>
                <w:bCs/>
                <w:szCs w:val="21"/>
                <w:lang w:val="zh-CN"/>
              </w:rPr>
            </w:pPr>
            <w:r>
              <w:rPr>
                <w:rFonts w:hint="eastAsia" w:ascii="宋体" w:hAnsi="宋体" w:eastAsia="宋体" w:cs="宋体"/>
                <w:bCs/>
                <w:szCs w:val="21"/>
                <w:lang w:val="zh-CN"/>
              </w:rPr>
              <w:t>符合磋商文件“技术标准和要求”规定</w:t>
            </w:r>
          </w:p>
        </w:tc>
      </w:tr>
      <w:tr w14:paraId="3EA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072BBF65">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79A1EE5C">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3D312E12">
            <w:pPr>
              <w:autoSpaceDE w:val="0"/>
              <w:autoSpaceDN w:val="0"/>
              <w:adjustRightInd w:val="0"/>
              <w:spacing w:line="0" w:lineRule="atLeast"/>
              <w:jc w:val="center"/>
              <w:rPr>
                <w:rFonts w:hint="eastAsia" w:ascii="宋体" w:hAnsi="宋体" w:eastAsia="宋体" w:cs="宋体"/>
                <w:bCs/>
                <w:color w:val="FF0000"/>
                <w:szCs w:val="21"/>
                <w:lang w:val="zh-CN"/>
              </w:rPr>
            </w:pPr>
            <w:r>
              <w:rPr>
                <w:rFonts w:hint="eastAsia" w:ascii="宋体" w:hAnsi="宋体" w:eastAsia="宋体" w:cs="宋体"/>
                <w:bCs/>
                <w:szCs w:val="21"/>
                <w:lang w:val="zh-CN"/>
              </w:rPr>
              <w:t>投标报价</w:t>
            </w:r>
          </w:p>
        </w:tc>
        <w:tc>
          <w:tcPr>
            <w:tcW w:w="1624" w:type="dxa"/>
            <w:vAlign w:val="center"/>
          </w:tcPr>
          <w:p w14:paraId="6E00AF49">
            <w:pPr>
              <w:autoSpaceDE w:val="0"/>
              <w:autoSpaceDN w:val="0"/>
              <w:adjustRightInd w:val="0"/>
              <w:spacing w:line="0" w:lineRule="atLeast"/>
              <w:rPr>
                <w:rFonts w:hint="eastAsia" w:ascii="宋体" w:hAnsi="宋体" w:eastAsia="宋体" w:cs="宋体"/>
                <w:bCs/>
                <w:color w:val="FF0000"/>
                <w:szCs w:val="21"/>
                <w:lang w:val="zh-CN"/>
              </w:rPr>
            </w:pPr>
            <w:r>
              <w:rPr>
                <w:rFonts w:hint="eastAsia" w:ascii="宋体" w:hAnsi="宋体" w:eastAsia="宋体" w:cs="宋体"/>
                <w:bCs/>
                <w:szCs w:val="21"/>
                <w:lang w:val="zh-CN"/>
              </w:rPr>
              <w:t>第二章“供应商须知前附表”</w:t>
            </w:r>
          </w:p>
        </w:tc>
        <w:tc>
          <w:tcPr>
            <w:tcW w:w="3764" w:type="dxa"/>
            <w:vAlign w:val="center"/>
          </w:tcPr>
          <w:p w14:paraId="0718520F">
            <w:pPr>
              <w:autoSpaceDE w:val="0"/>
              <w:autoSpaceDN w:val="0"/>
              <w:adjustRightInd w:val="0"/>
              <w:spacing w:line="0" w:lineRule="atLeast"/>
              <w:rPr>
                <w:rFonts w:hint="eastAsia" w:ascii="宋体" w:hAnsi="宋体" w:eastAsia="宋体" w:cs="宋体"/>
                <w:bCs/>
                <w:color w:val="FF0000"/>
                <w:szCs w:val="21"/>
                <w:lang w:val="zh-CN"/>
              </w:rPr>
            </w:pPr>
            <w:r>
              <w:rPr>
                <w:rFonts w:hint="eastAsia" w:ascii="宋体" w:hAnsi="宋体" w:eastAsia="宋体" w:cs="宋体"/>
                <w:bCs/>
                <w:szCs w:val="21"/>
                <w:lang w:val="zh-CN"/>
              </w:rPr>
              <w:t>投标报价总价不超过招标控制价（超过招标控制价为废标）</w:t>
            </w:r>
          </w:p>
        </w:tc>
      </w:tr>
      <w:tr w14:paraId="60B8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8" w:type="dxa"/>
            <w:gridSpan w:val="5"/>
            <w:tcBorders>
              <w:bottom w:val="single" w:color="auto" w:sz="4" w:space="0"/>
            </w:tcBorders>
            <w:vAlign w:val="center"/>
          </w:tcPr>
          <w:p w14:paraId="087F4C3E">
            <w:pPr>
              <w:pStyle w:val="15"/>
              <w:pBdr>
                <w:bottom w:val="none" w:color="auto" w:sz="0" w:space="0"/>
              </w:pBdr>
              <w:tabs>
                <w:tab w:val="clear" w:pos="4153"/>
                <w:tab w:val="clear" w:pos="8306"/>
              </w:tabs>
              <w:autoSpaceDE w:val="0"/>
              <w:autoSpaceDN w:val="0"/>
              <w:adjustRightInd w:val="0"/>
              <w:snapToGrid/>
              <w:spacing w:line="0" w:lineRule="atLeast"/>
              <w:rPr>
                <w:rFonts w:hint="eastAsia" w:ascii="宋体" w:hAnsi="宋体" w:eastAsia="宋体" w:cs="宋体"/>
                <w:b/>
                <w:bCs/>
                <w:sz w:val="21"/>
                <w:szCs w:val="21"/>
                <w:lang w:val="zh-CN"/>
              </w:rPr>
            </w:pPr>
            <w:r>
              <w:rPr>
                <w:rFonts w:hint="eastAsia" w:ascii="宋体" w:hAnsi="宋体" w:eastAsia="宋体" w:cs="宋体"/>
                <w:b/>
                <w:bCs/>
                <w:sz w:val="21"/>
                <w:szCs w:val="21"/>
                <w:lang w:val="zh-CN"/>
              </w:rPr>
              <w:t>评审结果</w:t>
            </w:r>
          </w:p>
        </w:tc>
      </w:tr>
    </w:tbl>
    <w:p w14:paraId="515E2918">
      <w:pPr>
        <w:spacing w:line="360" w:lineRule="auto"/>
        <w:rPr>
          <w:rFonts w:hint="eastAsia" w:ascii="宋体" w:hAnsi="宋体" w:eastAsia="宋体" w:cs="宋体"/>
          <w:sz w:val="26"/>
        </w:rPr>
      </w:pPr>
    </w:p>
    <w:p w14:paraId="3B3A4313">
      <w:pPr>
        <w:widowControl/>
        <w:jc w:val="left"/>
        <w:rPr>
          <w:rFonts w:ascii="宋体" w:hAnsi="宋体"/>
          <w:b/>
          <w:bCs/>
          <w:sz w:val="26"/>
        </w:rPr>
      </w:pPr>
      <w:r>
        <w:rPr>
          <w:rFonts w:ascii="宋体" w:hAnsi="宋体"/>
          <w:b/>
          <w:bCs/>
          <w:sz w:val="26"/>
        </w:rPr>
        <w:br w:type="page"/>
      </w:r>
    </w:p>
    <w:p w14:paraId="27A31DA5">
      <w:pPr>
        <w:spacing w:line="360" w:lineRule="auto"/>
        <w:jc w:val="center"/>
        <w:rPr>
          <w:rFonts w:ascii="宋体" w:hAnsi="宋体"/>
          <w:b/>
          <w:bCs/>
          <w:sz w:val="28"/>
          <w:szCs w:val="28"/>
        </w:rPr>
      </w:pPr>
      <w:r>
        <w:rPr>
          <w:rFonts w:hint="eastAsia" w:ascii="宋体" w:hAnsi="宋体"/>
          <w:b/>
          <w:bCs/>
          <w:sz w:val="28"/>
          <w:szCs w:val="28"/>
        </w:rPr>
        <w:t>评审办法前附表（二）</w:t>
      </w:r>
    </w:p>
    <w:tbl>
      <w:tblPr>
        <w:tblStyle w:val="23"/>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69"/>
        <w:gridCol w:w="5149"/>
        <w:gridCol w:w="894"/>
      </w:tblGrid>
      <w:tr w14:paraId="55A3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0EFAD922">
            <w:pPr>
              <w:spacing w:line="4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评分因素</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1543C01C">
            <w:pPr>
              <w:spacing w:line="460" w:lineRule="exact"/>
              <w:jc w:val="center"/>
              <w:rPr>
                <w:rFonts w:hint="eastAsia" w:ascii="宋体" w:hAnsi="宋体" w:eastAsia="宋体" w:cs="宋体"/>
                <w:b/>
                <w:szCs w:val="21"/>
                <w:lang w:val="en-US" w:eastAsia="zh-CN"/>
              </w:rPr>
            </w:pPr>
            <w:r>
              <w:rPr>
                <w:rFonts w:hint="eastAsia" w:ascii="宋体" w:hAnsi="宋体" w:cs="宋体"/>
                <w:b/>
                <w:szCs w:val="21"/>
                <w:lang w:val="en-US" w:eastAsia="zh-CN"/>
              </w:rPr>
              <w:t>评分点</w:t>
            </w:r>
          </w:p>
        </w:tc>
        <w:tc>
          <w:tcPr>
            <w:tcW w:w="5149" w:type="dxa"/>
            <w:tcBorders>
              <w:top w:val="single" w:color="auto" w:sz="4" w:space="0"/>
              <w:left w:val="single" w:color="auto" w:sz="4" w:space="0"/>
              <w:right w:val="single" w:color="auto" w:sz="4" w:space="0"/>
            </w:tcBorders>
            <w:shd w:val="clear" w:color="auto" w:fill="auto"/>
            <w:noWrap w:val="0"/>
            <w:vAlign w:val="center"/>
          </w:tcPr>
          <w:p w14:paraId="7764C942">
            <w:pPr>
              <w:spacing w:line="460" w:lineRule="exact"/>
              <w:jc w:val="center"/>
              <w:rPr>
                <w:rFonts w:hint="eastAsia" w:ascii="宋体" w:hAnsi="宋体" w:eastAsia="宋体" w:cs="宋体"/>
                <w:kern w:val="2"/>
                <w:sz w:val="21"/>
                <w:szCs w:val="21"/>
                <w:lang w:val="en-US" w:eastAsia="zh-CN" w:bidi="ar-SA"/>
              </w:rPr>
            </w:pPr>
            <w:r>
              <w:rPr>
                <w:rFonts w:hint="eastAsia" w:ascii="宋体" w:hAnsi="宋体" w:cs="宋体"/>
                <w:b/>
                <w:bCs/>
                <w:szCs w:val="21"/>
              </w:rPr>
              <w:t>评分标准</w:t>
            </w:r>
          </w:p>
        </w:tc>
        <w:tc>
          <w:tcPr>
            <w:tcW w:w="894" w:type="dxa"/>
            <w:tcBorders>
              <w:top w:val="single" w:color="auto" w:sz="4" w:space="0"/>
              <w:left w:val="single" w:color="auto" w:sz="4" w:space="0"/>
              <w:right w:val="single" w:color="auto" w:sz="4" w:space="0"/>
            </w:tcBorders>
            <w:noWrap w:val="0"/>
            <w:vAlign w:val="center"/>
          </w:tcPr>
          <w:p w14:paraId="2ACCFEA1">
            <w:pPr>
              <w:spacing w:line="460" w:lineRule="exact"/>
              <w:jc w:val="center"/>
              <w:rPr>
                <w:rFonts w:hint="eastAsia" w:ascii="宋体" w:hAnsi="宋体" w:cs="宋体"/>
                <w:szCs w:val="21"/>
              </w:rPr>
            </w:pPr>
            <w:r>
              <w:rPr>
                <w:rFonts w:hint="eastAsia" w:asciiTheme="majorEastAsia" w:hAnsiTheme="majorEastAsia" w:eastAsiaTheme="majorEastAsia" w:cstheme="majorEastAsia"/>
                <w:color w:val="auto"/>
                <w:sz w:val="24"/>
                <w:highlight w:val="none"/>
                <w:lang w:val="zh-CN"/>
              </w:rPr>
              <w:t>主、客观项</w:t>
            </w:r>
          </w:p>
        </w:tc>
      </w:tr>
      <w:tr w14:paraId="37CA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077" w:type="dxa"/>
            <w:tcBorders>
              <w:top w:val="single" w:color="auto" w:sz="4" w:space="0"/>
              <w:left w:val="single" w:color="auto" w:sz="4" w:space="0"/>
              <w:right w:val="single" w:color="auto" w:sz="4" w:space="0"/>
            </w:tcBorders>
            <w:noWrap w:val="0"/>
            <w:vAlign w:val="center"/>
          </w:tcPr>
          <w:p w14:paraId="1CA92D4D">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报价</w:t>
            </w:r>
            <w:r>
              <w:rPr>
                <w:rFonts w:hint="eastAsia" w:ascii="宋体" w:hAnsi="宋体" w:eastAsia="宋体" w:cs="宋体"/>
                <w:sz w:val="21"/>
                <w:szCs w:val="21"/>
                <w:highlight w:val="none"/>
              </w:rPr>
              <w:t>部分</w:t>
            </w:r>
          </w:p>
          <w:p w14:paraId="748CCDB2">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jc w:val="center"/>
              <w:textAlignment w:val="baseline"/>
              <w:rPr>
                <w:rFonts w:hint="eastAsia" w:ascii="宋体" w:hAnsi="宋体" w:cs="宋体"/>
                <w:sz w:val="21"/>
                <w:szCs w:val="21"/>
              </w:rPr>
            </w:pPr>
            <w:r>
              <w:rPr>
                <w:rFonts w:hint="eastAsia" w:ascii="宋体" w:hAnsi="宋体" w:eastAsia="宋体" w:cs="宋体"/>
                <w:sz w:val="21"/>
                <w:szCs w:val="21"/>
                <w:highlight w:val="none"/>
                <w:lang w:val="en-US" w:eastAsia="zh-CN"/>
              </w:rPr>
              <w:t>（20分）</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3E903F77">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jc w:val="center"/>
              <w:textAlignment w:val="baseline"/>
              <w:rPr>
                <w:rFonts w:hint="default" w:eastAsia="宋体"/>
                <w:sz w:val="21"/>
                <w:szCs w:val="21"/>
                <w:lang w:val="en-US" w:eastAsia="zh-CN"/>
              </w:rPr>
            </w:pPr>
            <w:r>
              <w:rPr>
                <w:rFonts w:hint="eastAsia" w:ascii="宋体" w:hAnsi="宋体" w:eastAsia="宋体" w:cs="宋体"/>
                <w:sz w:val="21"/>
                <w:szCs w:val="21"/>
                <w:lang w:val="en-US" w:eastAsia="zh-CN"/>
              </w:rPr>
              <w:t>报价得分20</w:t>
            </w:r>
            <w:r>
              <w:rPr>
                <w:rFonts w:hint="eastAsia" w:ascii="宋体" w:hAnsi="宋体" w:eastAsia="宋体" w:cs="宋体"/>
                <w:sz w:val="21"/>
                <w:szCs w:val="21"/>
              </w:rPr>
              <w:t>分</w:t>
            </w:r>
          </w:p>
        </w:tc>
        <w:tc>
          <w:tcPr>
            <w:tcW w:w="5149" w:type="dxa"/>
            <w:tcBorders>
              <w:left w:val="single" w:color="auto" w:sz="4" w:space="0"/>
              <w:bottom w:val="single" w:color="auto" w:sz="4" w:space="0"/>
              <w:right w:val="single" w:color="auto" w:sz="4" w:space="0"/>
            </w:tcBorders>
            <w:shd w:val="clear" w:color="auto" w:fill="auto"/>
            <w:noWrap w:val="0"/>
            <w:vAlign w:val="center"/>
          </w:tcPr>
          <w:p w14:paraId="1AC0489B">
            <w:pPr>
              <w:pStyle w:val="57"/>
              <w:rPr>
                <w:rFonts w:hint="eastAsia" w:ascii="宋体" w:hAnsi="宋体" w:eastAsia="宋体" w:cs="宋体"/>
                <w:sz w:val="21"/>
                <w:szCs w:val="21"/>
              </w:rPr>
            </w:pPr>
            <w:r>
              <w:rPr>
                <w:rFonts w:hint="eastAsia" w:ascii="宋体" w:hAnsi="宋体" w:eastAsia="宋体" w:cs="宋体"/>
                <w:sz w:val="21"/>
                <w:szCs w:val="21"/>
              </w:rPr>
              <w:t>1、评审基准价：满足磋商文件要求，最低报价为评审基准价。</w:t>
            </w:r>
          </w:p>
          <w:p w14:paraId="3B7B3A84">
            <w:pPr>
              <w:pStyle w:val="57"/>
              <w:spacing w:before="5" w:line="242" w:lineRule="auto"/>
              <w:ind w:left="14" w:right="108"/>
              <w:rPr>
                <w:rFonts w:hint="eastAsia" w:ascii="宋体" w:hAnsi="宋体" w:eastAsia="宋体" w:cs="宋体"/>
                <w:sz w:val="21"/>
                <w:szCs w:val="21"/>
              </w:rPr>
            </w:pPr>
            <w:r>
              <w:rPr>
                <w:rFonts w:hint="eastAsia" w:ascii="宋体" w:hAnsi="宋体" w:eastAsia="宋体" w:cs="宋体"/>
                <w:sz w:val="21"/>
                <w:szCs w:val="21"/>
              </w:rPr>
              <w:t xml:space="preserve">2、报价等于评审基准价为 </w:t>
            </w:r>
            <w:r>
              <w:rPr>
                <w:rFonts w:hint="eastAsia" w:ascii="宋体" w:hAnsi="宋体" w:eastAsia="宋体" w:cs="宋体"/>
                <w:sz w:val="21"/>
                <w:szCs w:val="21"/>
                <w:lang w:val="en-US" w:eastAsia="zh-CN"/>
              </w:rPr>
              <w:t>2</w:t>
            </w:r>
            <w:r>
              <w:rPr>
                <w:rFonts w:hint="eastAsia" w:ascii="宋体" w:hAnsi="宋体" w:eastAsia="宋体" w:cs="宋体"/>
                <w:sz w:val="21"/>
                <w:szCs w:val="21"/>
              </w:rPr>
              <w:t>0 分，其他供应商报价得分按（评审基准价/响应报价）×</w:t>
            </w:r>
            <w:r>
              <w:rPr>
                <w:rFonts w:hint="eastAsia" w:ascii="宋体" w:hAnsi="宋体" w:cs="宋体"/>
                <w:sz w:val="21"/>
                <w:szCs w:val="21"/>
                <w:lang w:val="en-US" w:eastAsia="zh-CN"/>
              </w:rPr>
              <w:t>20</w:t>
            </w:r>
            <w:r>
              <w:rPr>
                <w:rFonts w:hint="eastAsia" w:ascii="宋体" w:hAnsi="宋体" w:eastAsia="宋体" w:cs="宋体"/>
                <w:sz w:val="21"/>
                <w:szCs w:val="21"/>
              </w:rPr>
              <w:t>计算。</w:t>
            </w:r>
          </w:p>
          <w:p w14:paraId="1F891960">
            <w:pPr>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jc w:val="left"/>
              <w:textAlignment w:val="baseline"/>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3、有效报价指经评审满足磋商文件编制规定，并符合磋商文件技术要求的最终报价。</w:t>
            </w:r>
          </w:p>
        </w:tc>
        <w:tc>
          <w:tcPr>
            <w:tcW w:w="894" w:type="dxa"/>
            <w:tcBorders>
              <w:left w:val="single" w:color="auto" w:sz="4" w:space="0"/>
              <w:bottom w:val="single" w:color="auto" w:sz="4" w:space="0"/>
              <w:right w:val="single" w:color="auto" w:sz="4" w:space="0"/>
            </w:tcBorders>
            <w:noWrap w:val="0"/>
            <w:vAlign w:val="center"/>
          </w:tcPr>
          <w:p w14:paraId="7EAB050C">
            <w:pPr>
              <w:spacing w:line="360" w:lineRule="exact"/>
              <w:rPr>
                <w:rFonts w:hint="eastAsia" w:ascii="宋体" w:hAnsi="宋体" w:cs="宋体"/>
                <w:bCs/>
                <w:sz w:val="21"/>
                <w:szCs w:val="21"/>
              </w:rPr>
            </w:pPr>
            <w:r>
              <w:rPr>
                <w:rFonts w:hint="eastAsia" w:ascii="Times New Roman" w:hAnsi="Times New Roman" w:eastAsia="宋体" w:cs="Times New Roman"/>
                <w:color w:val="auto"/>
                <w:highlight w:val="none"/>
                <w:lang w:val="zh-CN"/>
              </w:rPr>
              <w:t>客观项</w:t>
            </w:r>
          </w:p>
        </w:tc>
      </w:tr>
      <w:tr w14:paraId="5ECE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7" w:type="dxa"/>
            <w:vMerge w:val="restart"/>
            <w:tcBorders>
              <w:left w:val="single" w:color="auto" w:sz="4" w:space="0"/>
              <w:right w:val="single" w:color="auto" w:sz="4" w:space="0"/>
            </w:tcBorders>
            <w:noWrap w:val="0"/>
            <w:vAlign w:val="center"/>
          </w:tcPr>
          <w:p w14:paraId="1DF49240">
            <w:pPr>
              <w:widowControl/>
              <w:spacing w:line="460" w:lineRule="exact"/>
              <w:jc w:val="center"/>
              <w:textAlignment w:val="center"/>
              <w:rPr>
                <w:rFonts w:hint="eastAsia" w:ascii="宋体" w:hAnsi="宋体" w:cs="宋体"/>
                <w:bCs/>
                <w:sz w:val="21"/>
                <w:szCs w:val="21"/>
                <w:lang w:val="zh-CN"/>
              </w:rPr>
            </w:pPr>
            <w:r>
              <w:rPr>
                <w:rFonts w:hint="eastAsia" w:ascii="宋体" w:hAnsi="宋体" w:cs="宋体"/>
                <w:color w:val="000000"/>
                <w:kern w:val="0"/>
                <w:sz w:val="21"/>
                <w:szCs w:val="21"/>
                <w:lang w:bidi="ar"/>
              </w:rPr>
              <w:t>商务部分（</w:t>
            </w:r>
            <w:r>
              <w:rPr>
                <w:rFonts w:hint="eastAsia" w:ascii="宋体" w:hAnsi="宋体" w:cs="宋体"/>
                <w:color w:val="000000"/>
                <w:kern w:val="0"/>
                <w:sz w:val="21"/>
                <w:szCs w:val="21"/>
                <w:lang w:val="en-US" w:eastAsia="zh-CN" w:bidi="ar"/>
              </w:rPr>
              <w:t>30</w:t>
            </w:r>
            <w:r>
              <w:rPr>
                <w:rFonts w:hint="eastAsia" w:ascii="宋体" w:hAnsi="宋体" w:cs="宋体"/>
                <w:color w:val="000000"/>
                <w:kern w:val="0"/>
                <w:sz w:val="21"/>
                <w:szCs w:val="21"/>
                <w:lang w:bidi="ar"/>
              </w:rPr>
              <w:t>分）</w:t>
            </w:r>
          </w:p>
        </w:tc>
        <w:tc>
          <w:tcPr>
            <w:tcW w:w="1569" w:type="dxa"/>
            <w:tcBorders>
              <w:top w:val="single" w:color="auto" w:sz="4" w:space="0"/>
              <w:left w:val="single" w:color="auto" w:sz="4" w:space="0"/>
              <w:right w:val="single" w:color="auto" w:sz="4" w:space="0"/>
            </w:tcBorders>
            <w:shd w:val="clear" w:color="auto" w:fill="auto"/>
            <w:noWrap w:val="0"/>
            <w:vAlign w:val="center"/>
          </w:tcPr>
          <w:p w14:paraId="571C71D8">
            <w:pPr>
              <w:spacing w:before="100" w:beforeAutospacing="1" w:after="100" w:afterAutospacing="1"/>
              <w:jc w:val="center"/>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类似项目业绩（</w:t>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9335FD">
            <w:pPr>
              <w:pStyle w:val="57"/>
              <w:spacing w:line="330" w:lineRule="exact"/>
              <w:rPr>
                <w:rFonts w:hint="eastAsia" w:ascii="宋体" w:hAnsi="宋体" w:eastAsia="宋体" w:cs="宋体"/>
                <w:b w:val="0"/>
                <w:bCs/>
                <w:color w:val="auto"/>
                <w:sz w:val="21"/>
                <w:szCs w:val="21"/>
              </w:rPr>
            </w:pP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月1日至今</w:t>
            </w:r>
            <w:r>
              <w:rPr>
                <w:rFonts w:hint="eastAsia" w:ascii="宋体" w:hAnsi="宋体" w:eastAsia="宋体" w:cs="宋体"/>
                <w:b w:val="0"/>
                <w:bCs/>
                <w:color w:val="auto"/>
                <w:sz w:val="21"/>
                <w:szCs w:val="21"/>
              </w:rPr>
              <w:t>有类似</w:t>
            </w:r>
            <w:r>
              <w:rPr>
                <w:rFonts w:hint="eastAsia" w:ascii="宋体" w:hAnsi="宋体" w:eastAsia="宋体" w:cs="宋体"/>
                <w:b w:val="0"/>
                <w:bCs/>
                <w:color w:val="auto"/>
                <w:sz w:val="21"/>
                <w:szCs w:val="21"/>
                <w:lang w:val="en-US"/>
              </w:rPr>
              <w:t>项目</w:t>
            </w:r>
            <w:r>
              <w:rPr>
                <w:rFonts w:hint="eastAsia" w:ascii="宋体" w:hAnsi="宋体" w:eastAsia="宋体" w:cs="宋体"/>
                <w:b w:val="0"/>
                <w:bCs/>
                <w:color w:val="auto"/>
                <w:sz w:val="21"/>
                <w:szCs w:val="21"/>
              </w:rPr>
              <w:t>业绩，在一项基础上，每增加一项得2，最多得</w:t>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分；</w:t>
            </w:r>
          </w:p>
          <w:p w14:paraId="6E60FBA3">
            <w:pPr>
              <w:widowControl w:val="0"/>
              <w:rPr>
                <w:rFonts w:hint="eastAsia" w:ascii="宋体" w:hAnsi="宋体" w:eastAsia="宋体" w:cs="宋体"/>
                <w:b w:val="0"/>
                <w:bCs/>
                <w:color w:val="auto"/>
                <w:kern w:val="2"/>
                <w:sz w:val="21"/>
                <w:szCs w:val="21"/>
                <w:lang w:val="zh-CN" w:eastAsia="zh-CN" w:bidi="ar-SA"/>
              </w:rPr>
            </w:pPr>
            <w:r>
              <w:rPr>
                <w:rFonts w:hint="eastAsia" w:ascii="宋体" w:hAnsi="宋体" w:eastAsia="宋体" w:cs="宋体"/>
                <w:b w:val="0"/>
                <w:bCs/>
                <w:color w:val="auto"/>
                <w:sz w:val="21"/>
                <w:szCs w:val="21"/>
              </w:rPr>
              <w:t>（须提供中标通知书或合同协议书复印件加盖公司公章）</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6D05A">
            <w:pPr>
              <w:spacing w:line="360" w:lineRule="exact"/>
              <w:rPr>
                <w:rFonts w:hint="eastAsia" w:ascii="宋体" w:hAnsi="宋体" w:eastAsia="宋体" w:cs="宋体"/>
                <w:b w:val="0"/>
                <w:bCs/>
                <w:color w:val="auto"/>
                <w:kern w:val="2"/>
                <w:sz w:val="21"/>
                <w:szCs w:val="21"/>
                <w:lang w:val="zh-CN" w:eastAsia="zh-CN" w:bidi="ar-SA"/>
              </w:rPr>
            </w:pPr>
            <w:r>
              <w:rPr>
                <w:rFonts w:hint="eastAsia" w:ascii="Times New Roman" w:hAnsi="Times New Roman" w:eastAsia="宋体" w:cs="Times New Roman"/>
                <w:color w:val="auto"/>
                <w:highlight w:val="none"/>
                <w:lang w:val="zh-CN"/>
              </w:rPr>
              <w:t>客观项</w:t>
            </w:r>
          </w:p>
        </w:tc>
      </w:tr>
      <w:tr w14:paraId="0479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77" w:type="dxa"/>
            <w:vMerge w:val="continue"/>
            <w:tcBorders>
              <w:left w:val="single" w:color="auto" w:sz="4" w:space="0"/>
              <w:right w:val="single" w:color="auto" w:sz="4" w:space="0"/>
            </w:tcBorders>
            <w:noWrap w:val="0"/>
            <w:vAlign w:val="center"/>
          </w:tcPr>
          <w:p w14:paraId="535995F2">
            <w:pPr>
              <w:spacing w:line="460" w:lineRule="exact"/>
              <w:jc w:val="center"/>
              <w:rPr>
                <w:rFonts w:hint="eastAsia" w:ascii="宋体" w:hAnsi="宋体" w:cs="宋体"/>
                <w:bCs/>
                <w:sz w:val="21"/>
                <w:szCs w:val="21"/>
                <w:lang w:val="zh-CN"/>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075A8CC0">
            <w:pPr>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sz w:val="21"/>
                <w:szCs w:val="21"/>
              </w:rPr>
              <w:t>技术负责人</w:t>
            </w:r>
            <w:r>
              <w:rPr>
                <w:rFonts w:hint="eastAsia" w:ascii="宋体" w:hAnsi="宋体" w:eastAsia="宋体" w:cs="宋体"/>
                <w:sz w:val="21"/>
                <w:szCs w:val="21"/>
                <w:lang w:val="en-US" w:eastAsia="zh-CN"/>
              </w:rPr>
              <w:t>业绩（4分）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69F432">
            <w:pPr>
              <w:widowControl w:val="0"/>
              <w:rPr>
                <w:rFonts w:hint="eastAsia" w:ascii="宋体" w:hAnsi="宋体" w:eastAsia="宋体" w:cs="宋体"/>
                <w:b/>
                <w:bCs/>
                <w:color w:val="000000" w:themeColor="text1"/>
                <w:kern w:val="2"/>
                <w:sz w:val="21"/>
                <w:szCs w:val="21"/>
                <w:lang w:val="zh-CN" w:eastAsia="zh-CN" w:bidi="ar-SA"/>
              </w:rPr>
            </w:pP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月1日至今</w:t>
            </w:r>
            <w:r>
              <w:rPr>
                <w:rFonts w:hint="eastAsia" w:ascii="宋体" w:hAnsi="宋体" w:eastAsia="宋体" w:cs="宋体"/>
                <w:sz w:val="21"/>
                <w:szCs w:val="21"/>
              </w:rPr>
              <w:t>完过类似</w:t>
            </w:r>
            <w:r>
              <w:rPr>
                <w:rFonts w:hint="eastAsia" w:ascii="宋体" w:hAnsi="宋体" w:cs="宋体"/>
                <w:sz w:val="21"/>
                <w:szCs w:val="21"/>
                <w:lang w:val="en-US" w:eastAsia="zh-CN"/>
              </w:rPr>
              <w:t>项目</w:t>
            </w:r>
            <w:r>
              <w:rPr>
                <w:rFonts w:hint="eastAsia" w:ascii="宋体" w:hAnsi="宋体" w:eastAsia="宋体" w:cs="宋体"/>
                <w:sz w:val="21"/>
                <w:szCs w:val="21"/>
              </w:rPr>
              <w:t>业绩，每项加2分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最多得4分</w:t>
            </w:r>
            <w:r>
              <w:rPr>
                <w:rFonts w:hint="eastAsia" w:ascii="宋体" w:hAnsi="宋体" w:eastAsia="宋体" w:cs="宋体"/>
                <w:sz w:val="21"/>
                <w:szCs w:val="21"/>
              </w:rPr>
              <w:t>。（业绩加分需提供中标通知书或合同</w:t>
            </w:r>
            <w:r>
              <w:rPr>
                <w:rFonts w:hint="eastAsia" w:ascii="宋体" w:hAnsi="宋体" w:cs="宋体"/>
                <w:sz w:val="21"/>
                <w:szCs w:val="21"/>
                <w:lang w:val="en-US" w:eastAsia="zh-CN"/>
              </w:rPr>
              <w:t>复印</w:t>
            </w:r>
            <w:r>
              <w:rPr>
                <w:rFonts w:hint="eastAsia" w:ascii="宋体" w:hAnsi="宋体" w:eastAsia="宋体" w:cs="宋体"/>
                <w:sz w:val="21"/>
                <w:szCs w:val="21"/>
              </w:rPr>
              <w:t>件</w:t>
            </w:r>
            <w:r>
              <w:rPr>
                <w:rFonts w:hint="eastAsia" w:ascii="宋体" w:hAnsi="宋体" w:cs="宋体"/>
                <w:sz w:val="21"/>
                <w:szCs w:val="21"/>
                <w:lang w:val="en-US" w:eastAsia="zh-CN"/>
              </w:rPr>
              <w:t>并加盖公章</w:t>
            </w:r>
            <w:r>
              <w:rPr>
                <w:rFonts w:hint="eastAsia" w:ascii="宋体" w:hAnsi="宋体" w:eastAsia="宋体" w:cs="宋体"/>
                <w:sz w:val="21"/>
                <w:szCs w:val="21"/>
              </w:rPr>
              <w:t>）</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B7AC65">
            <w:pPr>
              <w:spacing w:line="360" w:lineRule="exact"/>
              <w:rPr>
                <w:rFonts w:hint="eastAsia" w:ascii="宋体" w:hAnsi="宋体" w:eastAsia="宋体" w:cs="宋体"/>
                <w:b/>
                <w:bCs/>
                <w:color w:val="000000" w:themeColor="text1"/>
                <w:kern w:val="2"/>
                <w:sz w:val="21"/>
                <w:szCs w:val="21"/>
                <w:lang w:val="zh-CN" w:eastAsia="zh-CN" w:bidi="ar-SA"/>
              </w:rPr>
            </w:pPr>
            <w:r>
              <w:rPr>
                <w:rFonts w:hint="eastAsia" w:ascii="Times New Roman" w:hAnsi="Times New Roman" w:eastAsia="宋体" w:cs="Times New Roman"/>
                <w:color w:val="auto"/>
                <w:highlight w:val="none"/>
                <w:lang w:val="zh-CN"/>
              </w:rPr>
              <w:t>客观项</w:t>
            </w:r>
          </w:p>
        </w:tc>
      </w:tr>
      <w:tr w14:paraId="154E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77" w:type="dxa"/>
            <w:vMerge w:val="continue"/>
            <w:tcBorders>
              <w:left w:val="single" w:color="auto" w:sz="4" w:space="0"/>
              <w:right w:val="single" w:color="auto" w:sz="4" w:space="0"/>
            </w:tcBorders>
            <w:noWrap w:val="0"/>
            <w:vAlign w:val="center"/>
          </w:tcPr>
          <w:p w14:paraId="0929D893">
            <w:pPr>
              <w:spacing w:line="460" w:lineRule="exact"/>
              <w:jc w:val="center"/>
              <w:rPr>
                <w:rFonts w:hint="eastAsia" w:ascii="宋体" w:hAnsi="宋体" w:cs="宋体"/>
                <w:bCs/>
                <w:sz w:val="21"/>
                <w:szCs w:val="21"/>
                <w:lang w:val="zh-CN"/>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469EC5B4">
            <w:pPr>
              <w:spacing w:before="100" w:beforeAutospacing="1" w:after="100" w:afterAutospacing="1"/>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项目执行团队人员配置（</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65E2D7">
            <w:pPr>
              <w:pStyle w:val="57"/>
              <w:spacing w:before="6"/>
              <w:ind w:left="108"/>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人员配备齐全，完善，满足要求，服务人员具有与其相对应的注册证书或职称证书或学历证书，对人员配备情况进行比较，优得</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分，</w:t>
            </w:r>
            <w:r>
              <w:rPr>
                <w:rFonts w:hint="eastAsia" w:ascii="宋体" w:hAnsi="宋体" w:eastAsia="宋体" w:cs="宋体"/>
                <w:color w:val="000000" w:themeColor="text1"/>
                <w:sz w:val="21"/>
                <w:szCs w:val="21"/>
                <w:lang w:val="en-US" w:eastAsia="zh-CN"/>
              </w:rPr>
              <w:t>良得4分，</w:t>
            </w:r>
            <w:r>
              <w:rPr>
                <w:rFonts w:hint="eastAsia" w:ascii="宋体" w:hAnsi="宋体" w:eastAsia="宋体" w:cs="宋体"/>
                <w:color w:val="000000" w:themeColor="text1"/>
                <w:sz w:val="21"/>
                <w:szCs w:val="21"/>
              </w:rPr>
              <w:t>一般得</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分，差不得分。</w:t>
            </w:r>
          </w:p>
          <w:p w14:paraId="2596E74D">
            <w:pPr>
              <w:widowControl w:val="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bCs/>
                <w:color w:val="000000" w:themeColor="text1"/>
                <w:sz w:val="21"/>
                <w:szCs w:val="21"/>
              </w:rPr>
              <w:t>投标文件内附人员相对应的注册证书或职称证书或学历证书。</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AFAA7D">
            <w:pPr>
              <w:spacing w:line="360" w:lineRule="exact"/>
              <w:rPr>
                <w:rFonts w:hint="eastAsia" w:ascii="宋体" w:hAnsi="宋体" w:eastAsia="宋体" w:cs="宋体"/>
                <w:b w:val="0"/>
                <w:bCs/>
                <w:color w:val="auto"/>
                <w:kern w:val="2"/>
                <w:sz w:val="21"/>
                <w:szCs w:val="21"/>
                <w:lang w:val="en-US" w:eastAsia="zh-CN" w:bidi="ar-SA"/>
              </w:rPr>
            </w:pPr>
            <w:r>
              <w:rPr>
                <w:rFonts w:hint="eastAsia" w:ascii="Times New Roman" w:hAnsi="Times New Roman" w:eastAsia="宋体" w:cs="Times New Roman"/>
                <w:color w:val="auto"/>
                <w:highlight w:val="none"/>
                <w:lang w:val="en-US" w:eastAsia="zh-CN"/>
              </w:rPr>
              <w:t>客观项</w:t>
            </w:r>
          </w:p>
        </w:tc>
      </w:tr>
      <w:tr w14:paraId="2CD7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77" w:type="dxa"/>
            <w:vMerge w:val="continue"/>
            <w:tcBorders>
              <w:left w:val="single" w:color="auto" w:sz="4" w:space="0"/>
              <w:right w:val="single" w:color="auto" w:sz="4" w:space="0"/>
            </w:tcBorders>
            <w:noWrap w:val="0"/>
            <w:vAlign w:val="center"/>
          </w:tcPr>
          <w:p w14:paraId="4C744DBC">
            <w:pPr>
              <w:spacing w:line="460" w:lineRule="exact"/>
              <w:jc w:val="center"/>
              <w:rPr>
                <w:rFonts w:hint="eastAsia" w:ascii="宋体" w:hAnsi="宋体" w:cs="宋体"/>
                <w:bCs/>
                <w:sz w:val="21"/>
                <w:szCs w:val="21"/>
                <w:lang w:val="zh-CN"/>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795FDF0D">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优惠条件</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5分</w:t>
            </w:r>
            <w:r>
              <w:rPr>
                <w:rFonts w:hint="eastAsia" w:ascii="宋体" w:hAnsi="宋体" w:eastAsia="宋体" w:cs="宋体"/>
                <w:bCs/>
                <w:sz w:val="21"/>
                <w:szCs w:val="21"/>
                <w:lang w:eastAsia="zh-CN"/>
              </w:rPr>
              <w:t>）</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C512F7">
            <w:pPr>
              <w:pStyle w:val="53"/>
              <w:spacing w:line="280" w:lineRule="exact"/>
              <w:rPr>
                <w:rFonts w:hint="eastAsia" w:ascii="宋体" w:hAnsi="宋体" w:eastAsia="宋体" w:cs="宋体"/>
                <w:kern w:val="0"/>
                <w:sz w:val="21"/>
                <w:szCs w:val="21"/>
                <w:lang w:val="en-US" w:eastAsia="en-US" w:bidi="ar-SA"/>
              </w:rPr>
            </w:pPr>
            <w:r>
              <w:rPr>
                <w:rFonts w:hint="eastAsia" w:ascii="Times New Roman" w:hAnsi="Times New Roman" w:eastAsia="宋体" w:cs="Times New Roman"/>
                <w:color w:val="auto"/>
                <w:highlight w:val="none"/>
                <w:lang w:val="zh-CN"/>
              </w:rPr>
              <w:t>结合本项目采购需求进行评审。有</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val="zh-CN"/>
              </w:rPr>
              <w:t>条实质性优惠条件、确实有利于采购项目的</w:t>
            </w:r>
            <w:r>
              <w:rPr>
                <w:rFonts w:hint="eastAsia" w:ascii="Times New Roman" w:hAnsi="Times New Roman" w:eastAsia="宋体" w:cs="Times New Roman"/>
                <w:color w:val="auto"/>
                <w:highlight w:val="none"/>
                <w:lang w:val="en-US" w:eastAsia="zh-CN"/>
              </w:rPr>
              <w:t>加1份，满分5分，</w:t>
            </w:r>
            <w:r>
              <w:rPr>
                <w:rFonts w:hint="eastAsia" w:ascii="Times New Roman" w:hAnsi="Times New Roman" w:eastAsia="宋体" w:cs="Times New Roman"/>
                <w:color w:val="auto"/>
                <w:highlight w:val="none"/>
                <w:lang w:val="zh-CN"/>
              </w:rPr>
              <w:t>无明显实质性优惠条件，或对项目可能存在负面影响、优惠条件存在漏洞，或未提供优惠条件的，不得分。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22DD2">
            <w:pPr>
              <w:spacing w:line="360" w:lineRule="exact"/>
              <w:rPr>
                <w:rFonts w:hint="eastAsia" w:ascii="宋体" w:hAnsi="宋体" w:eastAsia="宋体" w:cs="宋体"/>
                <w:kern w:val="0"/>
                <w:sz w:val="21"/>
                <w:szCs w:val="21"/>
                <w:lang w:val="en-US" w:eastAsia="en-US" w:bidi="ar-SA"/>
              </w:rPr>
            </w:pPr>
            <w:r>
              <w:rPr>
                <w:rFonts w:hint="eastAsia" w:ascii="Times New Roman" w:hAnsi="Times New Roman" w:eastAsia="宋体" w:cs="Times New Roman"/>
                <w:color w:val="auto"/>
                <w:highlight w:val="none"/>
                <w:lang w:val="en-US" w:eastAsia="zh-CN"/>
              </w:rPr>
              <w:t>客观项</w:t>
            </w:r>
          </w:p>
        </w:tc>
      </w:tr>
      <w:tr w14:paraId="1CF1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77" w:type="dxa"/>
            <w:vMerge w:val="continue"/>
            <w:tcBorders>
              <w:left w:val="single" w:color="auto" w:sz="4" w:space="0"/>
              <w:right w:val="single" w:color="auto" w:sz="4" w:space="0"/>
            </w:tcBorders>
            <w:noWrap w:val="0"/>
            <w:vAlign w:val="center"/>
          </w:tcPr>
          <w:p w14:paraId="5D1A5AE9">
            <w:pPr>
              <w:spacing w:line="460" w:lineRule="exact"/>
              <w:jc w:val="center"/>
              <w:rPr>
                <w:rFonts w:hint="eastAsia" w:ascii="宋体" w:hAnsi="宋体" w:cs="宋体"/>
                <w:bCs/>
                <w:sz w:val="21"/>
                <w:szCs w:val="21"/>
                <w:lang w:val="zh-CN"/>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035F3DCC">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服务承诺</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5分</w:t>
            </w:r>
            <w:r>
              <w:rPr>
                <w:rFonts w:hint="eastAsia" w:ascii="宋体" w:hAnsi="宋体" w:eastAsia="宋体" w:cs="宋体"/>
                <w:bCs/>
                <w:sz w:val="21"/>
                <w:szCs w:val="21"/>
                <w:lang w:eastAsia="zh-CN"/>
              </w:rPr>
              <w:t>）</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056420">
            <w:pPr>
              <w:pStyle w:val="53"/>
              <w:spacing w:line="280" w:lineRule="exact"/>
              <w:rPr>
                <w:rFonts w:hint="eastAsia" w:ascii="宋体" w:hAnsi="宋体" w:eastAsia="宋体" w:cs="宋体"/>
                <w:kern w:val="0"/>
                <w:sz w:val="21"/>
                <w:szCs w:val="21"/>
                <w:lang w:val="en-US" w:eastAsia="en-US" w:bidi="ar-SA"/>
              </w:rPr>
            </w:pPr>
            <w:r>
              <w:rPr>
                <w:rFonts w:hint="eastAsia" w:ascii="Times New Roman" w:hAnsi="Times New Roman" w:eastAsia="宋体" w:cs="Times New Roman"/>
                <w:color w:val="auto"/>
                <w:highlight w:val="none"/>
                <w:lang w:val="zh-CN"/>
              </w:rPr>
              <w:t>结合本项目采购需求进行评审。服务承诺保障体系及措施完善，技术支持能力强，措施和技术保障有针对性的，得</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lang w:val="zh-CN"/>
              </w:rPr>
              <w:t>分；服务承诺内容完善、有技术支持能力，措施可行，现场技术保障措施可行的，得</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val="zh-CN"/>
              </w:rPr>
              <w:t>分；至少提供了技术保障措施的，得</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val="zh-CN"/>
              </w:rPr>
              <w:t>分；对项目运行可能存在负面影响，或承诺内容存在漏洞，或未提供服务承诺的，不得分。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A3479">
            <w:pPr>
              <w:pStyle w:val="53"/>
              <w:spacing w:line="280" w:lineRule="exact"/>
              <w:rPr>
                <w:rFonts w:hint="eastAsia" w:ascii="宋体" w:hAnsi="宋体" w:eastAsia="宋体" w:cs="宋体"/>
                <w:kern w:val="0"/>
                <w:sz w:val="21"/>
                <w:szCs w:val="21"/>
                <w:lang w:val="en-US" w:eastAsia="en-US" w:bidi="ar-SA"/>
              </w:rPr>
            </w:pPr>
            <w:r>
              <w:rPr>
                <w:rFonts w:hint="eastAsia" w:ascii="Times New Roman" w:hAnsi="Times New Roman" w:eastAsia="宋体" w:cs="Times New Roman"/>
                <w:color w:val="auto"/>
                <w:highlight w:val="none"/>
                <w:lang w:val="en-US" w:eastAsia="zh-CN"/>
              </w:rPr>
              <w:t>客观项</w:t>
            </w:r>
          </w:p>
        </w:tc>
      </w:tr>
      <w:tr w14:paraId="7443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77" w:type="dxa"/>
            <w:vMerge w:val="restart"/>
            <w:tcBorders>
              <w:top w:val="single" w:color="auto" w:sz="4" w:space="0"/>
              <w:left w:val="single" w:color="auto" w:sz="4" w:space="0"/>
              <w:right w:val="single" w:color="auto" w:sz="4" w:space="0"/>
            </w:tcBorders>
            <w:noWrap w:val="0"/>
            <w:vAlign w:val="center"/>
          </w:tcPr>
          <w:p w14:paraId="1BA5B6F5">
            <w:pPr>
              <w:widowControl/>
              <w:spacing w:line="460" w:lineRule="exact"/>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技术部分（</w:t>
            </w:r>
            <w:r>
              <w:rPr>
                <w:rFonts w:hint="eastAsia" w:ascii="宋体" w:hAnsi="宋体" w:cs="宋体"/>
                <w:color w:val="000000"/>
                <w:kern w:val="0"/>
                <w:sz w:val="21"/>
                <w:szCs w:val="21"/>
                <w:lang w:val="en-US" w:eastAsia="zh-CN" w:bidi="ar"/>
              </w:rPr>
              <w:t>50</w:t>
            </w:r>
            <w:r>
              <w:rPr>
                <w:rFonts w:hint="eastAsia" w:ascii="宋体" w:hAnsi="宋体" w:cs="宋体"/>
                <w:color w:val="000000"/>
                <w:kern w:val="0"/>
                <w:sz w:val="21"/>
                <w:szCs w:val="21"/>
                <w:lang w:bidi="ar"/>
              </w:rPr>
              <w:t>分）</w:t>
            </w:r>
          </w:p>
        </w:tc>
        <w:tc>
          <w:tcPr>
            <w:tcW w:w="1569" w:type="dxa"/>
            <w:tcBorders>
              <w:top w:val="single" w:color="auto" w:sz="4" w:space="0"/>
              <w:left w:val="single" w:color="auto" w:sz="4" w:space="0"/>
              <w:right w:val="single" w:color="auto" w:sz="4" w:space="0"/>
            </w:tcBorders>
            <w:shd w:val="clear" w:color="auto" w:fill="auto"/>
            <w:noWrap w:val="0"/>
            <w:vAlign w:val="center"/>
          </w:tcPr>
          <w:p w14:paraId="1A7B1EA2">
            <w:pPr>
              <w:spacing w:line="360" w:lineRule="exact"/>
              <w:rPr>
                <w:rFonts w:hint="eastAsia" w:ascii="宋体" w:hAnsi="宋体" w:eastAsia="宋体" w:cs="宋体"/>
                <w:kern w:val="2"/>
                <w:sz w:val="21"/>
                <w:szCs w:val="21"/>
                <w:highlight w:val="none"/>
                <w:lang w:val="en-US" w:eastAsia="zh-CN" w:bidi="ar"/>
              </w:rPr>
            </w:pPr>
            <w:r>
              <w:rPr>
                <w:rFonts w:hint="eastAsia" w:ascii="Times New Roman" w:hAnsi="Times New Roman" w:eastAsia="宋体" w:cs="Times New Roman"/>
                <w:color w:val="auto"/>
                <w:highlight w:val="none"/>
                <w:lang w:val="zh-CN"/>
              </w:rPr>
              <w:t>服务范围、内容（</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53AFF">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1.编制科学合理，内容全面且有针对性，方案详细、具备可行性，措施得力，切实可行的得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lang w:val="zh-CN"/>
              </w:rPr>
              <w:t>10分 ；</w:t>
            </w:r>
          </w:p>
          <w:p w14:paraId="4442D792">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2.编制比较科学合理，内容比较全面、比较有 针对性，方案比较详细，基本具备可行性，措施比 较得力，可行的，得</w:t>
            </w:r>
            <w:r>
              <w:rPr>
                <w:rFonts w:hint="eastAsia" w:ascii="Times New Roman" w:hAnsi="Times New Roman" w:eastAsia="宋体" w:cs="Times New Roman"/>
                <w:color w:val="auto"/>
                <w:highlight w:val="none"/>
                <w:lang w:val="en-US" w:eastAsia="zh-CN"/>
              </w:rPr>
              <w:t>4-7</w:t>
            </w:r>
            <w:r>
              <w:rPr>
                <w:rFonts w:hint="eastAsia" w:ascii="Times New Roman" w:hAnsi="Times New Roman" w:eastAsia="宋体" w:cs="Times New Roman"/>
                <w:color w:val="auto"/>
                <w:highlight w:val="none"/>
                <w:lang w:val="zh-CN"/>
              </w:rPr>
              <w:t>分；</w:t>
            </w:r>
          </w:p>
          <w:p w14:paraId="6542A9AB">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3.编制不够科学合理，内容简单，针对性不强、方案简单、措施不完备、可行性差的，得</w:t>
            </w:r>
            <w:r>
              <w:rPr>
                <w:rFonts w:hint="eastAsia" w:ascii="Times New Roman" w:hAnsi="Times New Roman" w:eastAsia="宋体" w:cs="Times New Roman"/>
                <w:color w:val="auto"/>
                <w:highlight w:val="none"/>
                <w:lang w:val="en-US" w:eastAsia="zh-CN"/>
              </w:rPr>
              <w:t>1-3</w:t>
            </w:r>
            <w:r>
              <w:rPr>
                <w:rFonts w:hint="eastAsia" w:ascii="Times New Roman" w:hAnsi="Times New Roman" w:eastAsia="宋体" w:cs="Times New Roman"/>
                <w:color w:val="auto"/>
                <w:highlight w:val="none"/>
                <w:lang w:val="zh-CN"/>
              </w:rPr>
              <w:t>分</w:t>
            </w:r>
          </w:p>
          <w:p w14:paraId="14AD4547">
            <w:pPr>
              <w:spacing w:line="360" w:lineRule="exact"/>
              <w:rPr>
                <w:rFonts w:hint="eastAsia" w:ascii="宋体" w:hAnsi="宋体" w:eastAsia="宋体" w:cs="宋体"/>
                <w:kern w:val="0"/>
                <w:sz w:val="21"/>
                <w:szCs w:val="21"/>
                <w:highlight w:val="none"/>
                <w:lang w:val="zh-CN" w:eastAsia="zh-CN" w:bidi="ar-SA"/>
              </w:rPr>
            </w:pPr>
            <w:r>
              <w:rPr>
                <w:rFonts w:hint="eastAsia" w:ascii="Times New Roman" w:hAnsi="Times New Roman" w:eastAsia="宋体" w:cs="Times New Roman"/>
                <w:color w:val="auto"/>
                <w:highlight w:val="none"/>
                <w:lang w:val="zh-CN"/>
              </w:rPr>
              <w:t>4</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zh-CN"/>
              </w:rPr>
              <w:t>不提供或过于简单不得分。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2D960C">
            <w:pPr>
              <w:spacing w:line="360" w:lineRule="exact"/>
              <w:rPr>
                <w:rFonts w:hint="eastAsia" w:ascii="宋体" w:hAnsi="宋体" w:eastAsia="宋体" w:cs="宋体"/>
                <w:kern w:val="0"/>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5C13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7" w:type="dxa"/>
            <w:vMerge w:val="continue"/>
            <w:tcBorders>
              <w:left w:val="single" w:color="auto" w:sz="4" w:space="0"/>
              <w:right w:val="single" w:color="auto" w:sz="4" w:space="0"/>
            </w:tcBorders>
            <w:noWrap w:val="0"/>
            <w:vAlign w:val="center"/>
          </w:tcPr>
          <w:p w14:paraId="41A9959B">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67548369">
            <w:pPr>
              <w:spacing w:line="360" w:lineRule="exact"/>
              <w:rPr>
                <w:rFonts w:hint="eastAsia" w:ascii="宋体" w:hAnsi="宋体" w:eastAsia="宋体" w:cs="宋体"/>
                <w:kern w:val="2"/>
                <w:sz w:val="21"/>
                <w:szCs w:val="21"/>
                <w:highlight w:val="none"/>
                <w:lang w:val="en-US" w:eastAsia="zh-CN" w:bidi="ar-SA"/>
              </w:rPr>
            </w:pPr>
            <w:r>
              <w:rPr>
                <w:rFonts w:hint="eastAsia" w:ascii="Times New Roman" w:hAnsi="Times New Roman" w:eastAsia="宋体" w:cs="Times New Roman"/>
                <w:color w:val="auto"/>
                <w:highlight w:val="none"/>
                <w:lang w:val="zh-CN"/>
              </w:rPr>
              <w:t>服务依据、工作目标（</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15D92">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1.服务依据、工作目标明显有利于项目的实施，方案详细，针对性强，并能确保项目高质量，高效率完成， 确保后续服务的响应及时，各项措施合理可行，完全符合采购要求得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lang w:val="zh-CN"/>
              </w:rPr>
              <w:t>10分；</w:t>
            </w:r>
          </w:p>
          <w:p w14:paraId="639CAFEF">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2.服务依据、工作目标有利于确保项目质量，后续服务比较合理，可行，符合采购要求得</w:t>
            </w:r>
            <w:r>
              <w:rPr>
                <w:rFonts w:hint="eastAsia" w:ascii="Times New Roman" w:hAnsi="Times New Roman" w:eastAsia="宋体" w:cs="Times New Roman"/>
                <w:color w:val="auto"/>
                <w:highlight w:val="none"/>
                <w:lang w:val="en-US" w:eastAsia="zh-CN"/>
              </w:rPr>
              <w:t>4-7</w:t>
            </w:r>
            <w:r>
              <w:rPr>
                <w:rFonts w:hint="eastAsia" w:ascii="Times New Roman" w:hAnsi="Times New Roman" w:eastAsia="宋体" w:cs="Times New Roman"/>
                <w:color w:val="auto"/>
                <w:highlight w:val="none"/>
                <w:lang w:val="zh-CN"/>
              </w:rPr>
              <w:t>分；</w:t>
            </w:r>
          </w:p>
          <w:p w14:paraId="2E34303F">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3.服务依据、工作目标能基本保正项目质量，后续服务基本可行，基本符合采购要求的得</w:t>
            </w:r>
            <w:r>
              <w:rPr>
                <w:rFonts w:hint="eastAsia" w:ascii="Times New Roman" w:hAnsi="Times New Roman" w:eastAsia="宋体" w:cs="Times New Roman"/>
                <w:color w:val="auto"/>
                <w:highlight w:val="none"/>
                <w:lang w:val="en-US" w:eastAsia="zh-CN"/>
              </w:rPr>
              <w:t>1-3</w:t>
            </w:r>
            <w:r>
              <w:rPr>
                <w:rFonts w:hint="eastAsia" w:ascii="Times New Roman" w:hAnsi="Times New Roman" w:eastAsia="宋体" w:cs="Times New Roman"/>
                <w:color w:val="auto"/>
                <w:highlight w:val="none"/>
                <w:lang w:val="zh-CN"/>
              </w:rPr>
              <w:t>分；</w:t>
            </w:r>
          </w:p>
          <w:p w14:paraId="6934B4A5">
            <w:pPr>
              <w:spacing w:line="360" w:lineRule="exact"/>
              <w:rPr>
                <w:rFonts w:hint="eastAsia" w:ascii="宋体" w:hAnsi="宋体" w:eastAsia="宋体" w:cs="宋体"/>
                <w:color w:val="000000"/>
                <w:kern w:val="2"/>
                <w:sz w:val="21"/>
                <w:szCs w:val="21"/>
                <w:highlight w:val="none"/>
                <w:lang w:val="zh-CN" w:eastAsia="zh-CN" w:bidi="ar-SA"/>
              </w:rPr>
            </w:pPr>
            <w:r>
              <w:rPr>
                <w:rFonts w:hint="eastAsia" w:ascii="Times New Roman" w:hAnsi="Times New Roman" w:eastAsia="宋体" w:cs="Times New Roman"/>
                <w:color w:val="auto"/>
                <w:highlight w:val="none"/>
                <w:lang w:val="zh-CN"/>
              </w:rPr>
              <w:t>4.不提供或过于简单不得分。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E40427">
            <w:pPr>
              <w:spacing w:line="360" w:lineRule="exact"/>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62DC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77" w:type="dxa"/>
            <w:vMerge w:val="continue"/>
            <w:tcBorders>
              <w:left w:val="single" w:color="auto" w:sz="4" w:space="0"/>
              <w:right w:val="single" w:color="auto" w:sz="4" w:space="0"/>
            </w:tcBorders>
            <w:noWrap w:val="0"/>
            <w:vAlign w:val="center"/>
          </w:tcPr>
          <w:p w14:paraId="7BF30BB3">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24A08095">
            <w:pPr>
              <w:spacing w:line="360" w:lineRule="exact"/>
              <w:rPr>
                <w:rFonts w:hint="eastAsia" w:ascii="宋体" w:hAnsi="宋体" w:eastAsia="宋体" w:cs="宋体"/>
                <w:kern w:val="2"/>
                <w:sz w:val="21"/>
                <w:szCs w:val="21"/>
                <w:highlight w:val="none"/>
                <w:lang w:val="en-US" w:eastAsia="zh-CN" w:bidi="ar-SA"/>
              </w:rPr>
            </w:pPr>
            <w:r>
              <w:rPr>
                <w:rFonts w:hint="eastAsia" w:ascii="Times New Roman" w:hAnsi="Times New Roman" w:eastAsia="宋体" w:cs="Times New Roman"/>
                <w:color w:val="auto"/>
                <w:highlight w:val="none"/>
                <w:lang w:val="zh-CN"/>
              </w:rPr>
              <w:t>服务说明和方案（</w:t>
            </w:r>
            <w:r>
              <w:rPr>
                <w:rFonts w:hint="eastAsia" w:ascii="Times New Roman" w:hAnsi="Times New Roman" w:eastAsia="宋体" w:cs="Times New Roman"/>
                <w:color w:val="auto"/>
                <w:highlight w:val="none"/>
                <w:lang w:val="en-US" w:eastAsia="zh-CN"/>
              </w:rPr>
              <w:t>15分</w:t>
            </w:r>
            <w:r>
              <w:rPr>
                <w:rFonts w:hint="eastAsia" w:ascii="Times New Roman" w:hAnsi="Times New Roman" w:eastAsia="宋体" w:cs="Times New Roman"/>
                <w:color w:val="auto"/>
                <w:highlight w:val="none"/>
                <w:lang w:val="zh-CN"/>
              </w:rPr>
              <w:t>）</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A12C6">
            <w:pPr>
              <w:spacing w:line="360" w:lineRule="exact"/>
              <w:rPr>
                <w:rFonts w:hint="eastAsia" w:ascii="宋体" w:hAnsi="宋体" w:eastAsia="宋体" w:cs="宋体"/>
                <w:color w:val="000000"/>
                <w:kern w:val="2"/>
                <w:sz w:val="21"/>
                <w:szCs w:val="21"/>
                <w:highlight w:val="none"/>
                <w:lang w:val="zh-CN" w:eastAsia="zh-CN" w:bidi="ar-SA"/>
              </w:rPr>
            </w:pPr>
            <w:r>
              <w:rPr>
                <w:rFonts w:hint="eastAsia" w:ascii="Times New Roman" w:hAnsi="Times New Roman" w:eastAsia="宋体" w:cs="Times New Roman"/>
                <w:color w:val="auto"/>
                <w:highlight w:val="none"/>
                <w:lang w:val="zh-CN"/>
              </w:rPr>
              <w:t>对项目服务的编制要求、技术路线、实施方案的阐述科学、合理、准确得</w:t>
            </w:r>
            <w:r>
              <w:rPr>
                <w:rFonts w:hint="eastAsia" w:ascii="Times New Roman" w:hAnsi="Times New Roman" w:eastAsia="宋体" w:cs="Times New Roman"/>
                <w:color w:val="auto"/>
                <w:highlight w:val="none"/>
                <w:lang w:val="en-US" w:eastAsia="zh-CN"/>
              </w:rPr>
              <w:t>10-15</w:t>
            </w:r>
            <w:r>
              <w:rPr>
                <w:rFonts w:hint="eastAsia" w:ascii="Times New Roman" w:hAnsi="Times New Roman" w:eastAsia="宋体" w:cs="Times New Roman"/>
                <w:color w:val="auto"/>
                <w:highlight w:val="none"/>
                <w:lang w:val="zh-CN"/>
              </w:rPr>
              <w:t>分。对项目服务的编制要求、技术路线、实施方案的阐述基本准确得</w:t>
            </w:r>
            <w:r>
              <w:rPr>
                <w:rFonts w:hint="eastAsia" w:ascii="Times New Roman" w:hAnsi="Times New Roman" w:eastAsia="宋体" w:cs="Times New Roman"/>
                <w:color w:val="auto"/>
                <w:highlight w:val="none"/>
                <w:lang w:val="en-US" w:eastAsia="zh-CN"/>
              </w:rPr>
              <w:t>5-9</w:t>
            </w:r>
            <w:r>
              <w:rPr>
                <w:rFonts w:hint="eastAsia" w:ascii="Times New Roman" w:hAnsi="Times New Roman" w:eastAsia="宋体" w:cs="Times New Roman"/>
                <w:color w:val="auto"/>
                <w:highlight w:val="none"/>
                <w:lang w:val="zh-CN"/>
              </w:rPr>
              <w:t>分。对项目服务的编制要求、技术路线、实施方案的阐述一般得</w:t>
            </w:r>
            <w:r>
              <w:rPr>
                <w:rFonts w:hint="eastAsia" w:ascii="Times New Roman" w:hAnsi="Times New Roman" w:eastAsia="宋体" w:cs="Times New Roman"/>
                <w:color w:val="auto"/>
                <w:highlight w:val="none"/>
                <w:lang w:val="en-US" w:eastAsia="zh-CN"/>
              </w:rPr>
              <w:t>1-4</w:t>
            </w:r>
            <w:r>
              <w:rPr>
                <w:rFonts w:hint="eastAsia" w:ascii="Times New Roman" w:hAnsi="Times New Roman" w:eastAsia="宋体" w:cs="Times New Roman"/>
                <w:color w:val="auto"/>
                <w:highlight w:val="none"/>
                <w:lang w:val="zh-CN"/>
              </w:rPr>
              <w:t>分。每项过于简单不得分。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77176">
            <w:pPr>
              <w:spacing w:line="360" w:lineRule="exact"/>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1FF2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Merge w:val="continue"/>
            <w:tcBorders>
              <w:left w:val="single" w:color="auto" w:sz="4" w:space="0"/>
              <w:right w:val="single" w:color="auto" w:sz="4" w:space="0"/>
            </w:tcBorders>
            <w:noWrap w:val="0"/>
            <w:vAlign w:val="center"/>
          </w:tcPr>
          <w:p w14:paraId="6165F620">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761BFDE2">
            <w:pPr>
              <w:pStyle w:val="57"/>
              <w:spacing w:before="34" w:line="266" w:lineRule="auto"/>
              <w:ind w:right="-29" w:rightChars="0"/>
              <w:rPr>
                <w:rFonts w:hint="eastAsia" w:ascii="宋体" w:hAnsi="宋体" w:eastAsia="宋体" w:cs="宋体"/>
                <w:kern w:val="2"/>
                <w:sz w:val="21"/>
                <w:szCs w:val="21"/>
                <w:highlight w:val="none"/>
                <w:lang w:val="en-US" w:eastAsia="zh-CN" w:bidi="ar-SA"/>
              </w:rPr>
            </w:pPr>
            <w:r>
              <w:rPr>
                <w:rFonts w:hint="eastAsia" w:ascii="Times New Roman" w:hAnsi="Times New Roman" w:eastAsia="宋体" w:cs="Times New Roman"/>
                <w:color w:val="auto"/>
                <w:highlight w:val="none"/>
                <w:lang w:val="zh-CN"/>
              </w:rPr>
              <w:t>质量保证措施</w:t>
            </w:r>
            <w:r>
              <w:rPr>
                <w:rFonts w:hint="eastAsia" w:ascii="宋体" w:hAnsi="宋体" w:eastAsia="宋体" w:cs="宋体"/>
                <w:color w:val="000000" w:themeColor="text1"/>
                <w:sz w:val="21"/>
                <w:szCs w:val="21"/>
                <w:lang w:val="en-US"/>
              </w:rPr>
              <w:t>(</w:t>
            </w:r>
            <w:r>
              <w:rPr>
                <w:rFonts w:hint="eastAsia" w:ascii="宋体" w:hAnsi="宋体" w:cs="宋体"/>
                <w:color w:val="000000" w:themeColor="text1"/>
                <w:sz w:val="21"/>
                <w:szCs w:val="21"/>
                <w:lang w:val="en-US" w:eastAsia="zh-CN"/>
              </w:rPr>
              <w:t>5</w:t>
            </w:r>
            <w:r>
              <w:rPr>
                <w:rFonts w:hint="eastAsia" w:ascii="宋体" w:hAnsi="宋体" w:eastAsia="宋体" w:cs="宋体"/>
                <w:color w:val="000000" w:themeColor="text1"/>
                <w:sz w:val="21"/>
                <w:szCs w:val="21"/>
              </w:rPr>
              <w:t>分</w:t>
            </w:r>
            <w:r>
              <w:rPr>
                <w:rFonts w:hint="eastAsia" w:ascii="宋体" w:hAnsi="宋体" w:eastAsia="宋体" w:cs="宋体"/>
                <w:color w:val="000000" w:themeColor="text1"/>
                <w:sz w:val="21"/>
                <w:szCs w:val="21"/>
                <w:lang w:val="en-US"/>
              </w:rPr>
              <w:t>)</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209D6C">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质量保证措施内容完整、合理、可行；得</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lang w:val="zh-CN"/>
              </w:rPr>
              <w:t>分;</w:t>
            </w:r>
          </w:p>
          <w:p w14:paraId="401BF590">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质量保证措施基本内容完整、可行；得3分;</w:t>
            </w:r>
          </w:p>
          <w:p w14:paraId="7C55F263">
            <w:pPr>
              <w:pStyle w:val="57"/>
              <w:spacing w:before="34" w:line="266" w:lineRule="auto"/>
              <w:ind w:left="108" w:leftChars="0" w:right="-29" w:rightChars="0"/>
              <w:rPr>
                <w:rFonts w:hint="eastAsia" w:ascii="宋体" w:hAnsi="宋体" w:eastAsia="宋体" w:cs="宋体"/>
                <w:color w:val="000000"/>
                <w:kern w:val="2"/>
                <w:sz w:val="21"/>
                <w:szCs w:val="21"/>
                <w:highlight w:val="none"/>
                <w:lang w:val="zh-CN" w:eastAsia="zh-CN" w:bidi="ar-SA"/>
              </w:rPr>
            </w:pPr>
            <w:r>
              <w:rPr>
                <w:rFonts w:hint="eastAsia" w:ascii="Times New Roman" w:hAnsi="Times New Roman" w:eastAsia="宋体" w:cs="Times New Roman"/>
                <w:color w:val="auto"/>
                <w:highlight w:val="none"/>
                <w:lang w:val="zh-CN"/>
              </w:rPr>
              <w:t>不提供或过于简单不得分。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B7CFEB">
            <w:pPr>
              <w:pStyle w:val="57"/>
              <w:spacing w:before="34" w:line="266" w:lineRule="auto"/>
              <w:ind w:left="108" w:leftChars="0" w:right="-29" w:rightChars="0"/>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2F2A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77" w:type="dxa"/>
            <w:vMerge w:val="continue"/>
            <w:tcBorders>
              <w:left w:val="single" w:color="auto" w:sz="4" w:space="0"/>
              <w:right w:val="single" w:color="auto" w:sz="4" w:space="0"/>
            </w:tcBorders>
            <w:noWrap w:val="0"/>
            <w:vAlign w:val="center"/>
          </w:tcPr>
          <w:p w14:paraId="776D0E4E">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69FA488F">
            <w:pPr>
              <w:pStyle w:val="57"/>
              <w:spacing w:before="34" w:line="266" w:lineRule="auto"/>
              <w:ind w:right="-29" w:rightChars="0"/>
              <w:rPr>
                <w:rFonts w:hint="eastAsia" w:ascii="宋体" w:hAnsi="宋体" w:eastAsia="宋体" w:cs="宋体"/>
                <w:kern w:val="2"/>
                <w:sz w:val="21"/>
                <w:szCs w:val="21"/>
                <w:highlight w:val="none"/>
                <w:lang w:val="en-US" w:eastAsia="zh-CN" w:bidi="ar-SA"/>
              </w:rPr>
            </w:pPr>
            <w:r>
              <w:rPr>
                <w:rFonts w:hint="eastAsia" w:ascii="Times New Roman" w:hAnsi="Times New Roman" w:eastAsia="宋体" w:cs="Times New Roman"/>
                <w:color w:val="auto"/>
                <w:highlight w:val="none"/>
                <w:lang w:val="zh-CN"/>
              </w:rPr>
              <w:t>进度保证措</w:t>
            </w:r>
            <w:r>
              <w:rPr>
                <w:rFonts w:hint="eastAsia" w:ascii="宋体" w:hAnsi="宋体" w:eastAsia="宋体" w:cs="宋体"/>
                <w:color w:val="000000" w:themeColor="text1"/>
                <w:sz w:val="21"/>
                <w:szCs w:val="21"/>
                <w:lang w:val="en-US"/>
              </w:rPr>
              <w:t>(</w:t>
            </w:r>
            <w:r>
              <w:rPr>
                <w:rFonts w:hint="eastAsia" w:ascii="宋体" w:hAnsi="宋体" w:cs="宋体"/>
                <w:color w:val="000000" w:themeColor="text1"/>
                <w:sz w:val="21"/>
                <w:szCs w:val="21"/>
                <w:lang w:val="en-US" w:eastAsia="zh-CN"/>
              </w:rPr>
              <w:t>5</w:t>
            </w:r>
            <w:r>
              <w:rPr>
                <w:rFonts w:hint="eastAsia" w:ascii="宋体" w:hAnsi="宋体" w:eastAsia="宋体" w:cs="宋体"/>
                <w:color w:val="000000" w:themeColor="text1"/>
                <w:sz w:val="21"/>
                <w:szCs w:val="21"/>
              </w:rPr>
              <w:t>分</w:t>
            </w:r>
            <w:r>
              <w:rPr>
                <w:rFonts w:hint="eastAsia" w:ascii="宋体" w:hAnsi="宋体" w:eastAsia="宋体" w:cs="宋体"/>
                <w:color w:val="000000" w:themeColor="text1"/>
                <w:sz w:val="21"/>
                <w:szCs w:val="21"/>
                <w:lang w:val="en-US"/>
              </w:rPr>
              <w:t>)</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1AF44">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进度保证措施内容完整、合理、可行；得</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lang w:val="zh-CN"/>
              </w:rPr>
              <w:t>分;</w:t>
            </w:r>
          </w:p>
          <w:p w14:paraId="28232D89">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2.进度保证措施基本内容完整、可行；得3分;</w:t>
            </w:r>
          </w:p>
          <w:p w14:paraId="1596FDB2">
            <w:pPr>
              <w:pStyle w:val="57"/>
              <w:spacing w:before="34" w:line="266" w:lineRule="auto"/>
              <w:ind w:left="108" w:leftChars="0" w:right="-29" w:rightChars="0"/>
              <w:rPr>
                <w:rFonts w:hint="eastAsia" w:ascii="宋体" w:hAnsi="宋体" w:eastAsia="宋体" w:cs="宋体"/>
                <w:color w:val="000000"/>
                <w:kern w:val="2"/>
                <w:sz w:val="21"/>
                <w:szCs w:val="21"/>
                <w:highlight w:val="none"/>
                <w:lang w:val="zh-CN" w:eastAsia="zh-CN" w:bidi="ar-SA"/>
              </w:rPr>
            </w:pPr>
            <w:r>
              <w:rPr>
                <w:rFonts w:hint="eastAsia" w:ascii="Times New Roman" w:hAnsi="Times New Roman" w:eastAsia="宋体" w:cs="Times New Roman"/>
                <w:color w:val="auto"/>
                <w:highlight w:val="none"/>
                <w:lang w:val="zh-CN"/>
              </w:rPr>
              <w:t>3.不提供或过于简单不得分。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7F2B1">
            <w:pPr>
              <w:pStyle w:val="57"/>
              <w:spacing w:before="34" w:line="266" w:lineRule="auto"/>
              <w:ind w:left="108" w:leftChars="0" w:right="-29" w:rightChars="0"/>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071C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77" w:type="dxa"/>
            <w:vMerge w:val="continue"/>
            <w:tcBorders>
              <w:left w:val="single" w:color="auto" w:sz="4" w:space="0"/>
              <w:right w:val="single" w:color="auto" w:sz="4" w:space="0"/>
            </w:tcBorders>
            <w:noWrap w:val="0"/>
            <w:vAlign w:val="center"/>
          </w:tcPr>
          <w:p w14:paraId="03EA0DD1">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44ED7A71">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right="0"/>
              <w:textAlignment w:val="baseline"/>
              <w:rPr>
                <w:rFonts w:hint="eastAsia" w:ascii="宋体" w:hAnsi="宋体" w:eastAsia="宋体" w:cs="宋体"/>
                <w:b w:val="0"/>
                <w:bCs w:val="0"/>
                <w:color w:val="auto"/>
                <w:kern w:val="2"/>
                <w:sz w:val="21"/>
                <w:szCs w:val="21"/>
                <w:lang w:val="en-US" w:eastAsia="zh-CN" w:bidi="zh-CN"/>
              </w:rPr>
            </w:pPr>
            <w:r>
              <w:rPr>
                <w:rFonts w:hint="eastAsia" w:ascii="Times New Roman" w:hAnsi="Times New Roman" w:eastAsia="宋体" w:cs="Times New Roman"/>
                <w:color w:val="auto"/>
                <w:sz w:val="21"/>
                <w:szCs w:val="21"/>
                <w:highlight w:val="none"/>
                <w:lang w:val="zh-CN"/>
              </w:rPr>
              <w:t>保密保证措施</w:t>
            </w:r>
            <w:r>
              <w:rPr>
                <w:rFonts w:hint="eastAsia" w:ascii="宋体" w:hAnsi="宋体" w:eastAsia="宋体" w:cs="宋体"/>
                <w:b w:val="0"/>
                <w:bCs w:val="0"/>
                <w:color w:val="auto"/>
                <w:kern w:val="2"/>
                <w:sz w:val="21"/>
                <w:szCs w:val="21"/>
                <w:lang w:val="en-US" w:eastAsia="zh-CN" w:bidi="zh-CN"/>
              </w:rPr>
              <w:t>（</w:t>
            </w:r>
            <w:r>
              <w:rPr>
                <w:rFonts w:hint="eastAsia" w:ascii="宋体" w:hAnsi="宋体" w:cs="宋体"/>
                <w:b w:val="0"/>
                <w:bCs w:val="0"/>
                <w:color w:val="auto"/>
                <w:kern w:val="2"/>
                <w:sz w:val="21"/>
                <w:szCs w:val="21"/>
                <w:lang w:val="en-US" w:eastAsia="zh-CN" w:bidi="zh-CN"/>
              </w:rPr>
              <w:t>5</w:t>
            </w:r>
            <w:r>
              <w:rPr>
                <w:rFonts w:hint="eastAsia" w:ascii="宋体" w:hAnsi="宋体" w:eastAsia="宋体" w:cs="宋体"/>
                <w:b w:val="0"/>
                <w:bCs w:val="0"/>
                <w:color w:val="auto"/>
                <w:kern w:val="2"/>
                <w:sz w:val="21"/>
                <w:szCs w:val="21"/>
                <w:lang w:val="en-US" w:eastAsia="zh-CN" w:bidi="zh-CN"/>
              </w:rPr>
              <w:t>分）</w:t>
            </w:r>
          </w:p>
          <w:p w14:paraId="4A20A9B7">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jc w:val="center"/>
              <w:textAlignment w:val="baseline"/>
              <w:rPr>
                <w:rFonts w:hint="eastAsia" w:ascii="宋体" w:hAnsi="宋体" w:eastAsia="宋体" w:cs="宋体"/>
                <w:kern w:val="2"/>
                <w:sz w:val="21"/>
                <w:szCs w:val="21"/>
                <w:highlight w:val="none"/>
                <w:lang w:val="en-US" w:eastAsia="zh-CN" w:bidi="ar"/>
              </w:rPr>
            </w:pPr>
          </w:p>
        </w:tc>
        <w:tc>
          <w:tcPr>
            <w:tcW w:w="5149" w:type="dxa"/>
            <w:tcBorders>
              <w:top w:val="single" w:color="auto" w:sz="4" w:space="0"/>
              <w:left w:val="single" w:color="auto" w:sz="4" w:space="0"/>
              <w:right w:val="single" w:color="auto" w:sz="4" w:space="0"/>
            </w:tcBorders>
            <w:shd w:val="clear" w:color="auto" w:fill="auto"/>
            <w:noWrap w:val="0"/>
            <w:vAlign w:val="center"/>
          </w:tcPr>
          <w:p w14:paraId="35FD9F79">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保密保证措施内容完整、合理、可行；得</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lang w:val="zh-CN"/>
              </w:rPr>
              <w:t>分，</w:t>
            </w:r>
          </w:p>
          <w:p w14:paraId="73B3D898">
            <w:pPr>
              <w:spacing w:line="36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2.保密保证措施基本内容完整、可行；得3分;</w:t>
            </w:r>
          </w:p>
          <w:p w14:paraId="1D8FAAE5">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textAlignment w:val="baseline"/>
              <w:rPr>
                <w:rFonts w:hint="eastAsia" w:ascii="宋体" w:hAnsi="宋体" w:eastAsia="宋体" w:cs="宋体"/>
                <w:color w:val="000000"/>
                <w:kern w:val="2"/>
                <w:sz w:val="21"/>
                <w:szCs w:val="21"/>
                <w:highlight w:val="none"/>
                <w:lang w:val="zh-CN" w:eastAsia="zh-CN" w:bidi="ar-SA"/>
              </w:rPr>
            </w:pPr>
            <w:r>
              <w:rPr>
                <w:rFonts w:hint="eastAsia" w:ascii="Times New Roman" w:hAnsi="Times New Roman" w:eastAsia="宋体" w:cs="Times New Roman"/>
                <w:color w:val="auto"/>
                <w:highlight w:val="none"/>
                <w:lang w:val="zh-CN"/>
              </w:rPr>
              <w:t>3.不提供或过于简单不得分。</w:t>
            </w:r>
          </w:p>
        </w:tc>
        <w:tc>
          <w:tcPr>
            <w:tcW w:w="894" w:type="dxa"/>
            <w:tcBorders>
              <w:top w:val="single" w:color="auto" w:sz="4" w:space="0"/>
              <w:left w:val="single" w:color="auto" w:sz="4" w:space="0"/>
              <w:right w:val="single" w:color="auto" w:sz="4" w:space="0"/>
            </w:tcBorders>
            <w:shd w:val="clear" w:color="auto" w:fill="auto"/>
            <w:noWrap w:val="0"/>
            <w:vAlign w:val="center"/>
          </w:tcPr>
          <w:p w14:paraId="1EC7E5C9">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textAlignment w:val="baseline"/>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bl>
    <w:p w14:paraId="6394763C">
      <w:pPr>
        <w:spacing w:line="360" w:lineRule="auto"/>
        <w:jc w:val="center"/>
        <w:rPr>
          <w:rFonts w:ascii="宋体" w:hAnsi="宋体"/>
          <w:sz w:val="26"/>
        </w:rPr>
      </w:pPr>
    </w:p>
    <w:p w14:paraId="5DF3D38E">
      <w:pPr>
        <w:widowControl/>
        <w:jc w:val="left"/>
        <w:rPr>
          <w:rFonts w:hint="eastAsia" w:ascii="宋体" w:hAnsi="宋体" w:eastAsia="宋体" w:cs="宋体"/>
          <w:b/>
          <w:bCs/>
          <w:sz w:val="24"/>
          <w:szCs w:val="24"/>
        </w:rPr>
      </w:pPr>
      <w:bookmarkStart w:id="226" w:name="_Toc183492166"/>
      <w:bookmarkStart w:id="227" w:name="_Toc387647234"/>
      <w:bookmarkStart w:id="228" w:name="_Toc6803"/>
      <w:r>
        <w:rPr>
          <w:rFonts w:hint="eastAsia" w:ascii="宋体" w:hAnsi="宋体" w:eastAsia="宋体" w:cs="宋体"/>
          <w:b/>
          <w:bCs/>
          <w:sz w:val="24"/>
          <w:szCs w:val="24"/>
        </w:rPr>
        <w:t>1.评审方法</w:t>
      </w:r>
      <w:bookmarkEnd w:id="226"/>
      <w:bookmarkEnd w:id="227"/>
      <w:bookmarkEnd w:id="228"/>
    </w:p>
    <w:p w14:paraId="1F13DAB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本次评审采用综合评分法</w:t>
      </w:r>
      <w:r>
        <w:rPr>
          <w:rFonts w:hint="eastAsia" w:ascii="宋体" w:hAnsi="宋体" w:eastAsia="宋体" w:cs="宋体"/>
          <w:sz w:val="24"/>
          <w:szCs w:val="24"/>
          <w:lang w:eastAsia="zh-CN"/>
        </w:rPr>
        <w:t>。</w:t>
      </w:r>
      <w:r>
        <w:rPr>
          <w:rFonts w:hint="eastAsia" w:ascii="宋体" w:hAnsi="宋体" w:eastAsia="宋体" w:cs="宋体"/>
          <w:sz w:val="24"/>
          <w:szCs w:val="24"/>
        </w:rPr>
        <w:t>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02C247C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4"/>
          <w:szCs w:val="24"/>
        </w:rPr>
      </w:pPr>
      <w:bookmarkStart w:id="229" w:name="_Toc14561"/>
      <w:bookmarkStart w:id="230" w:name="_Toc387647235"/>
      <w:bookmarkStart w:id="231" w:name="_Toc183492167"/>
      <w:r>
        <w:rPr>
          <w:rFonts w:hint="eastAsia" w:ascii="宋体" w:hAnsi="宋体" w:eastAsia="宋体" w:cs="宋体"/>
          <w:b/>
          <w:bCs/>
          <w:sz w:val="24"/>
          <w:szCs w:val="24"/>
        </w:rPr>
        <w:t>2.评审标准</w:t>
      </w:r>
      <w:bookmarkEnd w:id="229"/>
      <w:bookmarkEnd w:id="230"/>
      <w:bookmarkEnd w:id="231"/>
    </w:p>
    <w:p w14:paraId="176D810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bookmarkStart w:id="232" w:name="_Toc183492168"/>
      <w:bookmarkStart w:id="233" w:name="_Toc387647236"/>
      <w:r>
        <w:rPr>
          <w:rFonts w:hint="eastAsia" w:ascii="宋体" w:hAnsi="宋体" w:eastAsia="宋体" w:cs="宋体"/>
          <w:sz w:val="24"/>
          <w:szCs w:val="24"/>
        </w:rPr>
        <w:t>2.1初步评审标准</w:t>
      </w:r>
      <w:bookmarkEnd w:id="232"/>
      <w:bookmarkEnd w:id="233"/>
      <w:r>
        <w:rPr>
          <w:rFonts w:hint="eastAsia" w:ascii="宋体" w:hAnsi="宋体" w:eastAsia="宋体" w:cs="宋体"/>
          <w:sz w:val="24"/>
          <w:szCs w:val="24"/>
        </w:rPr>
        <w:t>（判定是否出现无效响应）</w:t>
      </w:r>
    </w:p>
    <w:p w14:paraId="18C099C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bookmarkStart w:id="234" w:name="_Toc152045603"/>
      <w:bookmarkStart w:id="235" w:name="_Toc144974570"/>
      <w:bookmarkStart w:id="236" w:name="_Toc179632621"/>
      <w:bookmarkStart w:id="237" w:name="_Toc403382455"/>
      <w:bookmarkStart w:id="238" w:name="_Toc152042380"/>
      <w:r>
        <w:rPr>
          <w:rFonts w:hint="eastAsia" w:ascii="宋体" w:hAnsi="宋体" w:eastAsia="宋体" w:cs="宋体"/>
          <w:sz w:val="24"/>
          <w:szCs w:val="24"/>
        </w:rPr>
        <w:t>分值构成与评分标准</w:t>
      </w:r>
      <w:bookmarkEnd w:id="234"/>
      <w:bookmarkEnd w:id="235"/>
      <w:bookmarkEnd w:id="236"/>
      <w:bookmarkEnd w:id="237"/>
      <w:bookmarkEnd w:id="238"/>
    </w:p>
    <w:p w14:paraId="6E109F2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分值构成</w:t>
      </w:r>
    </w:p>
    <w:p w14:paraId="6B65498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见评审办法前附表</w:t>
      </w:r>
    </w:p>
    <w:p w14:paraId="75F1302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 磋商基准价计算</w:t>
      </w:r>
    </w:p>
    <w:p w14:paraId="3CAF7C6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（1）最后磋商报价确定方法：见评审办法前附表；</w:t>
      </w:r>
    </w:p>
    <w:p w14:paraId="3286CF8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（2）磋商基准价计算方法：见评审办法前附表</w:t>
      </w:r>
    </w:p>
    <w:p w14:paraId="6133F6D5">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2.2.3 评分标准：见评审办法前附表。</w:t>
      </w:r>
    </w:p>
    <w:p w14:paraId="48D453E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
          <w:bCs/>
          <w:sz w:val="24"/>
          <w:szCs w:val="24"/>
        </w:rPr>
      </w:pPr>
      <w:bookmarkStart w:id="239" w:name="_Toc183492170"/>
      <w:bookmarkStart w:id="240" w:name="_Toc387647238"/>
      <w:bookmarkStart w:id="241" w:name="_Toc27668"/>
      <w:r>
        <w:rPr>
          <w:rFonts w:hint="eastAsia" w:ascii="宋体" w:hAnsi="宋体" w:eastAsia="宋体" w:cs="宋体"/>
          <w:b/>
          <w:bCs/>
          <w:sz w:val="24"/>
          <w:szCs w:val="24"/>
        </w:rPr>
        <w:t>3.</w:t>
      </w:r>
      <w:bookmarkEnd w:id="239"/>
      <w:bookmarkEnd w:id="240"/>
      <w:r>
        <w:rPr>
          <w:rFonts w:hint="eastAsia" w:ascii="宋体" w:hAnsi="宋体" w:eastAsia="宋体" w:cs="宋体"/>
          <w:b/>
          <w:bCs/>
          <w:sz w:val="24"/>
          <w:szCs w:val="24"/>
        </w:rPr>
        <w:t>评审程序</w:t>
      </w:r>
      <w:bookmarkEnd w:id="241"/>
    </w:p>
    <w:p w14:paraId="259E8B6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bookmarkStart w:id="242" w:name="_Toc387647239"/>
      <w:bookmarkStart w:id="243" w:name="_Toc183492171"/>
      <w:r>
        <w:rPr>
          <w:rFonts w:hint="eastAsia" w:ascii="宋体" w:hAnsi="宋体" w:eastAsia="宋体" w:cs="宋体"/>
          <w:sz w:val="24"/>
          <w:szCs w:val="24"/>
        </w:rPr>
        <w:t>3.1初步评审</w:t>
      </w:r>
      <w:bookmarkEnd w:id="242"/>
      <w:bookmarkEnd w:id="243"/>
    </w:p>
    <w:p w14:paraId="235A8260">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3.1.1磋商小组依据本章第2.1款规定的标准对响应文件进行初步评审。有一项不符合评审标准的，磋商小组应当判定其响应文件无效。</w:t>
      </w:r>
    </w:p>
    <w:p w14:paraId="5051CB8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 磋商小组依据本章附件A：判定为无效响应的条件对响应文件进行初步评审。有一项不符合评审标准的，磋商小组应当判定其响应文件无效。</w:t>
      </w:r>
    </w:p>
    <w:p w14:paraId="68287BF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bookmarkStart w:id="244" w:name="_Toc183492173"/>
      <w:bookmarkStart w:id="245" w:name="_Toc387647241"/>
      <w:r>
        <w:rPr>
          <w:rFonts w:hint="eastAsia" w:ascii="宋体" w:hAnsi="宋体" w:eastAsia="宋体" w:cs="宋体"/>
          <w:sz w:val="24"/>
          <w:szCs w:val="24"/>
        </w:rPr>
        <w:t>3.2响应文件的澄清和补正</w:t>
      </w:r>
      <w:bookmarkEnd w:id="244"/>
      <w:bookmarkEnd w:id="245"/>
    </w:p>
    <w:p w14:paraId="386DC9A6">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C6EF8C">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4F56B71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供应商成本评审</w:t>
      </w:r>
    </w:p>
    <w:p w14:paraId="34047E2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4F93DCE1">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bookmarkStart w:id="246" w:name="_Toc183492174"/>
      <w:bookmarkStart w:id="247" w:name="_Toc387647242"/>
      <w:r>
        <w:rPr>
          <w:rFonts w:hint="eastAsia" w:ascii="宋体" w:hAnsi="宋体" w:eastAsia="宋体" w:cs="宋体"/>
          <w:sz w:val="24"/>
          <w:szCs w:val="24"/>
        </w:rPr>
        <w:t>3.4 详细评审</w:t>
      </w:r>
    </w:p>
    <w:p w14:paraId="69094A07">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 磋商小组对通过了初步评审的响应文件进行详细评审。</w:t>
      </w:r>
    </w:p>
    <w:p w14:paraId="7C8663C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 磋商小组按本章前附表（二）规定的量化因素和分值进行打分，并计算出综合评估得分。</w:t>
      </w:r>
    </w:p>
    <w:p w14:paraId="4B70192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按本章评审办法前附表（二）目规定的评审因素和分值分别计算出得分A、B、C；</w:t>
      </w:r>
    </w:p>
    <w:p w14:paraId="6597BEA9">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.3 评分分值计算保留小数点后两位，小数点后第三位“四舍五入”。</w:t>
      </w:r>
    </w:p>
    <w:p w14:paraId="57C14AFC">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.4 供应商得分=A+B+C。</w:t>
      </w:r>
    </w:p>
    <w:p w14:paraId="073789C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.5 各供应商最终得分的确定办法为：所有磋商小组成员的综合评分的算术平均值。</w:t>
      </w:r>
    </w:p>
    <w:p w14:paraId="4A3090A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评审结果</w:t>
      </w:r>
      <w:bookmarkEnd w:id="246"/>
      <w:bookmarkEnd w:id="247"/>
    </w:p>
    <w:p w14:paraId="536FB73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eastAsia="宋体" w:cs="宋体"/>
          <w:sz w:val="24"/>
          <w:szCs w:val="24"/>
          <w:lang w:val="en-US" w:eastAsia="zh-CN"/>
        </w:rPr>
        <w:t>5</w:t>
      </w:r>
      <w:r>
        <w:rPr>
          <w:rFonts w:hint="eastAsia" w:ascii="宋体" w:hAnsi="宋体" w:eastAsia="宋体" w:cs="宋体"/>
          <w:sz w:val="24"/>
          <w:szCs w:val="24"/>
        </w:rPr>
        <w:t>.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3E765FB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eastAsia="宋体" w:cs="宋体"/>
          <w:sz w:val="24"/>
          <w:szCs w:val="24"/>
          <w:lang w:val="en-US" w:eastAsia="zh-CN"/>
        </w:rPr>
        <w:t>5</w:t>
      </w:r>
      <w:r>
        <w:rPr>
          <w:rFonts w:hint="eastAsia" w:ascii="宋体" w:hAnsi="宋体" w:eastAsia="宋体" w:cs="宋体"/>
          <w:sz w:val="24"/>
          <w:szCs w:val="24"/>
        </w:rPr>
        <w:t>.2竞争性磋商文件允许多项目包响应、多项目包成交的，各项目包成交候选供应商的推荐按第二章“供应商须知”的规定执行，对某些项目包由此产生的空缺由排序在后的供应商依次替补。</w:t>
      </w:r>
    </w:p>
    <w:p w14:paraId="6306242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3E737B1">
      <w:pPr>
        <w:widowControl/>
        <w:ind w:firstLine="480" w:firstLineChars="200"/>
        <w:jc w:val="left"/>
        <w:rPr>
          <w:rFonts w:hint="eastAsia" w:ascii="宋体" w:hAnsi="宋体" w:eastAsia="宋体" w:cs="宋体"/>
          <w:sz w:val="24"/>
          <w:szCs w:val="24"/>
        </w:rPr>
      </w:pPr>
    </w:p>
    <w:p w14:paraId="6E51DE92">
      <w:pPr>
        <w:widowControl/>
        <w:ind w:firstLine="480" w:firstLineChars="200"/>
        <w:jc w:val="left"/>
        <w:rPr>
          <w:rFonts w:hint="eastAsia" w:ascii="宋体" w:hAnsi="宋体" w:eastAsia="宋体" w:cs="宋体"/>
          <w:sz w:val="24"/>
          <w:szCs w:val="24"/>
        </w:rPr>
      </w:pPr>
    </w:p>
    <w:p w14:paraId="4033DC1D">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评审标准附件A：判定为无效响应文件的条件</w:t>
      </w:r>
    </w:p>
    <w:p w14:paraId="0C07B1BD">
      <w:pPr>
        <w:spacing w:line="360" w:lineRule="auto"/>
        <w:ind w:firstLine="480" w:firstLineChars="200"/>
        <w:rPr>
          <w:rFonts w:hint="eastAsia" w:ascii="宋体" w:hAnsi="宋体" w:eastAsia="宋体" w:cs="宋体"/>
          <w:sz w:val="24"/>
          <w:szCs w:val="24"/>
        </w:rPr>
      </w:pPr>
      <w:bookmarkStart w:id="248" w:name="_Toc403382497"/>
      <w:r>
        <w:rPr>
          <w:rFonts w:hint="eastAsia" w:ascii="宋体" w:hAnsi="宋体" w:eastAsia="宋体" w:cs="宋体"/>
          <w:sz w:val="24"/>
          <w:szCs w:val="24"/>
        </w:rPr>
        <w:t>判定为无效响应文件的条件</w:t>
      </w:r>
    </w:p>
    <w:p w14:paraId="19B7B8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A0.总  则</w:t>
      </w:r>
      <w:bookmarkEnd w:id="248"/>
    </w:p>
    <w:p w14:paraId="53BE0D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50D11838">
      <w:pPr>
        <w:spacing w:line="360" w:lineRule="auto"/>
        <w:ind w:firstLine="480" w:firstLineChars="200"/>
        <w:rPr>
          <w:rFonts w:hint="eastAsia" w:ascii="宋体" w:hAnsi="宋体" w:eastAsia="宋体" w:cs="宋体"/>
          <w:sz w:val="24"/>
          <w:szCs w:val="24"/>
        </w:rPr>
      </w:pPr>
      <w:bookmarkStart w:id="249" w:name="_Toc403382498"/>
      <w:r>
        <w:rPr>
          <w:rFonts w:hint="eastAsia" w:ascii="宋体" w:hAnsi="宋体" w:eastAsia="宋体" w:cs="宋体"/>
          <w:sz w:val="24"/>
          <w:szCs w:val="24"/>
        </w:rPr>
        <w:t xml:space="preserve">A1. </w:t>
      </w:r>
      <w:bookmarkEnd w:id="249"/>
      <w:r>
        <w:rPr>
          <w:rFonts w:hint="eastAsia" w:ascii="宋体" w:hAnsi="宋体" w:eastAsia="宋体" w:cs="宋体"/>
          <w:sz w:val="24"/>
          <w:szCs w:val="24"/>
        </w:rPr>
        <w:t>无效响应文件的条件</w:t>
      </w:r>
    </w:p>
    <w:p w14:paraId="22CF62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供应商或其响应文件有下列情形之一的，磋商小组应当判定响应文件为无效：</w:t>
      </w:r>
    </w:p>
    <w:p w14:paraId="439728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A1.1  在初步评审中，磋商小组认定供应商的响应文件不符合评审办法前附表中规定的任何一项评审标准的。</w:t>
      </w:r>
    </w:p>
    <w:p w14:paraId="596C50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A1.3  有串通响应或弄虚作假或有其他违法行为的。</w:t>
      </w:r>
    </w:p>
    <w:p w14:paraId="4BFD13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A1.4  不按磋商小组要求澄清、说明或补正的。</w:t>
      </w:r>
    </w:p>
    <w:p w14:paraId="12B51C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A1.5  磋商小组认定供应商以低于成本报价竞标的。</w:t>
      </w:r>
    </w:p>
    <w:p w14:paraId="210E30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A1.6  其他磋商小组认为属于无效响应文件的。</w:t>
      </w:r>
    </w:p>
    <w:p w14:paraId="7735BB1E">
      <w:pPr>
        <w:ind w:firstLine="480" w:firstLineChars="200"/>
        <w:rPr>
          <w:rFonts w:hint="eastAsia" w:ascii="宋体" w:hAnsi="宋体" w:eastAsia="宋体" w:cs="宋体"/>
          <w:sz w:val="24"/>
          <w:szCs w:val="24"/>
        </w:rPr>
      </w:pPr>
      <w:r>
        <w:rPr>
          <w:rFonts w:hint="eastAsia" w:ascii="宋体" w:hAnsi="宋体" w:eastAsia="宋体" w:cs="宋体"/>
          <w:sz w:val="24"/>
          <w:szCs w:val="24"/>
        </w:rPr>
        <w:t>A1.7 供应商法定代表人或其授权代理人未按时出席竞争性磋商会或出席竞争性磋商会时,未携带竞争性磋商文件要求出示的有效身份证件的；</w:t>
      </w:r>
    </w:p>
    <w:p w14:paraId="08F6359E">
      <w:pPr>
        <w:widowControl/>
        <w:jc w:val="left"/>
        <w:rPr>
          <w:rFonts w:hint="eastAsia"/>
          <w:sz w:val="28"/>
          <w:szCs w:val="28"/>
        </w:rPr>
      </w:pPr>
      <w:r>
        <w:rPr>
          <w:rFonts w:ascii="宋体" w:hAnsi="宋体"/>
          <w:sz w:val="28"/>
          <w:szCs w:val="28"/>
        </w:rPr>
        <w:br w:type="page"/>
      </w:r>
      <w:bookmarkStart w:id="250" w:name="_Toc10486"/>
      <w:bookmarkStart w:id="251" w:name="_Toc403382830"/>
      <w:bookmarkStart w:id="252" w:name="_Toc505691143"/>
      <w:bookmarkStart w:id="253" w:name="_Toc32756"/>
      <w:bookmarkStart w:id="254" w:name="_Toc10661"/>
    </w:p>
    <w:p w14:paraId="4AE94CE9">
      <w:pPr>
        <w:rPr>
          <w:rFonts w:hint="eastAsia"/>
          <w:sz w:val="28"/>
          <w:szCs w:val="28"/>
        </w:rPr>
      </w:pPr>
    </w:p>
    <w:p w14:paraId="720CF514">
      <w:pPr>
        <w:pStyle w:val="3"/>
        <w:jc w:val="center"/>
        <w:rPr>
          <w:rFonts w:ascii="宋体" w:hAnsi="宋体" w:cs="Times New Roman"/>
          <w:b/>
          <w:bCs/>
          <w:sz w:val="32"/>
          <w:szCs w:val="32"/>
        </w:rPr>
      </w:pPr>
      <w:r>
        <w:rPr>
          <w:rFonts w:hint="eastAsia"/>
          <w:sz w:val="32"/>
          <w:szCs w:val="32"/>
        </w:rPr>
        <w:t xml:space="preserve">第四章  </w:t>
      </w:r>
      <w:bookmarkEnd w:id="250"/>
      <w:bookmarkEnd w:id="251"/>
      <w:bookmarkEnd w:id="252"/>
      <w:bookmarkEnd w:id="253"/>
      <w:bookmarkEnd w:id="254"/>
      <w:bookmarkStart w:id="255" w:name="_Hlt535834178"/>
      <w:bookmarkEnd w:id="255"/>
      <w:bookmarkStart w:id="256" w:name="_Hlt3013627"/>
      <w:bookmarkEnd w:id="256"/>
      <w:r>
        <w:rPr>
          <w:rFonts w:ascii="宋体" w:hAnsi="宋体" w:eastAsia="宋体" w:cs="宋体"/>
          <w:b/>
          <w:bCs/>
          <w:spacing w:val="5"/>
          <w:sz w:val="32"/>
          <w:szCs w:val="32"/>
        </w:rPr>
        <w:t>合同条件及格式</w:t>
      </w:r>
    </w:p>
    <w:p w14:paraId="027F9CAC">
      <w:pPr>
        <w:spacing w:before="114" w:line="227" w:lineRule="auto"/>
        <w:ind w:left="3902" w:firstLine="233" w:firstLineChars="100"/>
        <w:rPr>
          <w:rFonts w:ascii="宋体" w:hAnsi="宋体" w:eastAsia="宋体" w:cs="宋体"/>
          <w:b/>
          <w:bCs/>
          <w:sz w:val="28"/>
          <w:szCs w:val="28"/>
        </w:rPr>
      </w:pPr>
      <w:bookmarkStart w:id="257" w:name="_Toc26625"/>
      <w:bookmarkStart w:id="258" w:name="_Toc505691144"/>
      <w:r>
        <w:rPr>
          <w:rFonts w:ascii="宋体" w:hAnsi="宋体" w:eastAsia="宋体" w:cs="宋体"/>
          <w:b/>
          <w:bCs/>
          <w:spacing w:val="-24"/>
          <w:sz w:val="28"/>
          <w:szCs w:val="28"/>
        </w:rPr>
        <w:t>(略)</w:t>
      </w:r>
    </w:p>
    <w:p w14:paraId="20BD6B72">
      <w:pPr>
        <w:spacing w:before="271" w:line="225" w:lineRule="auto"/>
        <w:ind w:left="2982" w:firstLine="538" w:firstLineChars="200"/>
        <w:rPr>
          <w:rFonts w:ascii="宋体" w:hAnsi="宋体" w:eastAsia="宋体" w:cs="宋体"/>
          <w:b/>
          <w:bCs/>
          <w:sz w:val="28"/>
          <w:szCs w:val="28"/>
        </w:rPr>
      </w:pPr>
      <w:r>
        <w:rPr>
          <w:rFonts w:ascii="宋体" w:hAnsi="宋体" w:eastAsia="宋体" w:cs="宋体"/>
          <w:b/>
          <w:bCs/>
          <w:spacing w:val="-6"/>
          <w:sz w:val="28"/>
          <w:szCs w:val="28"/>
        </w:rPr>
        <w:t>按双方约定制定</w:t>
      </w:r>
    </w:p>
    <w:p w14:paraId="4E8ECD6C">
      <w:pPr>
        <w:pStyle w:val="3"/>
        <w:jc w:val="center"/>
        <w:rPr>
          <w:rFonts w:hint="eastAsia"/>
        </w:rPr>
      </w:pPr>
    </w:p>
    <w:p w14:paraId="6CB95EDA">
      <w:pPr>
        <w:pStyle w:val="3"/>
        <w:jc w:val="center"/>
        <w:rPr>
          <w:rFonts w:hint="eastAsia"/>
        </w:rPr>
      </w:pPr>
    </w:p>
    <w:p w14:paraId="7F2363DE">
      <w:pPr>
        <w:pStyle w:val="3"/>
        <w:jc w:val="center"/>
        <w:rPr>
          <w:rFonts w:hint="eastAsia"/>
        </w:rPr>
      </w:pPr>
    </w:p>
    <w:p w14:paraId="24CC25E5">
      <w:pPr>
        <w:pStyle w:val="3"/>
        <w:jc w:val="center"/>
        <w:rPr>
          <w:rFonts w:hint="eastAsia"/>
        </w:rPr>
      </w:pPr>
    </w:p>
    <w:p w14:paraId="79C101D5">
      <w:pPr>
        <w:pStyle w:val="3"/>
        <w:jc w:val="both"/>
        <w:rPr>
          <w:rFonts w:hint="eastAsia"/>
        </w:rPr>
      </w:pPr>
    </w:p>
    <w:p w14:paraId="5639F0EC">
      <w:pPr>
        <w:rPr>
          <w:rFonts w:hint="eastAsia"/>
        </w:rPr>
      </w:pPr>
    </w:p>
    <w:p w14:paraId="7DF4FE73">
      <w:pPr>
        <w:rPr>
          <w:rFonts w:hint="eastAsia"/>
        </w:rPr>
      </w:pPr>
    </w:p>
    <w:p w14:paraId="0EAA11A1">
      <w:pPr>
        <w:rPr>
          <w:rFonts w:hint="eastAsia"/>
        </w:rPr>
      </w:pPr>
    </w:p>
    <w:p w14:paraId="4EA026F9">
      <w:pPr>
        <w:rPr>
          <w:rFonts w:hint="eastAsia"/>
        </w:rPr>
      </w:pPr>
    </w:p>
    <w:p w14:paraId="527230CB">
      <w:pPr>
        <w:rPr>
          <w:rFonts w:hint="eastAsia"/>
        </w:rPr>
      </w:pPr>
    </w:p>
    <w:p w14:paraId="4F49426C">
      <w:pPr>
        <w:rPr>
          <w:rFonts w:hint="eastAsia"/>
        </w:rPr>
      </w:pPr>
    </w:p>
    <w:p w14:paraId="647EDA22">
      <w:pPr>
        <w:rPr>
          <w:rFonts w:hint="eastAsia"/>
        </w:rPr>
      </w:pPr>
    </w:p>
    <w:p w14:paraId="725A3A34">
      <w:pPr>
        <w:rPr>
          <w:rFonts w:hint="eastAsia"/>
        </w:rPr>
      </w:pPr>
    </w:p>
    <w:p w14:paraId="3DDDF1D7">
      <w:pPr>
        <w:rPr>
          <w:rFonts w:hint="eastAsia"/>
        </w:rPr>
      </w:pPr>
    </w:p>
    <w:p w14:paraId="5EED673F">
      <w:pPr>
        <w:rPr>
          <w:rFonts w:hint="eastAsia"/>
        </w:rPr>
      </w:pPr>
    </w:p>
    <w:p w14:paraId="0F087333">
      <w:pPr>
        <w:rPr>
          <w:rFonts w:hint="eastAsia"/>
        </w:rPr>
      </w:pPr>
    </w:p>
    <w:p w14:paraId="6D5AB52F">
      <w:pPr>
        <w:rPr>
          <w:rFonts w:hint="eastAsia"/>
        </w:rPr>
      </w:pPr>
    </w:p>
    <w:p w14:paraId="52EF398C">
      <w:pPr>
        <w:rPr>
          <w:rFonts w:hint="eastAsia"/>
        </w:rPr>
      </w:pPr>
    </w:p>
    <w:p w14:paraId="0A663C79">
      <w:pPr>
        <w:rPr>
          <w:rFonts w:hint="eastAsia"/>
        </w:rPr>
      </w:pPr>
    </w:p>
    <w:p w14:paraId="5A221327">
      <w:pPr>
        <w:rPr>
          <w:rFonts w:hint="eastAsia"/>
        </w:rPr>
      </w:pPr>
    </w:p>
    <w:p w14:paraId="573E0909">
      <w:pPr>
        <w:rPr>
          <w:rFonts w:hint="eastAsia"/>
        </w:rPr>
      </w:pPr>
    </w:p>
    <w:p w14:paraId="14D081E8">
      <w:pPr>
        <w:rPr>
          <w:rFonts w:hint="eastAsia"/>
        </w:rPr>
      </w:pPr>
    </w:p>
    <w:p w14:paraId="37EAED44">
      <w:pPr>
        <w:rPr>
          <w:rFonts w:hint="eastAsia"/>
        </w:rPr>
      </w:pPr>
    </w:p>
    <w:p w14:paraId="2BC3D653">
      <w:pPr>
        <w:rPr>
          <w:rFonts w:hint="eastAsia"/>
        </w:rPr>
      </w:pPr>
    </w:p>
    <w:p w14:paraId="1693FD55">
      <w:pPr>
        <w:rPr>
          <w:rFonts w:hint="eastAsia"/>
        </w:rPr>
      </w:pPr>
    </w:p>
    <w:p w14:paraId="689F9B22">
      <w:pPr>
        <w:rPr>
          <w:rFonts w:hint="eastAsia"/>
        </w:rPr>
      </w:pPr>
    </w:p>
    <w:p w14:paraId="505C980A">
      <w:pPr>
        <w:rPr>
          <w:rFonts w:hint="eastAsia"/>
        </w:rPr>
      </w:pPr>
    </w:p>
    <w:p w14:paraId="79B8044C">
      <w:pPr>
        <w:rPr>
          <w:rFonts w:hint="eastAsia"/>
        </w:rPr>
      </w:pPr>
    </w:p>
    <w:p w14:paraId="0D4719E2">
      <w:pPr>
        <w:pStyle w:val="3"/>
        <w:numPr>
          <w:ilvl w:val="0"/>
          <w:numId w:val="4"/>
        </w:numPr>
        <w:jc w:val="center"/>
        <w:rPr>
          <w:rFonts w:hint="eastAsia" w:ascii="宋体" w:hAnsi="宋体" w:cs="宋体"/>
          <w:b/>
          <w:bCs/>
          <w:spacing w:val="5"/>
          <w:sz w:val="32"/>
          <w:szCs w:val="32"/>
          <w:lang w:eastAsia="zh-CN"/>
        </w:rPr>
      </w:pPr>
      <w:r>
        <w:rPr>
          <w:rFonts w:hint="eastAsia"/>
        </w:rPr>
        <w:t xml:space="preserve"> </w:t>
      </w:r>
      <w:bookmarkEnd w:id="257"/>
      <w:bookmarkEnd w:id="258"/>
      <w:r>
        <w:rPr>
          <w:rFonts w:hint="eastAsia" w:ascii="宋体" w:hAnsi="宋体" w:cs="宋体"/>
          <w:b/>
          <w:bCs/>
          <w:spacing w:val="5"/>
          <w:sz w:val="32"/>
          <w:szCs w:val="32"/>
          <w:lang w:eastAsia="zh-CN"/>
        </w:rPr>
        <w:t>采购人需求</w:t>
      </w:r>
      <w:bookmarkStart w:id="259" w:name="_Toc324775707"/>
      <w:bookmarkStart w:id="260" w:name="_Toc326570699"/>
    </w:p>
    <w:p w14:paraId="632E3EC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一、项目基本情况</w:t>
      </w:r>
    </w:p>
    <w:p w14:paraId="395961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1.项目编号：</w:t>
      </w:r>
      <w:r>
        <w:rPr>
          <w:rFonts w:hint="eastAsia" w:ascii="宋体" w:hAnsi="宋体" w:cs="宋体"/>
          <w:color w:val="auto"/>
          <w:sz w:val="24"/>
          <w:szCs w:val="24"/>
          <w:lang w:val="en-US" w:eastAsia="zh-CN" w:bidi="ar"/>
        </w:rPr>
        <w:t>LYCZ</w:t>
      </w:r>
      <w:r>
        <w:rPr>
          <w:rFonts w:hint="eastAsia" w:ascii="宋体" w:hAnsi="宋体" w:cs="宋体"/>
          <w:color w:val="auto"/>
          <w:sz w:val="24"/>
          <w:szCs w:val="24"/>
          <w:lang w:val="zh-CN" w:bidi="ar"/>
        </w:rPr>
        <w:t>202</w:t>
      </w:r>
      <w:r>
        <w:rPr>
          <w:rFonts w:hint="eastAsia" w:ascii="宋体" w:hAnsi="宋体" w:cs="宋体"/>
          <w:color w:val="auto"/>
          <w:sz w:val="24"/>
          <w:szCs w:val="24"/>
          <w:lang w:val="en-US" w:eastAsia="zh-CN" w:bidi="ar"/>
        </w:rPr>
        <w:t>5</w:t>
      </w:r>
      <w:r>
        <w:rPr>
          <w:rFonts w:hint="eastAsia" w:ascii="宋体" w:hAnsi="宋体" w:cs="宋体"/>
          <w:color w:val="auto"/>
          <w:sz w:val="24"/>
          <w:szCs w:val="24"/>
          <w:lang w:val="zh-CN" w:bidi="ar"/>
        </w:rPr>
        <w:t>-</w:t>
      </w:r>
      <w:r>
        <w:rPr>
          <w:rFonts w:hint="eastAsia" w:ascii="宋体" w:hAnsi="宋体" w:cs="宋体"/>
          <w:color w:val="auto"/>
          <w:sz w:val="24"/>
          <w:szCs w:val="24"/>
          <w:lang w:val="en-US" w:eastAsia="zh-CN" w:bidi="ar"/>
        </w:rPr>
        <w:t>017</w:t>
      </w:r>
      <w:r>
        <w:rPr>
          <w:rFonts w:hint="eastAsia" w:ascii="宋体" w:hAnsi="宋体" w:cs="宋体"/>
          <w:color w:val="auto"/>
          <w:sz w:val="24"/>
          <w:szCs w:val="24"/>
          <w:highlight w:val="none"/>
          <w:lang w:val="en-US" w:eastAsia="zh-CN"/>
        </w:rPr>
        <w:t>8</w:t>
      </w:r>
    </w:p>
    <w:p w14:paraId="0ABB47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2.政府采购计划编号：</w:t>
      </w:r>
      <w:r>
        <w:rPr>
          <w:rFonts w:hint="eastAsia" w:ascii="宋体" w:hAnsi="宋体" w:cs="宋体"/>
          <w:color w:val="auto"/>
          <w:sz w:val="24"/>
          <w:szCs w:val="24"/>
          <w:lang w:val="en-US" w:eastAsia="zh-CN" w:bidi="ar"/>
        </w:rPr>
        <w:t>采购计划-【2025】00084号</w:t>
      </w:r>
    </w:p>
    <w:p w14:paraId="17DDAA5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3.项目名称：安图县地质灾害隐患点和风险区更新调查工作</w:t>
      </w:r>
    </w:p>
    <w:p w14:paraId="77769E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4.采购方式：竞争性磋商</w:t>
      </w:r>
    </w:p>
    <w:p w14:paraId="033F04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5.预算金额（最高限价）：60.3万元</w:t>
      </w:r>
    </w:p>
    <w:p w14:paraId="77B908D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根据《吉林省自然资源厅关于开展全省地质灾害隐患点和风险区更新调查工作的通知》（吉自然资函〔2024〕511号）要求，对全县地质灾害隐患点和风险区进行更新调查，进一步提升全县地质灾害防御能力。</w:t>
      </w:r>
    </w:p>
    <w:p w14:paraId="3DBAB7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7.合同履行期限：自合同签订之日起至60日内完成服务。</w:t>
      </w:r>
    </w:p>
    <w:p w14:paraId="68B76B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bookmarkStart w:id="261" w:name="_Toc14044"/>
      <w:bookmarkStart w:id="262" w:name="_Toc421799430"/>
      <w:bookmarkStart w:id="263" w:name="_Toc421622894"/>
      <w:r>
        <w:rPr>
          <w:rFonts w:hint="eastAsia" w:ascii="宋体" w:hAnsi="宋体" w:eastAsia="宋体" w:cs="宋体"/>
          <w:b/>
          <w:bCs/>
          <w:color w:val="auto"/>
          <w:sz w:val="24"/>
          <w:szCs w:val="24"/>
          <w:highlight w:val="none"/>
          <w:lang w:val="en-US" w:eastAsia="zh-CN"/>
        </w:rPr>
        <w:t>工作概括</w:t>
      </w:r>
    </w:p>
    <w:p w14:paraId="6ED1BA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cs="宋体"/>
          <w:b w:val="0"/>
          <w:bCs w:val="0"/>
          <w:color w:val="auto"/>
          <w:sz w:val="24"/>
          <w:szCs w:val="24"/>
          <w:lang w:eastAsia="zh-CN"/>
        </w:rPr>
        <w:t>安图县地质灾害隐患点和风险区更新调查工作</w:t>
      </w:r>
      <w:r>
        <w:rPr>
          <w:rFonts w:hint="eastAsia" w:ascii="宋体" w:hAnsi="宋体" w:eastAsia="宋体" w:cs="宋体"/>
          <w:sz w:val="24"/>
          <w:szCs w:val="24"/>
          <w:lang w:val="en-US" w:eastAsia="zh-CN"/>
        </w:rPr>
        <w:t>的目标是针对已排查出的地质灾害隐患点进行重新检查和确认，进一步筛查出存在的地质灾害隐患点，并制定详细的应对措施，确保排查工作的全面性、科学性和有效性。其意义在于：</w:t>
      </w:r>
    </w:p>
    <w:p w14:paraId="20E1638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1.保障人民生命财产安全。排查出存在的地质灾害隐患点，并制定相应的预防措施，可以避免地质灾害对人们生命财产造成的损失和危害。</w:t>
      </w:r>
    </w:p>
    <w:p w14:paraId="02F791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2.提高抗灾能力。确认地质灾害隐患点后，对于已有的地质灾害点加强治理，对于新发现的地质灾害点及时采取措施，可以提高城市的抗灾能力。</w:t>
      </w:r>
    </w:p>
    <w:p w14:paraId="46A4CA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三、工作内容</w:t>
      </w:r>
    </w:p>
    <w:p w14:paraId="389F44A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1、对辖区内所有一般隐患点进行认定与核销，明确每个隐患点防治责任主体。</w:t>
      </w:r>
    </w:p>
    <w:p w14:paraId="3144486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在已有地质灾害风险调查评价和精细化调查成果基础上，重新评价地质灾害隐患点的稳定性，包括现状稳定性及发展趋势，更新隐患点清单。开展极端降雨条件下风险评估，圈定风险管控范围，提出风险防范对策建议。</w:t>
      </w:r>
    </w:p>
    <w:p w14:paraId="6D647B2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3、编制《地质灾害隐患点和风险区更新调查报告》，并通过专家评审及现场核查。</w:t>
      </w:r>
    </w:p>
    <w:p w14:paraId="75478C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4、更新吉林省地质灾害监测预警系统数据库中的隐患点数据。</w:t>
      </w:r>
    </w:p>
    <w:p w14:paraId="55D39FC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5、极端降雨条件下重点地质灾害风险区及重大单体或高位链式地质灾害更新评价。</w:t>
      </w:r>
    </w:p>
    <w:p w14:paraId="6956BDD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6、地质灾害调查数据库更新。包括更新地质灾害隐患点全要素信息；更新地质灾害风险区全要素信息；更新评价成果及区域评价图件。</w:t>
      </w:r>
    </w:p>
    <w:p w14:paraId="19FA5A9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bCs/>
          <w:color w:val="0000FF"/>
          <w:sz w:val="24"/>
          <w:szCs w:val="24"/>
          <w:lang w:val="en-US" w:eastAsia="zh-CN"/>
        </w:rPr>
      </w:pPr>
      <w:r>
        <w:rPr>
          <w:rFonts w:hint="eastAsia" w:ascii="宋体" w:hAnsi="宋体" w:eastAsia="宋体" w:cs="宋体"/>
          <w:sz w:val="24"/>
          <w:szCs w:val="24"/>
        </w:rPr>
        <w:t>结合以上各项地质灾害隐患点更新调查的具体工作内容，依据《地质调查项目预算标准（2021）》——第一部分陆域非油气地质调查预算标准，第二章地质测量第六节专项地质灾害测量，第七章其他地质工作。</w:t>
      </w:r>
    </w:p>
    <w:p w14:paraId="6D3737CA">
      <w:pPr>
        <w:rPr>
          <w:rFonts w:hint="default" w:ascii="宋体" w:hAnsi="宋体" w:cs="宋体"/>
          <w:sz w:val="24"/>
          <w:szCs w:val="24"/>
          <w:lang w:val="en-US" w:eastAsia="zh-CN"/>
        </w:rPr>
      </w:pPr>
    </w:p>
    <w:bookmarkEnd w:id="259"/>
    <w:bookmarkEnd w:id="260"/>
    <w:bookmarkEnd w:id="261"/>
    <w:bookmarkEnd w:id="262"/>
    <w:bookmarkEnd w:id="263"/>
    <w:p w14:paraId="47A1C96E">
      <w:pPr>
        <w:spacing w:line="360" w:lineRule="auto"/>
        <w:jc w:val="center"/>
        <w:outlineLvl w:val="0"/>
        <w:rPr>
          <w:rFonts w:hint="eastAsia" w:ascii="宋体" w:hAnsi="宋体" w:eastAsia="宋体" w:cs="宋体"/>
          <w:b/>
          <w:bCs/>
          <w:sz w:val="32"/>
          <w:szCs w:val="32"/>
        </w:rPr>
      </w:pPr>
      <w:bookmarkStart w:id="264" w:name="_Toc505691145"/>
      <w:bookmarkStart w:id="265" w:name="_Toc16773"/>
    </w:p>
    <w:p w14:paraId="458D6B1F">
      <w:pPr>
        <w:pStyle w:val="7"/>
        <w:rPr>
          <w:rFonts w:hint="eastAsia" w:ascii="宋体" w:hAnsi="宋体" w:eastAsia="宋体" w:cs="宋体"/>
          <w:b/>
          <w:bCs/>
          <w:sz w:val="32"/>
          <w:szCs w:val="32"/>
        </w:rPr>
      </w:pPr>
    </w:p>
    <w:p w14:paraId="0D21D18A">
      <w:pPr>
        <w:rPr>
          <w:rFonts w:hint="eastAsia" w:ascii="宋体" w:hAnsi="宋体" w:eastAsia="宋体" w:cs="宋体"/>
          <w:b/>
          <w:bCs/>
          <w:sz w:val="32"/>
          <w:szCs w:val="32"/>
        </w:rPr>
      </w:pPr>
    </w:p>
    <w:p w14:paraId="41574129">
      <w:pPr>
        <w:pStyle w:val="7"/>
        <w:rPr>
          <w:rFonts w:hint="eastAsia" w:ascii="宋体" w:hAnsi="宋体" w:eastAsia="宋体" w:cs="宋体"/>
          <w:b/>
          <w:bCs/>
          <w:sz w:val="32"/>
          <w:szCs w:val="32"/>
        </w:rPr>
      </w:pPr>
    </w:p>
    <w:p w14:paraId="5E8DB583">
      <w:pPr>
        <w:rPr>
          <w:rFonts w:hint="eastAsia" w:ascii="宋体" w:hAnsi="宋体" w:eastAsia="宋体" w:cs="宋体"/>
          <w:b/>
          <w:bCs/>
          <w:sz w:val="32"/>
          <w:szCs w:val="32"/>
        </w:rPr>
      </w:pPr>
    </w:p>
    <w:p w14:paraId="798BFA74">
      <w:pPr>
        <w:pStyle w:val="7"/>
        <w:rPr>
          <w:rFonts w:hint="eastAsia" w:ascii="宋体" w:hAnsi="宋体" w:eastAsia="宋体" w:cs="宋体"/>
          <w:b/>
          <w:bCs/>
          <w:sz w:val="32"/>
          <w:szCs w:val="32"/>
        </w:rPr>
      </w:pPr>
    </w:p>
    <w:p w14:paraId="1B46DFD8">
      <w:pPr>
        <w:rPr>
          <w:rFonts w:hint="eastAsia" w:ascii="宋体" w:hAnsi="宋体" w:eastAsia="宋体" w:cs="宋体"/>
          <w:b/>
          <w:bCs/>
          <w:sz w:val="32"/>
          <w:szCs w:val="32"/>
        </w:rPr>
      </w:pPr>
    </w:p>
    <w:p w14:paraId="6702693C">
      <w:pPr>
        <w:pStyle w:val="7"/>
        <w:rPr>
          <w:rFonts w:hint="eastAsia" w:ascii="宋体" w:hAnsi="宋体" w:eastAsia="宋体" w:cs="宋体"/>
          <w:b/>
          <w:bCs/>
          <w:sz w:val="32"/>
          <w:szCs w:val="32"/>
        </w:rPr>
      </w:pPr>
    </w:p>
    <w:p w14:paraId="6FBF9FD9">
      <w:pPr>
        <w:rPr>
          <w:rFonts w:hint="eastAsia" w:ascii="宋体" w:hAnsi="宋体" w:eastAsia="宋体" w:cs="宋体"/>
          <w:b/>
          <w:bCs/>
          <w:sz w:val="32"/>
          <w:szCs w:val="32"/>
        </w:rPr>
      </w:pPr>
    </w:p>
    <w:p w14:paraId="1CAB64D8">
      <w:pPr>
        <w:pStyle w:val="7"/>
        <w:rPr>
          <w:rFonts w:hint="eastAsia" w:ascii="宋体" w:hAnsi="宋体" w:eastAsia="宋体" w:cs="宋体"/>
          <w:b/>
          <w:bCs/>
          <w:sz w:val="32"/>
          <w:szCs w:val="32"/>
        </w:rPr>
      </w:pPr>
    </w:p>
    <w:p w14:paraId="2D0826E4">
      <w:pPr>
        <w:rPr>
          <w:rFonts w:hint="eastAsia" w:ascii="宋体" w:hAnsi="宋体" w:eastAsia="宋体" w:cs="宋体"/>
          <w:b/>
          <w:bCs/>
          <w:sz w:val="32"/>
          <w:szCs w:val="32"/>
        </w:rPr>
      </w:pPr>
    </w:p>
    <w:p w14:paraId="5DEFC2AC">
      <w:pPr>
        <w:pStyle w:val="7"/>
        <w:rPr>
          <w:rFonts w:hint="eastAsia" w:ascii="宋体" w:hAnsi="宋体" w:eastAsia="宋体" w:cs="宋体"/>
          <w:b/>
          <w:bCs/>
          <w:sz w:val="32"/>
          <w:szCs w:val="32"/>
        </w:rPr>
      </w:pPr>
    </w:p>
    <w:p w14:paraId="307D8180">
      <w:pPr>
        <w:rPr>
          <w:rFonts w:hint="eastAsia" w:ascii="宋体" w:hAnsi="宋体" w:eastAsia="宋体" w:cs="宋体"/>
          <w:b/>
          <w:bCs/>
          <w:sz w:val="32"/>
          <w:szCs w:val="32"/>
        </w:rPr>
      </w:pPr>
    </w:p>
    <w:p w14:paraId="3E7DC116">
      <w:pPr>
        <w:rPr>
          <w:rFonts w:hint="eastAsia" w:ascii="宋体" w:hAnsi="宋体" w:eastAsia="宋体" w:cs="宋体"/>
          <w:b/>
          <w:bCs/>
          <w:sz w:val="32"/>
          <w:szCs w:val="32"/>
        </w:rPr>
      </w:pPr>
    </w:p>
    <w:p w14:paraId="41D6B372">
      <w:pPr>
        <w:rPr>
          <w:rFonts w:hint="eastAsia" w:ascii="宋体" w:hAnsi="宋体" w:eastAsia="宋体" w:cs="宋体"/>
          <w:b/>
          <w:bCs/>
          <w:sz w:val="32"/>
          <w:szCs w:val="32"/>
        </w:rPr>
      </w:pPr>
    </w:p>
    <w:p w14:paraId="02DB925E">
      <w:pPr>
        <w:rPr>
          <w:rFonts w:hint="eastAsia" w:ascii="宋体" w:hAnsi="宋体" w:eastAsia="宋体" w:cs="宋体"/>
          <w:b/>
          <w:bCs/>
          <w:sz w:val="32"/>
          <w:szCs w:val="32"/>
        </w:rPr>
      </w:pPr>
    </w:p>
    <w:p w14:paraId="45740295">
      <w:pPr>
        <w:pStyle w:val="7"/>
        <w:rPr>
          <w:rFonts w:hint="eastAsia" w:ascii="宋体" w:hAnsi="宋体" w:eastAsia="宋体" w:cs="宋体"/>
          <w:b/>
          <w:bCs/>
          <w:sz w:val="32"/>
          <w:szCs w:val="32"/>
        </w:rPr>
      </w:pPr>
    </w:p>
    <w:p w14:paraId="0FF31A88">
      <w:pPr>
        <w:rPr>
          <w:rFonts w:hint="eastAsia" w:ascii="宋体" w:hAnsi="宋体" w:eastAsia="宋体" w:cs="宋体"/>
          <w:b/>
          <w:bCs/>
          <w:sz w:val="32"/>
          <w:szCs w:val="32"/>
        </w:rPr>
      </w:pPr>
    </w:p>
    <w:p w14:paraId="32313579">
      <w:pPr>
        <w:pStyle w:val="7"/>
        <w:rPr>
          <w:rFonts w:hint="eastAsia" w:ascii="宋体" w:hAnsi="宋体" w:eastAsia="宋体" w:cs="宋体"/>
          <w:b/>
          <w:bCs/>
          <w:sz w:val="32"/>
          <w:szCs w:val="32"/>
        </w:rPr>
      </w:pPr>
    </w:p>
    <w:p w14:paraId="2C1EE59A">
      <w:pPr>
        <w:pStyle w:val="7"/>
        <w:rPr>
          <w:rFonts w:hint="eastAsia"/>
        </w:rPr>
      </w:pPr>
    </w:p>
    <w:p w14:paraId="75ECA511">
      <w:pPr>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第六章  磋商响应文件格式</w:t>
      </w:r>
      <w:bookmarkEnd w:id="264"/>
      <w:bookmarkEnd w:id="265"/>
    </w:p>
    <w:p w14:paraId="5FAA7120">
      <w:pPr>
        <w:widowControl/>
        <w:snapToGrid w:val="0"/>
        <w:spacing w:line="360" w:lineRule="auto"/>
        <w:jc w:val="center"/>
        <w:rPr>
          <w:rFonts w:hint="eastAsia" w:ascii="宋体" w:hAnsi="宋体" w:eastAsia="宋体" w:cs="宋体"/>
          <w:b/>
          <w:bCs/>
          <w:spacing w:val="20"/>
          <w:kern w:val="0"/>
          <w:sz w:val="44"/>
          <w:szCs w:val="44"/>
          <w:u w:val="single"/>
        </w:rPr>
      </w:pPr>
      <w:bookmarkStart w:id="266" w:name="_Toc403382856"/>
      <w:bookmarkStart w:id="267" w:name="_Toc19319"/>
      <w:bookmarkStart w:id="268" w:name="_Toc14722"/>
    </w:p>
    <w:p w14:paraId="30C2EFEF">
      <w:pPr>
        <w:widowControl/>
        <w:snapToGrid w:val="0"/>
        <w:spacing w:line="360" w:lineRule="auto"/>
        <w:jc w:val="center"/>
        <w:rPr>
          <w:rFonts w:hint="eastAsia" w:ascii="宋体" w:hAnsi="宋体" w:eastAsia="宋体" w:cs="宋体"/>
          <w:b/>
          <w:bCs/>
          <w:spacing w:val="20"/>
          <w:kern w:val="0"/>
          <w:sz w:val="44"/>
          <w:szCs w:val="44"/>
        </w:rPr>
      </w:pPr>
      <w:r>
        <w:rPr>
          <w:rFonts w:hint="eastAsia" w:ascii="宋体" w:hAnsi="宋体" w:eastAsia="宋体" w:cs="宋体"/>
          <w:b/>
          <w:bCs/>
          <w:spacing w:val="20"/>
          <w:kern w:val="0"/>
          <w:sz w:val="44"/>
          <w:szCs w:val="44"/>
        </w:rPr>
        <w:t>项目</w:t>
      </w:r>
    </w:p>
    <w:p w14:paraId="3EB93264">
      <w:pPr>
        <w:widowControl/>
        <w:snapToGrid w:val="0"/>
        <w:spacing w:line="360" w:lineRule="auto"/>
        <w:jc w:val="center"/>
        <w:rPr>
          <w:rFonts w:hint="eastAsia" w:ascii="宋体" w:hAnsi="宋体" w:eastAsia="宋体" w:cs="宋体"/>
          <w:b/>
          <w:bCs/>
          <w:spacing w:val="20"/>
          <w:kern w:val="0"/>
          <w:sz w:val="44"/>
          <w:szCs w:val="44"/>
        </w:rPr>
      </w:pPr>
    </w:p>
    <w:p w14:paraId="78FFF0C7">
      <w:pPr>
        <w:widowControl/>
        <w:snapToGrid w:val="0"/>
        <w:spacing w:line="360" w:lineRule="auto"/>
        <w:jc w:val="left"/>
        <w:rPr>
          <w:rFonts w:hint="eastAsia" w:ascii="宋体" w:hAnsi="宋体" w:eastAsia="宋体" w:cs="宋体"/>
          <w:kern w:val="0"/>
          <w:sz w:val="24"/>
        </w:rPr>
      </w:pPr>
    </w:p>
    <w:p w14:paraId="6FCA0BCF">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30"/>
          <w:szCs w:val="30"/>
        </w:rPr>
        <w:t> </w:t>
      </w:r>
    </w:p>
    <w:p w14:paraId="5D681B3D">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b/>
          <w:kern w:val="0"/>
          <w:sz w:val="84"/>
        </w:rPr>
        <w:t>竞争性磋商响应文件</w:t>
      </w:r>
    </w:p>
    <w:p w14:paraId="660B6E3D">
      <w:pPr>
        <w:widowControl/>
        <w:snapToGrid w:val="0"/>
        <w:spacing w:line="360" w:lineRule="auto"/>
        <w:jc w:val="left"/>
        <w:rPr>
          <w:rFonts w:hint="eastAsia" w:ascii="宋体" w:hAnsi="宋体" w:eastAsia="宋体" w:cs="宋体"/>
          <w:kern w:val="0"/>
          <w:sz w:val="32"/>
          <w:szCs w:val="20"/>
        </w:rPr>
      </w:pPr>
      <w:r>
        <w:rPr>
          <w:rFonts w:hint="eastAsia" w:ascii="宋体" w:hAnsi="宋体" w:eastAsia="宋体" w:cs="宋体"/>
          <w:kern w:val="0"/>
          <w:sz w:val="32"/>
          <w:szCs w:val="20"/>
        </w:rPr>
        <w:t> </w:t>
      </w:r>
    </w:p>
    <w:p w14:paraId="63CE87C1">
      <w:pPr>
        <w:widowControl/>
        <w:snapToGrid w:val="0"/>
        <w:spacing w:line="360" w:lineRule="auto"/>
        <w:jc w:val="left"/>
        <w:rPr>
          <w:rFonts w:hint="eastAsia" w:ascii="宋体" w:hAnsi="宋体" w:eastAsia="宋体" w:cs="宋体"/>
          <w:kern w:val="0"/>
          <w:sz w:val="32"/>
          <w:szCs w:val="20"/>
        </w:rPr>
      </w:pPr>
    </w:p>
    <w:p w14:paraId="563E9048">
      <w:pPr>
        <w:widowControl/>
        <w:snapToGrid w:val="0"/>
        <w:spacing w:line="360" w:lineRule="auto"/>
        <w:jc w:val="left"/>
        <w:rPr>
          <w:rFonts w:hint="eastAsia" w:ascii="宋体" w:hAnsi="宋体" w:eastAsia="宋体" w:cs="宋体"/>
          <w:kern w:val="0"/>
          <w:sz w:val="32"/>
          <w:szCs w:val="20"/>
        </w:rPr>
      </w:pPr>
    </w:p>
    <w:p w14:paraId="5FE10138">
      <w:pPr>
        <w:widowControl/>
        <w:snapToGrid w:val="0"/>
        <w:spacing w:line="360" w:lineRule="auto"/>
        <w:jc w:val="left"/>
        <w:rPr>
          <w:rFonts w:hint="eastAsia" w:ascii="宋体" w:hAnsi="宋体" w:eastAsia="宋体" w:cs="宋体"/>
          <w:kern w:val="0"/>
          <w:sz w:val="32"/>
          <w:szCs w:val="20"/>
        </w:rPr>
      </w:pPr>
    </w:p>
    <w:p w14:paraId="59F3E370">
      <w:pPr>
        <w:widowControl/>
        <w:snapToGrid w:val="0"/>
        <w:spacing w:line="360" w:lineRule="auto"/>
        <w:jc w:val="left"/>
        <w:rPr>
          <w:rFonts w:hint="eastAsia" w:ascii="宋体" w:hAnsi="宋体" w:eastAsia="宋体" w:cs="宋体"/>
          <w:kern w:val="0"/>
          <w:sz w:val="32"/>
          <w:szCs w:val="20"/>
        </w:rPr>
      </w:pPr>
    </w:p>
    <w:p w14:paraId="163DF3D5">
      <w:pPr>
        <w:widowControl/>
        <w:snapToGrid w:val="0"/>
        <w:spacing w:line="360" w:lineRule="auto"/>
        <w:jc w:val="left"/>
        <w:rPr>
          <w:rFonts w:hint="eastAsia" w:ascii="宋体" w:hAnsi="宋体" w:eastAsia="宋体" w:cs="宋体"/>
          <w:kern w:val="0"/>
          <w:sz w:val="32"/>
          <w:szCs w:val="20"/>
        </w:rPr>
      </w:pPr>
    </w:p>
    <w:p w14:paraId="4B79D423">
      <w:pPr>
        <w:widowControl/>
        <w:snapToGrid w:val="0"/>
        <w:spacing w:line="360" w:lineRule="auto"/>
        <w:jc w:val="left"/>
        <w:rPr>
          <w:rFonts w:hint="eastAsia" w:ascii="宋体" w:hAnsi="宋体" w:eastAsia="宋体" w:cs="宋体"/>
          <w:kern w:val="0"/>
          <w:sz w:val="32"/>
          <w:szCs w:val="20"/>
        </w:rPr>
      </w:pPr>
    </w:p>
    <w:p w14:paraId="7AC2AE38">
      <w:pPr>
        <w:widowControl/>
        <w:snapToGrid w:val="0"/>
        <w:spacing w:line="360" w:lineRule="auto"/>
        <w:ind w:firstLine="640" w:firstLineChars="200"/>
        <w:jc w:val="left"/>
        <w:rPr>
          <w:rFonts w:hint="eastAsia" w:ascii="宋体" w:hAnsi="宋体" w:eastAsia="宋体" w:cs="宋体"/>
          <w:spacing w:val="20"/>
          <w:kern w:val="0"/>
          <w:sz w:val="28"/>
          <w:szCs w:val="28"/>
        </w:rPr>
      </w:pPr>
      <w:r>
        <w:rPr>
          <w:rFonts w:hint="eastAsia" w:ascii="宋体" w:hAnsi="宋体" w:eastAsia="宋体" w:cs="宋体"/>
          <w:spacing w:val="20"/>
          <w:kern w:val="0"/>
          <w:sz w:val="28"/>
          <w:szCs w:val="28"/>
          <w:lang w:eastAsia="zh-CN"/>
        </w:rPr>
        <w:t>供</w:t>
      </w:r>
      <w:r>
        <w:rPr>
          <w:rFonts w:hint="eastAsia" w:ascii="宋体" w:hAnsi="宋体" w:cs="宋体"/>
          <w:spacing w:val="20"/>
          <w:kern w:val="0"/>
          <w:sz w:val="28"/>
          <w:szCs w:val="28"/>
          <w:lang w:val="en-US" w:eastAsia="zh-CN"/>
        </w:rPr>
        <w:t xml:space="preserve">  </w:t>
      </w:r>
      <w:r>
        <w:rPr>
          <w:rFonts w:hint="eastAsia" w:ascii="宋体" w:hAnsi="宋体" w:eastAsia="宋体" w:cs="宋体"/>
          <w:spacing w:val="20"/>
          <w:kern w:val="0"/>
          <w:sz w:val="28"/>
          <w:szCs w:val="28"/>
          <w:lang w:eastAsia="zh-CN"/>
        </w:rPr>
        <w:t>应</w:t>
      </w:r>
      <w:r>
        <w:rPr>
          <w:rFonts w:hint="eastAsia" w:ascii="宋体" w:hAnsi="宋体" w:cs="宋体"/>
          <w:spacing w:val="20"/>
          <w:kern w:val="0"/>
          <w:sz w:val="28"/>
          <w:szCs w:val="28"/>
          <w:lang w:val="en-US" w:eastAsia="zh-CN"/>
        </w:rPr>
        <w:t xml:space="preserve">  </w:t>
      </w:r>
      <w:r>
        <w:rPr>
          <w:rFonts w:hint="eastAsia" w:ascii="宋体" w:hAnsi="宋体" w:eastAsia="宋体" w:cs="宋体"/>
          <w:spacing w:val="20"/>
          <w:kern w:val="0"/>
          <w:sz w:val="28"/>
          <w:szCs w:val="28"/>
          <w:lang w:eastAsia="zh-CN"/>
        </w:rPr>
        <w:t>商</w:t>
      </w:r>
      <w:r>
        <w:rPr>
          <w:rFonts w:hint="eastAsia" w:ascii="宋体" w:hAnsi="宋体" w:eastAsia="宋体" w:cs="宋体"/>
          <w:spacing w:val="20"/>
          <w:kern w:val="0"/>
          <w:sz w:val="28"/>
          <w:szCs w:val="28"/>
        </w:rPr>
        <w:t>：</w:t>
      </w:r>
      <w:r>
        <w:rPr>
          <w:rFonts w:hint="eastAsia" w:ascii="宋体" w:hAnsi="宋体" w:cs="宋体"/>
          <w:spacing w:val="20"/>
          <w:kern w:val="0"/>
          <w:sz w:val="28"/>
          <w:szCs w:val="28"/>
          <w:u w:val="single"/>
          <w:lang w:val="en-US" w:eastAsia="zh-CN"/>
        </w:rPr>
        <w:t xml:space="preserve">                        </w:t>
      </w:r>
      <w:r>
        <w:rPr>
          <w:rFonts w:hint="eastAsia" w:ascii="宋体" w:hAnsi="宋体" w:eastAsia="宋体" w:cs="宋体"/>
          <w:spacing w:val="20"/>
          <w:kern w:val="0"/>
          <w:sz w:val="28"/>
          <w:szCs w:val="28"/>
        </w:rPr>
        <w:t>（盖章）</w:t>
      </w:r>
    </w:p>
    <w:p w14:paraId="6FFD7949">
      <w:pPr>
        <w:widowControl/>
        <w:snapToGrid w:val="0"/>
        <w:spacing w:line="360" w:lineRule="auto"/>
        <w:ind w:firstLine="320" w:firstLineChars="100"/>
        <w:rPr>
          <w:rFonts w:hint="eastAsia" w:ascii="宋体" w:hAnsi="宋体" w:eastAsia="宋体" w:cs="宋体"/>
          <w:spacing w:val="20"/>
          <w:kern w:val="0"/>
          <w:sz w:val="28"/>
          <w:szCs w:val="28"/>
        </w:rPr>
      </w:pPr>
    </w:p>
    <w:p w14:paraId="20B462C4">
      <w:pPr>
        <w:widowControl/>
        <w:snapToGrid w:val="0"/>
        <w:spacing w:line="360" w:lineRule="auto"/>
        <w:ind w:firstLine="640" w:firstLineChars="200"/>
        <w:jc w:val="left"/>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投标单位法定代表人或授权代理人：</w:t>
      </w:r>
      <w:r>
        <w:rPr>
          <w:rFonts w:hint="eastAsia" w:ascii="宋体" w:hAnsi="宋体" w:eastAsia="宋体" w:cs="宋体"/>
          <w:spacing w:val="20"/>
          <w:kern w:val="0"/>
          <w:sz w:val="28"/>
          <w:szCs w:val="28"/>
          <w:u w:val="single"/>
          <w:lang w:val="en-US" w:eastAsia="zh-CN"/>
        </w:rPr>
        <w:t xml:space="preserve"> </w:t>
      </w:r>
      <w:r>
        <w:rPr>
          <w:rFonts w:hint="eastAsia" w:ascii="宋体" w:hAnsi="宋体" w:cs="宋体"/>
          <w:spacing w:val="20"/>
          <w:kern w:val="0"/>
          <w:sz w:val="28"/>
          <w:szCs w:val="28"/>
          <w:u w:val="single"/>
          <w:lang w:val="en-US" w:eastAsia="zh-CN"/>
        </w:rPr>
        <w:t xml:space="preserve">     </w:t>
      </w:r>
      <w:r>
        <w:rPr>
          <w:rFonts w:hint="eastAsia" w:ascii="宋体" w:hAnsi="宋体" w:eastAsia="宋体" w:cs="宋体"/>
          <w:spacing w:val="20"/>
          <w:kern w:val="0"/>
          <w:sz w:val="28"/>
          <w:szCs w:val="28"/>
          <w:u w:val="single"/>
          <w:lang w:val="en-US" w:eastAsia="zh-CN"/>
        </w:rPr>
        <w:t xml:space="preserve"> </w:t>
      </w:r>
      <w:r>
        <w:rPr>
          <w:rFonts w:hint="eastAsia" w:ascii="宋体" w:hAnsi="宋体" w:eastAsia="宋体" w:cs="宋体"/>
          <w:spacing w:val="20"/>
          <w:kern w:val="0"/>
          <w:sz w:val="28"/>
          <w:szCs w:val="28"/>
        </w:rPr>
        <w:t>（签字）</w:t>
      </w:r>
    </w:p>
    <w:p w14:paraId="17E46D6A">
      <w:pPr>
        <w:widowControl/>
        <w:snapToGrid w:val="0"/>
        <w:spacing w:line="360" w:lineRule="auto"/>
        <w:jc w:val="center"/>
        <w:rPr>
          <w:rFonts w:hint="eastAsia" w:ascii="宋体" w:hAnsi="宋体" w:eastAsia="宋体" w:cs="宋体"/>
          <w:kern w:val="0"/>
          <w:sz w:val="28"/>
          <w:szCs w:val="28"/>
        </w:rPr>
      </w:pPr>
    </w:p>
    <w:p w14:paraId="3349CD8A">
      <w:pPr>
        <w:widowControl/>
        <w:snapToGrid w:val="0"/>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年  月  日</w:t>
      </w:r>
    </w:p>
    <w:p w14:paraId="620CBABB">
      <w:pPr>
        <w:spacing w:line="360" w:lineRule="auto"/>
        <w:rPr>
          <w:rFonts w:ascii="宋体" w:hAnsi="宋体"/>
          <w:sz w:val="26"/>
        </w:rPr>
      </w:pPr>
    </w:p>
    <w:p w14:paraId="63148FDC">
      <w:pPr>
        <w:spacing w:line="360" w:lineRule="auto"/>
        <w:jc w:val="center"/>
        <w:rPr>
          <w:rFonts w:ascii="宋体" w:hAnsi="宋体"/>
          <w:b/>
          <w:bCs/>
          <w:sz w:val="32"/>
          <w:szCs w:val="32"/>
        </w:rPr>
      </w:pPr>
      <w:r>
        <w:rPr>
          <w:rFonts w:hint="eastAsia" w:ascii="宋体" w:hAnsi="宋体"/>
          <w:b/>
          <w:bCs/>
          <w:sz w:val="32"/>
          <w:szCs w:val="32"/>
        </w:rPr>
        <w:t>目    录</w:t>
      </w:r>
      <w:bookmarkEnd w:id="266"/>
      <w:bookmarkEnd w:id="267"/>
      <w:bookmarkEnd w:id="268"/>
    </w:p>
    <w:p w14:paraId="754567FF">
      <w:pPr>
        <w:spacing w:line="360" w:lineRule="auto"/>
        <w:rPr>
          <w:rFonts w:ascii="宋体" w:hAnsi="宋体"/>
          <w:sz w:val="26"/>
        </w:rPr>
      </w:pPr>
    </w:p>
    <w:p w14:paraId="320A1CEB">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一、响应函及报价一览表</w:t>
      </w:r>
    </w:p>
    <w:p w14:paraId="38AB2114">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二、法定代表人身份证明</w:t>
      </w:r>
    </w:p>
    <w:p w14:paraId="4EFDCD0C">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三、授权委托书</w:t>
      </w:r>
    </w:p>
    <w:p w14:paraId="57CDBA60">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w:t>
      </w:r>
      <w:r>
        <w:rPr>
          <w:rFonts w:hint="eastAsia" w:ascii="宋体" w:hAnsi="宋体" w:eastAsia="宋体" w:cs="宋体"/>
          <w:b w:val="0"/>
          <w:bCs w:val="0"/>
          <w:spacing w:val="1"/>
          <w:sz w:val="24"/>
          <w:szCs w:val="24"/>
        </w:rPr>
        <w:t>开标一览表</w:t>
      </w:r>
    </w:p>
    <w:p w14:paraId="702735DF">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w:t>
      </w:r>
      <w:r>
        <w:rPr>
          <w:rFonts w:hint="eastAsia" w:ascii="宋体" w:hAnsi="宋体" w:eastAsia="宋体" w:cs="宋体"/>
          <w:b w:val="0"/>
          <w:bCs w:val="0"/>
          <w:spacing w:val="-4"/>
          <w:sz w:val="24"/>
          <w:szCs w:val="24"/>
        </w:rPr>
        <w:t>投标报价及明细</w:t>
      </w:r>
    </w:p>
    <w:p w14:paraId="1FFFF153">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w:t>
      </w:r>
      <w:r>
        <w:rPr>
          <w:rFonts w:hint="eastAsia" w:ascii="宋体" w:hAnsi="宋体" w:eastAsia="宋体" w:cs="宋体"/>
          <w:b w:val="0"/>
          <w:bCs w:val="0"/>
          <w:spacing w:val="-5"/>
          <w:sz w:val="24"/>
          <w:szCs w:val="24"/>
        </w:rPr>
        <w:t>项目实施方案</w:t>
      </w:r>
    </w:p>
    <w:p w14:paraId="04182C1A">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w:t>
      </w:r>
      <w:r>
        <w:rPr>
          <w:rFonts w:hint="eastAsia" w:ascii="宋体" w:hAnsi="宋体" w:eastAsia="宋体" w:cs="宋体"/>
          <w:b w:val="0"/>
          <w:bCs w:val="0"/>
          <w:spacing w:val="6"/>
          <w:sz w:val="24"/>
          <w:szCs w:val="24"/>
        </w:rPr>
        <w:t>投标保证金</w:t>
      </w:r>
    </w:p>
    <w:p w14:paraId="6FDAE378">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w:t>
      </w:r>
      <w:r>
        <w:rPr>
          <w:rFonts w:hint="eastAsia" w:ascii="宋体" w:hAnsi="宋体" w:eastAsia="宋体" w:cs="宋体"/>
          <w:b w:val="0"/>
          <w:bCs w:val="0"/>
          <w:spacing w:val="-5"/>
          <w:sz w:val="24"/>
          <w:szCs w:val="24"/>
        </w:rPr>
        <w:t>资格审查资料</w:t>
      </w:r>
    </w:p>
    <w:p w14:paraId="5568EAF7">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w:t>
      </w:r>
      <w:r>
        <w:rPr>
          <w:rFonts w:hint="eastAsia" w:ascii="宋体" w:hAnsi="宋体" w:eastAsia="宋体" w:cs="宋体"/>
          <w:b w:val="0"/>
          <w:bCs w:val="0"/>
          <w:spacing w:val="5"/>
          <w:sz w:val="24"/>
          <w:szCs w:val="24"/>
        </w:rPr>
        <w:t>类似项目业绩</w:t>
      </w:r>
    </w:p>
    <w:p w14:paraId="14A6A850">
      <w:pPr>
        <w:keepNext w:val="0"/>
        <w:keepLines w:val="0"/>
        <w:pageBreakBefore w:val="0"/>
        <w:widowControl w:val="0"/>
        <w:kinsoku/>
        <w:wordWrap/>
        <w:overflowPunct/>
        <w:topLinePunct w:val="0"/>
        <w:autoSpaceDE/>
        <w:autoSpaceDN/>
        <w:bidi w:val="0"/>
        <w:adjustRightInd/>
        <w:snapToGrid/>
        <w:spacing w:before="175" w:line="560" w:lineRule="exact"/>
        <w:ind w:firstLine="480" w:firstLineChars="200"/>
        <w:textAlignment w:val="auto"/>
        <w:outlineLvl w:val="2"/>
        <w:rPr>
          <w:rFonts w:hint="eastAsia" w:ascii="宋体" w:hAnsi="宋体" w:eastAsia="宋体" w:cs="宋体"/>
          <w:b w:val="0"/>
          <w:bCs w:val="0"/>
          <w:spacing w:val="5"/>
          <w:sz w:val="24"/>
          <w:szCs w:val="24"/>
        </w:rPr>
      </w:pPr>
      <w:r>
        <w:rPr>
          <w:rFonts w:hint="eastAsia" w:ascii="宋体" w:hAnsi="宋体" w:eastAsia="宋体" w:cs="宋体"/>
          <w:b w:val="0"/>
          <w:bCs w:val="0"/>
          <w:sz w:val="24"/>
          <w:szCs w:val="24"/>
        </w:rPr>
        <w:t>十、</w:t>
      </w:r>
      <w:r>
        <w:rPr>
          <w:rFonts w:hint="eastAsia" w:ascii="宋体" w:hAnsi="宋体" w:eastAsia="宋体" w:cs="宋体"/>
          <w:b w:val="0"/>
          <w:bCs w:val="0"/>
          <w:spacing w:val="5"/>
          <w:sz w:val="24"/>
          <w:szCs w:val="24"/>
        </w:rPr>
        <w:t>企业综合能力</w:t>
      </w:r>
    </w:p>
    <w:p w14:paraId="5B21B141">
      <w:pPr>
        <w:keepNext w:val="0"/>
        <w:keepLines w:val="0"/>
        <w:pageBreakBefore w:val="0"/>
        <w:widowControl w:val="0"/>
        <w:kinsoku/>
        <w:wordWrap/>
        <w:overflowPunct/>
        <w:topLinePunct w:val="0"/>
        <w:autoSpaceDE/>
        <w:autoSpaceDN/>
        <w:bidi w:val="0"/>
        <w:adjustRightInd/>
        <w:snapToGrid/>
        <w:spacing w:before="162" w:line="560" w:lineRule="exact"/>
        <w:ind w:firstLine="504" w:firstLineChars="200"/>
        <w:textAlignment w:val="auto"/>
        <w:outlineLvl w:val="2"/>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十一、</w:t>
      </w:r>
      <w:r>
        <w:rPr>
          <w:rFonts w:hint="eastAsia" w:ascii="宋体" w:hAnsi="宋体" w:eastAsia="宋体" w:cs="宋体"/>
          <w:b w:val="0"/>
          <w:bCs w:val="0"/>
          <w:spacing w:val="6"/>
          <w:sz w:val="24"/>
          <w:szCs w:val="24"/>
          <w:lang w:eastAsia="zh-CN"/>
        </w:rPr>
        <w:t>供应商</w:t>
      </w:r>
      <w:r>
        <w:rPr>
          <w:rFonts w:hint="eastAsia" w:ascii="宋体" w:hAnsi="宋体" w:eastAsia="宋体" w:cs="宋体"/>
          <w:b w:val="0"/>
          <w:bCs w:val="0"/>
          <w:spacing w:val="6"/>
          <w:sz w:val="24"/>
          <w:szCs w:val="24"/>
        </w:rPr>
        <w:t>认为需要提供的其他材料</w:t>
      </w:r>
    </w:p>
    <w:p w14:paraId="118064F6">
      <w:pPr>
        <w:spacing w:before="175" w:line="225" w:lineRule="auto"/>
        <w:outlineLvl w:val="2"/>
        <w:rPr>
          <w:rFonts w:ascii="宋体" w:hAnsi="宋体" w:eastAsia="宋体" w:cs="宋体"/>
          <w:b/>
          <w:bCs/>
          <w:spacing w:val="5"/>
          <w:sz w:val="31"/>
          <w:szCs w:val="31"/>
        </w:rPr>
      </w:pPr>
    </w:p>
    <w:p w14:paraId="5E80EC40">
      <w:pPr>
        <w:spacing w:line="360" w:lineRule="auto"/>
        <w:rPr>
          <w:rFonts w:ascii="宋体" w:hAnsi="宋体"/>
          <w:sz w:val="24"/>
          <w:szCs w:val="24"/>
        </w:rPr>
      </w:pPr>
    </w:p>
    <w:p w14:paraId="08CFEE62">
      <w:pPr>
        <w:spacing w:line="360" w:lineRule="auto"/>
        <w:rPr>
          <w:rFonts w:ascii="宋体" w:hAnsi="宋体"/>
          <w:sz w:val="26"/>
        </w:rPr>
      </w:pPr>
    </w:p>
    <w:p w14:paraId="1AFA0587">
      <w:pPr>
        <w:spacing w:line="360" w:lineRule="auto"/>
        <w:rPr>
          <w:rFonts w:ascii="宋体" w:hAnsi="宋体"/>
          <w:sz w:val="26"/>
        </w:rPr>
      </w:pPr>
    </w:p>
    <w:p w14:paraId="6FFC3324">
      <w:pPr>
        <w:spacing w:line="360" w:lineRule="auto"/>
        <w:rPr>
          <w:rFonts w:ascii="宋体" w:hAnsi="宋体"/>
          <w:sz w:val="26"/>
        </w:rPr>
      </w:pPr>
    </w:p>
    <w:p w14:paraId="779D948F">
      <w:pPr>
        <w:spacing w:line="360" w:lineRule="auto"/>
        <w:rPr>
          <w:rFonts w:ascii="宋体" w:hAnsi="宋体"/>
          <w:sz w:val="26"/>
        </w:rPr>
      </w:pPr>
      <w:bookmarkStart w:id="269" w:name="_Toc403382857"/>
      <w:bookmarkStart w:id="270" w:name="_Toc29044"/>
      <w:bookmarkStart w:id="271" w:name="_Toc15765"/>
    </w:p>
    <w:p w14:paraId="637A57BC">
      <w:pPr>
        <w:spacing w:line="360" w:lineRule="auto"/>
        <w:rPr>
          <w:rFonts w:ascii="宋体" w:hAnsi="宋体"/>
          <w:sz w:val="26"/>
        </w:rPr>
      </w:pPr>
    </w:p>
    <w:p w14:paraId="11BD8E8C">
      <w:pPr>
        <w:spacing w:line="360" w:lineRule="auto"/>
        <w:rPr>
          <w:rFonts w:ascii="宋体" w:hAnsi="宋体"/>
          <w:sz w:val="26"/>
        </w:rPr>
      </w:pPr>
    </w:p>
    <w:p w14:paraId="419385C9">
      <w:pPr>
        <w:spacing w:line="360" w:lineRule="auto"/>
        <w:rPr>
          <w:rFonts w:ascii="宋体" w:hAnsi="宋体"/>
          <w:sz w:val="26"/>
        </w:rPr>
      </w:pPr>
    </w:p>
    <w:p w14:paraId="4F583462">
      <w:pPr>
        <w:spacing w:line="360" w:lineRule="auto"/>
        <w:rPr>
          <w:rFonts w:ascii="宋体" w:hAnsi="宋体"/>
          <w:sz w:val="26"/>
        </w:rPr>
      </w:pPr>
    </w:p>
    <w:bookmarkEnd w:id="269"/>
    <w:bookmarkEnd w:id="270"/>
    <w:bookmarkEnd w:id="271"/>
    <w:p w14:paraId="3A5C6E29">
      <w:pPr>
        <w:widowControl/>
        <w:jc w:val="left"/>
        <w:rPr>
          <w:rFonts w:ascii="宋体" w:hAnsi="宋体"/>
          <w:b/>
          <w:sz w:val="30"/>
          <w:szCs w:val="30"/>
        </w:rPr>
      </w:pPr>
      <w:r>
        <w:rPr>
          <w:rFonts w:ascii="宋体" w:hAnsi="宋体"/>
          <w:b/>
          <w:sz w:val="30"/>
          <w:szCs w:val="30"/>
        </w:rPr>
        <w:br w:type="page"/>
      </w:r>
    </w:p>
    <w:p w14:paraId="5CBF05B5">
      <w:pPr>
        <w:spacing w:line="360" w:lineRule="auto"/>
        <w:jc w:val="center"/>
        <w:rPr>
          <w:rFonts w:ascii="宋体" w:hAnsi="宋体"/>
          <w:b/>
          <w:sz w:val="30"/>
          <w:szCs w:val="30"/>
        </w:rPr>
      </w:pPr>
      <w:r>
        <w:rPr>
          <w:rFonts w:hint="eastAsia" w:ascii="宋体" w:hAnsi="宋体"/>
          <w:b/>
          <w:sz w:val="30"/>
          <w:szCs w:val="30"/>
        </w:rPr>
        <w:t>一、响应函及报价一览表</w:t>
      </w:r>
    </w:p>
    <w:p w14:paraId="10E74D1E">
      <w:pPr>
        <w:spacing w:line="360" w:lineRule="auto"/>
        <w:jc w:val="center"/>
        <w:rPr>
          <w:rFonts w:ascii="宋体" w:hAnsi="宋体"/>
          <w:b/>
          <w:bCs/>
          <w:sz w:val="24"/>
          <w:szCs w:val="24"/>
        </w:rPr>
      </w:pPr>
      <w:bookmarkStart w:id="272" w:name="_Toc403382858"/>
      <w:r>
        <w:rPr>
          <w:rFonts w:hint="eastAsia" w:ascii="宋体" w:hAnsi="宋体"/>
          <w:b/>
          <w:bCs/>
          <w:sz w:val="24"/>
          <w:szCs w:val="24"/>
        </w:rPr>
        <w:t>（一）</w:t>
      </w:r>
      <w:bookmarkEnd w:id="272"/>
      <w:r>
        <w:rPr>
          <w:rFonts w:hint="eastAsia" w:ascii="宋体" w:hAnsi="宋体"/>
          <w:b/>
          <w:bCs/>
          <w:sz w:val="24"/>
          <w:szCs w:val="24"/>
        </w:rPr>
        <w:t>响应函</w:t>
      </w:r>
    </w:p>
    <w:p w14:paraId="79291125">
      <w:pPr>
        <w:spacing w:line="360" w:lineRule="auto"/>
        <w:jc w:val="left"/>
        <w:rPr>
          <w:rFonts w:ascii="宋体" w:hAnsi="宋体"/>
          <w:sz w:val="24"/>
          <w:szCs w:val="24"/>
        </w:rPr>
      </w:pPr>
      <w:r>
        <w:rPr>
          <w:rFonts w:hint="eastAsia" w:ascii="宋体" w:hAnsi="宋体"/>
          <w:sz w:val="26"/>
        </w:rPr>
        <w:t xml:space="preserve"> </w:t>
      </w:r>
      <w:r>
        <w:rPr>
          <w:rFonts w:hint="eastAsia" w:ascii="宋体" w:hAnsi="宋体"/>
          <w:sz w:val="24"/>
          <w:szCs w:val="24"/>
        </w:rPr>
        <w:t>（采购人名称）：</w:t>
      </w:r>
    </w:p>
    <w:p w14:paraId="4AA4FB4D">
      <w:pPr>
        <w:spacing w:line="440" w:lineRule="exact"/>
        <w:rPr>
          <w:rFonts w:ascii="宋体" w:hAnsi="宋体"/>
          <w:sz w:val="24"/>
          <w:szCs w:val="24"/>
        </w:rPr>
      </w:pPr>
      <w:r>
        <w:rPr>
          <w:rFonts w:hint="eastAsia" w:ascii="宋体" w:hAnsi="宋体"/>
          <w:sz w:val="24"/>
          <w:szCs w:val="24"/>
        </w:rPr>
        <w:t>1．我方已仔细研究了</w:t>
      </w:r>
      <w:r>
        <w:rPr>
          <w:rFonts w:hint="eastAsia" w:ascii="宋体" w:hAnsi="宋体"/>
          <w:sz w:val="24"/>
          <w:szCs w:val="24"/>
          <w:u w:val="single"/>
          <w:lang w:val="en-US" w:eastAsia="zh-CN"/>
        </w:rPr>
        <w:t xml:space="preserve">    </w:t>
      </w:r>
      <w:r>
        <w:rPr>
          <w:rFonts w:hint="eastAsia" w:ascii="宋体" w:hAnsi="宋体"/>
          <w:sz w:val="24"/>
          <w:szCs w:val="24"/>
          <w:u w:val="single"/>
        </w:rPr>
        <w:t>（项目名称）</w:t>
      </w:r>
      <w:r>
        <w:rPr>
          <w:rFonts w:hint="eastAsia" w:ascii="宋体" w:hAnsi="宋体"/>
          <w:sz w:val="24"/>
          <w:szCs w:val="24"/>
          <w:u w:val="single"/>
          <w:lang w:val="en-US" w:eastAsia="zh-CN"/>
        </w:rPr>
        <w:t xml:space="preserve">     </w:t>
      </w:r>
      <w:r>
        <w:rPr>
          <w:rFonts w:hint="eastAsia" w:ascii="宋体" w:hAnsi="宋体"/>
          <w:sz w:val="24"/>
          <w:szCs w:val="24"/>
        </w:rPr>
        <w:t>项目竞争性磋商文件的全部内容，愿意以人民币（大写）</w:t>
      </w:r>
      <w:r>
        <w:rPr>
          <w:rFonts w:hint="eastAsia" w:ascii="宋体" w:hAnsi="宋体"/>
          <w:sz w:val="24"/>
          <w:szCs w:val="24"/>
          <w:u w:val="single"/>
          <w:lang w:val="en-US" w:eastAsia="zh-CN"/>
        </w:rPr>
        <w:t xml:space="preserve">        </w:t>
      </w:r>
      <w:r>
        <w:rPr>
          <w:rFonts w:hint="eastAsia" w:ascii="宋体" w:hAnsi="宋体"/>
          <w:sz w:val="24"/>
          <w:szCs w:val="24"/>
        </w:rPr>
        <w:t>元（¥</w:t>
      </w:r>
      <w:r>
        <w:rPr>
          <w:rFonts w:hint="eastAsia" w:ascii="宋体" w:hAnsi="宋体"/>
          <w:sz w:val="24"/>
          <w:szCs w:val="24"/>
          <w:u w:val="single"/>
        </w:rPr>
        <w:t xml:space="preserve">           </w:t>
      </w:r>
      <w:r>
        <w:rPr>
          <w:rFonts w:hint="eastAsia" w:ascii="宋体" w:hAnsi="宋体"/>
          <w:sz w:val="24"/>
          <w:szCs w:val="24"/>
        </w:rPr>
        <w:t>元）的总报价，服务期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，按合同约定实施</w:t>
      </w:r>
      <w:r>
        <w:rPr>
          <w:rFonts w:hint="eastAsia" w:ascii="宋体" w:hAnsi="宋体"/>
          <w:sz w:val="24"/>
          <w:szCs w:val="24"/>
          <w:lang w:val="en-US" w:eastAsia="zh-CN"/>
        </w:rPr>
        <w:t>和</w:t>
      </w:r>
      <w:r>
        <w:rPr>
          <w:rFonts w:hint="eastAsia" w:ascii="宋体" w:hAnsi="宋体"/>
          <w:sz w:val="24"/>
          <w:szCs w:val="24"/>
        </w:rPr>
        <w:t>完成</w:t>
      </w:r>
      <w:r>
        <w:rPr>
          <w:rFonts w:hint="eastAsia" w:ascii="宋体" w:hAnsi="宋体"/>
          <w:sz w:val="24"/>
          <w:szCs w:val="24"/>
          <w:lang w:val="en-US" w:eastAsia="zh-CN"/>
        </w:rPr>
        <w:t>承包上述采购项目</w:t>
      </w:r>
      <w:r>
        <w:rPr>
          <w:rFonts w:hint="eastAsia" w:ascii="宋体" w:hAnsi="宋体"/>
          <w:sz w:val="24"/>
          <w:szCs w:val="24"/>
        </w:rPr>
        <w:t>。</w:t>
      </w:r>
    </w:p>
    <w:p w14:paraId="2DF1D4D7">
      <w:pPr>
        <w:spacing w:line="440" w:lineRule="exact"/>
        <w:rPr>
          <w:rFonts w:ascii="宋体" w:hAnsi="宋体"/>
          <w:sz w:val="24"/>
          <w:szCs w:val="24"/>
        </w:rPr>
      </w:pPr>
      <w:r>
        <w:rPr>
          <w:rFonts w:hint="eastAsia" w:ascii="宋体" w:hAnsi="宋体"/>
          <w:sz w:val="24"/>
          <w:szCs w:val="24"/>
        </w:rPr>
        <w:t>2. 我方承诺在响应有效期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天内不修改、撤销响应文件。</w:t>
      </w:r>
    </w:p>
    <w:p w14:paraId="799688A1">
      <w:pPr>
        <w:spacing w:line="440" w:lineRule="exact"/>
        <w:rPr>
          <w:rFonts w:ascii="宋体" w:hAnsi="宋体"/>
          <w:sz w:val="24"/>
          <w:szCs w:val="24"/>
        </w:rPr>
      </w:pPr>
      <w:r>
        <w:rPr>
          <w:rFonts w:hint="eastAsia" w:ascii="宋体" w:hAnsi="宋体"/>
          <w:sz w:val="24"/>
          <w:szCs w:val="24"/>
        </w:rPr>
        <w:t>3．随同本响应函提交磋商保证金一份，金额为人民币（大写）</w:t>
      </w:r>
      <w:r>
        <w:rPr>
          <w:rFonts w:hint="eastAsia" w:ascii="宋体" w:hAnsi="宋体"/>
          <w:sz w:val="24"/>
          <w:szCs w:val="24"/>
          <w:u w:val="single"/>
          <w:lang w:val="en-US" w:eastAsia="zh-CN"/>
        </w:rPr>
        <w:t xml:space="preserve">       </w:t>
      </w:r>
      <w:r>
        <w:rPr>
          <w:rFonts w:hint="eastAsia" w:ascii="宋体" w:hAnsi="宋体"/>
          <w:sz w:val="24"/>
          <w:szCs w:val="24"/>
        </w:rPr>
        <w:t>元（¥</w:t>
      </w:r>
      <w:r>
        <w:rPr>
          <w:rFonts w:hint="eastAsia" w:ascii="宋体" w:hAnsi="宋体"/>
          <w:sz w:val="24"/>
          <w:szCs w:val="24"/>
          <w:u w:val="single"/>
        </w:rPr>
        <w:t xml:space="preserve">       </w:t>
      </w:r>
      <w:r>
        <w:rPr>
          <w:rFonts w:hint="eastAsia" w:ascii="宋体" w:hAnsi="宋体"/>
          <w:sz w:val="24"/>
          <w:szCs w:val="24"/>
        </w:rPr>
        <w:t>）。</w:t>
      </w:r>
    </w:p>
    <w:p w14:paraId="510B443B">
      <w:pPr>
        <w:spacing w:line="440" w:lineRule="exact"/>
        <w:rPr>
          <w:rFonts w:ascii="宋体" w:hAnsi="宋体"/>
          <w:sz w:val="24"/>
          <w:szCs w:val="24"/>
        </w:rPr>
      </w:pPr>
      <w:r>
        <w:rPr>
          <w:rFonts w:hint="eastAsia" w:ascii="宋体" w:hAnsi="宋体"/>
          <w:sz w:val="24"/>
          <w:szCs w:val="24"/>
        </w:rPr>
        <w:t>4．如我方成交：</w:t>
      </w:r>
    </w:p>
    <w:p w14:paraId="75C8CB97">
      <w:pPr>
        <w:spacing w:line="440" w:lineRule="exact"/>
        <w:rPr>
          <w:rFonts w:ascii="宋体" w:hAnsi="宋体"/>
          <w:sz w:val="24"/>
          <w:szCs w:val="24"/>
        </w:rPr>
      </w:pPr>
      <w:r>
        <w:rPr>
          <w:rFonts w:hint="eastAsia" w:ascii="宋体" w:hAnsi="宋体"/>
          <w:sz w:val="24"/>
          <w:szCs w:val="24"/>
        </w:rPr>
        <w:t>（1）我方承诺在收到成交通知书后，在成交通知书规定的期限内与你方签订合同。</w:t>
      </w:r>
    </w:p>
    <w:p w14:paraId="4A7E8DB0">
      <w:pPr>
        <w:spacing w:line="440" w:lineRule="exact"/>
        <w:rPr>
          <w:rFonts w:ascii="宋体" w:hAnsi="宋体"/>
          <w:sz w:val="24"/>
          <w:szCs w:val="24"/>
        </w:rPr>
      </w:pPr>
      <w:r>
        <w:rPr>
          <w:rFonts w:hint="eastAsia" w:ascii="宋体" w:hAnsi="宋体"/>
          <w:sz w:val="24"/>
          <w:szCs w:val="24"/>
        </w:rPr>
        <w:t>（2）随同本响应函递交的响应函附录属于合同文件的组成部分。</w:t>
      </w:r>
    </w:p>
    <w:p w14:paraId="2008D40A">
      <w:pPr>
        <w:spacing w:line="440" w:lineRule="exact"/>
        <w:rPr>
          <w:rFonts w:ascii="宋体" w:hAnsi="宋体"/>
          <w:sz w:val="24"/>
          <w:szCs w:val="24"/>
        </w:rPr>
      </w:pPr>
      <w:r>
        <w:rPr>
          <w:rFonts w:hint="eastAsia" w:ascii="宋体" w:hAnsi="宋体"/>
          <w:sz w:val="24"/>
          <w:szCs w:val="24"/>
        </w:rPr>
        <w:t>（3）我方承诺按照竞争性磋商文件规定向你方递交履约保证金。</w:t>
      </w:r>
    </w:p>
    <w:p w14:paraId="5623B739">
      <w:pPr>
        <w:spacing w:line="440" w:lineRule="exact"/>
        <w:rPr>
          <w:rFonts w:ascii="宋体" w:hAnsi="宋体"/>
          <w:sz w:val="24"/>
          <w:szCs w:val="24"/>
        </w:rPr>
      </w:pPr>
      <w:r>
        <w:rPr>
          <w:rFonts w:hint="eastAsia" w:ascii="宋体" w:hAnsi="宋体"/>
          <w:sz w:val="24"/>
          <w:szCs w:val="24"/>
        </w:rPr>
        <w:t>5．我方在此声明，所递交的响应文件及有关资料内容完整、真实和准确，且不存在第二章“供应商须知”第1.4.3项和第1.4.4项规定的任何一种情形。</w:t>
      </w:r>
    </w:p>
    <w:p w14:paraId="2106215E">
      <w:pPr>
        <w:spacing w:line="440" w:lineRule="exact"/>
        <w:rPr>
          <w:rFonts w:ascii="宋体" w:hAnsi="宋体"/>
          <w:sz w:val="24"/>
          <w:szCs w:val="24"/>
        </w:rPr>
      </w:pPr>
      <w:r>
        <w:rPr>
          <w:rFonts w:hint="eastAsia" w:ascii="宋体" w:hAnsi="宋体"/>
          <w:sz w:val="24"/>
          <w:szCs w:val="24"/>
        </w:rPr>
        <w:t>6．</w:t>
      </w:r>
      <w:r>
        <w:rPr>
          <w:rFonts w:hint="eastAsia" w:ascii="宋体" w:hAnsi="宋体"/>
          <w:sz w:val="24"/>
          <w:szCs w:val="24"/>
          <w:u w:val="single"/>
          <w:lang w:val="en-US" w:eastAsia="zh-CN"/>
        </w:rPr>
        <w:t xml:space="preserve">          </w:t>
      </w:r>
      <w:r>
        <w:rPr>
          <w:rFonts w:hint="eastAsia" w:ascii="宋体" w:hAnsi="宋体"/>
          <w:sz w:val="24"/>
          <w:szCs w:val="24"/>
          <w:u w:val="single"/>
        </w:rPr>
        <w:t>（其他补充说明）</w:t>
      </w:r>
      <w:r>
        <w:rPr>
          <w:rFonts w:hint="eastAsia" w:ascii="宋体" w:hAnsi="宋体"/>
          <w:sz w:val="24"/>
          <w:szCs w:val="24"/>
        </w:rPr>
        <w:t>。</w:t>
      </w:r>
    </w:p>
    <w:p w14:paraId="2207CF6F">
      <w:pPr>
        <w:spacing w:line="440" w:lineRule="exact"/>
        <w:rPr>
          <w:rFonts w:ascii="宋体" w:hAnsi="宋体"/>
          <w:sz w:val="24"/>
          <w:szCs w:val="24"/>
        </w:rPr>
      </w:pPr>
    </w:p>
    <w:p w14:paraId="50A9F490">
      <w:pPr>
        <w:spacing w:line="440" w:lineRule="exact"/>
        <w:rPr>
          <w:rFonts w:ascii="宋体" w:hAnsi="宋体"/>
          <w:sz w:val="24"/>
          <w:szCs w:val="24"/>
        </w:rPr>
      </w:pPr>
    </w:p>
    <w:p w14:paraId="3FB634F5">
      <w:pPr>
        <w:spacing w:line="440" w:lineRule="exact"/>
        <w:ind w:firstLine="2400" w:firstLineChars="10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（盖单位章）</w:t>
      </w:r>
    </w:p>
    <w:p w14:paraId="4CD78F11">
      <w:pPr>
        <w:spacing w:line="440" w:lineRule="exact"/>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法定代表人或其委托代理人：</w:t>
      </w:r>
      <w:r>
        <w:rPr>
          <w:rFonts w:hint="eastAsia" w:ascii="宋体" w:hAnsi="宋体"/>
          <w:sz w:val="24"/>
          <w:szCs w:val="24"/>
          <w:u w:val="single"/>
          <w:lang w:val="en-US" w:eastAsia="zh-CN"/>
        </w:rPr>
        <w:t xml:space="preserve">       </w:t>
      </w:r>
      <w:r>
        <w:rPr>
          <w:rFonts w:hint="eastAsia" w:ascii="宋体" w:hAnsi="宋体"/>
          <w:sz w:val="24"/>
          <w:szCs w:val="24"/>
        </w:rPr>
        <w:t>（</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hint="eastAsia" w:ascii="宋体" w:hAnsi="宋体"/>
          <w:sz w:val="24"/>
          <w:szCs w:val="24"/>
        </w:rPr>
        <w:t>）</w:t>
      </w:r>
    </w:p>
    <w:p w14:paraId="532E26C5">
      <w:pPr>
        <w:spacing w:line="440" w:lineRule="exact"/>
        <w:rPr>
          <w:rFonts w:hint="default" w:ascii="宋体" w:hAnsi="宋体" w:eastAsia="宋体"/>
          <w:sz w:val="24"/>
          <w:szCs w:val="24"/>
          <w:lang w:val="en-US" w:eastAsia="zh-CN"/>
        </w:rPr>
      </w:pPr>
      <w:r>
        <w:rPr>
          <w:rFonts w:hint="eastAsia" w:ascii="宋体" w:hAnsi="宋体"/>
          <w:sz w:val="24"/>
          <w:szCs w:val="24"/>
        </w:rPr>
        <w:t xml:space="preserve">                    地址：</w:t>
      </w:r>
      <w:r>
        <w:rPr>
          <w:rFonts w:hint="eastAsia" w:ascii="宋体" w:hAnsi="宋体"/>
          <w:sz w:val="24"/>
          <w:szCs w:val="24"/>
          <w:u w:val="single"/>
          <w:lang w:val="en-US" w:eastAsia="zh-CN"/>
        </w:rPr>
        <w:t xml:space="preserve">                   </w:t>
      </w:r>
    </w:p>
    <w:p w14:paraId="6FE52DA3">
      <w:pPr>
        <w:spacing w:line="440" w:lineRule="exact"/>
        <w:ind w:firstLine="2400" w:firstLineChars="1000"/>
        <w:jc w:val="both"/>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721BCE55">
      <w:pPr>
        <w:spacing w:line="440" w:lineRule="exact"/>
        <w:ind w:firstLine="2400" w:firstLineChars="1000"/>
        <w:jc w:val="both"/>
        <w:rPr>
          <w:rFonts w:hint="default" w:ascii="宋体" w:hAnsi="宋体" w:eastAsia="宋体"/>
          <w:sz w:val="24"/>
          <w:szCs w:val="24"/>
          <w:lang w:val="en-US" w:eastAsia="zh-CN"/>
        </w:rPr>
      </w:pPr>
      <w:r>
        <w:rPr>
          <w:rFonts w:hint="eastAsia" w:ascii="宋体" w:hAnsi="宋体"/>
          <w:sz w:val="24"/>
          <w:szCs w:val="24"/>
        </w:rPr>
        <w:t>传真：</w:t>
      </w:r>
      <w:r>
        <w:rPr>
          <w:rFonts w:hint="eastAsia" w:ascii="宋体" w:hAnsi="宋体"/>
          <w:sz w:val="24"/>
          <w:szCs w:val="24"/>
          <w:u w:val="single"/>
          <w:lang w:val="en-US" w:eastAsia="zh-CN"/>
        </w:rPr>
        <w:t xml:space="preserve">                   </w:t>
      </w:r>
    </w:p>
    <w:p w14:paraId="554B5321">
      <w:pPr>
        <w:spacing w:line="440" w:lineRule="exact"/>
        <w:ind w:firstLine="2400" w:firstLineChars="1000"/>
        <w:jc w:val="both"/>
        <w:rPr>
          <w:rFonts w:hint="default" w:ascii="宋体" w:hAnsi="宋体" w:eastAsia="宋体"/>
          <w:sz w:val="24"/>
          <w:szCs w:val="24"/>
          <w:lang w:val="en-US" w:eastAsia="zh-CN"/>
        </w:rPr>
      </w:pPr>
      <w:r>
        <w:rPr>
          <w:rFonts w:hint="eastAsia" w:ascii="宋体" w:hAnsi="宋体"/>
          <w:sz w:val="24"/>
          <w:szCs w:val="24"/>
        </w:rPr>
        <w:t>邮政编码：</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0EB79267">
      <w:pPr>
        <w:spacing w:line="440" w:lineRule="exact"/>
        <w:ind w:firstLine="2400" w:firstLineChars="1000"/>
        <w:jc w:val="both"/>
        <w:rPr>
          <w:rFonts w:ascii="宋体" w:hAnsi="宋体"/>
          <w:sz w:val="24"/>
          <w:szCs w:val="24"/>
        </w:rPr>
      </w:pP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 xml:space="preserve"> 日</w:t>
      </w:r>
    </w:p>
    <w:p w14:paraId="2DD45690">
      <w:pPr>
        <w:spacing w:line="360" w:lineRule="auto"/>
        <w:jc w:val="center"/>
        <w:rPr>
          <w:rFonts w:ascii="宋体" w:hAnsi="宋体"/>
          <w:sz w:val="26"/>
        </w:rPr>
      </w:pPr>
    </w:p>
    <w:p w14:paraId="23ED5FC4">
      <w:pPr>
        <w:spacing w:line="360" w:lineRule="auto"/>
        <w:rPr>
          <w:rFonts w:ascii="宋体" w:hAnsi="宋体"/>
          <w:sz w:val="26"/>
        </w:rPr>
      </w:pPr>
    </w:p>
    <w:p w14:paraId="7C8BC07F">
      <w:pPr>
        <w:widowControl/>
        <w:jc w:val="left"/>
        <w:rPr>
          <w:rFonts w:ascii="宋体" w:hAnsi="宋体"/>
          <w:sz w:val="26"/>
        </w:rPr>
      </w:pPr>
      <w:bookmarkStart w:id="273" w:name="_Toc403382859"/>
      <w:r>
        <w:rPr>
          <w:rFonts w:ascii="宋体" w:hAnsi="宋体"/>
          <w:sz w:val="26"/>
        </w:rPr>
        <w:br w:type="page"/>
      </w:r>
    </w:p>
    <w:bookmarkEnd w:id="273"/>
    <w:p w14:paraId="1E9942D5">
      <w:pPr>
        <w:spacing w:before="117" w:line="225" w:lineRule="auto"/>
        <w:jc w:val="center"/>
        <w:outlineLvl w:val="2"/>
        <w:rPr>
          <w:rFonts w:ascii="宋体" w:hAnsi="宋体" w:eastAsia="宋体" w:cs="宋体"/>
          <w:sz w:val="31"/>
          <w:szCs w:val="31"/>
        </w:rPr>
      </w:pPr>
      <w:r>
        <w:rPr>
          <w:rFonts w:ascii="宋体" w:hAnsi="宋体" w:eastAsia="宋体" w:cs="宋体"/>
          <w:b/>
          <w:bCs/>
          <w:spacing w:val="6"/>
          <w:sz w:val="31"/>
          <w:szCs w:val="31"/>
        </w:rPr>
        <w:t>二、法定代表人身份证明</w:t>
      </w:r>
    </w:p>
    <w:p w14:paraId="42961DBC">
      <w:pPr>
        <w:pStyle w:val="7"/>
        <w:spacing w:line="377" w:lineRule="auto"/>
      </w:pPr>
    </w:p>
    <w:p w14:paraId="7809A151">
      <w:pPr>
        <w:keepNext w:val="0"/>
        <w:keepLines w:val="0"/>
        <w:pageBreakBefore w:val="0"/>
        <w:widowControl w:val="0"/>
        <w:kinsoku/>
        <w:wordWrap/>
        <w:overflowPunct/>
        <w:topLinePunct w:val="0"/>
        <w:autoSpaceDE/>
        <w:autoSpaceDN/>
        <w:bidi w:val="0"/>
        <w:adjustRightInd/>
        <w:snapToGrid/>
        <w:spacing w:before="62" w:line="500" w:lineRule="exact"/>
        <w:ind w:left="204" w:firstLine="472" w:firstLineChars="200"/>
        <w:textAlignment w:val="auto"/>
        <w:rPr>
          <w:sz w:val="24"/>
          <w:szCs w:val="24"/>
        </w:rPr>
      </w:pPr>
      <w:r>
        <w:rPr>
          <w:rFonts w:ascii="宋体" w:hAnsi="宋体" w:eastAsia="宋体" w:cs="宋体"/>
          <w:spacing w:val="-2"/>
          <w:sz w:val="24"/>
          <w:szCs w:val="24"/>
        </w:rPr>
        <w:t>投</w:t>
      </w:r>
      <w:r>
        <w:rPr>
          <w:rFonts w:ascii="宋体" w:hAnsi="宋体" w:eastAsia="宋体" w:cs="宋体"/>
          <w:spacing w:val="15"/>
          <w:sz w:val="24"/>
          <w:szCs w:val="24"/>
        </w:rPr>
        <w:t xml:space="preserve"> </w:t>
      </w:r>
      <w:r>
        <w:rPr>
          <w:rFonts w:ascii="宋体" w:hAnsi="宋体" w:eastAsia="宋体" w:cs="宋体"/>
          <w:spacing w:val="-2"/>
          <w:sz w:val="24"/>
          <w:szCs w:val="24"/>
        </w:rPr>
        <w:t>标</w:t>
      </w:r>
      <w:r>
        <w:rPr>
          <w:rFonts w:ascii="宋体" w:hAnsi="宋体" w:eastAsia="宋体" w:cs="宋体"/>
          <w:spacing w:val="15"/>
          <w:sz w:val="24"/>
          <w:szCs w:val="24"/>
        </w:rPr>
        <w:t xml:space="preserve"> </w:t>
      </w:r>
      <w:r>
        <w:rPr>
          <w:rFonts w:ascii="宋体" w:hAnsi="宋体" w:eastAsia="宋体" w:cs="宋体"/>
          <w:spacing w:val="-2"/>
          <w:sz w:val="24"/>
          <w:szCs w:val="24"/>
        </w:rPr>
        <w:t>人</w:t>
      </w:r>
      <w:r>
        <w:rPr>
          <w:rFonts w:ascii="宋体" w:hAnsi="宋体" w:eastAsia="宋体" w:cs="宋体"/>
          <w:spacing w:val="-70"/>
          <w:sz w:val="24"/>
          <w:szCs w:val="24"/>
        </w:rPr>
        <w:t xml:space="preserve"> </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085BED3B">
      <w:pPr>
        <w:keepNext w:val="0"/>
        <w:keepLines w:val="0"/>
        <w:pageBreakBefore w:val="0"/>
        <w:widowControl w:val="0"/>
        <w:kinsoku/>
        <w:wordWrap/>
        <w:overflowPunct/>
        <w:topLinePunct w:val="0"/>
        <w:autoSpaceDE/>
        <w:autoSpaceDN/>
        <w:bidi w:val="0"/>
        <w:adjustRightInd/>
        <w:snapToGrid/>
        <w:spacing w:before="61" w:line="500" w:lineRule="exact"/>
        <w:ind w:left="199" w:firstLine="496" w:firstLineChars="200"/>
        <w:textAlignment w:val="auto"/>
        <w:rPr>
          <w:sz w:val="24"/>
          <w:szCs w:val="24"/>
        </w:rPr>
      </w:pPr>
      <w:r>
        <w:rPr>
          <w:rFonts w:ascii="宋体" w:hAnsi="宋体" w:eastAsia="宋体" w:cs="宋体"/>
          <w:spacing w:val="4"/>
          <w:sz w:val="24"/>
          <w:szCs w:val="24"/>
        </w:rPr>
        <w:t>单位性质:</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p>
    <w:p w14:paraId="3BF3CFA0">
      <w:pPr>
        <w:keepNext w:val="0"/>
        <w:keepLines w:val="0"/>
        <w:pageBreakBefore w:val="0"/>
        <w:widowControl w:val="0"/>
        <w:kinsoku/>
        <w:wordWrap/>
        <w:overflowPunct/>
        <w:topLinePunct w:val="0"/>
        <w:autoSpaceDE/>
        <w:autoSpaceDN/>
        <w:bidi w:val="0"/>
        <w:adjustRightInd/>
        <w:snapToGrid/>
        <w:spacing w:before="61" w:line="500" w:lineRule="exact"/>
        <w:ind w:left="202" w:firstLine="460" w:firstLineChars="200"/>
        <w:textAlignment w:val="auto"/>
        <w:rPr>
          <w:sz w:val="24"/>
          <w:szCs w:val="24"/>
        </w:rPr>
      </w:pPr>
      <w:r>
        <w:rPr>
          <w:rFonts w:ascii="宋体" w:hAnsi="宋体" w:eastAsia="宋体" w:cs="宋体"/>
          <w:spacing w:val="-5"/>
          <w:sz w:val="24"/>
          <w:szCs w:val="24"/>
        </w:rPr>
        <w:t>地</w:t>
      </w:r>
      <w:r>
        <w:rPr>
          <w:rFonts w:ascii="宋体" w:hAnsi="宋体" w:eastAsia="宋体" w:cs="宋体"/>
          <w:spacing w:val="2"/>
          <w:sz w:val="24"/>
          <w:szCs w:val="24"/>
        </w:rPr>
        <w:t xml:space="preserve">     </w:t>
      </w:r>
      <w:r>
        <w:rPr>
          <w:rFonts w:ascii="宋体" w:hAnsi="宋体" w:eastAsia="宋体" w:cs="宋体"/>
          <w:spacing w:val="-5"/>
          <w:sz w:val="24"/>
          <w:szCs w:val="24"/>
        </w:rPr>
        <w:t>址</w:t>
      </w:r>
      <w:r>
        <w:rPr>
          <w:rFonts w:ascii="宋体" w:hAnsi="宋体" w:eastAsia="宋体" w:cs="宋体"/>
          <w:spacing w:val="-70"/>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14:paraId="4453A36B">
      <w:pPr>
        <w:keepNext w:val="0"/>
        <w:keepLines w:val="0"/>
        <w:pageBreakBefore w:val="0"/>
        <w:widowControl w:val="0"/>
        <w:kinsoku/>
        <w:wordWrap/>
        <w:overflowPunct/>
        <w:topLinePunct w:val="0"/>
        <w:autoSpaceDE/>
        <w:autoSpaceDN/>
        <w:bidi w:val="0"/>
        <w:adjustRightInd/>
        <w:snapToGrid/>
        <w:spacing w:before="62" w:line="500" w:lineRule="exact"/>
        <w:ind w:left="4" w:firstLine="744" w:firstLineChars="300"/>
        <w:textAlignment w:val="auto"/>
        <w:rPr>
          <w:sz w:val="24"/>
          <w:szCs w:val="24"/>
        </w:rPr>
      </w:pPr>
      <w:r>
        <w:rPr>
          <w:rFonts w:ascii="宋体" w:hAnsi="宋体" w:eastAsia="宋体" w:cs="宋体"/>
          <w:spacing w:val="4"/>
          <w:sz w:val="24"/>
          <w:szCs w:val="24"/>
        </w:rPr>
        <w:t>成立时间：</w:t>
      </w:r>
      <w:r>
        <w:rPr>
          <w:rFonts w:ascii="宋体" w:hAnsi="宋体" w:eastAsia="宋体" w:cs="宋体"/>
          <w:sz w:val="24"/>
          <w:szCs w:val="24"/>
          <w:u w:val="single" w:color="auto"/>
        </w:rPr>
        <w:t xml:space="preserve">             </w:t>
      </w:r>
      <w:r>
        <w:rPr>
          <w:rFonts w:ascii="宋体" w:hAnsi="宋体" w:eastAsia="宋体" w:cs="宋体"/>
          <w:spacing w:val="-76"/>
          <w:sz w:val="24"/>
          <w:szCs w:val="24"/>
        </w:rPr>
        <w:t xml:space="preserve"> </w:t>
      </w:r>
      <w:r>
        <w:rPr>
          <w:rFonts w:ascii="宋体" w:hAnsi="宋体" w:eastAsia="宋体" w:cs="宋体"/>
          <w:spacing w:val="4"/>
          <w:sz w:val="24"/>
          <w:szCs w:val="24"/>
        </w:rPr>
        <w:t>年</w:t>
      </w:r>
      <w:r>
        <w:rPr>
          <w:rFonts w:ascii="宋体" w:hAnsi="宋体" w:eastAsia="宋体" w:cs="宋体"/>
          <w:spacing w:val="-95"/>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4"/>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4"/>
          <w:sz w:val="24"/>
          <w:szCs w:val="24"/>
        </w:rPr>
        <w:t>日</w:t>
      </w:r>
    </w:p>
    <w:p w14:paraId="10803E90">
      <w:pPr>
        <w:keepNext w:val="0"/>
        <w:keepLines w:val="0"/>
        <w:pageBreakBefore w:val="0"/>
        <w:widowControl w:val="0"/>
        <w:kinsoku/>
        <w:wordWrap/>
        <w:overflowPunct/>
        <w:topLinePunct w:val="0"/>
        <w:autoSpaceDE/>
        <w:autoSpaceDN/>
        <w:bidi w:val="0"/>
        <w:adjustRightInd/>
        <w:snapToGrid/>
        <w:spacing w:before="62" w:line="500" w:lineRule="exact"/>
        <w:ind w:firstLine="762" w:firstLineChars="300"/>
        <w:textAlignment w:val="auto"/>
        <w:rPr>
          <w:sz w:val="24"/>
          <w:szCs w:val="24"/>
        </w:rPr>
      </w:pPr>
      <w:r>
        <w:rPr>
          <w:rFonts w:ascii="宋体" w:hAnsi="宋体" w:eastAsia="宋体" w:cs="宋体"/>
          <w:spacing w:val="7"/>
          <w:sz w:val="24"/>
          <w:szCs w:val="24"/>
        </w:rPr>
        <w:t>经营期限：</w:t>
      </w:r>
      <w:r>
        <w:rPr>
          <w:rFonts w:ascii="宋体" w:hAnsi="宋体" w:eastAsia="宋体" w:cs="宋体"/>
          <w:sz w:val="24"/>
          <w:szCs w:val="24"/>
          <w:u w:val="single" w:color="auto"/>
        </w:rPr>
        <w:t xml:space="preserve">                                                    </w:t>
      </w:r>
    </w:p>
    <w:p w14:paraId="451F220D">
      <w:pPr>
        <w:keepNext w:val="0"/>
        <w:keepLines w:val="0"/>
        <w:pageBreakBefore w:val="0"/>
        <w:widowControl w:val="0"/>
        <w:kinsoku/>
        <w:wordWrap/>
        <w:overflowPunct/>
        <w:topLinePunct w:val="0"/>
        <w:autoSpaceDE/>
        <w:autoSpaceDN/>
        <w:bidi w:val="0"/>
        <w:adjustRightInd/>
        <w:snapToGrid/>
        <w:spacing w:before="66" w:line="500" w:lineRule="exact"/>
        <w:ind w:firstLine="690" w:firstLineChars="300"/>
        <w:textAlignment w:val="auto"/>
        <w:rPr>
          <w:rFonts w:ascii="宋体" w:hAnsi="宋体" w:eastAsia="宋体" w:cs="宋体"/>
          <w:spacing w:val="-5"/>
          <w:sz w:val="24"/>
          <w:szCs w:val="24"/>
          <w:u w:val="single" w:color="auto"/>
        </w:rPr>
      </w:pPr>
      <w:r>
        <w:rPr>
          <w:rFonts w:ascii="宋体" w:hAnsi="宋体" w:eastAsia="宋体" w:cs="宋体"/>
          <w:spacing w:val="-5"/>
          <w:sz w:val="24"/>
          <w:szCs w:val="24"/>
        </w:rPr>
        <w:t>姓</w:t>
      </w:r>
      <w:r>
        <w:rPr>
          <w:rFonts w:ascii="宋体" w:hAnsi="宋体" w:eastAsia="宋体" w:cs="宋体"/>
          <w:spacing w:val="13"/>
          <w:sz w:val="24"/>
          <w:szCs w:val="24"/>
        </w:rPr>
        <w:t xml:space="preserve">    </w:t>
      </w:r>
      <w:r>
        <w:rPr>
          <w:rFonts w:ascii="宋体" w:hAnsi="宋体" w:eastAsia="宋体" w:cs="宋体"/>
          <w:spacing w:val="-5"/>
          <w:sz w:val="24"/>
          <w:szCs w:val="24"/>
        </w:rPr>
        <w:t>名</w:t>
      </w:r>
      <w:r>
        <w:rPr>
          <w:rFonts w:ascii="宋体" w:hAnsi="宋体" w:eastAsia="宋体" w:cs="宋体"/>
          <w:spacing w:val="-74"/>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性</w:t>
      </w:r>
      <w:r>
        <w:rPr>
          <w:rFonts w:ascii="宋体" w:hAnsi="宋体" w:eastAsia="宋体" w:cs="宋体"/>
          <w:spacing w:val="8"/>
          <w:sz w:val="24"/>
          <w:szCs w:val="24"/>
        </w:rPr>
        <w:t xml:space="preserve">     </w:t>
      </w:r>
      <w:r>
        <w:rPr>
          <w:rFonts w:ascii="宋体" w:hAnsi="宋体" w:eastAsia="宋体" w:cs="宋体"/>
          <w:spacing w:val="-5"/>
          <w:sz w:val="24"/>
          <w:szCs w:val="24"/>
        </w:rPr>
        <w:t>别</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u w:val="single" w:color="auto"/>
        </w:rPr>
        <w:t xml:space="preserve">                  </w:t>
      </w:r>
    </w:p>
    <w:p w14:paraId="096C99B5">
      <w:pPr>
        <w:keepNext w:val="0"/>
        <w:keepLines w:val="0"/>
        <w:pageBreakBefore w:val="0"/>
        <w:widowControl w:val="0"/>
        <w:kinsoku/>
        <w:wordWrap/>
        <w:overflowPunct/>
        <w:topLinePunct w:val="0"/>
        <w:autoSpaceDE/>
        <w:autoSpaceDN/>
        <w:bidi w:val="0"/>
        <w:adjustRightInd/>
        <w:snapToGrid/>
        <w:spacing w:before="66" w:line="500" w:lineRule="exact"/>
        <w:ind w:firstLine="696" w:firstLineChars="300"/>
        <w:textAlignment w:val="auto"/>
        <w:rPr>
          <w:rFonts w:ascii="宋体" w:hAnsi="宋体" w:eastAsia="宋体" w:cs="宋体"/>
          <w:sz w:val="24"/>
          <w:szCs w:val="24"/>
        </w:rPr>
      </w:pPr>
      <w:r>
        <w:rPr>
          <w:rFonts w:ascii="宋体" w:hAnsi="宋体" w:eastAsia="宋体" w:cs="宋体"/>
          <w:spacing w:val="-4"/>
          <w:sz w:val="24"/>
          <w:szCs w:val="24"/>
        </w:rPr>
        <w:t>年</w:t>
      </w:r>
      <w:r>
        <w:rPr>
          <w:rFonts w:ascii="宋体" w:hAnsi="宋体" w:eastAsia="宋体" w:cs="宋体"/>
          <w:spacing w:val="8"/>
          <w:sz w:val="24"/>
          <w:szCs w:val="24"/>
        </w:rPr>
        <w:t xml:space="preserve">    </w:t>
      </w:r>
      <w:r>
        <w:rPr>
          <w:rFonts w:ascii="宋体" w:hAnsi="宋体" w:eastAsia="宋体" w:cs="宋体"/>
          <w:spacing w:val="-4"/>
          <w:sz w:val="24"/>
          <w:szCs w:val="24"/>
        </w:rPr>
        <w:t>龄</w:t>
      </w:r>
      <w:r>
        <w:rPr>
          <w:rFonts w:ascii="宋体" w:hAnsi="宋体" w:eastAsia="宋体" w:cs="宋体"/>
          <w:spacing w:val="-74"/>
          <w:sz w:val="24"/>
          <w:szCs w:val="24"/>
        </w:rPr>
        <w:t xml:space="preserve"> </w:t>
      </w:r>
      <w:r>
        <w:rPr>
          <w:rFonts w:ascii="宋体" w:hAnsi="宋体" w:eastAsia="宋体" w:cs="宋体"/>
          <w:spacing w:val="-4"/>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4"/>
          <w:sz w:val="24"/>
          <w:szCs w:val="24"/>
        </w:rPr>
        <w:t>职</w:t>
      </w:r>
      <w:r>
        <w:rPr>
          <w:rFonts w:ascii="宋体" w:hAnsi="宋体" w:eastAsia="宋体" w:cs="宋体"/>
          <w:spacing w:val="8"/>
          <w:sz w:val="24"/>
          <w:szCs w:val="24"/>
        </w:rPr>
        <w:t xml:space="preserve">     </w:t>
      </w:r>
      <w:r>
        <w:rPr>
          <w:rFonts w:ascii="宋体" w:hAnsi="宋体" w:eastAsia="宋体" w:cs="宋体"/>
          <w:spacing w:val="-4"/>
          <w:sz w:val="24"/>
          <w:szCs w:val="24"/>
        </w:rPr>
        <w:t>务</w:t>
      </w:r>
      <w:r>
        <w:rPr>
          <w:rFonts w:ascii="宋体" w:hAnsi="宋体" w:eastAsia="宋体" w:cs="宋体"/>
          <w:spacing w:val="-74"/>
          <w:sz w:val="24"/>
          <w:szCs w:val="24"/>
        </w:rPr>
        <w:t xml:space="preserve"> </w:t>
      </w:r>
      <w:r>
        <w:rPr>
          <w:rFonts w:ascii="宋体" w:hAnsi="宋体" w:eastAsia="宋体" w:cs="宋体"/>
          <w:spacing w:val="-4"/>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1A195B42">
      <w:pPr>
        <w:pStyle w:val="7"/>
        <w:spacing w:line="245" w:lineRule="auto"/>
        <w:rPr>
          <w:sz w:val="24"/>
          <w:szCs w:val="24"/>
        </w:rPr>
      </w:pPr>
    </w:p>
    <w:p w14:paraId="13941AF3">
      <w:pPr>
        <w:spacing w:before="62" w:line="229" w:lineRule="auto"/>
        <w:ind w:firstLine="768" w:firstLineChars="300"/>
        <w:rPr>
          <w:rFonts w:ascii="宋体" w:hAnsi="宋体" w:eastAsia="宋体" w:cs="宋体"/>
          <w:sz w:val="24"/>
          <w:szCs w:val="24"/>
        </w:rPr>
      </w:pPr>
      <w:r>
        <w:rPr>
          <w:rFonts w:ascii="宋体" w:hAnsi="宋体" w:eastAsia="宋体" w:cs="宋体"/>
          <w:spacing w:val="8"/>
          <w:sz w:val="24"/>
          <w:szCs w:val="24"/>
        </w:rPr>
        <w:t>系</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名称）的法定代表人。</w:t>
      </w:r>
    </w:p>
    <w:p w14:paraId="1AACA0F8">
      <w:pPr>
        <w:spacing w:before="195"/>
      </w:pPr>
    </w:p>
    <w:tbl>
      <w:tblPr>
        <w:tblStyle w:val="52"/>
        <w:tblW w:w="6733" w:type="dxa"/>
        <w:tblInd w:w="149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733"/>
      </w:tblGrid>
      <w:tr w14:paraId="08DD63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54" w:hRule="atLeast"/>
        </w:trPr>
        <w:tc>
          <w:tcPr>
            <w:tcW w:w="6733" w:type="dxa"/>
            <w:vAlign w:val="top"/>
          </w:tcPr>
          <w:p w14:paraId="34CC4C18">
            <w:pPr>
              <w:spacing w:line="256" w:lineRule="auto"/>
              <w:rPr>
                <w:rFonts w:ascii="Arial"/>
                <w:sz w:val="21"/>
              </w:rPr>
            </w:pPr>
          </w:p>
          <w:p w14:paraId="49B0A566">
            <w:pPr>
              <w:spacing w:line="256" w:lineRule="auto"/>
              <w:rPr>
                <w:rFonts w:ascii="Arial"/>
                <w:sz w:val="21"/>
              </w:rPr>
            </w:pPr>
          </w:p>
          <w:p w14:paraId="7F25ACD7">
            <w:pPr>
              <w:spacing w:line="256" w:lineRule="auto"/>
              <w:rPr>
                <w:rFonts w:ascii="Arial"/>
                <w:sz w:val="21"/>
              </w:rPr>
            </w:pPr>
          </w:p>
          <w:p w14:paraId="14C86DD9">
            <w:pPr>
              <w:spacing w:line="256" w:lineRule="auto"/>
              <w:rPr>
                <w:rFonts w:ascii="Arial"/>
                <w:sz w:val="21"/>
              </w:rPr>
            </w:pPr>
          </w:p>
          <w:p w14:paraId="0BDD6B45">
            <w:pPr>
              <w:spacing w:line="256" w:lineRule="auto"/>
              <w:rPr>
                <w:rFonts w:ascii="Arial"/>
                <w:sz w:val="21"/>
              </w:rPr>
            </w:pPr>
          </w:p>
          <w:p w14:paraId="152216A5">
            <w:pPr>
              <w:spacing w:line="256" w:lineRule="auto"/>
              <w:rPr>
                <w:rFonts w:ascii="Arial"/>
                <w:sz w:val="21"/>
              </w:rPr>
            </w:pPr>
          </w:p>
          <w:p w14:paraId="31B705B2">
            <w:pPr>
              <w:spacing w:line="257" w:lineRule="auto"/>
              <w:rPr>
                <w:rFonts w:ascii="Arial"/>
                <w:sz w:val="21"/>
              </w:rPr>
            </w:pPr>
          </w:p>
          <w:p w14:paraId="755A3D2B">
            <w:pPr>
              <w:spacing w:line="257" w:lineRule="auto"/>
              <w:rPr>
                <w:rFonts w:ascii="Arial"/>
                <w:sz w:val="21"/>
              </w:rPr>
            </w:pPr>
          </w:p>
          <w:p w14:paraId="7D6AD685">
            <w:pPr>
              <w:pStyle w:val="51"/>
              <w:spacing w:before="78" w:line="220" w:lineRule="auto"/>
              <w:ind w:left="1085"/>
              <w:rPr>
                <w:sz w:val="24"/>
                <w:szCs w:val="24"/>
              </w:rPr>
            </w:pPr>
            <w:r>
              <w:rPr>
                <w:b/>
                <w:bCs/>
                <w:spacing w:val="-3"/>
                <w:sz w:val="24"/>
                <w:szCs w:val="24"/>
              </w:rPr>
              <w:t>法定代表人居民身份证复印件（正、反面）</w:t>
            </w:r>
          </w:p>
        </w:tc>
      </w:tr>
    </w:tbl>
    <w:p w14:paraId="2B9B1264">
      <w:pPr>
        <w:spacing w:before="144" w:line="229" w:lineRule="auto"/>
        <w:ind w:left="4284"/>
        <w:rPr>
          <w:rFonts w:ascii="宋体" w:hAnsi="宋体" w:eastAsia="宋体" w:cs="宋体"/>
          <w:sz w:val="24"/>
          <w:szCs w:val="24"/>
        </w:rPr>
      </w:pPr>
      <w:r>
        <w:rPr>
          <w:rFonts w:ascii="宋体" w:hAnsi="宋体" w:eastAsia="宋体" w:cs="宋体"/>
          <w:spacing w:val="6"/>
          <w:sz w:val="24"/>
          <w:szCs w:val="24"/>
        </w:rPr>
        <w:t>特此证明。</w:t>
      </w:r>
    </w:p>
    <w:p w14:paraId="381FD49C">
      <w:pPr>
        <w:pStyle w:val="7"/>
        <w:spacing w:line="278" w:lineRule="auto"/>
        <w:rPr>
          <w:sz w:val="24"/>
          <w:szCs w:val="24"/>
        </w:rPr>
      </w:pPr>
    </w:p>
    <w:p w14:paraId="49E7BA53">
      <w:pPr>
        <w:pStyle w:val="7"/>
        <w:spacing w:line="278" w:lineRule="auto"/>
        <w:rPr>
          <w:sz w:val="24"/>
          <w:szCs w:val="24"/>
        </w:rPr>
      </w:pPr>
    </w:p>
    <w:p w14:paraId="1F5FE431">
      <w:pPr>
        <w:spacing w:before="62" w:line="228" w:lineRule="auto"/>
        <w:ind w:left="1452"/>
        <w:rPr>
          <w:rFonts w:ascii="宋体" w:hAnsi="宋体" w:eastAsia="宋体" w:cs="宋体"/>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15"/>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1"/>
          <w:sz w:val="24"/>
          <w:szCs w:val="24"/>
        </w:rPr>
        <w:t>盖单位公章）</w:t>
      </w:r>
    </w:p>
    <w:p w14:paraId="0BF01748">
      <w:pPr>
        <w:pStyle w:val="7"/>
        <w:spacing w:line="278" w:lineRule="auto"/>
        <w:rPr>
          <w:sz w:val="24"/>
          <w:szCs w:val="24"/>
        </w:rPr>
      </w:pPr>
    </w:p>
    <w:p w14:paraId="6D158160">
      <w:pPr>
        <w:pStyle w:val="7"/>
        <w:spacing w:line="278" w:lineRule="auto"/>
        <w:rPr>
          <w:sz w:val="24"/>
          <w:szCs w:val="24"/>
        </w:rPr>
      </w:pPr>
    </w:p>
    <w:p w14:paraId="0313F898">
      <w:pPr>
        <w:spacing w:before="62" w:line="229" w:lineRule="auto"/>
        <w:ind w:left="1436"/>
        <w:rPr>
          <w:rFonts w:ascii="宋体" w:hAnsi="宋体" w:eastAsia="宋体" w:cs="宋体"/>
          <w:sz w:val="24"/>
          <w:szCs w:val="24"/>
        </w:rPr>
      </w:pPr>
      <w:r>
        <w:rPr>
          <w:rFonts w:hint="eastAsia" w:ascii="宋体" w:hAnsi="宋体"/>
          <w:sz w:val="26"/>
        </w:rPr>
        <w:t>法定代表人或其委托代理人</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ascii="宋体" w:hAnsi="宋体" w:eastAsia="宋体" w:cs="宋体"/>
          <w:spacing w:val="11"/>
          <w:sz w:val="24"/>
          <w:szCs w:val="24"/>
        </w:rPr>
        <w:t>）</w:t>
      </w:r>
    </w:p>
    <w:p w14:paraId="63C566AE">
      <w:pPr>
        <w:pStyle w:val="7"/>
        <w:spacing w:line="279" w:lineRule="auto"/>
        <w:rPr>
          <w:sz w:val="24"/>
          <w:szCs w:val="24"/>
        </w:rPr>
      </w:pPr>
    </w:p>
    <w:p w14:paraId="70A67011">
      <w:pPr>
        <w:spacing w:before="62" w:line="229" w:lineRule="auto"/>
        <w:ind w:firstLine="1380" w:firstLineChars="600"/>
        <w:rPr>
          <w:rFonts w:ascii="宋体" w:hAnsi="宋体" w:eastAsia="宋体" w:cs="宋体"/>
          <w:sz w:val="24"/>
          <w:szCs w:val="24"/>
        </w:rPr>
      </w:pPr>
      <w:r>
        <w:rPr>
          <w:rFonts w:ascii="宋体" w:hAnsi="宋体" w:eastAsia="宋体" w:cs="宋体"/>
          <w:spacing w:val="-5"/>
          <w:sz w:val="24"/>
          <w:szCs w:val="24"/>
        </w:rPr>
        <w:t>日</w:t>
      </w:r>
      <w:r>
        <w:rPr>
          <w:rFonts w:ascii="宋体" w:hAnsi="宋体" w:eastAsia="宋体" w:cs="宋体"/>
          <w:spacing w:val="4"/>
          <w:sz w:val="24"/>
          <w:szCs w:val="24"/>
        </w:rPr>
        <w:t xml:space="preserve">      </w:t>
      </w:r>
      <w:r>
        <w:rPr>
          <w:rFonts w:ascii="宋体" w:hAnsi="宋体" w:eastAsia="宋体" w:cs="宋体"/>
          <w:spacing w:val="-5"/>
          <w:sz w:val="24"/>
          <w:szCs w:val="24"/>
        </w:rPr>
        <w:t>期：</w:t>
      </w:r>
      <w:r>
        <w:rPr>
          <w:rFonts w:ascii="宋体" w:hAnsi="宋体" w:eastAsia="宋体" w:cs="宋体"/>
          <w:spacing w:val="1"/>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5"/>
          <w:sz w:val="24"/>
          <w:szCs w:val="24"/>
        </w:rPr>
        <w:t>年</w:t>
      </w:r>
      <w:r>
        <w:rPr>
          <w:rFonts w:ascii="宋体" w:hAnsi="宋体" w:eastAsia="宋体" w:cs="宋体"/>
          <w:spacing w:val="-94"/>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5"/>
          <w:sz w:val="24"/>
          <w:szCs w:val="24"/>
        </w:rPr>
        <w:t>月</w:t>
      </w:r>
      <w:r>
        <w:rPr>
          <w:rFonts w:ascii="宋体" w:hAnsi="宋体" w:eastAsia="宋体" w:cs="宋体"/>
          <w:spacing w:val="-93"/>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5"/>
          <w:sz w:val="24"/>
          <w:szCs w:val="24"/>
        </w:rPr>
        <w:t>日</w:t>
      </w:r>
    </w:p>
    <w:p w14:paraId="6BF7F79F">
      <w:pPr>
        <w:spacing w:before="94" w:line="228" w:lineRule="auto"/>
        <w:jc w:val="right"/>
        <w:rPr>
          <w:rFonts w:ascii="宋体" w:hAnsi="宋体" w:eastAsia="宋体" w:cs="宋体"/>
          <w:b/>
          <w:bCs/>
          <w:spacing w:val="-3"/>
          <w:sz w:val="20"/>
          <w:szCs w:val="20"/>
        </w:rPr>
      </w:pPr>
    </w:p>
    <w:p w14:paraId="7EE7DCED">
      <w:pPr>
        <w:spacing w:before="94" w:line="228" w:lineRule="auto"/>
        <w:jc w:val="right"/>
        <w:rPr>
          <w:rFonts w:ascii="宋体" w:hAnsi="宋体" w:eastAsia="宋体" w:cs="宋体"/>
          <w:sz w:val="20"/>
          <w:szCs w:val="20"/>
        </w:rPr>
      </w:pPr>
      <w:r>
        <w:rPr>
          <w:rFonts w:ascii="宋体" w:hAnsi="宋体" w:eastAsia="宋体" w:cs="宋体"/>
          <w:b/>
          <w:bCs/>
          <w:spacing w:val="-3"/>
          <w:sz w:val="20"/>
          <w:szCs w:val="20"/>
        </w:rPr>
        <w:t>※法定代表人参加开标时必须按照以上格式填写并在开标时单独打印一份签字并盖章，开标现场备查</w:t>
      </w:r>
      <w:r>
        <w:rPr>
          <w:rFonts w:ascii="宋体" w:hAnsi="宋体" w:eastAsia="宋体" w:cs="宋体"/>
          <w:spacing w:val="-3"/>
          <w:sz w:val="20"/>
          <w:szCs w:val="20"/>
        </w:rPr>
        <w:t>。</w:t>
      </w:r>
    </w:p>
    <w:p w14:paraId="008D6DA3">
      <w:pPr>
        <w:spacing w:line="228" w:lineRule="auto"/>
        <w:rPr>
          <w:rFonts w:ascii="宋体" w:hAnsi="宋体" w:eastAsia="宋体" w:cs="宋体"/>
          <w:sz w:val="20"/>
          <w:szCs w:val="20"/>
        </w:rPr>
        <w:sectPr>
          <w:footerReference r:id="rId6" w:type="default"/>
          <w:pgSz w:w="11910" w:h="16850"/>
          <w:pgMar w:top="1432" w:right="1701" w:bottom="1434" w:left="1701" w:header="1134" w:footer="1134" w:gutter="0"/>
          <w:pgNumType w:fmt="decimal" w:start="1"/>
          <w:cols w:space="720" w:num="1"/>
        </w:sectPr>
      </w:pPr>
    </w:p>
    <w:p w14:paraId="33121784">
      <w:pPr>
        <w:spacing w:before="300" w:line="220" w:lineRule="auto"/>
        <w:jc w:val="center"/>
        <w:outlineLvl w:val="3"/>
        <w:rPr>
          <w:rFonts w:ascii="宋体" w:hAnsi="宋体" w:eastAsia="宋体" w:cs="宋体"/>
          <w:sz w:val="28"/>
          <w:szCs w:val="28"/>
        </w:rPr>
      </w:pPr>
      <w:r>
        <w:rPr>
          <w:rFonts w:ascii="宋体" w:hAnsi="宋体" w:eastAsia="宋体" w:cs="宋体"/>
          <w:b/>
          <w:bCs/>
          <w:spacing w:val="-4"/>
          <w:sz w:val="28"/>
          <w:szCs w:val="28"/>
        </w:rPr>
        <w:t>三、授权委托书</w:t>
      </w:r>
    </w:p>
    <w:p w14:paraId="74E1C49E">
      <w:pPr>
        <w:spacing w:before="264" w:line="587" w:lineRule="auto"/>
        <w:ind w:firstLine="396" w:firstLineChars="200"/>
        <w:rPr>
          <w:rFonts w:ascii="宋体" w:hAnsi="宋体" w:eastAsia="宋体" w:cs="宋体"/>
          <w:spacing w:val="4"/>
          <w:sz w:val="19"/>
          <w:szCs w:val="19"/>
        </w:rPr>
      </w:pPr>
    </w:p>
    <w:p w14:paraId="3BD08EB1">
      <w:pPr>
        <w:spacing w:before="264" w:line="587" w:lineRule="auto"/>
        <w:ind w:firstLine="496" w:firstLineChars="200"/>
        <w:rPr>
          <w:rFonts w:ascii="宋体" w:hAnsi="宋体" w:eastAsia="宋体" w:cs="宋体"/>
          <w:sz w:val="24"/>
          <w:szCs w:val="24"/>
        </w:rPr>
      </w:pPr>
      <w:r>
        <w:rPr>
          <w:rFonts w:ascii="宋体" w:hAnsi="宋体" w:eastAsia="宋体" w:cs="宋体"/>
          <w:spacing w:val="4"/>
          <w:sz w:val="24"/>
          <w:szCs w:val="24"/>
        </w:rPr>
        <w:t>本</w:t>
      </w:r>
      <w:r>
        <w:rPr>
          <w:rFonts w:ascii="宋体" w:hAnsi="宋体" w:eastAsia="宋体" w:cs="宋体"/>
          <w:spacing w:val="-55"/>
          <w:sz w:val="24"/>
          <w:szCs w:val="24"/>
        </w:rPr>
        <w:t xml:space="preserve"> </w:t>
      </w:r>
      <w:r>
        <w:rPr>
          <w:rFonts w:ascii="宋体" w:hAnsi="宋体" w:eastAsia="宋体" w:cs="宋体"/>
          <w:spacing w:val="4"/>
          <w:sz w:val="24"/>
          <w:szCs w:val="24"/>
        </w:rPr>
        <w:t>人</w:t>
      </w:r>
      <w:r>
        <w:rPr>
          <w:rFonts w:ascii="宋体" w:hAnsi="宋体" w:eastAsia="宋体" w:cs="宋体"/>
          <w:spacing w:val="-64"/>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（姓名</w:t>
      </w:r>
      <w:r>
        <w:rPr>
          <w:rFonts w:ascii="宋体" w:hAnsi="宋体" w:eastAsia="宋体" w:cs="宋体"/>
          <w:spacing w:val="-34"/>
          <w:sz w:val="24"/>
          <w:szCs w:val="24"/>
        </w:rPr>
        <w:t xml:space="preserve"> </w:t>
      </w:r>
      <w:r>
        <w:rPr>
          <w:rFonts w:ascii="宋体" w:hAnsi="宋体" w:eastAsia="宋体" w:cs="宋体"/>
          <w:spacing w:val="4"/>
          <w:sz w:val="24"/>
          <w:szCs w:val="24"/>
        </w:rPr>
        <w:t>）</w:t>
      </w:r>
      <w:r>
        <w:rPr>
          <w:rFonts w:ascii="宋体" w:hAnsi="宋体" w:eastAsia="宋体" w:cs="宋体"/>
          <w:spacing w:val="-47"/>
          <w:sz w:val="24"/>
          <w:szCs w:val="24"/>
        </w:rPr>
        <w:t xml:space="preserve"> </w:t>
      </w:r>
      <w:r>
        <w:rPr>
          <w:rFonts w:ascii="宋体" w:hAnsi="宋体" w:eastAsia="宋体" w:cs="宋体"/>
          <w:spacing w:val="4"/>
          <w:sz w:val="24"/>
          <w:szCs w:val="24"/>
        </w:rPr>
        <w:t>系</w:t>
      </w:r>
      <w:r>
        <w:rPr>
          <w:rFonts w:ascii="宋体" w:hAnsi="宋体" w:eastAsia="宋体" w:cs="宋体"/>
          <w:spacing w:val="-6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r>
        <w:rPr>
          <w:rFonts w:ascii="宋体" w:hAnsi="宋体" w:eastAsia="宋体" w:cs="宋体"/>
          <w:spacing w:val="3"/>
          <w:sz w:val="24"/>
          <w:szCs w:val="24"/>
        </w:rPr>
        <w:t>投标</w:t>
      </w:r>
      <w:r>
        <w:rPr>
          <w:rFonts w:ascii="宋体" w:hAnsi="宋体" w:eastAsia="宋体" w:cs="宋体"/>
          <w:spacing w:val="-55"/>
          <w:sz w:val="24"/>
          <w:szCs w:val="24"/>
        </w:rPr>
        <w:t xml:space="preserve"> </w:t>
      </w:r>
      <w:r>
        <w:rPr>
          <w:rFonts w:ascii="宋体" w:hAnsi="宋体" w:eastAsia="宋体" w:cs="宋体"/>
          <w:spacing w:val="3"/>
          <w:sz w:val="24"/>
          <w:szCs w:val="24"/>
        </w:rPr>
        <w:t>人</w:t>
      </w:r>
      <w:r>
        <w:rPr>
          <w:rFonts w:ascii="宋体" w:hAnsi="宋体" w:eastAsia="宋体" w:cs="宋体"/>
          <w:spacing w:val="-53"/>
          <w:sz w:val="24"/>
          <w:szCs w:val="24"/>
        </w:rPr>
        <w:t xml:space="preserve"> </w:t>
      </w:r>
      <w:r>
        <w:rPr>
          <w:rFonts w:ascii="宋体" w:hAnsi="宋体" w:eastAsia="宋体" w:cs="宋体"/>
          <w:spacing w:val="3"/>
          <w:sz w:val="24"/>
          <w:szCs w:val="24"/>
        </w:rPr>
        <w:t>名</w:t>
      </w:r>
      <w:r>
        <w:rPr>
          <w:rFonts w:ascii="宋体" w:hAnsi="宋体" w:eastAsia="宋体" w:cs="宋体"/>
          <w:spacing w:val="-57"/>
          <w:sz w:val="24"/>
          <w:szCs w:val="24"/>
        </w:rPr>
        <w:t xml:space="preserve"> </w:t>
      </w:r>
      <w:r>
        <w:rPr>
          <w:rFonts w:ascii="宋体" w:hAnsi="宋体" w:eastAsia="宋体" w:cs="宋体"/>
          <w:spacing w:val="3"/>
          <w:sz w:val="24"/>
          <w:szCs w:val="24"/>
        </w:rPr>
        <w:t>称）</w:t>
      </w:r>
      <w:r>
        <w:rPr>
          <w:rFonts w:ascii="宋体" w:hAnsi="宋体" w:eastAsia="宋体" w:cs="宋体"/>
          <w:spacing w:val="-30"/>
          <w:sz w:val="24"/>
          <w:szCs w:val="24"/>
        </w:rPr>
        <w:t xml:space="preserve"> </w:t>
      </w:r>
      <w:r>
        <w:rPr>
          <w:rFonts w:ascii="宋体" w:hAnsi="宋体" w:eastAsia="宋体" w:cs="宋体"/>
          <w:spacing w:val="3"/>
          <w:sz w:val="24"/>
          <w:szCs w:val="24"/>
        </w:rPr>
        <w:t>的</w:t>
      </w:r>
      <w:r>
        <w:rPr>
          <w:rFonts w:ascii="宋体" w:hAnsi="宋体" w:eastAsia="宋体" w:cs="宋体"/>
          <w:spacing w:val="-55"/>
          <w:sz w:val="24"/>
          <w:szCs w:val="24"/>
        </w:rPr>
        <w:t xml:space="preserve"> </w:t>
      </w:r>
      <w:r>
        <w:rPr>
          <w:rFonts w:ascii="宋体" w:hAnsi="宋体" w:eastAsia="宋体" w:cs="宋体"/>
          <w:spacing w:val="3"/>
          <w:sz w:val="24"/>
          <w:szCs w:val="24"/>
        </w:rPr>
        <w:t>法</w:t>
      </w:r>
      <w:r>
        <w:rPr>
          <w:rFonts w:ascii="宋体" w:hAnsi="宋体" w:eastAsia="宋体" w:cs="宋体"/>
          <w:spacing w:val="-54"/>
          <w:sz w:val="24"/>
          <w:szCs w:val="24"/>
        </w:rPr>
        <w:t xml:space="preserve"> </w:t>
      </w:r>
      <w:r>
        <w:rPr>
          <w:rFonts w:ascii="宋体" w:hAnsi="宋体" w:eastAsia="宋体" w:cs="宋体"/>
          <w:spacing w:val="3"/>
          <w:sz w:val="24"/>
          <w:szCs w:val="24"/>
        </w:rPr>
        <w:t>定代</w:t>
      </w:r>
      <w:r>
        <w:rPr>
          <w:rFonts w:ascii="宋体" w:hAnsi="宋体" w:eastAsia="宋体" w:cs="宋体"/>
          <w:spacing w:val="-56"/>
          <w:sz w:val="24"/>
          <w:szCs w:val="24"/>
        </w:rPr>
        <w:t xml:space="preserve"> </w:t>
      </w:r>
      <w:r>
        <w:rPr>
          <w:rFonts w:ascii="宋体" w:hAnsi="宋体" w:eastAsia="宋体" w:cs="宋体"/>
          <w:spacing w:val="3"/>
          <w:sz w:val="24"/>
          <w:szCs w:val="24"/>
        </w:rPr>
        <w:t>表</w:t>
      </w:r>
      <w:r>
        <w:rPr>
          <w:rFonts w:ascii="宋体" w:hAnsi="宋体" w:eastAsia="宋体" w:cs="宋体"/>
          <w:spacing w:val="-55"/>
          <w:sz w:val="24"/>
          <w:szCs w:val="24"/>
        </w:rPr>
        <w:t xml:space="preserve"> </w:t>
      </w:r>
      <w:r>
        <w:rPr>
          <w:rFonts w:ascii="宋体" w:hAnsi="宋体" w:eastAsia="宋体" w:cs="宋体"/>
          <w:spacing w:val="3"/>
          <w:sz w:val="24"/>
          <w:szCs w:val="24"/>
        </w:rPr>
        <w:t>人</w:t>
      </w:r>
      <w:r>
        <w:rPr>
          <w:rFonts w:ascii="宋体" w:hAnsi="宋体" w:eastAsia="宋体" w:cs="宋体"/>
          <w:spacing w:val="-44"/>
          <w:sz w:val="24"/>
          <w:szCs w:val="24"/>
        </w:rPr>
        <w:t xml:space="preserve"> </w:t>
      </w:r>
      <w:r>
        <w:rPr>
          <w:rFonts w:ascii="宋体" w:hAnsi="宋体" w:eastAsia="宋体" w:cs="宋体"/>
          <w:spacing w:val="3"/>
          <w:sz w:val="24"/>
          <w:szCs w:val="24"/>
        </w:rPr>
        <w:t>，现</w:t>
      </w:r>
      <w:r>
        <w:rPr>
          <w:rFonts w:ascii="宋体" w:hAnsi="宋体" w:eastAsia="宋体" w:cs="宋体"/>
          <w:spacing w:val="-56"/>
          <w:sz w:val="24"/>
          <w:szCs w:val="24"/>
        </w:rPr>
        <w:t xml:space="preserve"> </w:t>
      </w:r>
      <w:r>
        <w:rPr>
          <w:rFonts w:ascii="宋体" w:hAnsi="宋体" w:eastAsia="宋体" w:cs="宋体"/>
          <w:spacing w:val="3"/>
          <w:sz w:val="24"/>
          <w:szCs w:val="24"/>
        </w:rPr>
        <w:t>委托</w:t>
      </w:r>
      <w:r>
        <w:rPr>
          <w:rFonts w:ascii="宋体" w:hAnsi="宋体" w:eastAsia="宋体" w:cs="宋体"/>
          <w:sz w:val="24"/>
          <w:szCs w:val="24"/>
        </w:rPr>
        <w:t xml:space="preserve"> </w:t>
      </w:r>
      <w:r>
        <w:rPr>
          <w:rFonts w:ascii="宋体" w:hAnsi="宋体" w:eastAsia="宋体" w:cs="宋体"/>
          <w:spacing w:val="5"/>
          <w:sz w:val="24"/>
          <w:szCs w:val="24"/>
        </w:rPr>
        <w:t>（姓名）</w:t>
      </w:r>
      <w:r>
        <w:rPr>
          <w:rFonts w:ascii="宋体" w:hAnsi="宋体" w:eastAsia="宋体" w:cs="宋体"/>
          <w:spacing w:val="2"/>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5"/>
          <w:sz w:val="24"/>
          <w:szCs w:val="24"/>
        </w:rPr>
        <w:t>为我方代理人，代理人根据授权，以我方名义签署、</w:t>
      </w:r>
      <w:r>
        <w:rPr>
          <w:rFonts w:ascii="宋体" w:hAnsi="宋体" w:eastAsia="宋体" w:cs="宋体"/>
          <w:spacing w:val="4"/>
          <w:sz w:val="24"/>
          <w:szCs w:val="24"/>
        </w:rPr>
        <w:t>澄清、说明、补正、递交、</w:t>
      </w:r>
      <w:r>
        <w:rPr>
          <w:rFonts w:ascii="宋体" w:hAnsi="宋体" w:eastAsia="宋体" w:cs="宋体"/>
          <w:spacing w:val="6"/>
          <w:sz w:val="24"/>
          <w:szCs w:val="24"/>
        </w:rPr>
        <w:t>撤回、修改</w:t>
      </w:r>
      <w:r>
        <w:rPr>
          <w:rFonts w:ascii="宋体" w:hAnsi="宋体" w:eastAsia="宋体" w:cs="宋体"/>
          <w:spacing w:val="-95"/>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（项目名</w:t>
      </w:r>
      <w:r>
        <w:rPr>
          <w:rFonts w:ascii="宋体" w:hAnsi="宋体" w:eastAsia="宋体" w:cs="宋体"/>
          <w:spacing w:val="5"/>
          <w:sz w:val="24"/>
          <w:szCs w:val="24"/>
        </w:rPr>
        <w:t>称）投标文件、签订合同和处理有关事宜，其法律后</w:t>
      </w:r>
      <w:r>
        <w:rPr>
          <w:rFonts w:ascii="宋体" w:hAnsi="宋体" w:eastAsia="宋体" w:cs="宋体"/>
          <w:sz w:val="24"/>
          <w:szCs w:val="24"/>
        </w:rPr>
        <w:t xml:space="preserve"> </w:t>
      </w:r>
      <w:r>
        <w:rPr>
          <w:rFonts w:ascii="宋体" w:hAnsi="宋体" w:eastAsia="宋体" w:cs="宋体"/>
          <w:spacing w:val="6"/>
          <w:sz w:val="24"/>
          <w:szCs w:val="24"/>
        </w:rPr>
        <w:t>果由我方承担。</w:t>
      </w:r>
    </w:p>
    <w:p w14:paraId="37A03B0E">
      <w:pPr>
        <w:spacing w:before="18" w:line="230" w:lineRule="auto"/>
        <w:rPr>
          <w:sz w:val="24"/>
          <w:szCs w:val="24"/>
        </w:rPr>
      </w:pPr>
      <w:r>
        <w:rPr>
          <w:rFonts w:ascii="宋体" w:hAnsi="宋体" w:eastAsia="宋体" w:cs="宋体"/>
          <w:spacing w:val="7"/>
          <w:sz w:val="24"/>
          <w:szCs w:val="24"/>
        </w:rPr>
        <w:t>委托期限：</w:t>
      </w:r>
      <w:r>
        <w:rPr>
          <w:rFonts w:ascii="宋体" w:hAnsi="宋体" w:eastAsia="宋体" w:cs="宋体"/>
          <w:sz w:val="24"/>
          <w:szCs w:val="24"/>
          <w:u w:val="single" w:color="auto"/>
        </w:rPr>
        <w:t xml:space="preserve">                                 </w:t>
      </w:r>
      <w:r>
        <w:rPr>
          <w:rFonts w:ascii="宋体" w:hAnsi="宋体" w:eastAsia="宋体" w:cs="宋体"/>
          <w:spacing w:val="7"/>
          <w:sz w:val="24"/>
          <w:szCs w:val="24"/>
        </w:rPr>
        <w:t>。</w:t>
      </w:r>
    </w:p>
    <w:p w14:paraId="60683960">
      <w:pPr>
        <w:spacing w:before="62" w:line="229" w:lineRule="auto"/>
        <w:ind w:left="3972"/>
        <w:rPr>
          <w:rFonts w:ascii="宋体" w:hAnsi="宋体" w:eastAsia="宋体" w:cs="宋体"/>
          <w:spacing w:val="7"/>
          <w:sz w:val="24"/>
          <w:szCs w:val="24"/>
        </w:rPr>
      </w:pPr>
    </w:p>
    <w:p w14:paraId="7924B26A">
      <w:pPr>
        <w:spacing w:before="62" w:line="229" w:lineRule="auto"/>
        <w:rPr>
          <w:rFonts w:ascii="宋体" w:hAnsi="宋体" w:eastAsia="宋体" w:cs="宋体"/>
          <w:sz w:val="24"/>
          <w:szCs w:val="24"/>
        </w:rPr>
      </w:pPr>
      <w:r>
        <w:rPr>
          <w:rFonts w:ascii="宋体" w:hAnsi="宋体" w:eastAsia="宋体" w:cs="宋体"/>
          <w:spacing w:val="7"/>
          <w:sz w:val="24"/>
          <w:szCs w:val="24"/>
        </w:rPr>
        <w:t>代理人无转委托权。</w:t>
      </w:r>
    </w:p>
    <w:p w14:paraId="50BF077B">
      <w:pPr>
        <w:spacing w:before="162"/>
      </w:pPr>
    </w:p>
    <w:tbl>
      <w:tblPr>
        <w:tblStyle w:val="52"/>
        <w:tblW w:w="5175" w:type="dxa"/>
        <w:tblInd w:w="15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175"/>
      </w:tblGrid>
      <w:tr w14:paraId="2040C9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18" w:hRule="atLeast"/>
        </w:trPr>
        <w:tc>
          <w:tcPr>
            <w:tcW w:w="5175" w:type="dxa"/>
            <w:vAlign w:val="top"/>
          </w:tcPr>
          <w:p w14:paraId="2D51DA51">
            <w:pPr>
              <w:spacing w:line="265" w:lineRule="auto"/>
              <w:rPr>
                <w:rFonts w:ascii="Arial"/>
                <w:sz w:val="21"/>
              </w:rPr>
            </w:pPr>
          </w:p>
          <w:p w14:paraId="7579884E">
            <w:pPr>
              <w:spacing w:line="266" w:lineRule="auto"/>
              <w:rPr>
                <w:rFonts w:ascii="Arial"/>
                <w:sz w:val="21"/>
              </w:rPr>
            </w:pPr>
          </w:p>
          <w:p w14:paraId="3C15AAA5">
            <w:pPr>
              <w:spacing w:line="266" w:lineRule="auto"/>
              <w:rPr>
                <w:rFonts w:ascii="Arial"/>
                <w:sz w:val="21"/>
              </w:rPr>
            </w:pPr>
          </w:p>
          <w:p w14:paraId="347742EF">
            <w:pPr>
              <w:pStyle w:val="51"/>
              <w:spacing w:before="78" w:line="220" w:lineRule="auto"/>
              <w:ind w:left="1328"/>
              <w:rPr>
                <w:sz w:val="24"/>
                <w:szCs w:val="24"/>
              </w:rPr>
            </w:pPr>
            <w:r>
              <w:rPr>
                <w:b/>
                <w:bCs/>
                <w:spacing w:val="-3"/>
                <w:sz w:val="24"/>
                <w:szCs w:val="24"/>
              </w:rPr>
              <w:t>授权委托人居民身份证复</w:t>
            </w:r>
          </w:p>
          <w:p w14:paraId="2D9ED49F">
            <w:pPr>
              <w:pStyle w:val="51"/>
              <w:spacing w:before="25" w:line="220" w:lineRule="auto"/>
              <w:ind w:left="1707"/>
              <w:rPr>
                <w:sz w:val="24"/>
                <w:szCs w:val="24"/>
              </w:rPr>
            </w:pPr>
            <w:r>
              <w:rPr>
                <w:b/>
                <w:bCs/>
                <w:spacing w:val="-6"/>
                <w:sz w:val="24"/>
                <w:szCs w:val="24"/>
              </w:rPr>
              <w:t>印件（正、反面）</w:t>
            </w:r>
          </w:p>
        </w:tc>
      </w:tr>
    </w:tbl>
    <w:p w14:paraId="6E038779">
      <w:pPr>
        <w:pStyle w:val="7"/>
        <w:spacing w:line="279" w:lineRule="auto"/>
      </w:pPr>
    </w:p>
    <w:p w14:paraId="505625B5">
      <w:pPr>
        <w:spacing w:before="62" w:line="587" w:lineRule="auto"/>
        <w:ind w:left="2096" w:right="1949" w:hanging="2"/>
        <w:rPr>
          <w:rFonts w:ascii="宋体" w:hAnsi="宋体" w:eastAsia="宋体" w:cs="宋体"/>
          <w:spacing w:val="17"/>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ascii="宋体" w:hAnsi="宋体" w:eastAsia="宋体" w:cs="宋体"/>
          <w:spacing w:val="10"/>
          <w:sz w:val="24"/>
          <w:szCs w:val="24"/>
        </w:rPr>
        <w:t>盖单位章）</w:t>
      </w:r>
      <w:r>
        <w:rPr>
          <w:rFonts w:ascii="宋体" w:hAnsi="宋体" w:eastAsia="宋体" w:cs="宋体"/>
          <w:spacing w:val="17"/>
          <w:sz w:val="24"/>
          <w:szCs w:val="24"/>
        </w:rPr>
        <w:t xml:space="preserve"> </w:t>
      </w:r>
    </w:p>
    <w:p w14:paraId="0B74E308">
      <w:pPr>
        <w:spacing w:before="62" w:line="587" w:lineRule="auto"/>
        <w:ind w:left="2096" w:right="1949" w:hanging="2"/>
        <w:rPr>
          <w:rFonts w:hint="default" w:ascii="宋体" w:hAnsi="宋体" w:eastAsia="宋体" w:cs="宋体"/>
          <w:sz w:val="24"/>
          <w:szCs w:val="24"/>
          <w:lang w:val="en-US" w:eastAsia="zh-CN"/>
        </w:rPr>
      </w:pPr>
      <w:r>
        <w:rPr>
          <w:rFonts w:ascii="宋体" w:hAnsi="宋体" w:eastAsia="宋体" w:cs="宋体"/>
          <w:spacing w:val="10"/>
          <w:sz w:val="24"/>
          <w:szCs w:val="24"/>
        </w:rPr>
        <w:t>法定代表人</w:t>
      </w:r>
      <w:r>
        <w:rPr>
          <w:rFonts w:ascii="宋体" w:hAnsi="宋体" w:eastAsia="宋体" w:cs="宋体"/>
          <w:spacing w:val="-2"/>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color w:val="FF0000"/>
          <w:spacing w:val="-2"/>
          <w:sz w:val="24"/>
          <w:szCs w:val="24"/>
        </w:rPr>
        <w:t>（</w:t>
      </w:r>
      <w:r>
        <w:rPr>
          <w:rFonts w:ascii="宋体" w:hAnsi="宋体" w:eastAsia="宋体" w:cs="宋体"/>
          <w:color w:val="FF0000"/>
          <w:spacing w:val="10"/>
          <w:sz w:val="24"/>
          <w:szCs w:val="24"/>
        </w:rPr>
        <w:t>签字）</w:t>
      </w:r>
      <w:r>
        <w:rPr>
          <w:rFonts w:ascii="宋体" w:hAnsi="宋体" w:eastAsia="宋体" w:cs="宋体"/>
          <w:color w:val="FF0000"/>
          <w:sz w:val="24"/>
          <w:szCs w:val="24"/>
        </w:rPr>
        <w:t xml:space="preserve">  </w:t>
      </w:r>
      <w:r>
        <w:rPr>
          <w:rFonts w:ascii="宋体" w:hAnsi="宋体" w:eastAsia="宋体" w:cs="宋体"/>
          <w:sz w:val="24"/>
          <w:szCs w:val="24"/>
        </w:rPr>
        <w:t xml:space="preserve"> </w:t>
      </w:r>
      <w:r>
        <w:rPr>
          <w:rFonts w:ascii="宋体" w:hAnsi="宋体" w:eastAsia="宋体" w:cs="宋体"/>
          <w:spacing w:val="5"/>
          <w:sz w:val="24"/>
          <w:szCs w:val="24"/>
        </w:rPr>
        <w:t>身份证号码：</w:t>
      </w:r>
      <w:r>
        <w:rPr>
          <w:rFonts w:hint="eastAsia" w:ascii="宋体" w:hAnsi="宋体" w:eastAsia="宋体" w:cs="宋体"/>
          <w:spacing w:val="5"/>
          <w:sz w:val="24"/>
          <w:szCs w:val="24"/>
          <w:u w:val="single"/>
          <w:lang w:val="en-US" w:eastAsia="zh-CN"/>
        </w:rPr>
        <w:t xml:space="preserve">                </w:t>
      </w:r>
    </w:p>
    <w:p w14:paraId="5B2F87E6">
      <w:pPr>
        <w:spacing w:before="16" w:line="580" w:lineRule="auto"/>
        <w:ind w:left="2298" w:right="2067" w:hanging="248"/>
        <w:rPr>
          <w:rFonts w:ascii="宋体" w:hAnsi="宋体" w:eastAsia="宋体" w:cs="宋体"/>
          <w:spacing w:val="1"/>
          <w:sz w:val="24"/>
          <w:szCs w:val="24"/>
        </w:rPr>
      </w:pPr>
      <w:r>
        <w:rPr>
          <w:rFonts w:ascii="宋体" w:hAnsi="宋体" w:eastAsia="宋体" w:cs="宋体"/>
          <w:spacing w:val="10"/>
          <w:sz w:val="24"/>
          <w:szCs w:val="24"/>
        </w:rPr>
        <w:t>授权委托人</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color w:val="FF0000"/>
          <w:spacing w:val="-4"/>
          <w:sz w:val="24"/>
          <w:szCs w:val="24"/>
        </w:rPr>
        <w:t>（</w:t>
      </w:r>
      <w:r>
        <w:rPr>
          <w:rFonts w:ascii="宋体" w:hAnsi="宋体" w:eastAsia="宋体" w:cs="宋体"/>
          <w:color w:val="FF0000"/>
          <w:spacing w:val="10"/>
          <w:sz w:val="24"/>
          <w:szCs w:val="24"/>
        </w:rPr>
        <w:t>签字）</w:t>
      </w:r>
      <w:r>
        <w:rPr>
          <w:rFonts w:ascii="宋体" w:hAnsi="宋体" w:eastAsia="宋体" w:cs="宋体"/>
          <w:color w:val="FF0000"/>
          <w:spacing w:val="1"/>
          <w:sz w:val="24"/>
          <w:szCs w:val="24"/>
        </w:rPr>
        <w:t xml:space="preserve"> </w:t>
      </w:r>
    </w:p>
    <w:p w14:paraId="0F1F61A0">
      <w:pPr>
        <w:spacing w:before="16" w:line="580" w:lineRule="auto"/>
        <w:ind w:left="2298" w:right="2067" w:hanging="248"/>
        <w:rPr>
          <w:rFonts w:hint="default" w:ascii="宋体" w:hAnsi="宋体" w:eastAsia="宋体" w:cs="宋体"/>
          <w:sz w:val="24"/>
          <w:szCs w:val="24"/>
          <w:u w:val="single"/>
          <w:lang w:val="en-US" w:eastAsia="zh-CN"/>
        </w:rPr>
      </w:pPr>
      <w:r>
        <w:rPr>
          <w:rFonts w:ascii="宋体" w:hAnsi="宋体" w:eastAsia="宋体" w:cs="宋体"/>
          <w:spacing w:val="5"/>
          <w:sz w:val="24"/>
          <w:szCs w:val="24"/>
        </w:rPr>
        <w:t>身份证号码：</w:t>
      </w:r>
      <w:r>
        <w:rPr>
          <w:rFonts w:hint="eastAsia" w:ascii="宋体" w:hAnsi="宋体" w:eastAsia="宋体" w:cs="宋体"/>
          <w:spacing w:val="5"/>
          <w:sz w:val="24"/>
          <w:szCs w:val="24"/>
          <w:u w:val="single"/>
          <w:lang w:val="en-US" w:eastAsia="zh-CN"/>
        </w:rPr>
        <w:t xml:space="preserve">                 </w:t>
      </w:r>
    </w:p>
    <w:p w14:paraId="040D6CE7">
      <w:pPr>
        <w:spacing w:before="18" w:line="229" w:lineRule="auto"/>
        <w:ind w:firstLine="2106" w:firstLineChars="900"/>
        <w:rPr>
          <w:rFonts w:hint="eastAsia" w:ascii="宋体" w:hAnsi="宋体" w:eastAsia="宋体" w:cs="宋体"/>
          <w:spacing w:val="-3"/>
          <w:sz w:val="24"/>
          <w:szCs w:val="24"/>
        </w:rPr>
      </w:pPr>
      <w:r>
        <w:rPr>
          <w:rFonts w:hint="eastAsia" w:ascii="宋体" w:hAnsi="宋体" w:eastAsia="宋体" w:cs="宋体"/>
          <w:spacing w:val="-3"/>
          <w:sz w:val="24"/>
          <w:szCs w:val="24"/>
        </w:rPr>
        <w:t>日</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期：</w:t>
      </w:r>
      <w:r>
        <w:rPr>
          <w:rFonts w:hint="eastAsia" w:ascii="宋体" w:hAnsi="宋体" w:eastAsia="宋体" w:cs="宋体"/>
          <w:spacing w:val="-3"/>
          <w:sz w:val="24"/>
          <w:szCs w:val="24"/>
          <w:u w:val="single" w:color="auto"/>
        </w:rPr>
        <w:t xml:space="preserve">      </w:t>
      </w:r>
      <w:r>
        <w:rPr>
          <w:rFonts w:hint="eastAsia" w:ascii="宋体" w:hAnsi="宋体" w:eastAsia="宋体" w:cs="宋体"/>
          <w:spacing w:val="-81"/>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93"/>
          <w:sz w:val="24"/>
          <w:szCs w:val="24"/>
        </w:rPr>
        <w:t xml:space="preserve"> </w:t>
      </w:r>
      <w:r>
        <w:rPr>
          <w:rFonts w:hint="eastAsia" w:ascii="宋体" w:hAnsi="宋体" w:eastAsia="宋体" w:cs="宋体"/>
          <w:spacing w:val="12"/>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12"/>
          <w:sz w:val="24"/>
          <w:szCs w:val="24"/>
          <w:u w:val="single" w:color="auto"/>
        </w:rPr>
        <w:t xml:space="preserve">    </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日</w:t>
      </w:r>
    </w:p>
    <w:p w14:paraId="5205DE0E">
      <w:pPr>
        <w:spacing w:before="18" w:line="229" w:lineRule="auto"/>
        <w:ind w:left="2752"/>
        <w:rPr>
          <w:rFonts w:ascii="宋体" w:hAnsi="宋体" w:eastAsia="宋体" w:cs="宋体"/>
          <w:spacing w:val="-3"/>
          <w:sz w:val="19"/>
          <w:szCs w:val="19"/>
        </w:rPr>
      </w:pPr>
    </w:p>
    <w:p w14:paraId="149BA01D">
      <w:pPr>
        <w:spacing w:before="18" w:line="229" w:lineRule="auto"/>
        <w:ind w:left="2752"/>
        <w:rPr>
          <w:rFonts w:ascii="宋体" w:hAnsi="宋体" w:eastAsia="宋体" w:cs="宋体"/>
          <w:spacing w:val="-3"/>
          <w:sz w:val="19"/>
          <w:szCs w:val="19"/>
        </w:rPr>
      </w:pPr>
    </w:p>
    <w:p w14:paraId="371EFA0F">
      <w:pPr>
        <w:spacing w:before="18" w:line="229" w:lineRule="auto"/>
        <w:rPr>
          <w:rFonts w:ascii="宋体" w:hAnsi="宋体" w:eastAsia="宋体" w:cs="宋体"/>
          <w:spacing w:val="-3"/>
          <w:sz w:val="19"/>
          <w:szCs w:val="19"/>
        </w:rPr>
      </w:pPr>
    </w:p>
    <w:p w14:paraId="6C17F10E">
      <w:pPr>
        <w:spacing w:before="116" w:line="226" w:lineRule="auto"/>
        <w:jc w:val="center"/>
        <w:outlineLvl w:val="2"/>
        <w:rPr>
          <w:rFonts w:ascii="宋体" w:hAnsi="宋体" w:eastAsia="宋体" w:cs="宋体"/>
          <w:sz w:val="31"/>
          <w:szCs w:val="31"/>
        </w:rPr>
      </w:pPr>
      <w:r>
        <w:rPr>
          <w:rFonts w:ascii="宋体" w:hAnsi="宋体" w:eastAsia="宋体" w:cs="宋体"/>
          <w:b/>
          <w:bCs/>
          <w:spacing w:val="1"/>
          <w:sz w:val="31"/>
          <w:szCs w:val="31"/>
        </w:rPr>
        <w:t>四、开标一览表</w:t>
      </w:r>
    </w:p>
    <w:p w14:paraId="6EF8F6C9">
      <w:pPr>
        <w:pStyle w:val="7"/>
        <w:spacing w:line="384" w:lineRule="auto"/>
      </w:pPr>
    </w:p>
    <w:p w14:paraId="761F0183">
      <w:pPr>
        <w:spacing w:before="78" w:line="347" w:lineRule="auto"/>
        <w:ind w:left="723" w:right="5838"/>
        <w:rPr>
          <w:rFonts w:ascii="宋体" w:hAnsi="宋体" w:eastAsia="宋体" w:cs="宋体"/>
          <w:sz w:val="24"/>
          <w:szCs w:val="24"/>
        </w:rPr>
      </w:pPr>
      <w:r>
        <w:rPr>
          <w:rFonts w:ascii="宋体" w:hAnsi="宋体" w:eastAsia="宋体" w:cs="宋体"/>
          <w:spacing w:val="-4"/>
          <w:sz w:val="24"/>
          <w:szCs w:val="24"/>
        </w:rPr>
        <w:t>项目名称：</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4"/>
          <w:sz w:val="24"/>
          <w:szCs w:val="24"/>
        </w:rPr>
        <w:t>项目编号：</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011F2608">
      <w:pPr>
        <w:spacing w:before="188"/>
      </w:pPr>
    </w:p>
    <w:tbl>
      <w:tblPr>
        <w:tblStyle w:val="52"/>
        <w:tblW w:w="8095" w:type="dxa"/>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9"/>
        <w:gridCol w:w="1466"/>
        <w:gridCol w:w="1800"/>
        <w:gridCol w:w="1527"/>
        <w:gridCol w:w="1363"/>
      </w:tblGrid>
      <w:tr w14:paraId="0A62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trPr>
        <w:tc>
          <w:tcPr>
            <w:tcW w:w="1939" w:type="dxa"/>
            <w:tcBorders>
              <w:top w:val="single" w:color="000000" w:sz="6" w:space="0"/>
            </w:tcBorders>
            <w:vAlign w:val="center"/>
          </w:tcPr>
          <w:p w14:paraId="4675FE1A">
            <w:pPr>
              <w:spacing w:line="320" w:lineRule="auto"/>
              <w:jc w:val="center"/>
              <w:rPr>
                <w:rFonts w:ascii="Arial"/>
                <w:sz w:val="21"/>
              </w:rPr>
            </w:pPr>
          </w:p>
          <w:p w14:paraId="0C793366">
            <w:pPr>
              <w:pStyle w:val="51"/>
              <w:spacing w:before="65" w:line="229" w:lineRule="auto"/>
              <w:jc w:val="center"/>
              <w:rPr>
                <w:sz w:val="20"/>
                <w:szCs w:val="20"/>
              </w:rPr>
            </w:pPr>
            <w:r>
              <w:rPr>
                <w:rFonts w:hint="eastAsia"/>
                <w:spacing w:val="7"/>
                <w:sz w:val="20"/>
                <w:szCs w:val="20"/>
                <w:lang w:eastAsia="zh-CN"/>
              </w:rPr>
              <w:t>供应商</w:t>
            </w:r>
            <w:r>
              <w:rPr>
                <w:spacing w:val="7"/>
                <w:sz w:val="20"/>
                <w:szCs w:val="20"/>
              </w:rPr>
              <w:t>名称</w:t>
            </w:r>
            <w:r>
              <w:rPr>
                <w:spacing w:val="5"/>
                <w:sz w:val="20"/>
                <w:szCs w:val="20"/>
              </w:rPr>
              <w:t>（盖单位章）</w:t>
            </w:r>
          </w:p>
        </w:tc>
        <w:tc>
          <w:tcPr>
            <w:tcW w:w="1466" w:type="dxa"/>
            <w:tcBorders>
              <w:top w:val="single" w:color="000000" w:sz="6" w:space="0"/>
            </w:tcBorders>
            <w:vAlign w:val="center"/>
          </w:tcPr>
          <w:p w14:paraId="24EBA855">
            <w:pPr>
              <w:spacing w:line="320" w:lineRule="auto"/>
              <w:jc w:val="center"/>
              <w:rPr>
                <w:rFonts w:ascii="Arial"/>
                <w:sz w:val="21"/>
              </w:rPr>
            </w:pPr>
          </w:p>
          <w:p w14:paraId="642B7BF5">
            <w:pPr>
              <w:pStyle w:val="51"/>
              <w:spacing w:before="65" w:line="227" w:lineRule="auto"/>
              <w:jc w:val="center"/>
              <w:rPr>
                <w:sz w:val="20"/>
                <w:szCs w:val="20"/>
              </w:rPr>
            </w:pPr>
            <w:r>
              <w:rPr>
                <w:spacing w:val="6"/>
                <w:sz w:val="20"/>
                <w:szCs w:val="20"/>
              </w:rPr>
              <w:t>投标总价</w:t>
            </w:r>
            <w:r>
              <w:rPr>
                <w:spacing w:val="-1"/>
                <w:sz w:val="20"/>
                <w:szCs w:val="20"/>
              </w:rPr>
              <w:t>（元）</w:t>
            </w:r>
          </w:p>
        </w:tc>
        <w:tc>
          <w:tcPr>
            <w:tcW w:w="1800" w:type="dxa"/>
            <w:tcBorders>
              <w:top w:val="single" w:color="000000" w:sz="6" w:space="0"/>
              <w:right w:val="single" w:color="000000" w:sz="6" w:space="0"/>
            </w:tcBorders>
            <w:vAlign w:val="center"/>
          </w:tcPr>
          <w:p w14:paraId="578315BD">
            <w:pPr>
              <w:spacing w:line="320" w:lineRule="auto"/>
              <w:jc w:val="center"/>
              <w:rPr>
                <w:rFonts w:ascii="Arial"/>
                <w:sz w:val="21"/>
              </w:rPr>
            </w:pPr>
          </w:p>
          <w:p w14:paraId="4182CE65">
            <w:pPr>
              <w:pStyle w:val="51"/>
              <w:spacing w:before="65" w:line="229" w:lineRule="auto"/>
              <w:jc w:val="center"/>
              <w:rPr>
                <w:spacing w:val="8"/>
                <w:sz w:val="20"/>
                <w:szCs w:val="20"/>
              </w:rPr>
            </w:pPr>
            <w:r>
              <w:rPr>
                <w:spacing w:val="8"/>
                <w:sz w:val="20"/>
                <w:szCs w:val="20"/>
              </w:rPr>
              <w:t>投标保证金递交</w:t>
            </w:r>
          </w:p>
          <w:p w14:paraId="1F64A39D">
            <w:pPr>
              <w:pStyle w:val="51"/>
              <w:spacing w:before="65" w:line="229" w:lineRule="auto"/>
              <w:jc w:val="center"/>
              <w:rPr>
                <w:sz w:val="20"/>
                <w:szCs w:val="20"/>
              </w:rPr>
            </w:pPr>
            <w:r>
              <w:rPr>
                <w:spacing w:val="5"/>
                <w:sz w:val="20"/>
                <w:szCs w:val="20"/>
              </w:rPr>
              <w:t>金额（元）</w:t>
            </w:r>
          </w:p>
        </w:tc>
        <w:tc>
          <w:tcPr>
            <w:tcW w:w="1527" w:type="dxa"/>
            <w:tcBorders>
              <w:top w:val="single" w:color="000000" w:sz="6" w:space="0"/>
              <w:left w:val="single" w:color="000000" w:sz="6" w:space="0"/>
            </w:tcBorders>
            <w:vAlign w:val="center"/>
          </w:tcPr>
          <w:p w14:paraId="42C473E8">
            <w:pPr>
              <w:spacing w:line="320" w:lineRule="auto"/>
              <w:jc w:val="center"/>
              <w:rPr>
                <w:rFonts w:ascii="Arial"/>
                <w:sz w:val="21"/>
              </w:rPr>
            </w:pPr>
          </w:p>
          <w:p w14:paraId="5177C403">
            <w:pPr>
              <w:pStyle w:val="51"/>
              <w:spacing w:before="65" w:line="228" w:lineRule="auto"/>
              <w:jc w:val="center"/>
              <w:rPr>
                <w:sz w:val="20"/>
                <w:szCs w:val="20"/>
              </w:rPr>
            </w:pPr>
            <w:r>
              <w:rPr>
                <w:spacing w:val="7"/>
                <w:sz w:val="20"/>
                <w:szCs w:val="20"/>
              </w:rPr>
              <w:t>服务期限</w:t>
            </w:r>
          </w:p>
        </w:tc>
        <w:tc>
          <w:tcPr>
            <w:tcW w:w="1363" w:type="dxa"/>
            <w:tcBorders>
              <w:top w:val="single" w:color="000000" w:sz="6" w:space="0"/>
            </w:tcBorders>
            <w:vAlign w:val="center"/>
          </w:tcPr>
          <w:p w14:paraId="054DC927">
            <w:pPr>
              <w:spacing w:line="320" w:lineRule="auto"/>
              <w:jc w:val="center"/>
              <w:rPr>
                <w:rFonts w:ascii="Arial"/>
                <w:sz w:val="21"/>
              </w:rPr>
            </w:pPr>
          </w:p>
          <w:p w14:paraId="42217CB4">
            <w:pPr>
              <w:pStyle w:val="51"/>
              <w:spacing w:before="65" w:line="228" w:lineRule="auto"/>
              <w:jc w:val="center"/>
              <w:rPr>
                <w:sz w:val="20"/>
                <w:szCs w:val="20"/>
              </w:rPr>
            </w:pPr>
            <w:r>
              <w:rPr>
                <w:spacing w:val="6"/>
                <w:sz w:val="20"/>
                <w:szCs w:val="20"/>
              </w:rPr>
              <w:t>服务标</w:t>
            </w:r>
            <w:r>
              <w:rPr>
                <w:sz w:val="20"/>
                <w:szCs w:val="20"/>
              </w:rPr>
              <w:t>准</w:t>
            </w:r>
          </w:p>
        </w:tc>
      </w:tr>
      <w:tr w14:paraId="4C9CB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1939" w:type="dxa"/>
            <w:vAlign w:val="top"/>
          </w:tcPr>
          <w:p w14:paraId="216A9B38">
            <w:pPr>
              <w:rPr>
                <w:rFonts w:ascii="Arial"/>
                <w:sz w:val="21"/>
              </w:rPr>
            </w:pPr>
          </w:p>
        </w:tc>
        <w:tc>
          <w:tcPr>
            <w:tcW w:w="1466" w:type="dxa"/>
            <w:vAlign w:val="top"/>
          </w:tcPr>
          <w:p w14:paraId="0D9ACF46">
            <w:pPr>
              <w:rPr>
                <w:rFonts w:ascii="Arial"/>
                <w:sz w:val="21"/>
              </w:rPr>
            </w:pPr>
          </w:p>
        </w:tc>
        <w:tc>
          <w:tcPr>
            <w:tcW w:w="1800" w:type="dxa"/>
            <w:tcBorders>
              <w:right w:val="single" w:color="000000" w:sz="6" w:space="0"/>
            </w:tcBorders>
            <w:vAlign w:val="top"/>
          </w:tcPr>
          <w:p w14:paraId="19BAF945">
            <w:pPr>
              <w:rPr>
                <w:rFonts w:ascii="Arial"/>
                <w:sz w:val="21"/>
              </w:rPr>
            </w:pPr>
          </w:p>
        </w:tc>
        <w:tc>
          <w:tcPr>
            <w:tcW w:w="1527" w:type="dxa"/>
            <w:tcBorders>
              <w:left w:val="single" w:color="000000" w:sz="6" w:space="0"/>
            </w:tcBorders>
            <w:vAlign w:val="top"/>
          </w:tcPr>
          <w:p w14:paraId="66AC685C">
            <w:pPr>
              <w:rPr>
                <w:rFonts w:ascii="Arial"/>
                <w:sz w:val="21"/>
              </w:rPr>
            </w:pPr>
          </w:p>
        </w:tc>
        <w:tc>
          <w:tcPr>
            <w:tcW w:w="1363" w:type="dxa"/>
            <w:vAlign w:val="top"/>
          </w:tcPr>
          <w:p w14:paraId="76D47FCA">
            <w:pPr>
              <w:rPr>
                <w:rFonts w:ascii="Arial"/>
                <w:sz w:val="21"/>
              </w:rPr>
            </w:pPr>
          </w:p>
        </w:tc>
      </w:tr>
    </w:tbl>
    <w:p w14:paraId="4CF32041">
      <w:pPr>
        <w:pStyle w:val="7"/>
        <w:spacing w:line="250" w:lineRule="auto"/>
      </w:pPr>
    </w:p>
    <w:p w14:paraId="37CF1C06">
      <w:pPr>
        <w:pStyle w:val="7"/>
        <w:spacing w:line="251" w:lineRule="auto"/>
      </w:pPr>
    </w:p>
    <w:p w14:paraId="65B1792A">
      <w:pPr>
        <w:pStyle w:val="7"/>
        <w:spacing w:line="251" w:lineRule="auto"/>
      </w:pPr>
    </w:p>
    <w:p w14:paraId="1E8203CA">
      <w:pPr>
        <w:spacing w:before="65" w:line="228" w:lineRule="auto"/>
        <w:ind w:left="15"/>
        <w:outlineLvl w:val="3"/>
        <w:rPr>
          <w:rFonts w:ascii="宋体" w:hAnsi="宋体" w:eastAsia="宋体" w:cs="宋体"/>
          <w:sz w:val="24"/>
          <w:szCs w:val="24"/>
        </w:rPr>
      </w:pPr>
      <w:r>
        <w:rPr>
          <w:rFonts w:ascii="宋体" w:hAnsi="宋体" w:eastAsia="宋体" w:cs="宋体"/>
          <w:spacing w:val="2"/>
          <w:sz w:val="24"/>
          <w:szCs w:val="24"/>
        </w:rPr>
        <w:t>说明：</w:t>
      </w:r>
    </w:p>
    <w:p w14:paraId="7371497A">
      <w:pPr>
        <w:spacing w:before="184" w:line="219" w:lineRule="auto"/>
        <w:rPr>
          <w:rFonts w:ascii="宋体" w:hAnsi="宋体" w:eastAsia="宋体" w:cs="宋体"/>
          <w:sz w:val="24"/>
          <w:szCs w:val="24"/>
        </w:rPr>
      </w:pPr>
      <w:r>
        <w:rPr>
          <w:rFonts w:ascii="宋体" w:hAnsi="宋体" w:eastAsia="宋体" w:cs="宋体"/>
          <w:spacing w:val="-1"/>
          <w:sz w:val="24"/>
          <w:szCs w:val="24"/>
        </w:rPr>
        <w:t>“开标一览表</w:t>
      </w:r>
      <w:r>
        <w:rPr>
          <w:rFonts w:ascii="宋体" w:hAnsi="宋体" w:eastAsia="宋体" w:cs="宋体"/>
          <w:spacing w:val="-78"/>
          <w:sz w:val="24"/>
          <w:szCs w:val="24"/>
        </w:rPr>
        <w:t xml:space="preserve"> </w:t>
      </w:r>
      <w:r>
        <w:rPr>
          <w:rFonts w:ascii="宋体" w:hAnsi="宋体" w:eastAsia="宋体" w:cs="宋体"/>
          <w:spacing w:val="-1"/>
          <w:sz w:val="24"/>
          <w:szCs w:val="24"/>
        </w:rPr>
        <w:t>”是投标文件的组成部分，必须按要求签署和加盖公章，否则为无效投标。</w:t>
      </w:r>
    </w:p>
    <w:p w14:paraId="36C1A52F">
      <w:pPr>
        <w:pStyle w:val="7"/>
        <w:spacing w:line="259" w:lineRule="auto"/>
        <w:rPr>
          <w:sz w:val="24"/>
          <w:szCs w:val="24"/>
        </w:rPr>
      </w:pPr>
    </w:p>
    <w:p w14:paraId="4D722977">
      <w:pPr>
        <w:pStyle w:val="7"/>
        <w:spacing w:line="259" w:lineRule="auto"/>
        <w:rPr>
          <w:sz w:val="24"/>
          <w:szCs w:val="24"/>
        </w:rPr>
      </w:pPr>
    </w:p>
    <w:p w14:paraId="5ACA225A">
      <w:pPr>
        <w:pStyle w:val="7"/>
        <w:spacing w:line="260" w:lineRule="auto"/>
        <w:rPr>
          <w:sz w:val="24"/>
          <w:szCs w:val="24"/>
        </w:rPr>
      </w:pPr>
    </w:p>
    <w:p w14:paraId="201BEC87">
      <w:pPr>
        <w:spacing w:before="61" w:line="228" w:lineRule="auto"/>
        <w:ind w:firstLine="2400" w:firstLineChars="1000"/>
        <w:rPr>
          <w:rFonts w:ascii="宋体" w:hAnsi="宋体" w:eastAsia="宋体" w:cs="宋体"/>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15"/>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1"/>
          <w:sz w:val="24"/>
          <w:szCs w:val="24"/>
        </w:rPr>
        <w:t>盖单位公章）</w:t>
      </w:r>
    </w:p>
    <w:p w14:paraId="3A6073D9">
      <w:pPr>
        <w:pStyle w:val="7"/>
        <w:spacing w:line="278" w:lineRule="auto"/>
        <w:rPr>
          <w:sz w:val="24"/>
          <w:szCs w:val="24"/>
        </w:rPr>
      </w:pPr>
    </w:p>
    <w:p w14:paraId="5E807DD6">
      <w:pPr>
        <w:pStyle w:val="7"/>
        <w:spacing w:line="278" w:lineRule="auto"/>
        <w:rPr>
          <w:sz w:val="24"/>
          <w:szCs w:val="24"/>
        </w:rPr>
      </w:pPr>
    </w:p>
    <w:p w14:paraId="0692BB26">
      <w:pPr>
        <w:spacing w:before="63" w:line="229" w:lineRule="auto"/>
        <w:ind w:firstLine="2340" w:firstLineChars="900"/>
        <w:rPr>
          <w:rFonts w:ascii="宋体" w:hAnsi="宋体" w:eastAsia="宋体" w:cs="宋体"/>
          <w:sz w:val="24"/>
          <w:szCs w:val="24"/>
        </w:rPr>
      </w:pPr>
      <w:r>
        <w:rPr>
          <w:rFonts w:hint="eastAsia" w:ascii="宋体" w:hAnsi="宋体"/>
          <w:sz w:val="26"/>
        </w:rPr>
        <w:t>法定代表人或其委托代理人</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ascii="宋体" w:hAnsi="宋体" w:eastAsia="宋体" w:cs="宋体"/>
          <w:spacing w:val="11"/>
          <w:sz w:val="24"/>
          <w:szCs w:val="24"/>
        </w:rPr>
        <w:t>）</w:t>
      </w:r>
    </w:p>
    <w:p w14:paraId="374DBECC">
      <w:pPr>
        <w:pStyle w:val="7"/>
        <w:spacing w:line="277" w:lineRule="auto"/>
        <w:rPr>
          <w:sz w:val="24"/>
          <w:szCs w:val="24"/>
        </w:rPr>
      </w:pPr>
    </w:p>
    <w:p w14:paraId="2942B519">
      <w:pPr>
        <w:pStyle w:val="7"/>
        <w:spacing w:line="278" w:lineRule="auto"/>
        <w:rPr>
          <w:sz w:val="24"/>
          <w:szCs w:val="24"/>
        </w:rPr>
      </w:pPr>
    </w:p>
    <w:p w14:paraId="2189F026">
      <w:pPr>
        <w:spacing w:before="62" w:line="229" w:lineRule="auto"/>
        <w:ind w:firstLine="2300" w:firstLineChars="1000"/>
        <w:rPr>
          <w:rFonts w:ascii="宋体" w:hAnsi="宋体" w:eastAsia="宋体" w:cs="宋体"/>
          <w:sz w:val="24"/>
          <w:szCs w:val="24"/>
        </w:rPr>
      </w:pPr>
      <w:r>
        <w:rPr>
          <w:rFonts w:ascii="宋体" w:hAnsi="宋体" w:eastAsia="宋体" w:cs="宋体"/>
          <w:spacing w:val="-5"/>
          <w:sz w:val="24"/>
          <w:szCs w:val="24"/>
        </w:rPr>
        <w:t>日</w:t>
      </w:r>
      <w:r>
        <w:rPr>
          <w:rFonts w:ascii="宋体" w:hAnsi="宋体" w:eastAsia="宋体" w:cs="宋体"/>
          <w:spacing w:val="4"/>
          <w:sz w:val="24"/>
          <w:szCs w:val="24"/>
        </w:rPr>
        <w:t xml:space="preserve">      </w:t>
      </w:r>
      <w:r>
        <w:rPr>
          <w:rFonts w:ascii="宋体" w:hAnsi="宋体" w:eastAsia="宋体" w:cs="宋体"/>
          <w:spacing w:val="-5"/>
          <w:sz w:val="24"/>
          <w:szCs w:val="24"/>
        </w:rPr>
        <w:t>期：</w:t>
      </w:r>
      <w:r>
        <w:rPr>
          <w:rFonts w:ascii="宋体" w:hAnsi="宋体" w:eastAsia="宋体" w:cs="宋体"/>
          <w:spacing w:val="1"/>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5"/>
          <w:sz w:val="24"/>
          <w:szCs w:val="24"/>
        </w:rPr>
        <w:t>年</w:t>
      </w:r>
      <w:r>
        <w:rPr>
          <w:rFonts w:ascii="宋体" w:hAnsi="宋体" w:eastAsia="宋体" w:cs="宋体"/>
          <w:spacing w:val="-94"/>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5"/>
          <w:sz w:val="24"/>
          <w:szCs w:val="24"/>
        </w:rPr>
        <w:t>月</w:t>
      </w:r>
      <w:r>
        <w:rPr>
          <w:rFonts w:ascii="宋体" w:hAnsi="宋体" w:eastAsia="宋体" w:cs="宋体"/>
          <w:spacing w:val="-93"/>
          <w:sz w:val="24"/>
          <w:szCs w:val="24"/>
        </w:rPr>
        <w:t xml:space="preserve"> </w:t>
      </w:r>
      <w:r>
        <w:rPr>
          <w:rFonts w:ascii="宋体" w:hAnsi="宋体" w:eastAsia="宋体" w:cs="宋体"/>
          <w:spacing w:val="11"/>
          <w:sz w:val="24"/>
          <w:szCs w:val="24"/>
          <w:u w:val="single" w:color="auto"/>
        </w:rPr>
        <w:t xml:space="preserve">   </w:t>
      </w:r>
      <w:r>
        <w:rPr>
          <w:rFonts w:hint="eastAsia" w:ascii="宋体" w:hAnsi="宋体" w:eastAsia="宋体" w:cs="宋体"/>
          <w:spacing w:val="11"/>
          <w:sz w:val="24"/>
          <w:szCs w:val="24"/>
          <w:u w:val="single" w:color="auto"/>
          <w:lang w:val="en-US" w:eastAsia="zh-CN"/>
        </w:rPr>
        <w:t xml:space="preserve">  </w:t>
      </w:r>
      <w:r>
        <w:rPr>
          <w:rFonts w:ascii="宋体" w:hAnsi="宋体" w:eastAsia="宋体" w:cs="宋体"/>
          <w:spacing w:val="11"/>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5"/>
          <w:sz w:val="24"/>
          <w:szCs w:val="24"/>
        </w:rPr>
        <w:t>日</w:t>
      </w:r>
    </w:p>
    <w:p w14:paraId="46CBD34D">
      <w:pPr>
        <w:spacing w:line="229" w:lineRule="auto"/>
        <w:rPr>
          <w:rFonts w:ascii="宋体" w:hAnsi="宋体" w:eastAsia="宋体" w:cs="宋体"/>
          <w:sz w:val="19"/>
          <w:szCs w:val="19"/>
        </w:rPr>
        <w:sectPr>
          <w:footerReference r:id="rId7" w:type="default"/>
          <w:pgSz w:w="11910" w:h="16850"/>
          <w:pgMar w:top="1432" w:right="1701" w:bottom="1417" w:left="1701" w:header="1134" w:footer="1134" w:gutter="0"/>
          <w:pgNumType w:fmt="decimal"/>
          <w:cols w:space="720" w:num="1"/>
        </w:sectPr>
      </w:pPr>
    </w:p>
    <w:p w14:paraId="6FFCFDD3">
      <w:pPr>
        <w:spacing w:before="170" w:line="219" w:lineRule="auto"/>
        <w:ind w:left="2799"/>
        <w:rPr>
          <w:rFonts w:ascii="宋体" w:hAnsi="宋体" w:eastAsia="宋体" w:cs="宋体"/>
          <w:b/>
          <w:bCs/>
          <w:spacing w:val="-4"/>
          <w:sz w:val="30"/>
          <w:szCs w:val="30"/>
        </w:rPr>
      </w:pPr>
    </w:p>
    <w:p w14:paraId="0ACBB4C9">
      <w:pPr>
        <w:spacing w:before="170" w:line="219" w:lineRule="auto"/>
        <w:ind w:left="2799"/>
        <w:rPr>
          <w:rFonts w:ascii="宋体" w:hAnsi="宋体" w:eastAsia="宋体" w:cs="宋体"/>
          <w:sz w:val="30"/>
          <w:szCs w:val="30"/>
        </w:rPr>
      </w:pPr>
      <w:r>
        <w:rPr>
          <w:rFonts w:ascii="宋体" w:hAnsi="宋体" w:eastAsia="宋体" w:cs="宋体"/>
          <w:b/>
          <w:bCs/>
          <w:spacing w:val="-4"/>
          <w:sz w:val="30"/>
          <w:szCs w:val="30"/>
        </w:rPr>
        <w:t>五、投标报价及明细</w:t>
      </w:r>
    </w:p>
    <w:p w14:paraId="4AF07FA9">
      <w:pPr>
        <w:pStyle w:val="7"/>
        <w:spacing w:line="343" w:lineRule="auto"/>
      </w:pPr>
    </w:p>
    <w:p w14:paraId="77D7A850">
      <w:pPr>
        <w:spacing w:before="78" w:line="219" w:lineRule="auto"/>
        <w:ind w:left="3706"/>
        <w:rPr>
          <w:rFonts w:ascii="宋体" w:hAnsi="宋体" w:eastAsia="宋体" w:cs="宋体"/>
          <w:sz w:val="28"/>
          <w:szCs w:val="28"/>
        </w:rPr>
      </w:pPr>
      <w:r>
        <w:rPr>
          <w:rFonts w:ascii="宋体" w:hAnsi="宋体" w:eastAsia="宋体" w:cs="宋体"/>
          <w:spacing w:val="-3"/>
          <w:sz w:val="28"/>
          <w:szCs w:val="28"/>
        </w:rPr>
        <w:t>格式自拟</w:t>
      </w:r>
    </w:p>
    <w:p w14:paraId="17C43067">
      <w:pPr>
        <w:spacing w:line="219" w:lineRule="auto"/>
        <w:rPr>
          <w:rFonts w:ascii="宋体" w:hAnsi="宋体" w:eastAsia="宋体" w:cs="宋体"/>
          <w:sz w:val="24"/>
          <w:szCs w:val="24"/>
        </w:rPr>
        <w:sectPr>
          <w:footerReference r:id="rId8" w:type="default"/>
          <w:pgSz w:w="11910" w:h="16850"/>
          <w:pgMar w:top="1432" w:right="1786" w:bottom="868" w:left="1786" w:header="1134" w:footer="1134" w:gutter="0"/>
          <w:pgNumType w:fmt="decimal"/>
          <w:cols w:space="720" w:num="1"/>
        </w:sectPr>
      </w:pPr>
    </w:p>
    <w:p w14:paraId="7C7D42CE">
      <w:pPr>
        <w:spacing w:before="113" w:line="221" w:lineRule="auto"/>
        <w:rPr>
          <w:rFonts w:ascii="宋体" w:hAnsi="宋体" w:eastAsia="宋体" w:cs="宋体"/>
          <w:b/>
          <w:bCs/>
          <w:spacing w:val="-5"/>
          <w:sz w:val="30"/>
          <w:szCs w:val="30"/>
        </w:rPr>
      </w:pPr>
    </w:p>
    <w:p w14:paraId="1F480666">
      <w:pPr>
        <w:spacing w:before="113" w:line="221" w:lineRule="auto"/>
        <w:ind w:left="2948" w:firstLine="582" w:firstLineChars="200"/>
        <w:rPr>
          <w:rFonts w:ascii="宋体" w:hAnsi="宋体" w:eastAsia="宋体" w:cs="宋体"/>
          <w:sz w:val="30"/>
          <w:szCs w:val="30"/>
        </w:rPr>
      </w:pPr>
      <w:r>
        <w:rPr>
          <w:rFonts w:ascii="宋体" w:hAnsi="宋体" w:eastAsia="宋体" w:cs="宋体"/>
          <w:b/>
          <w:bCs/>
          <w:spacing w:val="-5"/>
          <w:sz w:val="30"/>
          <w:szCs w:val="30"/>
        </w:rPr>
        <w:t>六、项目实施方案</w:t>
      </w:r>
    </w:p>
    <w:p w14:paraId="71912BF6">
      <w:pPr>
        <w:pStyle w:val="7"/>
        <w:spacing w:line="365" w:lineRule="auto"/>
      </w:pPr>
    </w:p>
    <w:p w14:paraId="640D5DC0">
      <w:pPr>
        <w:spacing w:before="78" w:line="227" w:lineRule="auto"/>
        <w:ind w:left="3700" w:firstLine="550" w:firstLineChars="200"/>
        <w:outlineLvl w:val="2"/>
        <w:rPr>
          <w:rFonts w:hint="eastAsia" w:ascii="宋体" w:hAnsi="宋体" w:eastAsia="宋体" w:cs="宋体"/>
          <w:sz w:val="28"/>
          <w:szCs w:val="28"/>
        </w:rPr>
      </w:pPr>
      <w:r>
        <w:rPr>
          <w:rFonts w:hint="eastAsia" w:ascii="宋体" w:hAnsi="宋体" w:eastAsia="宋体" w:cs="宋体"/>
          <w:b/>
          <w:bCs/>
          <w:spacing w:val="-3"/>
          <w:sz w:val="28"/>
          <w:szCs w:val="28"/>
        </w:rPr>
        <w:t>格式自拟</w:t>
      </w:r>
    </w:p>
    <w:p w14:paraId="2A2C5C87">
      <w:pPr>
        <w:spacing w:before="18" w:line="229" w:lineRule="auto"/>
        <w:rPr>
          <w:rFonts w:ascii="宋体" w:hAnsi="宋体" w:eastAsia="宋体" w:cs="宋体"/>
          <w:spacing w:val="-3"/>
          <w:sz w:val="19"/>
          <w:szCs w:val="19"/>
        </w:rPr>
      </w:pPr>
    </w:p>
    <w:p w14:paraId="5718D571">
      <w:pPr>
        <w:spacing w:before="18" w:line="229" w:lineRule="auto"/>
        <w:rPr>
          <w:rFonts w:ascii="宋体" w:hAnsi="宋体" w:eastAsia="宋体" w:cs="宋体"/>
          <w:spacing w:val="-3"/>
          <w:sz w:val="19"/>
          <w:szCs w:val="19"/>
        </w:rPr>
      </w:pPr>
    </w:p>
    <w:p w14:paraId="2E2E9D23">
      <w:pPr>
        <w:spacing w:before="18" w:line="229" w:lineRule="auto"/>
        <w:rPr>
          <w:rFonts w:ascii="宋体" w:hAnsi="宋体" w:eastAsia="宋体" w:cs="宋体"/>
          <w:spacing w:val="-3"/>
          <w:sz w:val="19"/>
          <w:szCs w:val="19"/>
        </w:rPr>
      </w:pPr>
    </w:p>
    <w:p w14:paraId="3760EC2F">
      <w:pPr>
        <w:spacing w:before="18" w:line="229" w:lineRule="auto"/>
        <w:rPr>
          <w:rFonts w:ascii="宋体" w:hAnsi="宋体" w:eastAsia="宋体" w:cs="宋体"/>
          <w:spacing w:val="-3"/>
          <w:sz w:val="19"/>
          <w:szCs w:val="19"/>
        </w:rPr>
      </w:pPr>
    </w:p>
    <w:p w14:paraId="3007FA18">
      <w:pPr>
        <w:spacing w:before="18" w:line="229" w:lineRule="auto"/>
        <w:rPr>
          <w:rFonts w:ascii="宋体" w:hAnsi="宋体" w:eastAsia="宋体" w:cs="宋体"/>
          <w:spacing w:val="-3"/>
          <w:sz w:val="19"/>
          <w:szCs w:val="19"/>
        </w:rPr>
      </w:pPr>
    </w:p>
    <w:p w14:paraId="17B1824F">
      <w:pPr>
        <w:spacing w:before="18" w:line="229" w:lineRule="auto"/>
        <w:rPr>
          <w:rFonts w:ascii="宋体" w:hAnsi="宋体" w:eastAsia="宋体" w:cs="宋体"/>
          <w:spacing w:val="-3"/>
          <w:sz w:val="19"/>
          <w:szCs w:val="19"/>
        </w:rPr>
      </w:pPr>
    </w:p>
    <w:p w14:paraId="7A67B513">
      <w:pPr>
        <w:spacing w:before="18" w:line="229" w:lineRule="auto"/>
        <w:rPr>
          <w:rFonts w:ascii="宋体" w:hAnsi="宋体" w:eastAsia="宋体" w:cs="宋体"/>
          <w:spacing w:val="-3"/>
          <w:sz w:val="19"/>
          <w:szCs w:val="19"/>
        </w:rPr>
      </w:pPr>
    </w:p>
    <w:p w14:paraId="6F41382A">
      <w:pPr>
        <w:spacing w:before="18" w:line="229" w:lineRule="auto"/>
        <w:rPr>
          <w:rFonts w:ascii="宋体" w:hAnsi="宋体" w:eastAsia="宋体" w:cs="宋体"/>
          <w:spacing w:val="-3"/>
          <w:sz w:val="19"/>
          <w:szCs w:val="19"/>
        </w:rPr>
      </w:pPr>
    </w:p>
    <w:p w14:paraId="46E72341">
      <w:pPr>
        <w:spacing w:before="18" w:line="229" w:lineRule="auto"/>
        <w:rPr>
          <w:rFonts w:ascii="宋体" w:hAnsi="宋体" w:eastAsia="宋体" w:cs="宋体"/>
          <w:spacing w:val="-3"/>
          <w:sz w:val="19"/>
          <w:szCs w:val="19"/>
        </w:rPr>
      </w:pPr>
    </w:p>
    <w:p w14:paraId="2DDF0FC1">
      <w:pPr>
        <w:spacing w:before="18" w:line="229" w:lineRule="auto"/>
        <w:rPr>
          <w:rFonts w:ascii="宋体" w:hAnsi="宋体" w:eastAsia="宋体" w:cs="宋体"/>
          <w:spacing w:val="-3"/>
          <w:sz w:val="19"/>
          <w:szCs w:val="19"/>
        </w:rPr>
      </w:pPr>
    </w:p>
    <w:p w14:paraId="1ACCAFBF">
      <w:pPr>
        <w:spacing w:before="18" w:line="229" w:lineRule="auto"/>
        <w:rPr>
          <w:rFonts w:ascii="宋体" w:hAnsi="宋体" w:eastAsia="宋体" w:cs="宋体"/>
          <w:spacing w:val="-3"/>
          <w:sz w:val="19"/>
          <w:szCs w:val="19"/>
        </w:rPr>
      </w:pPr>
    </w:p>
    <w:p w14:paraId="65896D0A">
      <w:pPr>
        <w:spacing w:before="18" w:line="229" w:lineRule="auto"/>
        <w:rPr>
          <w:rFonts w:ascii="宋体" w:hAnsi="宋体" w:eastAsia="宋体" w:cs="宋体"/>
          <w:spacing w:val="-3"/>
          <w:sz w:val="19"/>
          <w:szCs w:val="19"/>
        </w:rPr>
      </w:pPr>
    </w:p>
    <w:p w14:paraId="0514ADFD">
      <w:pPr>
        <w:spacing w:before="18" w:line="229" w:lineRule="auto"/>
        <w:rPr>
          <w:rFonts w:ascii="宋体" w:hAnsi="宋体" w:eastAsia="宋体" w:cs="宋体"/>
          <w:spacing w:val="-3"/>
          <w:sz w:val="19"/>
          <w:szCs w:val="19"/>
        </w:rPr>
      </w:pPr>
    </w:p>
    <w:p w14:paraId="422D6369">
      <w:pPr>
        <w:spacing w:before="18" w:line="229" w:lineRule="auto"/>
        <w:rPr>
          <w:rFonts w:ascii="宋体" w:hAnsi="宋体" w:eastAsia="宋体" w:cs="宋体"/>
          <w:spacing w:val="-3"/>
          <w:sz w:val="19"/>
          <w:szCs w:val="19"/>
        </w:rPr>
      </w:pPr>
    </w:p>
    <w:p w14:paraId="2AD97F36">
      <w:pPr>
        <w:spacing w:before="18" w:line="229" w:lineRule="auto"/>
        <w:rPr>
          <w:rFonts w:ascii="宋体" w:hAnsi="宋体" w:eastAsia="宋体" w:cs="宋体"/>
          <w:spacing w:val="-3"/>
          <w:sz w:val="19"/>
          <w:szCs w:val="19"/>
        </w:rPr>
      </w:pPr>
    </w:p>
    <w:p w14:paraId="2B8E6B0C">
      <w:pPr>
        <w:spacing w:before="18" w:line="229" w:lineRule="auto"/>
        <w:rPr>
          <w:rFonts w:ascii="宋体" w:hAnsi="宋体" w:eastAsia="宋体" w:cs="宋体"/>
          <w:spacing w:val="-3"/>
          <w:sz w:val="19"/>
          <w:szCs w:val="19"/>
        </w:rPr>
      </w:pPr>
    </w:p>
    <w:p w14:paraId="68AB82AC">
      <w:pPr>
        <w:spacing w:before="18" w:line="229" w:lineRule="auto"/>
        <w:rPr>
          <w:rFonts w:ascii="宋体" w:hAnsi="宋体" w:eastAsia="宋体" w:cs="宋体"/>
          <w:spacing w:val="-3"/>
          <w:sz w:val="19"/>
          <w:szCs w:val="19"/>
        </w:rPr>
      </w:pPr>
    </w:p>
    <w:p w14:paraId="7D3CC8EA">
      <w:pPr>
        <w:spacing w:before="18" w:line="229" w:lineRule="auto"/>
        <w:rPr>
          <w:rFonts w:ascii="宋体" w:hAnsi="宋体" w:eastAsia="宋体" w:cs="宋体"/>
          <w:spacing w:val="-3"/>
          <w:sz w:val="19"/>
          <w:szCs w:val="19"/>
        </w:rPr>
      </w:pPr>
    </w:p>
    <w:p w14:paraId="63608C7D">
      <w:pPr>
        <w:spacing w:before="18" w:line="229" w:lineRule="auto"/>
        <w:rPr>
          <w:rFonts w:ascii="宋体" w:hAnsi="宋体" w:eastAsia="宋体" w:cs="宋体"/>
          <w:spacing w:val="-3"/>
          <w:sz w:val="19"/>
          <w:szCs w:val="19"/>
        </w:rPr>
      </w:pPr>
    </w:p>
    <w:p w14:paraId="39A2C053">
      <w:pPr>
        <w:spacing w:before="18" w:line="229" w:lineRule="auto"/>
        <w:rPr>
          <w:rFonts w:ascii="宋体" w:hAnsi="宋体" w:eastAsia="宋体" w:cs="宋体"/>
          <w:spacing w:val="-3"/>
          <w:sz w:val="19"/>
          <w:szCs w:val="19"/>
        </w:rPr>
      </w:pPr>
    </w:p>
    <w:p w14:paraId="7D36A03B">
      <w:pPr>
        <w:spacing w:before="18" w:line="229" w:lineRule="auto"/>
        <w:rPr>
          <w:rFonts w:ascii="宋体" w:hAnsi="宋体" w:eastAsia="宋体" w:cs="宋体"/>
          <w:spacing w:val="-3"/>
          <w:sz w:val="19"/>
          <w:szCs w:val="19"/>
        </w:rPr>
      </w:pPr>
    </w:p>
    <w:p w14:paraId="3E32B1A7">
      <w:pPr>
        <w:spacing w:before="18" w:line="229" w:lineRule="auto"/>
        <w:rPr>
          <w:rFonts w:ascii="宋体" w:hAnsi="宋体" w:eastAsia="宋体" w:cs="宋体"/>
          <w:spacing w:val="-3"/>
          <w:sz w:val="19"/>
          <w:szCs w:val="19"/>
        </w:rPr>
      </w:pPr>
    </w:p>
    <w:p w14:paraId="19B2CEF9">
      <w:pPr>
        <w:spacing w:before="18" w:line="229" w:lineRule="auto"/>
        <w:rPr>
          <w:rFonts w:ascii="宋体" w:hAnsi="宋体" w:eastAsia="宋体" w:cs="宋体"/>
          <w:spacing w:val="-3"/>
          <w:sz w:val="19"/>
          <w:szCs w:val="19"/>
        </w:rPr>
      </w:pPr>
    </w:p>
    <w:p w14:paraId="556AF3CF">
      <w:pPr>
        <w:spacing w:before="18" w:line="229" w:lineRule="auto"/>
        <w:rPr>
          <w:rFonts w:ascii="宋体" w:hAnsi="宋体" w:eastAsia="宋体" w:cs="宋体"/>
          <w:spacing w:val="-3"/>
          <w:sz w:val="19"/>
          <w:szCs w:val="19"/>
        </w:rPr>
      </w:pPr>
    </w:p>
    <w:p w14:paraId="55D6D055">
      <w:pPr>
        <w:spacing w:before="18" w:line="229" w:lineRule="auto"/>
        <w:rPr>
          <w:rFonts w:ascii="宋体" w:hAnsi="宋体" w:eastAsia="宋体" w:cs="宋体"/>
          <w:spacing w:val="-3"/>
          <w:sz w:val="19"/>
          <w:szCs w:val="19"/>
        </w:rPr>
      </w:pPr>
    </w:p>
    <w:p w14:paraId="19E773A9">
      <w:pPr>
        <w:spacing w:before="18" w:line="229" w:lineRule="auto"/>
        <w:rPr>
          <w:rFonts w:ascii="宋体" w:hAnsi="宋体" w:eastAsia="宋体" w:cs="宋体"/>
          <w:spacing w:val="-3"/>
          <w:sz w:val="19"/>
          <w:szCs w:val="19"/>
        </w:rPr>
      </w:pPr>
    </w:p>
    <w:p w14:paraId="4A46CF2F">
      <w:pPr>
        <w:spacing w:before="18" w:line="229" w:lineRule="auto"/>
        <w:rPr>
          <w:rFonts w:ascii="宋体" w:hAnsi="宋体" w:eastAsia="宋体" w:cs="宋体"/>
          <w:spacing w:val="-3"/>
          <w:sz w:val="19"/>
          <w:szCs w:val="19"/>
        </w:rPr>
      </w:pPr>
    </w:p>
    <w:p w14:paraId="795C1502">
      <w:pPr>
        <w:spacing w:before="18" w:line="229" w:lineRule="auto"/>
        <w:rPr>
          <w:rFonts w:ascii="宋体" w:hAnsi="宋体" w:eastAsia="宋体" w:cs="宋体"/>
          <w:spacing w:val="-3"/>
          <w:sz w:val="19"/>
          <w:szCs w:val="19"/>
        </w:rPr>
      </w:pPr>
    </w:p>
    <w:p w14:paraId="4830817D">
      <w:pPr>
        <w:spacing w:before="18" w:line="229" w:lineRule="auto"/>
        <w:rPr>
          <w:rFonts w:ascii="宋体" w:hAnsi="宋体" w:eastAsia="宋体" w:cs="宋体"/>
          <w:spacing w:val="-3"/>
          <w:sz w:val="19"/>
          <w:szCs w:val="19"/>
        </w:rPr>
      </w:pPr>
    </w:p>
    <w:p w14:paraId="3073486D">
      <w:pPr>
        <w:spacing w:before="18" w:line="229" w:lineRule="auto"/>
        <w:rPr>
          <w:rFonts w:ascii="宋体" w:hAnsi="宋体" w:eastAsia="宋体" w:cs="宋体"/>
          <w:spacing w:val="-3"/>
          <w:sz w:val="19"/>
          <w:szCs w:val="19"/>
        </w:rPr>
      </w:pPr>
    </w:p>
    <w:p w14:paraId="1ED951D1">
      <w:pPr>
        <w:spacing w:before="18" w:line="229" w:lineRule="auto"/>
        <w:rPr>
          <w:rFonts w:ascii="宋体" w:hAnsi="宋体" w:eastAsia="宋体" w:cs="宋体"/>
          <w:spacing w:val="-3"/>
          <w:sz w:val="19"/>
          <w:szCs w:val="19"/>
        </w:rPr>
      </w:pPr>
    </w:p>
    <w:p w14:paraId="6757A45E">
      <w:pPr>
        <w:spacing w:before="18" w:line="229" w:lineRule="auto"/>
        <w:rPr>
          <w:rFonts w:ascii="宋体" w:hAnsi="宋体" w:eastAsia="宋体" w:cs="宋体"/>
          <w:spacing w:val="-3"/>
          <w:sz w:val="19"/>
          <w:szCs w:val="19"/>
        </w:rPr>
      </w:pPr>
    </w:p>
    <w:p w14:paraId="6203492E">
      <w:pPr>
        <w:spacing w:before="18" w:line="229" w:lineRule="auto"/>
        <w:rPr>
          <w:rFonts w:ascii="宋体" w:hAnsi="宋体" w:eastAsia="宋体" w:cs="宋体"/>
          <w:spacing w:val="-3"/>
          <w:sz w:val="19"/>
          <w:szCs w:val="19"/>
        </w:rPr>
      </w:pPr>
    </w:p>
    <w:p w14:paraId="1CF4BABC">
      <w:pPr>
        <w:spacing w:before="18" w:line="229" w:lineRule="auto"/>
        <w:rPr>
          <w:rFonts w:ascii="宋体" w:hAnsi="宋体" w:eastAsia="宋体" w:cs="宋体"/>
          <w:spacing w:val="-3"/>
          <w:sz w:val="19"/>
          <w:szCs w:val="19"/>
        </w:rPr>
      </w:pPr>
    </w:p>
    <w:p w14:paraId="0F828E9F">
      <w:pPr>
        <w:spacing w:before="18" w:line="229" w:lineRule="auto"/>
        <w:rPr>
          <w:rFonts w:ascii="宋体" w:hAnsi="宋体" w:eastAsia="宋体" w:cs="宋体"/>
          <w:spacing w:val="-3"/>
          <w:sz w:val="19"/>
          <w:szCs w:val="19"/>
        </w:rPr>
      </w:pPr>
    </w:p>
    <w:p w14:paraId="6F6991AC">
      <w:pPr>
        <w:spacing w:before="18" w:line="229" w:lineRule="auto"/>
        <w:rPr>
          <w:rFonts w:ascii="宋体" w:hAnsi="宋体" w:eastAsia="宋体" w:cs="宋体"/>
          <w:spacing w:val="-3"/>
          <w:sz w:val="19"/>
          <w:szCs w:val="19"/>
        </w:rPr>
      </w:pPr>
    </w:p>
    <w:p w14:paraId="5194242D">
      <w:pPr>
        <w:spacing w:before="18" w:line="229" w:lineRule="auto"/>
        <w:rPr>
          <w:rFonts w:ascii="宋体" w:hAnsi="宋体" w:eastAsia="宋体" w:cs="宋体"/>
          <w:spacing w:val="-3"/>
          <w:sz w:val="19"/>
          <w:szCs w:val="19"/>
        </w:rPr>
      </w:pPr>
    </w:p>
    <w:p w14:paraId="05698B4D">
      <w:pPr>
        <w:spacing w:before="18" w:line="229" w:lineRule="auto"/>
        <w:rPr>
          <w:rFonts w:ascii="宋体" w:hAnsi="宋体" w:eastAsia="宋体" w:cs="宋体"/>
          <w:spacing w:val="-3"/>
          <w:sz w:val="19"/>
          <w:szCs w:val="19"/>
        </w:rPr>
      </w:pPr>
    </w:p>
    <w:p w14:paraId="61F3F5EE">
      <w:pPr>
        <w:spacing w:before="18" w:line="229" w:lineRule="auto"/>
        <w:rPr>
          <w:rFonts w:ascii="宋体" w:hAnsi="宋体" w:eastAsia="宋体" w:cs="宋体"/>
          <w:spacing w:val="-3"/>
          <w:sz w:val="19"/>
          <w:szCs w:val="19"/>
        </w:rPr>
      </w:pPr>
    </w:p>
    <w:p w14:paraId="2AD4EB5C">
      <w:pPr>
        <w:spacing w:before="18" w:line="229" w:lineRule="auto"/>
        <w:rPr>
          <w:rFonts w:ascii="宋体" w:hAnsi="宋体" w:eastAsia="宋体" w:cs="宋体"/>
          <w:spacing w:val="-3"/>
          <w:sz w:val="19"/>
          <w:szCs w:val="19"/>
        </w:rPr>
      </w:pPr>
    </w:p>
    <w:p w14:paraId="07FD2849">
      <w:pPr>
        <w:spacing w:before="18" w:line="229" w:lineRule="auto"/>
        <w:rPr>
          <w:rFonts w:ascii="宋体" w:hAnsi="宋体" w:eastAsia="宋体" w:cs="宋体"/>
          <w:spacing w:val="-3"/>
          <w:sz w:val="19"/>
          <w:szCs w:val="19"/>
        </w:rPr>
      </w:pPr>
    </w:p>
    <w:p w14:paraId="36E8B74E">
      <w:pPr>
        <w:spacing w:before="18" w:line="229" w:lineRule="auto"/>
        <w:rPr>
          <w:rFonts w:ascii="宋体" w:hAnsi="宋体" w:eastAsia="宋体" w:cs="宋体"/>
          <w:spacing w:val="-3"/>
          <w:sz w:val="19"/>
          <w:szCs w:val="19"/>
        </w:rPr>
      </w:pPr>
    </w:p>
    <w:p w14:paraId="4CC786D5">
      <w:pPr>
        <w:spacing w:before="18" w:line="229" w:lineRule="auto"/>
        <w:rPr>
          <w:rFonts w:ascii="宋体" w:hAnsi="宋体" w:eastAsia="宋体" w:cs="宋体"/>
          <w:spacing w:val="-3"/>
          <w:sz w:val="19"/>
          <w:szCs w:val="19"/>
        </w:rPr>
      </w:pPr>
    </w:p>
    <w:p w14:paraId="50BF0090">
      <w:pPr>
        <w:spacing w:before="18" w:line="229" w:lineRule="auto"/>
        <w:rPr>
          <w:rFonts w:ascii="宋体" w:hAnsi="宋体" w:eastAsia="宋体" w:cs="宋体"/>
          <w:spacing w:val="-3"/>
          <w:sz w:val="19"/>
          <w:szCs w:val="19"/>
        </w:rPr>
      </w:pPr>
    </w:p>
    <w:p w14:paraId="0B6D975D">
      <w:pPr>
        <w:spacing w:before="18" w:line="229" w:lineRule="auto"/>
        <w:rPr>
          <w:rFonts w:ascii="宋体" w:hAnsi="宋体" w:eastAsia="宋体" w:cs="宋体"/>
          <w:spacing w:val="-3"/>
          <w:sz w:val="19"/>
          <w:szCs w:val="19"/>
        </w:rPr>
      </w:pPr>
    </w:p>
    <w:p w14:paraId="2F178167">
      <w:pPr>
        <w:spacing w:before="18" w:line="229" w:lineRule="auto"/>
        <w:rPr>
          <w:rFonts w:ascii="宋体" w:hAnsi="宋体" w:eastAsia="宋体" w:cs="宋体"/>
          <w:spacing w:val="-3"/>
          <w:sz w:val="19"/>
          <w:szCs w:val="19"/>
        </w:rPr>
      </w:pPr>
    </w:p>
    <w:p w14:paraId="312847E8">
      <w:pPr>
        <w:spacing w:before="18" w:line="229" w:lineRule="auto"/>
        <w:rPr>
          <w:rFonts w:ascii="宋体" w:hAnsi="宋体" w:eastAsia="宋体" w:cs="宋体"/>
          <w:spacing w:val="-3"/>
          <w:sz w:val="19"/>
          <w:szCs w:val="19"/>
        </w:rPr>
      </w:pPr>
    </w:p>
    <w:p w14:paraId="64FD654D">
      <w:pPr>
        <w:spacing w:before="18" w:line="229" w:lineRule="auto"/>
        <w:rPr>
          <w:rFonts w:ascii="宋体" w:hAnsi="宋体" w:eastAsia="宋体" w:cs="宋体"/>
          <w:spacing w:val="-3"/>
          <w:sz w:val="19"/>
          <w:szCs w:val="19"/>
        </w:rPr>
      </w:pPr>
    </w:p>
    <w:p w14:paraId="6E38A406">
      <w:pPr>
        <w:spacing w:before="18" w:line="229" w:lineRule="auto"/>
        <w:rPr>
          <w:rFonts w:ascii="宋体" w:hAnsi="宋体" w:eastAsia="宋体" w:cs="宋体"/>
          <w:spacing w:val="-3"/>
          <w:sz w:val="19"/>
          <w:szCs w:val="19"/>
        </w:rPr>
        <w:sectPr>
          <w:footerReference r:id="rId9" w:type="default"/>
          <w:pgSz w:w="11910" w:h="16850"/>
          <w:pgMar w:top="1432" w:right="1071" w:bottom="868" w:left="1098" w:header="1134" w:footer="1134" w:gutter="0"/>
          <w:pgNumType w:fmt="decimal"/>
          <w:cols w:space="720" w:num="1"/>
        </w:sectPr>
      </w:pPr>
    </w:p>
    <w:p w14:paraId="10A41A59">
      <w:pPr>
        <w:spacing w:before="101" w:line="226" w:lineRule="auto"/>
        <w:jc w:val="center"/>
        <w:outlineLvl w:val="2"/>
        <w:rPr>
          <w:rFonts w:ascii="宋体" w:hAnsi="宋体" w:eastAsia="宋体" w:cs="宋体"/>
          <w:sz w:val="31"/>
          <w:szCs w:val="31"/>
        </w:rPr>
      </w:pPr>
      <w:r>
        <w:rPr>
          <w:rFonts w:ascii="宋体" w:hAnsi="宋体" w:eastAsia="宋体" w:cs="宋体"/>
          <w:b/>
          <w:bCs/>
          <w:spacing w:val="6"/>
          <w:sz w:val="31"/>
          <w:szCs w:val="31"/>
        </w:rPr>
        <w:t>七、投标保证金</w:t>
      </w:r>
    </w:p>
    <w:p w14:paraId="0CD5A41D">
      <w:pPr>
        <w:pStyle w:val="7"/>
        <w:spacing w:line="261" w:lineRule="auto"/>
      </w:pPr>
    </w:p>
    <w:p w14:paraId="36B77527">
      <w:pPr>
        <w:pStyle w:val="7"/>
        <w:spacing w:line="262" w:lineRule="auto"/>
      </w:pPr>
    </w:p>
    <w:p w14:paraId="0B9591F5">
      <w:pPr>
        <w:pStyle w:val="7"/>
        <w:spacing w:line="262" w:lineRule="auto"/>
      </w:pPr>
    </w:p>
    <w:p w14:paraId="395DA89E">
      <w:pPr>
        <w:spacing w:before="62" w:line="228" w:lineRule="auto"/>
        <w:rPr>
          <w:rFonts w:hint="eastAsia" w:ascii="宋体" w:hAnsi="宋体" w:eastAsia="宋体" w:cs="宋体"/>
          <w:sz w:val="24"/>
          <w:szCs w:val="24"/>
        </w:rPr>
      </w:pPr>
      <w:r>
        <w:rPr>
          <w:rFonts w:hint="eastAsia" w:ascii="宋体" w:hAnsi="宋体" w:eastAsia="宋体" w:cs="宋体"/>
          <w:spacing w:val="3"/>
          <w:sz w:val="24"/>
          <w:szCs w:val="24"/>
        </w:rPr>
        <w:t>致：</w:t>
      </w:r>
      <w:r>
        <w:rPr>
          <w:rFonts w:hint="eastAsia" w:ascii="宋体" w:hAnsi="宋体" w:eastAsia="宋体" w:cs="宋体"/>
          <w:spacing w:val="8"/>
          <w:sz w:val="24"/>
          <w:szCs w:val="24"/>
          <w:u w:val="single" w:color="auto"/>
        </w:rPr>
        <w:t xml:space="preserve">            </w:t>
      </w:r>
      <w:r>
        <w:rPr>
          <w:rFonts w:hint="eastAsia" w:ascii="宋体" w:hAnsi="宋体" w:eastAsia="宋体" w:cs="宋体"/>
          <w:spacing w:val="3"/>
          <w:sz w:val="24"/>
          <w:szCs w:val="24"/>
          <w:u w:val="single" w:color="auto"/>
        </w:rPr>
        <w:t>{采购人名称}</w:t>
      </w:r>
      <w:r>
        <w:rPr>
          <w:rFonts w:hint="eastAsia" w:ascii="宋体" w:hAnsi="宋体" w:eastAsia="宋体" w:cs="宋体"/>
          <w:sz w:val="24"/>
          <w:szCs w:val="24"/>
          <w:u w:val="single" w:color="auto"/>
        </w:rPr>
        <w:t xml:space="preserve">       </w:t>
      </w:r>
    </w:p>
    <w:p w14:paraId="000657DF">
      <w:pPr>
        <w:pStyle w:val="7"/>
        <w:spacing w:line="278" w:lineRule="auto"/>
        <w:rPr>
          <w:rFonts w:hint="eastAsia" w:ascii="宋体" w:hAnsi="宋体" w:eastAsia="宋体" w:cs="宋体"/>
          <w:sz w:val="24"/>
          <w:szCs w:val="24"/>
        </w:rPr>
      </w:pPr>
    </w:p>
    <w:p w14:paraId="433D2E8E">
      <w:pPr>
        <w:pStyle w:val="7"/>
        <w:spacing w:line="278" w:lineRule="auto"/>
        <w:rPr>
          <w:rFonts w:hint="eastAsia" w:ascii="宋体" w:hAnsi="宋体" w:eastAsia="宋体" w:cs="宋体"/>
          <w:sz w:val="24"/>
          <w:szCs w:val="24"/>
        </w:rPr>
      </w:pPr>
    </w:p>
    <w:p w14:paraId="6AFD087A">
      <w:pPr>
        <w:keepNext w:val="0"/>
        <w:keepLines w:val="0"/>
        <w:pageBreakBefore w:val="0"/>
        <w:widowControl w:val="0"/>
        <w:tabs>
          <w:tab w:val="left" w:pos="2346"/>
        </w:tabs>
        <w:kinsoku/>
        <w:wordWrap/>
        <w:overflowPunct/>
        <w:topLinePunct w:val="0"/>
        <w:autoSpaceDE/>
        <w:autoSpaceDN/>
        <w:bidi w:val="0"/>
        <w:adjustRightInd/>
        <w:snapToGrid/>
        <w:spacing w:before="62" w:line="560" w:lineRule="exact"/>
        <w:ind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eastAsia="zh-CN"/>
        </w:rPr>
        <w:t>供应商</w:t>
      </w:r>
      <w:r>
        <w:rPr>
          <w:rFonts w:hint="eastAsia" w:ascii="宋体" w:hAnsi="宋体" w:eastAsia="宋体" w:cs="宋体"/>
          <w:spacing w:val="1"/>
          <w:sz w:val="24"/>
          <w:szCs w:val="24"/>
          <w:u w:val="single" w:color="auto"/>
        </w:rPr>
        <w:t>名称</w:t>
      </w:r>
      <w:r>
        <w:rPr>
          <w:rFonts w:hint="eastAsia" w:ascii="宋体" w:hAnsi="宋体" w:eastAsia="宋体" w:cs="宋体"/>
          <w:spacing w:val="-8"/>
          <w:sz w:val="24"/>
          <w:szCs w:val="24"/>
          <w:u w:val="single" w:color="auto"/>
        </w:rPr>
        <w:t>）</w:t>
      </w:r>
      <w:r>
        <w:rPr>
          <w:rFonts w:hint="eastAsia" w:ascii="宋体" w:hAnsi="宋体" w:eastAsia="宋体" w:cs="宋体"/>
          <w:spacing w:val="23"/>
          <w:sz w:val="24"/>
          <w:szCs w:val="24"/>
          <w:u w:val="single" w:color="auto"/>
        </w:rPr>
        <w:t xml:space="preserve">   </w:t>
      </w:r>
      <w:r>
        <w:rPr>
          <w:rFonts w:hint="eastAsia" w:ascii="宋体" w:hAnsi="宋体" w:eastAsia="宋体" w:cs="宋体"/>
          <w:spacing w:val="23"/>
          <w:sz w:val="24"/>
          <w:szCs w:val="24"/>
          <w:u w:val="single" w:color="auto"/>
          <w:lang w:val="en-US" w:eastAsia="zh-CN"/>
        </w:rPr>
        <w:t xml:space="preserve">   </w:t>
      </w:r>
      <w:r>
        <w:rPr>
          <w:rFonts w:hint="eastAsia" w:ascii="宋体" w:hAnsi="宋体" w:eastAsia="宋体" w:cs="宋体"/>
          <w:spacing w:val="-8"/>
          <w:sz w:val="24"/>
          <w:szCs w:val="24"/>
        </w:rPr>
        <w:t>（</w:t>
      </w:r>
      <w:r>
        <w:rPr>
          <w:rFonts w:hint="eastAsia" w:ascii="宋体" w:hAnsi="宋体" w:eastAsia="宋体" w:cs="宋体"/>
          <w:spacing w:val="1"/>
          <w:sz w:val="24"/>
          <w:szCs w:val="24"/>
        </w:rPr>
        <w:t>以下称“</w:t>
      </w:r>
      <w:r>
        <w:rPr>
          <w:rFonts w:hint="eastAsia" w:ascii="宋体" w:hAnsi="宋体" w:eastAsia="宋体" w:cs="宋体"/>
          <w:spacing w:val="1"/>
          <w:sz w:val="24"/>
          <w:szCs w:val="24"/>
          <w:lang w:eastAsia="zh-CN"/>
        </w:rPr>
        <w:t>供应商</w:t>
      </w:r>
      <w:r>
        <w:rPr>
          <w:rFonts w:hint="eastAsia" w:ascii="宋体" w:hAnsi="宋体" w:eastAsia="宋体" w:cs="宋体"/>
          <w:spacing w:val="-67"/>
          <w:sz w:val="24"/>
          <w:szCs w:val="24"/>
        </w:rPr>
        <w:t xml:space="preserve"> </w:t>
      </w:r>
      <w:r>
        <w:rPr>
          <w:rFonts w:hint="eastAsia" w:ascii="宋体" w:hAnsi="宋体" w:eastAsia="宋体" w:cs="宋体"/>
          <w:spacing w:val="1"/>
          <w:sz w:val="24"/>
          <w:szCs w:val="24"/>
        </w:rPr>
        <w:t>”）于</w:t>
      </w:r>
      <w:r>
        <w:rPr>
          <w:rFonts w:hint="eastAsia" w:ascii="宋体" w:hAnsi="宋体" w:eastAsia="宋体" w:cs="宋体"/>
          <w:spacing w:val="27"/>
          <w:sz w:val="24"/>
          <w:szCs w:val="24"/>
          <w:u w:val="single" w:color="auto"/>
        </w:rPr>
        <w:t xml:space="preserve">   </w:t>
      </w:r>
      <w:r>
        <w:rPr>
          <w:rFonts w:hint="eastAsia" w:ascii="宋体" w:hAnsi="宋体" w:eastAsia="宋体" w:cs="宋体"/>
          <w:spacing w:val="1"/>
          <w:sz w:val="24"/>
          <w:szCs w:val="24"/>
          <w:u w:val="single" w:color="auto"/>
        </w:rPr>
        <w:t>年</w:t>
      </w:r>
      <w:r>
        <w:rPr>
          <w:rFonts w:hint="eastAsia" w:ascii="宋体" w:hAnsi="宋体" w:eastAsia="宋体" w:cs="宋体"/>
          <w:spacing w:val="18"/>
          <w:sz w:val="24"/>
          <w:szCs w:val="24"/>
          <w:u w:val="single" w:color="auto"/>
        </w:rPr>
        <w:t xml:space="preserve">   </w:t>
      </w:r>
      <w:r>
        <w:rPr>
          <w:rFonts w:hint="eastAsia" w:ascii="宋体" w:hAnsi="宋体" w:eastAsia="宋体" w:cs="宋体"/>
          <w:spacing w:val="1"/>
          <w:sz w:val="24"/>
          <w:szCs w:val="24"/>
          <w:u w:val="single" w:color="auto"/>
        </w:rPr>
        <w:t>月</w:t>
      </w:r>
      <w:r>
        <w:rPr>
          <w:rFonts w:hint="eastAsia" w:ascii="宋体" w:hAnsi="宋体" w:eastAsia="宋体" w:cs="宋体"/>
          <w:spacing w:val="28"/>
          <w:sz w:val="24"/>
          <w:szCs w:val="24"/>
          <w:u w:val="single" w:color="auto"/>
        </w:rPr>
        <w:t xml:space="preserve">   </w:t>
      </w:r>
      <w:r>
        <w:rPr>
          <w:rFonts w:hint="eastAsia" w:ascii="宋体" w:hAnsi="宋体" w:eastAsia="宋体" w:cs="宋体"/>
          <w:spacing w:val="1"/>
          <w:sz w:val="24"/>
          <w:szCs w:val="24"/>
          <w:u w:val="single" w:color="auto"/>
        </w:rPr>
        <w:t>日</w:t>
      </w:r>
      <w:r>
        <w:rPr>
          <w:rFonts w:hint="eastAsia" w:ascii="宋体" w:hAnsi="宋体" w:eastAsia="宋体" w:cs="宋体"/>
          <w:spacing w:val="1"/>
          <w:sz w:val="24"/>
          <w:szCs w:val="24"/>
        </w:rPr>
        <w:t>递交了</w:t>
      </w:r>
      <w:r>
        <w:rPr>
          <w:rFonts w:hint="eastAsia" w:ascii="宋体" w:hAnsi="宋体" w:eastAsia="宋体" w:cs="宋体"/>
          <w:spacing w:val="1"/>
          <w:sz w:val="24"/>
          <w:szCs w:val="24"/>
          <w:u w:val="single" w:color="auto"/>
        </w:rPr>
        <w:t xml:space="preserve">    {招标项目名</w:t>
      </w:r>
      <w:r>
        <w:rPr>
          <w:rFonts w:hint="eastAsia" w:ascii="宋体" w:hAnsi="宋体" w:eastAsia="宋体" w:cs="宋体"/>
          <w:spacing w:val="9"/>
          <w:sz w:val="24"/>
          <w:szCs w:val="24"/>
          <w:u w:val="single" w:color="auto"/>
        </w:rPr>
        <w:t xml:space="preserve">称、项目编号}     </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的投标保证金人民币</w:t>
      </w:r>
      <w:r>
        <w:rPr>
          <w:rFonts w:hint="eastAsia" w:ascii="宋体" w:hAnsi="宋体" w:eastAsia="宋体" w:cs="宋体"/>
          <w:spacing w:val="-9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9"/>
          <w:sz w:val="24"/>
          <w:szCs w:val="24"/>
        </w:rPr>
        <w:t>元；如果我方在投标有效期内收到你方的</w:t>
      </w:r>
      <w:r>
        <w:rPr>
          <w:rFonts w:hint="eastAsia" w:ascii="宋体" w:hAnsi="宋体" w:eastAsia="宋体" w:cs="宋体"/>
          <w:spacing w:val="8"/>
          <w:sz w:val="24"/>
          <w:szCs w:val="24"/>
        </w:rPr>
        <w:t>中标通知书后</w:t>
      </w:r>
    </w:p>
    <w:p w14:paraId="66BDEF4C">
      <w:pPr>
        <w:keepNext w:val="0"/>
        <w:keepLines w:val="0"/>
        <w:pageBreakBefore w:val="0"/>
        <w:widowControl w:val="0"/>
        <w:kinsoku/>
        <w:wordWrap/>
        <w:overflowPunct/>
        <w:topLinePunct w:val="0"/>
        <w:autoSpaceDE/>
        <w:autoSpaceDN/>
        <w:bidi w:val="0"/>
        <w:adjustRightInd/>
        <w:snapToGrid/>
        <w:spacing w:before="62" w:line="560" w:lineRule="exact"/>
        <w:ind w:left="15" w:firstLine="512"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1、不能或拒绝按投标须知的要求签署合同协议书；</w:t>
      </w:r>
    </w:p>
    <w:p w14:paraId="0743D3AB">
      <w:pPr>
        <w:keepNext w:val="0"/>
        <w:keepLines w:val="0"/>
        <w:pageBreakBefore w:val="0"/>
        <w:widowControl w:val="0"/>
        <w:kinsoku/>
        <w:wordWrap/>
        <w:overflowPunct/>
        <w:topLinePunct w:val="0"/>
        <w:autoSpaceDE/>
        <w:autoSpaceDN/>
        <w:bidi w:val="0"/>
        <w:adjustRightInd/>
        <w:snapToGrid/>
        <w:spacing w:before="62" w:line="560" w:lineRule="exact"/>
        <w:ind w:left="3" w:firstLine="516" w:firstLineChars="200"/>
        <w:textAlignment w:val="auto"/>
        <w:rPr>
          <w:rFonts w:hint="eastAsia" w:ascii="宋体" w:hAnsi="宋体" w:eastAsia="宋体" w:cs="宋体"/>
          <w:sz w:val="24"/>
          <w:szCs w:val="24"/>
        </w:rPr>
      </w:pPr>
      <w:r>
        <w:rPr>
          <w:rFonts w:hint="eastAsia" w:ascii="宋体" w:hAnsi="宋体" w:eastAsia="宋体" w:cs="宋体"/>
          <w:spacing w:val="9"/>
          <w:sz w:val="24"/>
          <w:szCs w:val="24"/>
        </w:rPr>
        <w:t>2、不能在投标有效期内撤回投标文件。否则你方有权没收我方的投标保证金。</w:t>
      </w:r>
    </w:p>
    <w:p w14:paraId="386A9DC3">
      <w:pPr>
        <w:keepNext w:val="0"/>
        <w:keepLines w:val="0"/>
        <w:pageBreakBefore w:val="0"/>
        <w:widowControl w:val="0"/>
        <w:kinsoku/>
        <w:wordWrap/>
        <w:overflowPunct/>
        <w:topLinePunct w:val="0"/>
        <w:autoSpaceDE/>
        <w:autoSpaceDN/>
        <w:bidi w:val="0"/>
        <w:adjustRightInd/>
        <w:snapToGrid/>
        <w:spacing w:before="63" w:line="560" w:lineRule="exact"/>
        <w:ind w:left="2" w:firstLine="516" w:firstLineChars="200"/>
        <w:textAlignment w:val="auto"/>
        <w:rPr>
          <w:rFonts w:hint="eastAsia" w:ascii="宋体" w:hAnsi="宋体" w:eastAsia="宋体" w:cs="宋体"/>
          <w:sz w:val="24"/>
          <w:szCs w:val="24"/>
        </w:rPr>
      </w:pPr>
      <w:r>
        <w:rPr>
          <w:rFonts w:hint="eastAsia" w:ascii="宋体" w:hAnsi="宋体" w:eastAsia="宋体" w:cs="宋体"/>
          <w:spacing w:val="9"/>
          <w:sz w:val="24"/>
          <w:szCs w:val="24"/>
        </w:rPr>
        <w:t>我方同意招标文件有关投标保证金规定，并对我方有约束力。</w:t>
      </w:r>
    </w:p>
    <w:p w14:paraId="4F0D00BE">
      <w:pPr>
        <w:spacing w:line="218" w:lineRule="exact"/>
        <w:rPr>
          <w:rFonts w:hint="eastAsia" w:ascii="宋体" w:hAnsi="宋体" w:eastAsia="宋体" w:cs="宋体"/>
          <w:sz w:val="21"/>
          <w:szCs w:val="21"/>
        </w:rPr>
      </w:pPr>
    </w:p>
    <w:tbl>
      <w:tblPr>
        <w:tblStyle w:val="52"/>
        <w:tblW w:w="7884" w:type="dxa"/>
        <w:tblInd w:w="59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84"/>
      </w:tblGrid>
      <w:tr w14:paraId="42A3FF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2" w:hRule="atLeast"/>
        </w:trPr>
        <w:tc>
          <w:tcPr>
            <w:tcW w:w="7884" w:type="dxa"/>
            <w:vAlign w:val="top"/>
          </w:tcPr>
          <w:p w14:paraId="46DCCBB3">
            <w:pPr>
              <w:spacing w:line="400" w:lineRule="auto"/>
              <w:rPr>
                <w:rFonts w:hint="eastAsia" w:ascii="宋体" w:hAnsi="宋体" w:eastAsia="宋体" w:cs="宋体"/>
                <w:sz w:val="21"/>
                <w:szCs w:val="21"/>
              </w:rPr>
            </w:pPr>
          </w:p>
          <w:p w14:paraId="04E4F137">
            <w:pPr>
              <w:pStyle w:val="51"/>
              <w:spacing w:before="65" w:line="228" w:lineRule="auto"/>
              <w:ind w:left="449"/>
              <w:rPr>
                <w:rFonts w:hint="eastAsia" w:ascii="宋体" w:hAnsi="宋体" w:eastAsia="宋体" w:cs="宋体"/>
                <w:sz w:val="21"/>
                <w:szCs w:val="21"/>
              </w:rPr>
            </w:pPr>
            <w:r>
              <w:rPr>
                <w:rFonts w:hint="eastAsia" w:ascii="宋体" w:hAnsi="宋体" w:eastAsia="宋体" w:cs="宋体"/>
                <w:b/>
                <w:bCs/>
                <w:spacing w:val="4"/>
                <w:sz w:val="21"/>
                <w:szCs w:val="21"/>
              </w:rPr>
              <w:t>附:银行进账回单</w:t>
            </w:r>
          </w:p>
          <w:p w14:paraId="613E2EBD">
            <w:pPr>
              <w:spacing w:line="242" w:lineRule="auto"/>
              <w:rPr>
                <w:rFonts w:hint="eastAsia" w:ascii="宋体" w:hAnsi="宋体" w:eastAsia="宋体" w:cs="宋体"/>
                <w:sz w:val="21"/>
                <w:szCs w:val="21"/>
              </w:rPr>
            </w:pPr>
          </w:p>
          <w:p w14:paraId="092E6B1E">
            <w:pPr>
              <w:spacing w:line="242" w:lineRule="auto"/>
              <w:rPr>
                <w:rFonts w:hint="eastAsia" w:ascii="宋体" w:hAnsi="宋体" w:eastAsia="宋体" w:cs="宋体"/>
                <w:sz w:val="21"/>
                <w:szCs w:val="21"/>
              </w:rPr>
            </w:pPr>
          </w:p>
          <w:p w14:paraId="6DAA191D">
            <w:pPr>
              <w:spacing w:line="242" w:lineRule="auto"/>
              <w:rPr>
                <w:rFonts w:hint="eastAsia" w:ascii="宋体" w:hAnsi="宋体" w:eastAsia="宋体" w:cs="宋体"/>
                <w:sz w:val="21"/>
                <w:szCs w:val="21"/>
              </w:rPr>
            </w:pPr>
          </w:p>
          <w:p w14:paraId="32CDAD50">
            <w:pPr>
              <w:spacing w:line="242" w:lineRule="auto"/>
              <w:rPr>
                <w:rFonts w:hint="eastAsia" w:ascii="宋体" w:hAnsi="宋体" w:eastAsia="宋体" w:cs="宋体"/>
                <w:sz w:val="21"/>
                <w:szCs w:val="21"/>
              </w:rPr>
            </w:pPr>
          </w:p>
          <w:p w14:paraId="26AC630E">
            <w:pPr>
              <w:spacing w:line="243" w:lineRule="auto"/>
              <w:rPr>
                <w:rFonts w:hint="eastAsia" w:ascii="宋体" w:hAnsi="宋体" w:eastAsia="宋体" w:cs="宋体"/>
                <w:sz w:val="21"/>
                <w:szCs w:val="21"/>
              </w:rPr>
            </w:pPr>
          </w:p>
          <w:p w14:paraId="6DBF17C7">
            <w:pPr>
              <w:pStyle w:val="51"/>
              <w:spacing w:before="65" w:line="228" w:lineRule="auto"/>
              <w:ind w:left="433"/>
              <w:rPr>
                <w:rFonts w:hint="eastAsia" w:ascii="宋体" w:hAnsi="宋体" w:eastAsia="宋体" w:cs="宋体"/>
                <w:sz w:val="21"/>
                <w:szCs w:val="21"/>
              </w:rPr>
            </w:pPr>
            <w:r>
              <w:rPr>
                <w:rFonts w:hint="eastAsia" w:ascii="宋体" w:hAnsi="宋体" w:eastAsia="宋体" w:cs="宋体"/>
                <w:b/>
                <w:bCs/>
                <w:spacing w:val="7"/>
                <w:sz w:val="21"/>
                <w:szCs w:val="21"/>
              </w:rPr>
              <w:t>基本账户开户许可证</w:t>
            </w:r>
          </w:p>
        </w:tc>
      </w:tr>
    </w:tbl>
    <w:p w14:paraId="58B07826">
      <w:pPr>
        <w:pStyle w:val="7"/>
        <w:spacing w:line="267" w:lineRule="auto"/>
      </w:pPr>
    </w:p>
    <w:p w14:paraId="1CA47F79">
      <w:pPr>
        <w:pStyle w:val="7"/>
        <w:spacing w:line="267" w:lineRule="auto"/>
      </w:pPr>
    </w:p>
    <w:p w14:paraId="6DD08374">
      <w:pPr>
        <w:pStyle w:val="7"/>
        <w:spacing w:line="267" w:lineRule="auto"/>
      </w:pPr>
    </w:p>
    <w:p w14:paraId="3C317328">
      <w:pPr>
        <w:spacing w:before="78" w:line="219" w:lineRule="auto"/>
        <w:ind w:left="1010"/>
        <w:rPr>
          <w:rFonts w:ascii="宋体" w:hAnsi="宋体" w:eastAsia="宋体" w:cs="宋体"/>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15"/>
          <w:sz w:val="24"/>
          <w:szCs w:val="24"/>
        </w:rPr>
        <w:t>盖单位公章）</w:t>
      </w:r>
    </w:p>
    <w:p w14:paraId="42DFFE28">
      <w:pPr>
        <w:spacing w:before="186" w:line="219" w:lineRule="auto"/>
        <w:ind w:left="1010"/>
        <w:rPr>
          <w:rFonts w:ascii="宋体" w:hAnsi="宋体" w:eastAsia="宋体" w:cs="宋体"/>
          <w:sz w:val="24"/>
          <w:szCs w:val="24"/>
        </w:rPr>
      </w:pPr>
      <w:r>
        <w:rPr>
          <w:rFonts w:hint="eastAsia" w:ascii="宋体" w:hAnsi="宋体"/>
          <w:sz w:val="24"/>
          <w:szCs w:val="24"/>
        </w:rPr>
        <w:t>供应商</w:t>
      </w:r>
      <w:r>
        <w:rPr>
          <w:rFonts w:ascii="宋体" w:hAnsi="宋体" w:eastAsia="宋体" w:cs="宋体"/>
          <w:spacing w:val="4"/>
          <w:sz w:val="24"/>
          <w:szCs w:val="24"/>
        </w:rPr>
        <w:t>代表</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4"/>
          <w:sz w:val="24"/>
          <w:szCs w:val="24"/>
        </w:rPr>
        <w:t>签字或盖章）</w:t>
      </w:r>
    </w:p>
    <w:p w14:paraId="03FD6EF3">
      <w:pPr>
        <w:spacing w:before="182" w:line="220" w:lineRule="auto"/>
        <w:ind w:left="104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5"/>
          <w:sz w:val="24"/>
          <w:szCs w:val="24"/>
        </w:rPr>
        <w:t>日</w:t>
      </w:r>
    </w:p>
    <w:p w14:paraId="0A9C9091">
      <w:pPr>
        <w:spacing w:line="220" w:lineRule="auto"/>
        <w:rPr>
          <w:rFonts w:ascii="宋体" w:hAnsi="宋体" w:eastAsia="宋体" w:cs="宋体"/>
          <w:sz w:val="24"/>
          <w:szCs w:val="24"/>
        </w:rPr>
        <w:sectPr>
          <w:footerReference r:id="rId10" w:type="default"/>
          <w:pgSz w:w="11910" w:h="16850"/>
          <w:pgMar w:top="1432" w:right="1701" w:bottom="1434" w:left="1701" w:header="1134" w:footer="1134" w:gutter="0"/>
          <w:pgNumType w:fmt="decimal"/>
          <w:cols w:space="720" w:num="1"/>
        </w:sectPr>
      </w:pPr>
    </w:p>
    <w:p w14:paraId="05FB33A1">
      <w:pPr>
        <w:spacing w:before="171" w:line="220" w:lineRule="auto"/>
        <w:jc w:val="center"/>
        <w:rPr>
          <w:rFonts w:ascii="宋体" w:hAnsi="宋体" w:eastAsia="宋体" w:cs="宋体"/>
          <w:sz w:val="32"/>
          <w:szCs w:val="32"/>
        </w:rPr>
      </w:pPr>
      <w:bookmarkStart w:id="274" w:name="bookmark10"/>
      <w:bookmarkEnd w:id="274"/>
      <w:r>
        <w:rPr>
          <w:rFonts w:ascii="宋体" w:hAnsi="宋体" w:eastAsia="宋体" w:cs="宋体"/>
          <w:b/>
          <w:bCs/>
          <w:spacing w:val="-5"/>
          <w:sz w:val="32"/>
          <w:szCs w:val="32"/>
        </w:rPr>
        <w:t>八、资格审查资料</w:t>
      </w:r>
    </w:p>
    <w:p w14:paraId="4B4EB53B">
      <w:pPr>
        <w:spacing w:before="181" w:line="212" w:lineRule="auto"/>
        <w:jc w:val="center"/>
        <w:rPr>
          <w:rFonts w:ascii="宋体" w:hAnsi="宋体" w:eastAsia="宋体" w:cs="宋体"/>
          <w:sz w:val="28"/>
          <w:szCs w:val="28"/>
        </w:rPr>
      </w:pPr>
      <w:r>
        <w:rPr>
          <w:rFonts w:ascii="宋体" w:hAnsi="宋体" w:eastAsia="宋体" w:cs="宋体"/>
          <w:spacing w:val="-5"/>
          <w:sz w:val="28"/>
          <w:szCs w:val="28"/>
        </w:rPr>
        <w:t>(一)</w:t>
      </w:r>
      <w:r>
        <w:rPr>
          <w:rFonts w:hint="eastAsia" w:ascii="宋体" w:hAnsi="宋体" w:eastAsia="宋体" w:cs="宋体"/>
          <w:spacing w:val="-5"/>
          <w:sz w:val="28"/>
          <w:szCs w:val="28"/>
          <w:lang w:eastAsia="zh-CN"/>
        </w:rPr>
        <w:t>供应商</w:t>
      </w:r>
      <w:r>
        <w:rPr>
          <w:rFonts w:ascii="宋体" w:hAnsi="宋体" w:eastAsia="宋体" w:cs="宋体"/>
          <w:spacing w:val="-5"/>
          <w:sz w:val="28"/>
          <w:szCs w:val="28"/>
        </w:rPr>
        <w:t>基本情况表</w:t>
      </w:r>
    </w:p>
    <w:tbl>
      <w:tblPr>
        <w:tblStyle w:val="52"/>
        <w:tblW w:w="8811" w:type="dxa"/>
        <w:tblInd w:w="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1060"/>
        <w:gridCol w:w="1237"/>
        <w:gridCol w:w="1253"/>
        <w:gridCol w:w="170"/>
        <w:gridCol w:w="1222"/>
        <w:gridCol w:w="1173"/>
        <w:gridCol w:w="1064"/>
      </w:tblGrid>
      <w:tr w14:paraId="2C37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632" w:type="dxa"/>
            <w:tcBorders>
              <w:top w:val="single" w:color="000000" w:sz="10" w:space="0"/>
              <w:left w:val="single" w:color="000000" w:sz="10" w:space="0"/>
            </w:tcBorders>
            <w:vAlign w:val="top"/>
          </w:tcPr>
          <w:p w14:paraId="2A6A2FBA">
            <w:pPr>
              <w:pStyle w:val="51"/>
              <w:spacing w:before="301" w:line="229" w:lineRule="auto"/>
              <w:ind w:left="285"/>
              <w:rPr>
                <w:sz w:val="21"/>
                <w:szCs w:val="21"/>
              </w:rPr>
            </w:pPr>
            <w:r>
              <w:rPr>
                <w:rFonts w:hint="eastAsia" w:ascii="宋体" w:hAnsi="宋体"/>
                <w:sz w:val="21"/>
                <w:szCs w:val="21"/>
              </w:rPr>
              <w:t>供应商</w:t>
            </w:r>
            <w:r>
              <w:rPr>
                <w:spacing w:val="7"/>
                <w:sz w:val="21"/>
                <w:szCs w:val="21"/>
              </w:rPr>
              <w:t>名称</w:t>
            </w:r>
          </w:p>
        </w:tc>
        <w:tc>
          <w:tcPr>
            <w:tcW w:w="7179" w:type="dxa"/>
            <w:gridSpan w:val="7"/>
            <w:tcBorders>
              <w:top w:val="single" w:color="000000" w:sz="10" w:space="0"/>
              <w:right w:val="single" w:color="000000" w:sz="10" w:space="0"/>
            </w:tcBorders>
            <w:vAlign w:val="top"/>
          </w:tcPr>
          <w:p w14:paraId="4F217047">
            <w:pPr>
              <w:rPr>
                <w:rFonts w:ascii="Arial"/>
                <w:sz w:val="21"/>
                <w:szCs w:val="21"/>
              </w:rPr>
            </w:pPr>
          </w:p>
        </w:tc>
      </w:tr>
      <w:tr w14:paraId="758A4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632" w:type="dxa"/>
            <w:tcBorders>
              <w:left w:val="single" w:color="000000" w:sz="10" w:space="0"/>
            </w:tcBorders>
            <w:vAlign w:val="top"/>
          </w:tcPr>
          <w:p w14:paraId="1A410C60">
            <w:pPr>
              <w:pStyle w:val="51"/>
              <w:spacing w:before="207" w:line="230" w:lineRule="auto"/>
              <w:ind w:left="388"/>
              <w:rPr>
                <w:sz w:val="21"/>
                <w:szCs w:val="21"/>
              </w:rPr>
            </w:pPr>
            <w:r>
              <w:rPr>
                <w:spacing w:val="7"/>
                <w:sz w:val="21"/>
                <w:szCs w:val="21"/>
              </w:rPr>
              <w:t>注册地址</w:t>
            </w:r>
          </w:p>
        </w:tc>
        <w:tc>
          <w:tcPr>
            <w:tcW w:w="3720" w:type="dxa"/>
            <w:gridSpan w:val="4"/>
            <w:vAlign w:val="top"/>
          </w:tcPr>
          <w:p w14:paraId="4D0A55FC">
            <w:pPr>
              <w:rPr>
                <w:rFonts w:ascii="Arial"/>
                <w:sz w:val="21"/>
                <w:szCs w:val="21"/>
              </w:rPr>
            </w:pPr>
          </w:p>
        </w:tc>
        <w:tc>
          <w:tcPr>
            <w:tcW w:w="1222" w:type="dxa"/>
            <w:vAlign w:val="top"/>
          </w:tcPr>
          <w:p w14:paraId="1BB5C5E7">
            <w:pPr>
              <w:pStyle w:val="51"/>
              <w:spacing w:before="207" w:line="228" w:lineRule="auto"/>
              <w:ind w:left="268"/>
              <w:rPr>
                <w:sz w:val="21"/>
                <w:szCs w:val="21"/>
              </w:rPr>
            </w:pPr>
            <w:r>
              <w:rPr>
                <w:spacing w:val="3"/>
                <w:sz w:val="21"/>
                <w:szCs w:val="21"/>
              </w:rPr>
              <w:t>邮政编码</w:t>
            </w:r>
          </w:p>
        </w:tc>
        <w:tc>
          <w:tcPr>
            <w:tcW w:w="2237" w:type="dxa"/>
            <w:gridSpan w:val="2"/>
            <w:tcBorders>
              <w:right w:val="single" w:color="000000" w:sz="10" w:space="0"/>
            </w:tcBorders>
            <w:vAlign w:val="top"/>
          </w:tcPr>
          <w:p w14:paraId="26BFD824">
            <w:pPr>
              <w:rPr>
                <w:rFonts w:ascii="Arial"/>
                <w:sz w:val="21"/>
                <w:szCs w:val="21"/>
              </w:rPr>
            </w:pPr>
          </w:p>
        </w:tc>
      </w:tr>
      <w:tr w14:paraId="1054F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32" w:type="dxa"/>
            <w:vMerge w:val="restart"/>
            <w:tcBorders>
              <w:left w:val="single" w:color="000000" w:sz="10" w:space="0"/>
              <w:bottom w:val="nil"/>
            </w:tcBorders>
            <w:vAlign w:val="top"/>
          </w:tcPr>
          <w:p w14:paraId="737525C5">
            <w:pPr>
              <w:spacing w:line="417" w:lineRule="auto"/>
              <w:rPr>
                <w:rFonts w:ascii="Arial"/>
                <w:sz w:val="21"/>
                <w:szCs w:val="21"/>
              </w:rPr>
            </w:pPr>
          </w:p>
          <w:p w14:paraId="2B14B188">
            <w:pPr>
              <w:pStyle w:val="51"/>
              <w:spacing w:before="65" w:line="230" w:lineRule="auto"/>
              <w:ind w:left="388"/>
              <w:rPr>
                <w:sz w:val="21"/>
                <w:szCs w:val="21"/>
              </w:rPr>
            </w:pPr>
            <w:r>
              <w:rPr>
                <w:spacing w:val="7"/>
                <w:sz w:val="21"/>
                <w:szCs w:val="21"/>
              </w:rPr>
              <w:t>联系方式</w:t>
            </w:r>
          </w:p>
        </w:tc>
        <w:tc>
          <w:tcPr>
            <w:tcW w:w="1060" w:type="dxa"/>
            <w:vAlign w:val="top"/>
          </w:tcPr>
          <w:p w14:paraId="22CEBB7C">
            <w:pPr>
              <w:pStyle w:val="51"/>
              <w:spacing w:before="211" w:line="231" w:lineRule="auto"/>
              <w:ind w:left="211"/>
              <w:rPr>
                <w:sz w:val="21"/>
                <w:szCs w:val="21"/>
              </w:rPr>
            </w:pPr>
            <w:r>
              <w:rPr>
                <w:spacing w:val="6"/>
                <w:sz w:val="21"/>
                <w:szCs w:val="21"/>
              </w:rPr>
              <w:t>联系人</w:t>
            </w:r>
          </w:p>
        </w:tc>
        <w:tc>
          <w:tcPr>
            <w:tcW w:w="2660" w:type="dxa"/>
            <w:gridSpan w:val="3"/>
            <w:vAlign w:val="top"/>
          </w:tcPr>
          <w:p w14:paraId="32EDDD9F">
            <w:pPr>
              <w:rPr>
                <w:rFonts w:ascii="Arial"/>
                <w:sz w:val="21"/>
                <w:szCs w:val="21"/>
              </w:rPr>
            </w:pPr>
          </w:p>
        </w:tc>
        <w:tc>
          <w:tcPr>
            <w:tcW w:w="1222" w:type="dxa"/>
            <w:vAlign w:val="top"/>
          </w:tcPr>
          <w:p w14:paraId="3626BE42">
            <w:pPr>
              <w:pStyle w:val="51"/>
              <w:spacing w:before="211" w:line="231" w:lineRule="auto"/>
              <w:ind w:left="383"/>
              <w:rPr>
                <w:sz w:val="21"/>
                <w:szCs w:val="21"/>
              </w:rPr>
            </w:pPr>
            <w:r>
              <w:rPr>
                <w:spacing w:val="-12"/>
                <w:sz w:val="21"/>
                <w:szCs w:val="21"/>
              </w:rPr>
              <w:t>电</w:t>
            </w:r>
            <w:r>
              <w:rPr>
                <w:spacing w:val="9"/>
                <w:sz w:val="21"/>
                <w:szCs w:val="21"/>
              </w:rPr>
              <w:t xml:space="preserve">  </w:t>
            </w:r>
            <w:r>
              <w:rPr>
                <w:spacing w:val="-12"/>
                <w:sz w:val="21"/>
                <w:szCs w:val="21"/>
              </w:rPr>
              <w:t>话</w:t>
            </w:r>
          </w:p>
        </w:tc>
        <w:tc>
          <w:tcPr>
            <w:tcW w:w="2237" w:type="dxa"/>
            <w:gridSpan w:val="2"/>
            <w:tcBorders>
              <w:right w:val="single" w:color="000000" w:sz="10" w:space="0"/>
            </w:tcBorders>
            <w:vAlign w:val="top"/>
          </w:tcPr>
          <w:p w14:paraId="0307A2C2">
            <w:pPr>
              <w:rPr>
                <w:rFonts w:ascii="Arial"/>
                <w:sz w:val="21"/>
                <w:szCs w:val="21"/>
              </w:rPr>
            </w:pPr>
          </w:p>
        </w:tc>
      </w:tr>
      <w:tr w14:paraId="41BE7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632" w:type="dxa"/>
            <w:vMerge w:val="continue"/>
            <w:tcBorders>
              <w:top w:val="nil"/>
              <w:left w:val="single" w:color="000000" w:sz="10" w:space="0"/>
            </w:tcBorders>
            <w:vAlign w:val="top"/>
          </w:tcPr>
          <w:p w14:paraId="51B10F61">
            <w:pPr>
              <w:rPr>
                <w:rFonts w:ascii="Arial"/>
                <w:sz w:val="21"/>
                <w:szCs w:val="21"/>
              </w:rPr>
            </w:pPr>
          </w:p>
        </w:tc>
        <w:tc>
          <w:tcPr>
            <w:tcW w:w="1060" w:type="dxa"/>
            <w:vAlign w:val="top"/>
          </w:tcPr>
          <w:p w14:paraId="750DF89F">
            <w:pPr>
              <w:pStyle w:val="51"/>
              <w:spacing w:before="208" w:line="228" w:lineRule="auto"/>
              <w:ind w:left="209"/>
              <w:rPr>
                <w:sz w:val="21"/>
                <w:szCs w:val="21"/>
              </w:rPr>
            </w:pPr>
            <w:r>
              <w:rPr>
                <w:spacing w:val="1"/>
                <w:sz w:val="21"/>
                <w:szCs w:val="21"/>
              </w:rPr>
              <w:t>传</w:t>
            </w:r>
            <w:r>
              <w:rPr>
                <w:spacing w:val="10"/>
                <w:sz w:val="21"/>
                <w:szCs w:val="21"/>
              </w:rPr>
              <w:t xml:space="preserve">  </w:t>
            </w:r>
            <w:r>
              <w:rPr>
                <w:spacing w:val="1"/>
                <w:sz w:val="21"/>
                <w:szCs w:val="21"/>
              </w:rPr>
              <w:t>真</w:t>
            </w:r>
          </w:p>
        </w:tc>
        <w:tc>
          <w:tcPr>
            <w:tcW w:w="2660" w:type="dxa"/>
            <w:gridSpan w:val="3"/>
            <w:vAlign w:val="top"/>
          </w:tcPr>
          <w:p w14:paraId="46078A3D">
            <w:pPr>
              <w:rPr>
                <w:rFonts w:ascii="Arial"/>
                <w:sz w:val="21"/>
                <w:szCs w:val="21"/>
              </w:rPr>
            </w:pPr>
          </w:p>
        </w:tc>
        <w:tc>
          <w:tcPr>
            <w:tcW w:w="1222" w:type="dxa"/>
            <w:vAlign w:val="top"/>
          </w:tcPr>
          <w:p w14:paraId="3A0B96BA">
            <w:pPr>
              <w:pStyle w:val="51"/>
              <w:spacing w:before="209" w:line="233" w:lineRule="auto"/>
              <w:ind w:left="375"/>
              <w:rPr>
                <w:sz w:val="21"/>
                <w:szCs w:val="21"/>
              </w:rPr>
            </w:pPr>
            <w:r>
              <w:rPr>
                <w:spacing w:val="-8"/>
                <w:sz w:val="21"/>
                <w:szCs w:val="21"/>
              </w:rPr>
              <w:t>网</w:t>
            </w:r>
            <w:r>
              <w:rPr>
                <w:spacing w:val="9"/>
                <w:sz w:val="21"/>
                <w:szCs w:val="21"/>
              </w:rPr>
              <w:t xml:space="preserve">  </w:t>
            </w:r>
            <w:r>
              <w:rPr>
                <w:spacing w:val="-8"/>
                <w:sz w:val="21"/>
                <w:szCs w:val="21"/>
              </w:rPr>
              <w:t>址</w:t>
            </w:r>
          </w:p>
        </w:tc>
        <w:tc>
          <w:tcPr>
            <w:tcW w:w="2237" w:type="dxa"/>
            <w:gridSpan w:val="2"/>
            <w:tcBorders>
              <w:right w:val="single" w:color="000000" w:sz="10" w:space="0"/>
            </w:tcBorders>
            <w:vAlign w:val="top"/>
          </w:tcPr>
          <w:p w14:paraId="46E7C72C">
            <w:pPr>
              <w:rPr>
                <w:rFonts w:ascii="Arial"/>
                <w:sz w:val="21"/>
                <w:szCs w:val="21"/>
              </w:rPr>
            </w:pPr>
          </w:p>
        </w:tc>
      </w:tr>
      <w:tr w14:paraId="1FA91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3358BE4C">
            <w:pPr>
              <w:pStyle w:val="51"/>
              <w:spacing w:before="180" w:line="229" w:lineRule="auto"/>
              <w:ind w:left="390"/>
              <w:rPr>
                <w:sz w:val="21"/>
                <w:szCs w:val="21"/>
              </w:rPr>
            </w:pPr>
            <w:r>
              <w:rPr>
                <w:spacing w:val="6"/>
                <w:sz w:val="21"/>
                <w:szCs w:val="21"/>
              </w:rPr>
              <w:t>组织结构</w:t>
            </w:r>
          </w:p>
        </w:tc>
        <w:tc>
          <w:tcPr>
            <w:tcW w:w="7179" w:type="dxa"/>
            <w:gridSpan w:val="7"/>
            <w:tcBorders>
              <w:right w:val="single" w:color="000000" w:sz="10" w:space="0"/>
            </w:tcBorders>
            <w:vAlign w:val="top"/>
          </w:tcPr>
          <w:p w14:paraId="5E3D2043">
            <w:pPr>
              <w:rPr>
                <w:rFonts w:ascii="Arial"/>
                <w:sz w:val="21"/>
                <w:szCs w:val="21"/>
              </w:rPr>
            </w:pPr>
          </w:p>
        </w:tc>
      </w:tr>
      <w:tr w14:paraId="286BA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1687E5C2">
            <w:pPr>
              <w:pStyle w:val="51"/>
              <w:spacing w:before="182" w:line="228" w:lineRule="auto"/>
              <w:ind w:left="283"/>
              <w:rPr>
                <w:sz w:val="21"/>
                <w:szCs w:val="21"/>
              </w:rPr>
            </w:pPr>
            <w:r>
              <w:rPr>
                <w:spacing w:val="7"/>
                <w:sz w:val="21"/>
                <w:szCs w:val="21"/>
              </w:rPr>
              <w:t>法定代表人</w:t>
            </w:r>
          </w:p>
        </w:tc>
        <w:tc>
          <w:tcPr>
            <w:tcW w:w="1060" w:type="dxa"/>
            <w:vAlign w:val="top"/>
          </w:tcPr>
          <w:p w14:paraId="39B865AA">
            <w:pPr>
              <w:pStyle w:val="51"/>
              <w:spacing w:before="182" w:line="228" w:lineRule="auto"/>
              <w:ind w:left="210"/>
              <w:rPr>
                <w:sz w:val="21"/>
                <w:szCs w:val="21"/>
              </w:rPr>
            </w:pPr>
            <w:r>
              <w:rPr>
                <w:sz w:val="21"/>
                <w:szCs w:val="21"/>
              </w:rPr>
              <w:t>姓</w:t>
            </w:r>
            <w:r>
              <w:rPr>
                <w:spacing w:val="10"/>
                <w:sz w:val="21"/>
                <w:szCs w:val="21"/>
              </w:rPr>
              <w:t xml:space="preserve">  </w:t>
            </w:r>
            <w:r>
              <w:rPr>
                <w:sz w:val="21"/>
                <w:szCs w:val="21"/>
              </w:rPr>
              <w:t>名</w:t>
            </w:r>
          </w:p>
        </w:tc>
        <w:tc>
          <w:tcPr>
            <w:tcW w:w="1237" w:type="dxa"/>
            <w:vAlign w:val="top"/>
          </w:tcPr>
          <w:p w14:paraId="23EB3B66">
            <w:pPr>
              <w:rPr>
                <w:rFonts w:ascii="Arial"/>
                <w:sz w:val="21"/>
                <w:szCs w:val="21"/>
              </w:rPr>
            </w:pPr>
          </w:p>
        </w:tc>
        <w:tc>
          <w:tcPr>
            <w:tcW w:w="1423" w:type="dxa"/>
            <w:gridSpan w:val="2"/>
            <w:vAlign w:val="top"/>
          </w:tcPr>
          <w:p w14:paraId="67217899">
            <w:pPr>
              <w:pStyle w:val="51"/>
              <w:spacing w:before="182" w:line="228" w:lineRule="auto"/>
              <w:ind w:left="266"/>
              <w:rPr>
                <w:sz w:val="21"/>
                <w:szCs w:val="21"/>
              </w:rPr>
            </w:pPr>
            <w:r>
              <w:rPr>
                <w:spacing w:val="7"/>
                <w:sz w:val="21"/>
                <w:szCs w:val="21"/>
              </w:rPr>
              <w:t>技术职称</w:t>
            </w:r>
          </w:p>
        </w:tc>
        <w:tc>
          <w:tcPr>
            <w:tcW w:w="1222" w:type="dxa"/>
            <w:vAlign w:val="top"/>
          </w:tcPr>
          <w:p w14:paraId="4C6A3F95">
            <w:pPr>
              <w:rPr>
                <w:rFonts w:ascii="Arial"/>
                <w:sz w:val="21"/>
                <w:szCs w:val="21"/>
              </w:rPr>
            </w:pPr>
          </w:p>
        </w:tc>
        <w:tc>
          <w:tcPr>
            <w:tcW w:w="1173" w:type="dxa"/>
            <w:vAlign w:val="top"/>
          </w:tcPr>
          <w:p w14:paraId="196718BD">
            <w:pPr>
              <w:pStyle w:val="51"/>
              <w:spacing w:before="181" w:line="231" w:lineRule="auto"/>
              <w:ind w:left="292"/>
              <w:rPr>
                <w:sz w:val="21"/>
                <w:szCs w:val="21"/>
              </w:rPr>
            </w:pPr>
            <w:r>
              <w:rPr>
                <w:spacing w:val="-12"/>
                <w:sz w:val="21"/>
                <w:szCs w:val="21"/>
              </w:rPr>
              <w:t>电</w:t>
            </w:r>
            <w:r>
              <w:rPr>
                <w:spacing w:val="9"/>
                <w:sz w:val="21"/>
                <w:szCs w:val="21"/>
              </w:rPr>
              <w:t xml:space="preserve">  </w:t>
            </w:r>
            <w:r>
              <w:rPr>
                <w:spacing w:val="-12"/>
                <w:sz w:val="21"/>
                <w:szCs w:val="21"/>
              </w:rPr>
              <w:t>话</w:t>
            </w:r>
          </w:p>
        </w:tc>
        <w:tc>
          <w:tcPr>
            <w:tcW w:w="1064" w:type="dxa"/>
            <w:tcBorders>
              <w:right w:val="single" w:color="000000" w:sz="10" w:space="0"/>
            </w:tcBorders>
            <w:vAlign w:val="top"/>
          </w:tcPr>
          <w:p w14:paraId="7A12132F">
            <w:pPr>
              <w:rPr>
                <w:rFonts w:ascii="Arial"/>
                <w:sz w:val="21"/>
                <w:szCs w:val="21"/>
              </w:rPr>
            </w:pPr>
          </w:p>
        </w:tc>
      </w:tr>
      <w:tr w14:paraId="4A684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76A4AE98">
            <w:pPr>
              <w:pStyle w:val="51"/>
              <w:spacing w:before="183" w:line="228" w:lineRule="auto"/>
              <w:ind w:left="283"/>
              <w:rPr>
                <w:sz w:val="21"/>
                <w:szCs w:val="21"/>
              </w:rPr>
            </w:pPr>
            <w:r>
              <w:rPr>
                <w:spacing w:val="7"/>
                <w:sz w:val="21"/>
                <w:szCs w:val="21"/>
              </w:rPr>
              <w:t>技术负责人</w:t>
            </w:r>
          </w:p>
        </w:tc>
        <w:tc>
          <w:tcPr>
            <w:tcW w:w="1060" w:type="dxa"/>
            <w:vAlign w:val="top"/>
          </w:tcPr>
          <w:p w14:paraId="30264FC7">
            <w:pPr>
              <w:pStyle w:val="51"/>
              <w:spacing w:before="183" w:line="228" w:lineRule="auto"/>
              <w:ind w:left="210"/>
              <w:rPr>
                <w:sz w:val="21"/>
                <w:szCs w:val="21"/>
              </w:rPr>
            </w:pPr>
            <w:r>
              <w:rPr>
                <w:sz w:val="21"/>
                <w:szCs w:val="21"/>
              </w:rPr>
              <w:t>姓</w:t>
            </w:r>
            <w:r>
              <w:rPr>
                <w:spacing w:val="10"/>
                <w:sz w:val="21"/>
                <w:szCs w:val="21"/>
              </w:rPr>
              <w:t xml:space="preserve">  </w:t>
            </w:r>
            <w:r>
              <w:rPr>
                <w:sz w:val="21"/>
                <w:szCs w:val="21"/>
              </w:rPr>
              <w:t>名</w:t>
            </w:r>
          </w:p>
        </w:tc>
        <w:tc>
          <w:tcPr>
            <w:tcW w:w="1237" w:type="dxa"/>
            <w:vAlign w:val="top"/>
          </w:tcPr>
          <w:p w14:paraId="706D5AEE">
            <w:pPr>
              <w:rPr>
                <w:rFonts w:ascii="Arial"/>
                <w:sz w:val="21"/>
                <w:szCs w:val="21"/>
              </w:rPr>
            </w:pPr>
          </w:p>
        </w:tc>
        <w:tc>
          <w:tcPr>
            <w:tcW w:w="1423" w:type="dxa"/>
            <w:gridSpan w:val="2"/>
            <w:vAlign w:val="top"/>
          </w:tcPr>
          <w:p w14:paraId="0497FD17">
            <w:pPr>
              <w:pStyle w:val="51"/>
              <w:spacing w:before="183" w:line="228" w:lineRule="auto"/>
              <w:ind w:left="266"/>
              <w:rPr>
                <w:sz w:val="21"/>
                <w:szCs w:val="21"/>
              </w:rPr>
            </w:pPr>
            <w:r>
              <w:rPr>
                <w:spacing w:val="7"/>
                <w:sz w:val="21"/>
                <w:szCs w:val="21"/>
              </w:rPr>
              <w:t>技术职称</w:t>
            </w:r>
          </w:p>
        </w:tc>
        <w:tc>
          <w:tcPr>
            <w:tcW w:w="1222" w:type="dxa"/>
            <w:vAlign w:val="top"/>
          </w:tcPr>
          <w:p w14:paraId="3A43618F">
            <w:pPr>
              <w:rPr>
                <w:rFonts w:ascii="Arial"/>
                <w:sz w:val="21"/>
                <w:szCs w:val="21"/>
              </w:rPr>
            </w:pPr>
          </w:p>
        </w:tc>
        <w:tc>
          <w:tcPr>
            <w:tcW w:w="1173" w:type="dxa"/>
            <w:vAlign w:val="top"/>
          </w:tcPr>
          <w:p w14:paraId="32C8406A">
            <w:pPr>
              <w:pStyle w:val="51"/>
              <w:spacing w:before="182" w:line="231" w:lineRule="auto"/>
              <w:ind w:left="292"/>
              <w:rPr>
                <w:sz w:val="21"/>
                <w:szCs w:val="21"/>
              </w:rPr>
            </w:pPr>
            <w:r>
              <w:rPr>
                <w:spacing w:val="-12"/>
                <w:sz w:val="21"/>
                <w:szCs w:val="21"/>
              </w:rPr>
              <w:t>电</w:t>
            </w:r>
            <w:r>
              <w:rPr>
                <w:spacing w:val="9"/>
                <w:sz w:val="21"/>
                <w:szCs w:val="21"/>
              </w:rPr>
              <w:t xml:space="preserve">  </w:t>
            </w:r>
            <w:r>
              <w:rPr>
                <w:spacing w:val="-12"/>
                <w:sz w:val="21"/>
                <w:szCs w:val="21"/>
              </w:rPr>
              <w:t>话</w:t>
            </w:r>
          </w:p>
        </w:tc>
        <w:tc>
          <w:tcPr>
            <w:tcW w:w="1064" w:type="dxa"/>
            <w:tcBorders>
              <w:right w:val="single" w:color="000000" w:sz="10" w:space="0"/>
            </w:tcBorders>
            <w:vAlign w:val="top"/>
          </w:tcPr>
          <w:p w14:paraId="28B0FB22">
            <w:pPr>
              <w:rPr>
                <w:rFonts w:ascii="Arial"/>
                <w:sz w:val="21"/>
                <w:szCs w:val="21"/>
              </w:rPr>
            </w:pPr>
          </w:p>
        </w:tc>
      </w:tr>
      <w:tr w14:paraId="3D822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070C60E8">
            <w:pPr>
              <w:pStyle w:val="51"/>
              <w:spacing w:before="183" w:line="230" w:lineRule="auto"/>
              <w:ind w:left="389"/>
              <w:rPr>
                <w:sz w:val="21"/>
                <w:szCs w:val="21"/>
              </w:rPr>
            </w:pPr>
            <w:r>
              <w:rPr>
                <w:spacing w:val="6"/>
                <w:sz w:val="21"/>
                <w:szCs w:val="21"/>
              </w:rPr>
              <w:t>成立时间</w:t>
            </w:r>
          </w:p>
        </w:tc>
        <w:tc>
          <w:tcPr>
            <w:tcW w:w="2297" w:type="dxa"/>
            <w:gridSpan w:val="2"/>
            <w:vAlign w:val="top"/>
          </w:tcPr>
          <w:p w14:paraId="39046F82">
            <w:pPr>
              <w:rPr>
                <w:rFonts w:ascii="Arial"/>
                <w:sz w:val="21"/>
                <w:szCs w:val="21"/>
              </w:rPr>
            </w:pPr>
          </w:p>
        </w:tc>
        <w:tc>
          <w:tcPr>
            <w:tcW w:w="4882" w:type="dxa"/>
            <w:gridSpan w:val="5"/>
            <w:tcBorders>
              <w:right w:val="single" w:color="000000" w:sz="10" w:space="0"/>
            </w:tcBorders>
            <w:vAlign w:val="top"/>
          </w:tcPr>
          <w:p w14:paraId="0DB1D18B">
            <w:pPr>
              <w:pStyle w:val="51"/>
              <w:spacing w:before="184" w:line="228" w:lineRule="auto"/>
              <w:ind w:left="2319"/>
              <w:rPr>
                <w:sz w:val="21"/>
                <w:szCs w:val="21"/>
              </w:rPr>
            </w:pPr>
            <w:r>
              <w:rPr>
                <w:spacing w:val="5"/>
                <w:sz w:val="21"/>
                <w:szCs w:val="21"/>
              </w:rPr>
              <w:t>员工总人数：</w:t>
            </w:r>
          </w:p>
        </w:tc>
      </w:tr>
      <w:tr w14:paraId="2830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692B2472">
            <w:pPr>
              <w:pStyle w:val="51"/>
              <w:spacing w:before="185" w:line="228" w:lineRule="auto"/>
              <w:ind w:left="182"/>
              <w:rPr>
                <w:sz w:val="21"/>
                <w:szCs w:val="21"/>
              </w:rPr>
            </w:pPr>
            <w:r>
              <w:rPr>
                <w:spacing w:val="7"/>
                <w:sz w:val="21"/>
                <w:szCs w:val="21"/>
              </w:rPr>
              <w:t>企业资质等级</w:t>
            </w:r>
          </w:p>
        </w:tc>
        <w:tc>
          <w:tcPr>
            <w:tcW w:w="2297" w:type="dxa"/>
            <w:gridSpan w:val="2"/>
            <w:vAlign w:val="top"/>
          </w:tcPr>
          <w:p w14:paraId="18D932A6">
            <w:pPr>
              <w:rPr>
                <w:rFonts w:ascii="Arial"/>
                <w:sz w:val="21"/>
                <w:szCs w:val="21"/>
              </w:rPr>
            </w:pPr>
          </w:p>
        </w:tc>
        <w:tc>
          <w:tcPr>
            <w:tcW w:w="1253" w:type="dxa"/>
            <w:vMerge w:val="restart"/>
            <w:tcBorders>
              <w:bottom w:val="nil"/>
            </w:tcBorders>
            <w:vAlign w:val="top"/>
          </w:tcPr>
          <w:p w14:paraId="47846A5E">
            <w:pPr>
              <w:spacing w:line="274" w:lineRule="auto"/>
              <w:rPr>
                <w:rFonts w:ascii="Arial"/>
                <w:sz w:val="21"/>
                <w:szCs w:val="21"/>
              </w:rPr>
            </w:pPr>
          </w:p>
          <w:p w14:paraId="2CCA7396">
            <w:pPr>
              <w:spacing w:line="274" w:lineRule="auto"/>
              <w:rPr>
                <w:rFonts w:ascii="Arial"/>
                <w:sz w:val="21"/>
                <w:szCs w:val="21"/>
              </w:rPr>
            </w:pPr>
          </w:p>
          <w:p w14:paraId="1B9E50FC">
            <w:pPr>
              <w:spacing w:line="274" w:lineRule="auto"/>
              <w:rPr>
                <w:rFonts w:ascii="Arial"/>
                <w:sz w:val="21"/>
                <w:szCs w:val="21"/>
              </w:rPr>
            </w:pPr>
          </w:p>
          <w:p w14:paraId="7CD43920">
            <w:pPr>
              <w:spacing w:line="275" w:lineRule="auto"/>
              <w:rPr>
                <w:rFonts w:ascii="Arial"/>
                <w:sz w:val="21"/>
                <w:szCs w:val="21"/>
              </w:rPr>
            </w:pPr>
          </w:p>
          <w:p w14:paraId="337ED396">
            <w:pPr>
              <w:pStyle w:val="51"/>
              <w:spacing w:before="65" w:line="229" w:lineRule="auto"/>
              <w:ind w:left="338"/>
              <w:rPr>
                <w:sz w:val="21"/>
                <w:szCs w:val="21"/>
              </w:rPr>
            </w:pPr>
            <w:r>
              <w:rPr>
                <w:sz w:val="21"/>
                <w:szCs w:val="21"/>
              </w:rPr>
              <w:t>其</w:t>
            </w:r>
            <w:r>
              <w:rPr>
                <w:spacing w:val="35"/>
                <w:sz w:val="21"/>
                <w:szCs w:val="21"/>
              </w:rPr>
              <w:t xml:space="preserve"> </w:t>
            </w:r>
            <w:r>
              <w:rPr>
                <w:sz w:val="21"/>
                <w:szCs w:val="21"/>
              </w:rPr>
              <w:t>中</w:t>
            </w:r>
          </w:p>
        </w:tc>
        <w:tc>
          <w:tcPr>
            <w:tcW w:w="1392" w:type="dxa"/>
            <w:gridSpan w:val="2"/>
            <w:vAlign w:val="top"/>
          </w:tcPr>
          <w:p w14:paraId="6DBB89A5">
            <w:pPr>
              <w:pStyle w:val="51"/>
              <w:spacing w:before="185" w:line="228" w:lineRule="auto"/>
              <w:rPr>
                <w:sz w:val="21"/>
                <w:szCs w:val="21"/>
              </w:rPr>
            </w:pPr>
            <w:r>
              <w:rPr>
                <w:spacing w:val="7"/>
                <w:sz w:val="21"/>
                <w:szCs w:val="21"/>
              </w:rPr>
              <w:t>项目负责人</w:t>
            </w:r>
          </w:p>
        </w:tc>
        <w:tc>
          <w:tcPr>
            <w:tcW w:w="2237" w:type="dxa"/>
            <w:gridSpan w:val="2"/>
            <w:tcBorders>
              <w:right w:val="single" w:color="000000" w:sz="10" w:space="0"/>
            </w:tcBorders>
            <w:vAlign w:val="top"/>
          </w:tcPr>
          <w:p w14:paraId="7AF473C8">
            <w:pPr>
              <w:rPr>
                <w:rFonts w:ascii="Arial"/>
                <w:sz w:val="21"/>
                <w:szCs w:val="21"/>
              </w:rPr>
            </w:pPr>
          </w:p>
        </w:tc>
      </w:tr>
      <w:tr w14:paraId="1F5D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0E76BFE6">
            <w:pPr>
              <w:pStyle w:val="51"/>
              <w:spacing w:before="186" w:line="228" w:lineRule="auto"/>
              <w:ind w:left="289"/>
              <w:rPr>
                <w:sz w:val="21"/>
                <w:szCs w:val="21"/>
              </w:rPr>
            </w:pPr>
            <w:r>
              <w:rPr>
                <w:spacing w:val="6"/>
                <w:sz w:val="21"/>
                <w:szCs w:val="21"/>
              </w:rPr>
              <w:t>营业执照号</w:t>
            </w:r>
          </w:p>
        </w:tc>
        <w:tc>
          <w:tcPr>
            <w:tcW w:w="2297" w:type="dxa"/>
            <w:gridSpan w:val="2"/>
            <w:vAlign w:val="top"/>
          </w:tcPr>
          <w:p w14:paraId="3B4E15F9">
            <w:pPr>
              <w:rPr>
                <w:rFonts w:ascii="Arial"/>
                <w:sz w:val="21"/>
                <w:szCs w:val="21"/>
              </w:rPr>
            </w:pPr>
          </w:p>
        </w:tc>
        <w:tc>
          <w:tcPr>
            <w:tcW w:w="1253" w:type="dxa"/>
            <w:vMerge w:val="continue"/>
            <w:tcBorders>
              <w:top w:val="nil"/>
              <w:bottom w:val="nil"/>
            </w:tcBorders>
            <w:vAlign w:val="top"/>
          </w:tcPr>
          <w:p w14:paraId="7BC2AC87">
            <w:pPr>
              <w:rPr>
                <w:rFonts w:ascii="Arial"/>
                <w:sz w:val="21"/>
                <w:szCs w:val="21"/>
              </w:rPr>
            </w:pPr>
          </w:p>
        </w:tc>
        <w:tc>
          <w:tcPr>
            <w:tcW w:w="1392" w:type="dxa"/>
            <w:gridSpan w:val="2"/>
            <w:vAlign w:val="top"/>
          </w:tcPr>
          <w:p w14:paraId="011F3E25">
            <w:pPr>
              <w:pStyle w:val="51"/>
              <w:spacing w:before="186" w:line="228" w:lineRule="auto"/>
              <w:rPr>
                <w:sz w:val="21"/>
                <w:szCs w:val="21"/>
              </w:rPr>
            </w:pPr>
            <w:r>
              <w:rPr>
                <w:spacing w:val="7"/>
                <w:sz w:val="21"/>
                <w:szCs w:val="21"/>
              </w:rPr>
              <w:t>高级职称人员</w:t>
            </w:r>
          </w:p>
        </w:tc>
        <w:tc>
          <w:tcPr>
            <w:tcW w:w="2237" w:type="dxa"/>
            <w:gridSpan w:val="2"/>
            <w:tcBorders>
              <w:right w:val="single" w:color="000000" w:sz="10" w:space="0"/>
            </w:tcBorders>
            <w:vAlign w:val="top"/>
          </w:tcPr>
          <w:p w14:paraId="75E669AE">
            <w:pPr>
              <w:rPr>
                <w:rFonts w:ascii="Arial"/>
                <w:sz w:val="21"/>
                <w:szCs w:val="21"/>
              </w:rPr>
            </w:pPr>
          </w:p>
        </w:tc>
      </w:tr>
      <w:tr w14:paraId="2B163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52C6FE5B">
            <w:pPr>
              <w:pStyle w:val="51"/>
              <w:spacing w:before="186" w:line="230" w:lineRule="auto"/>
              <w:ind w:left="388"/>
              <w:rPr>
                <w:sz w:val="21"/>
                <w:szCs w:val="21"/>
              </w:rPr>
            </w:pPr>
            <w:r>
              <w:rPr>
                <w:spacing w:val="7"/>
                <w:sz w:val="21"/>
                <w:szCs w:val="21"/>
              </w:rPr>
              <w:t>注册资金</w:t>
            </w:r>
          </w:p>
        </w:tc>
        <w:tc>
          <w:tcPr>
            <w:tcW w:w="2297" w:type="dxa"/>
            <w:gridSpan w:val="2"/>
            <w:vAlign w:val="top"/>
          </w:tcPr>
          <w:p w14:paraId="23D60692">
            <w:pPr>
              <w:rPr>
                <w:rFonts w:ascii="Arial"/>
                <w:sz w:val="21"/>
                <w:szCs w:val="21"/>
              </w:rPr>
            </w:pPr>
          </w:p>
        </w:tc>
        <w:tc>
          <w:tcPr>
            <w:tcW w:w="1253" w:type="dxa"/>
            <w:vMerge w:val="continue"/>
            <w:tcBorders>
              <w:top w:val="nil"/>
              <w:bottom w:val="nil"/>
            </w:tcBorders>
            <w:vAlign w:val="top"/>
          </w:tcPr>
          <w:p w14:paraId="7C23AC5C">
            <w:pPr>
              <w:rPr>
                <w:rFonts w:ascii="Arial"/>
                <w:sz w:val="21"/>
                <w:szCs w:val="21"/>
              </w:rPr>
            </w:pPr>
          </w:p>
        </w:tc>
        <w:tc>
          <w:tcPr>
            <w:tcW w:w="1392" w:type="dxa"/>
            <w:gridSpan w:val="2"/>
            <w:vAlign w:val="top"/>
          </w:tcPr>
          <w:p w14:paraId="1E2E7DDA">
            <w:pPr>
              <w:pStyle w:val="51"/>
              <w:spacing w:before="186" w:line="229" w:lineRule="auto"/>
              <w:rPr>
                <w:sz w:val="21"/>
                <w:szCs w:val="21"/>
              </w:rPr>
            </w:pPr>
            <w:r>
              <w:rPr>
                <w:spacing w:val="4"/>
                <w:sz w:val="21"/>
                <w:szCs w:val="21"/>
              </w:rPr>
              <w:t>中级职称人员</w:t>
            </w:r>
          </w:p>
        </w:tc>
        <w:tc>
          <w:tcPr>
            <w:tcW w:w="2237" w:type="dxa"/>
            <w:gridSpan w:val="2"/>
            <w:tcBorders>
              <w:right w:val="single" w:color="000000" w:sz="10" w:space="0"/>
            </w:tcBorders>
            <w:vAlign w:val="top"/>
          </w:tcPr>
          <w:p w14:paraId="4A6C31BB">
            <w:pPr>
              <w:rPr>
                <w:rFonts w:ascii="Arial"/>
                <w:sz w:val="21"/>
                <w:szCs w:val="21"/>
              </w:rPr>
            </w:pPr>
          </w:p>
        </w:tc>
      </w:tr>
      <w:tr w14:paraId="019D2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1258FA93">
            <w:pPr>
              <w:pStyle w:val="51"/>
              <w:spacing w:before="187" w:line="229" w:lineRule="auto"/>
              <w:ind w:left="388"/>
              <w:rPr>
                <w:sz w:val="21"/>
                <w:szCs w:val="21"/>
              </w:rPr>
            </w:pPr>
            <w:r>
              <w:rPr>
                <w:spacing w:val="7"/>
                <w:sz w:val="21"/>
                <w:szCs w:val="21"/>
              </w:rPr>
              <w:t>开户银行</w:t>
            </w:r>
          </w:p>
        </w:tc>
        <w:tc>
          <w:tcPr>
            <w:tcW w:w="2297" w:type="dxa"/>
            <w:gridSpan w:val="2"/>
            <w:vAlign w:val="top"/>
          </w:tcPr>
          <w:p w14:paraId="3A976C9F">
            <w:pPr>
              <w:rPr>
                <w:rFonts w:ascii="Arial"/>
                <w:sz w:val="21"/>
                <w:szCs w:val="21"/>
              </w:rPr>
            </w:pPr>
          </w:p>
        </w:tc>
        <w:tc>
          <w:tcPr>
            <w:tcW w:w="1253" w:type="dxa"/>
            <w:vMerge w:val="continue"/>
            <w:tcBorders>
              <w:top w:val="nil"/>
              <w:bottom w:val="nil"/>
            </w:tcBorders>
            <w:vAlign w:val="top"/>
          </w:tcPr>
          <w:p w14:paraId="6686345E">
            <w:pPr>
              <w:rPr>
                <w:rFonts w:ascii="Arial"/>
                <w:sz w:val="21"/>
                <w:szCs w:val="21"/>
              </w:rPr>
            </w:pPr>
          </w:p>
        </w:tc>
        <w:tc>
          <w:tcPr>
            <w:tcW w:w="1392" w:type="dxa"/>
            <w:gridSpan w:val="2"/>
            <w:vAlign w:val="top"/>
          </w:tcPr>
          <w:p w14:paraId="0245A9C2">
            <w:pPr>
              <w:pStyle w:val="51"/>
              <w:spacing w:before="187" w:line="230" w:lineRule="auto"/>
              <w:rPr>
                <w:sz w:val="21"/>
                <w:szCs w:val="21"/>
              </w:rPr>
            </w:pPr>
            <w:r>
              <w:rPr>
                <w:spacing w:val="8"/>
                <w:sz w:val="21"/>
                <w:szCs w:val="21"/>
              </w:rPr>
              <w:t>初级职称人员</w:t>
            </w:r>
          </w:p>
        </w:tc>
        <w:tc>
          <w:tcPr>
            <w:tcW w:w="2237" w:type="dxa"/>
            <w:gridSpan w:val="2"/>
            <w:tcBorders>
              <w:right w:val="single" w:color="000000" w:sz="10" w:space="0"/>
            </w:tcBorders>
            <w:vAlign w:val="top"/>
          </w:tcPr>
          <w:p w14:paraId="01F67AEE">
            <w:pPr>
              <w:rPr>
                <w:rFonts w:ascii="Arial"/>
                <w:sz w:val="21"/>
                <w:szCs w:val="21"/>
              </w:rPr>
            </w:pPr>
          </w:p>
        </w:tc>
      </w:tr>
      <w:tr w14:paraId="2F51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7FC5491E">
            <w:pPr>
              <w:pStyle w:val="51"/>
              <w:spacing w:before="188" w:line="230" w:lineRule="auto"/>
              <w:ind w:left="497"/>
              <w:rPr>
                <w:sz w:val="21"/>
                <w:szCs w:val="21"/>
              </w:rPr>
            </w:pPr>
            <w:r>
              <w:rPr>
                <w:spacing w:val="-2"/>
                <w:sz w:val="21"/>
                <w:szCs w:val="21"/>
              </w:rPr>
              <w:t>账</w:t>
            </w:r>
            <w:r>
              <w:rPr>
                <w:spacing w:val="12"/>
                <w:sz w:val="21"/>
                <w:szCs w:val="21"/>
              </w:rPr>
              <w:t xml:space="preserve">  </w:t>
            </w:r>
            <w:r>
              <w:rPr>
                <w:spacing w:val="-2"/>
                <w:sz w:val="21"/>
                <w:szCs w:val="21"/>
              </w:rPr>
              <w:t>号</w:t>
            </w:r>
          </w:p>
        </w:tc>
        <w:tc>
          <w:tcPr>
            <w:tcW w:w="2297" w:type="dxa"/>
            <w:gridSpan w:val="2"/>
            <w:vAlign w:val="top"/>
          </w:tcPr>
          <w:p w14:paraId="7B39138B">
            <w:pPr>
              <w:rPr>
                <w:rFonts w:ascii="Arial"/>
                <w:sz w:val="21"/>
                <w:szCs w:val="21"/>
              </w:rPr>
            </w:pPr>
          </w:p>
        </w:tc>
        <w:tc>
          <w:tcPr>
            <w:tcW w:w="1253" w:type="dxa"/>
            <w:vMerge w:val="continue"/>
            <w:tcBorders>
              <w:top w:val="nil"/>
            </w:tcBorders>
            <w:vAlign w:val="top"/>
          </w:tcPr>
          <w:p w14:paraId="470A9C8E">
            <w:pPr>
              <w:rPr>
                <w:rFonts w:ascii="Arial"/>
                <w:sz w:val="21"/>
                <w:szCs w:val="21"/>
              </w:rPr>
            </w:pPr>
          </w:p>
        </w:tc>
        <w:tc>
          <w:tcPr>
            <w:tcW w:w="1392" w:type="dxa"/>
            <w:gridSpan w:val="2"/>
            <w:vAlign w:val="top"/>
          </w:tcPr>
          <w:p w14:paraId="3897D1DA">
            <w:pPr>
              <w:pStyle w:val="51"/>
              <w:spacing w:before="188" w:line="230" w:lineRule="auto"/>
              <w:rPr>
                <w:sz w:val="21"/>
                <w:szCs w:val="21"/>
              </w:rPr>
            </w:pPr>
            <w:r>
              <w:rPr>
                <w:sz w:val="21"/>
                <w:szCs w:val="21"/>
              </w:rPr>
              <w:t>技</w:t>
            </w:r>
            <w:r>
              <w:rPr>
                <w:spacing w:val="10"/>
                <w:sz w:val="21"/>
                <w:szCs w:val="21"/>
              </w:rPr>
              <w:t xml:space="preserve">  </w:t>
            </w:r>
            <w:r>
              <w:rPr>
                <w:sz w:val="21"/>
                <w:szCs w:val="21"/>
              </w:rPr>
              <w:t>工</w:t>
            </w:r>
          </w:p>
        </w:tc>
        <w:tc>
          <w:tcPr>
            <w:tcW w:w="2237" w:type="dxa"/>
            <w:gridSpan w:val="2"/>
            <w:tcBorders>
              <w:right w:val="single" w:color="000000" w:sz="10" w:space="0"/>
            </w:tcBorders>
            <w:vAlign w:val="top"/>
          </w:tcPr>
          <w:p w14:paraId="7A449AE1">
            <w:pPr>
              <w:rPr>
                <w:rFonts w:ascii="Arial"/>
                <w:sz w:val="21"/>
                <w:szCs w:val="21"/>
              </w:rPr>
            </w:pPr>
          </w:p>
        </w:tc>
      </w:tr>
      <w:tr w14:paraId="05E5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6" w:hRule="atLeast"/>
        </w:trPr>
        <w:tc>
          <w:tcPr>
            <w:tcW w:w="1632" w:type="dxa"/>
            <w:tcBorders>
              <w:left w:val="single" w:color="000000" w:sz="10" w:space="0"/>
            </w:tcBorders>
            <w:vAlign w:val="top"/>
          </w:tcPr>
          <w:p w14:paraId="3BA3E49E">
            <w:pPr>
              <w:spacing w:line="255" w:lineRule="auto"/>
              <w:rPr>
                <w:rFonts w:ascii="Arial"/>
                <w:sz w:val="21"/>
                <w:szCs w:val="21"/>
              </w:rPr>
            </w:pPr>
          </w:p>
          <w:p w14:paraId="17E0AF24">
            <w:pPr>
              <w:spacing w:line="255" w:lineRule="auto"/>
              <w:rPr>
                <w:rFonts w:ascii="Arial"/>
                <w:sz w:val="21"/>
                <w:szCs w:val="21"/>
              </w:rPr>
            </w:pPr>
          </w:p>
          <w:p w14:paraId="4A7D1862">
            <w:pPr>
              <w:spacing w:line="255" w:lineRule="auto"/>
              <w:rPr>
                <w:rFonts w:ascii="Arial"/>
                <w:sz w:val="21"/>
                <w:szCs w:val="21"/>
              </w:rPr>
            </w:pPr>
          </w:p>
          <w:p w14:paraId="08C80AD3">
            <w:pPr>
              <w:spacing w:line="255" w:lineRule="auto"/>
              <w:rPr>
                <w:rFonts w:ascii="Arial"/>
                <w:sz w:val="21"/>
                <w:szCs w:val="21"/>
              </w:rPr>
            </w:pPr>
          </w:p>
          <w:p w14:paraId="12A99427">
            <w:pPr>
              <w:spacing w:line="255" w:lineRule="auto"/>
              <w:rPr>
                <w:rFonts w:ascii="Arial"/>
                <w:sz w:val="21"/>
                <w:szCs w:val="21"/>
              </w:rPr>
            </w:pPr>
          </w:p>
          <w:p w14:paraId="77A3D26E">
            <w:pPr>
              <w:spacing w:line="255" w:lineRule="auto"/>
              <w:rPr>
                <w:rFonts w:ascii="Arial"/>
                <w:sz w:val="21"/>
                <w:szCs w:val="21"/>
              </w:rPr>
            </w:pPr>
          </w:p>
          <w:p w14:paraId="0871C3AD">
            <w:pPr>
              <w:spacing w:line="255" w:lineRule="auto"/>
              <w:rPr>
                <w:rFonts w:ascii="Arial"/>
                <w:sz w:val="21"/>
                <w:szCs w:val="21"/>
              </w:rPr>
            </w:pPr>
          </w:p>
          <w:p w14:paraId="1A389DA3">
            <w:pPr>
              <w:spacing w:line="256" w:lineRule="auto"/>
              <w:rPr>
                <w:rFonts w:ascii="Arial"/>
                <w:sz w:val="21"/>
                <w:szCs w:val="21"/>
              </w:rPr>
            </w:pPr>
          </w:p>
          <w:p w14:paraId="317BFFAD">
            <w:pPr>
              <w:pStyle w:val="51"/>
              <w:spacing w:before="65" w:line="229" w:lineRule="auto"/>
              <w:ind w:left="389"/>
              <w:rPr>
                <w:sz w:val="21"/>
                <w:szCs w:val="21"/>
              </w:rPr>
            </w:pPr>
            <w:r>
              <w:rPr>
                <w:spacing w:val="6"/>
                <w:sz w:val="21"/>
                <w:szCs w:val="21"/>
              </w:rPr>
              <w:t>经营范围</w:t>
            </w:r>
          </w:p>
        </w:tc>
        <w:tc>
          <w:tcPr>
            <w:tcW w:w="7179" w:type="dxa"/>
            <w:gridSpan w:val="7"/>
            <w:tcBorders>
              <w:right w:val="single" w:color="000000" w:sz="10" w:space="0"/>
            </w:tcBorders>
            <w:vAlign w:val="top"/>
          </w:tcPr>
          <w:p w14:paraId="78B293F9">
            <w:pPr>
              <w:rPr>
                <w:rFonts w:ascii="Arial"/>
                <w:sz w:val="21"/>
                <w:szCs w:val="21"/>
              </w:rPr>
            </w:pPr>
          </w:p>
        </w:tc>
      </w:tr>
      <w:tr w14:paraId="26FD8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632" w:type="dxa"/>
            <w:tcBorders>
              <w:left w:val="single" w:color="000000" w:sz="10" w:space="0"/>
              <w:bottom w:val="single" w:color="000000" w:sz="10" w:space="0"/>
            </w:tcBorders>
            <w:vAlign w:val="top"/>
          </w:tcPr>
          <w:p w14:paraId="2DECB1E7">
            <w:pPr>
              <w:spacing w:line="408" w:lineRule="auto"/>
              <w:rPr>
                <w:rFonts w:ascii="Arial"/>
                <w:sz w:val="21"/>
                <w:szCs w:val="21"/>
              </w:rPr>
            </w:pPr>
          </w:p>
          <w:p w14:paraId="6B61C34D">
            <w:pPr>
              <w:pStyle w:val="51"/>
              <w:spacing w:before="65" w:line="230" w:lineRule="auto"/>
              <w:ind w:left="443"/>
              <w:rPr>
                <w:sz w:val="21"/>
                <w:szCs w:val="21"/>
              </w:rPr>
            </w:pPr>
            <w:r>
              <w:rPr>
                <w:spacing w:val="-1"/>
                <w:sz w:val="21"/>
                <w:szCs w:val="21"/>
              </w:rPr>
              <w:t>备</w:t>
            </w:r>
            <w:r>
              <w:rPr>
                <w:spacing w:val="8"/>
                <w:sz w:val="21"/>
                <w:szCs w:val="21"/>
              </w:rPr>
              <w:t xml:space="preserve">   </w:t>
            </w:r>
            <w:r>
              <w:rPr>
                <w:spacing w:val="-1"/>
                <w:sz w:val="21"/>
                <w:szCs w:val="21"/>
              </w:rPr>
              <w:t>注</w:t>
            </w:r>
          </w:p>
        </w:tc>
        <w:tc>
          <w:tcPr>
            <w:tcW w:w="7179" w:type="dxa"/>
            <w:gridSpan w:val="7"/>
            <w:tcBorders>
              <w:bottom w:val="single" w:color="000000" w:sz="10" w:space="0"/>
              <w:right w:val="single" w:color="000000" w:sz="10" w:space="0"/>
            </w:tcBorders>
            <w:vAlign w:val="top"/>
          </w:tcPr>
          <w:p w14:paraId="1F2468EB">
            <w:pPr>
              <w:rPr>
                <w:rFonts w:ascii="Arial"/>
                <w:sz w:val="21"/>
                <w:szCs w:val="21"/>
              </w:rPr>
            </w:pPr>
          </w:p>
        </w:tc>
      </w:tr>
    </w:tbl>
    <w:p w14:paraId="3DAB1987">
      <w:pPr>
        <w:pStyle w:val="7"/>
        <w:spacing w:line="253" w:lineRule="auto"/>
      </w:pPr>
    </w:p>
    <w:p w14:paraId="61CF0D36">
      <w:pPr>
        <w:spacing w:before="65" w:line="317" w:lineRule="auto"/>
        <w:ind w:firstLine="361"/>
        <w:rPr>
          <w:rFonts w:ascii="宋体" w:hAnsi="宋体" w:eastAsia="宋体" w:cs="宋体"/>
          <w:sz w:val="20"/>
          <w:szCs w:val="20"/>
        </w:rPr>
      </w:pPr>
      <w:r>
        <w:rPr>
          <w:rFonts w:ascii="宋体" w:hAnsi="宋体" w:eastAsia="宋体" w:cs="宋体"/>
          <w:spacing w:val="8"/>
          <w:sz w:val="20"/>
          <w:szCs w:val="20"/>
        </w:rPr>
        <w:t>注：在本表后应附</w:t>
      </w:r>
      <w:r>
        <w:rPr>
          <w:rFonts w:hint="eastAsia" w:ascii="宋体" w:hAnsi="宋体" w:eastAsia="宋体" w:cs="宋体"/>
          <w:spacing w:val="8"/>
          <w:sz w:val="20"/>
          <w:szCs w:val="20"/>
          <w:lang w:eastAsia="zh-CN"/>
        </w:rPr>
        <w:t>供应商</w:t>
      </w:r>
      <w:r>
        <w:rPr>
          <w:rFonts w:ascii="宋体" w:hAnsi="宋体" w:eastAsia="宋体" w:cs="宋体"/>
          <w:spacing w:val="8"/>
          <w:sz w:val="20"/>
          <w:szCs w:val="20"/>
        </w:rPr>
        <w:t>营业执照、资质证书、202</w:t>
      </w:r>
      <w:r>
        <w:rPr>
          <w:rFonts w:hint="eastAsia" w:ascii="宋体" w:hAnsi="宋体" w:eastAsia="宋体" w:cs="宋体"/>
          <w:spacing w:val="8"/>
          <w:sz w:val="20"/>
          <w:szCs w:val="20"/>
          <w:lang w:val="en-US" w:eastAsia="zh-CN"/>
        </w:rPr>
        <w:t>4</w:t>
      </w:r>
      <w:r>
        <w:rPr>
          <w:rFonts w:ascii="宋体" w:hAnsi="宋体" w:eastAsia="宋体" w:cs="宋体"/>
          <w:spacing w:val="8"/>
          <w:sz w:val="20"/>
          <w:szCs w:val="20"/>
        </w:rPr>
        <w:t>年</w:t>
      </w:r>
      <w:r>
        <w:rPr>
          <w:rFonts w:hint="eastAsia" w:ascii="宋体" w:hAnsi="宋体" w:eastAsia="宋体" w:cs="宋体"/>
          <w:spacing w:val="-24"/>
          <w:sz w:val="20"/>
          <w:szCs w:val="20"/>
          <w:lang w:val="en-US" w:eastAsia="zh-CN"/>
        </w:rPr>
        <w:t>1</w:t>
      </w:r>
      <w:r>
        <w:rPr>
          <w:rFonts w:ascii="宋体" w:hAnsi="宋体" w:eastAsia="宋体" w:cs="宋体"/>
          <w:spacing w:val="-33"/>
          <w:sz w:val="20"/>
          <w:szCs w:val="20"/>
        </w:rPr>
        <w:t xml:space="preserve"> </w:t>
      </w:r>
      <w:r>
        <w:rPr>
          <w:rFonts w:ascii="宋体" w:hAnsi="宋体" w:eastAsia="宋体" w:cs="宋体"/>
          <w:spacing w:val="8"/>
          <w:sz w:val="20"/>
          <w:szCs w:val="20"/>
        </w:rPr>
        <w:t>月至今任意一个</w:t>
      </w:r>
      <w:r>
        <w:rPr>
          <w:rFonts w:ascii="宋体" w:hAnsi="宋体" w:eastAsia="宋体" w:cs="宋体"/>
          <w:spacing w:val="7"/>
          <w:sz w:val="20"/>
          <w:szCs w:val="20"/>
        </w:rPr>
        <w:t>月依法缴纳社会保障资金的良好记</w:t>
      </w:r>
      <w:r>
        <w:rPr>
          <w:rFonts w:ascii="宋体" w:hAnsi="宋体" w:eastAsia="宋体" w:cs="宋体"/>
          <w:sz w:val="20"/>
          <w:szCs w:val="20"/>
        </w:rPr>
        <w:t xml:space="preserve"> </w:t>
      </w:r>
      <w:r>
        <w:rPr>
          <w:rFonts w:ascii="宋体" w:hAnsi="宋体" w:eastAsia="宋体" w:cs="宋体"/>
          <w:spacing w:val="6"/>
          <w:sz w:val="20"/>
          <w:szCs w:val="20"/>
        </w:rPr>
        <w:t>录证明等材料。</w:t>
      </w:r>
    </w:p>
    <w:p w14:paraId="45436C93">
      <w:pPr>
        <w:spacing w:line="317" w:lineRule="auto"/>
        <w:rPr>
          <w:rFonts w:ascii="宋体" w:hAnsi="宋体" w:eastAsia="宋体" w:cs="宋体"/>
          <w:sz w:val="20"/>
          <w:szCs w:val="20"/>
        </w:rPr>
        <w:sectPr>
          <w:footerReference r:id="rId11" w:type="default"/>
          <w:pgSz w:w="11910" w:h="16850"/>
          <w:pgMar w:top="1432" w:right="1417" w:bottom="1417" w:left="1417" w:header="1134" w:footer="1134" w:gutter="0"/>
          <w:pgNumType w:fmt="decimal"/>
          <w:cols w:space="720" w:num="1"/>
        </w:sectPr>
      </w:pPr>
    </w:p>
    <w:p w14:paraId="63E05FBD">
      <w:pPr>
        <w:pStyle w:val="7"/>
        <w:spacing w:line="286" w:lineRule="auto"/>
      </w:pPr>
    </w:p>
    <w:p w14:paraId="0401ED1D">
      <w:pPr>
        <w:pStyle w:val="7"/>
        <w:spacing w:line="287" w:lineRule="auto"/>
      </w:pPr>
    </w:p>
    <w:p w14:paraId="35706472">
      <w:pPr>
        <w:spacing w:before="78" w:line="220" w:lineRule="auto"/>
        <w:jc w:val="center"/>
        <w:outlineLvl w:val="0"/>
        <w:rPr>
          <w:rFonts w:ascii="宋体" w:hAnsi="宋体" w:eastAsia="宋体" w:cs="宋体"/>
          <w:b/>
          <w:bCs/>
          <w:sz w:val="28"/>
          <w:szCs w:val="28"/>
        </w:rPr>
      </w:pPr>
      <w:bookmarkStart w:id="275" w:name="bookmark11"/>
      <w:bookmarkEnd w:id="275"/>
      <w:bookmarkStart w:id="276" w:name="bookmark5"/>
      <w:bookmarkEnd w:id="276"/>
      <w:r>
        <w:rPr>
          <w:rFonts w:ascii="宋体" w:hAnsi="宋体" w:eastAsia="宋体" w:cs="宋体"/>
          <w:b/>
          <w:bCs/>
          <w:spacing w:val="-3"/>
          <w:sz w:val="28"/>
          <w:szCs w:val="28"/>
        </w:rPr>
        <w:t>（二）公司财务状况</w:t>
      </w:r>
    </w:p>
    <w:p w14:paraId="5FD8B565">
      <w:pPr>
        <w:pStyle w:val="7"/>
        <w:spacing w:line="304" w:lineRule="auto"/>
      </w:pPr>
    </w:p>
    <w:p w14:paraId="525EBFEA">
      <w:pPr>
        <w:spacing w:before="62" w:line="421" w:lineRule="auto"/>
        <w:ind w:firstLine="516" w:firstLineChars="200"/>
        <w:rPr>
          <w:rFonts w:hint="eastAsia" w:ascii="宋体" w:hAnsi="宋体" w:eastAsia="宋体" w:cs="宋体"/>
          <w:sz w:val="24"/>
          <w:szCs w:val="24"/>
          <w:lang w:eastAsia="zh-CN"/>
        </w:rPr>
      </w:pPr>
      <w:r>
        <w:rPr>
          <w:rFonts w:ascii="宋体" w:hAnsi="宋体" w:eastAsia="宋体" w:cs="宋体"/>
          <w:spacing w:val="9"/>
          <w:sz w:val="24"/>
          <w:szCs w:val="24"/>
        </w:rPr>
        <w:t>后附：</w:t>
      </w:r>
      <w:r>
        <w:rPr>
          <w:rFonts w:hint="eastAsia" w:ascii="宋体" w:hAnsi="宋体" w:cs="宋体"/>
          <w:spacing w:val="9"/>
          <w:sz w:val="24"/>
          <w:szCs w:val="24"/>
          <w:lang w:eastAsia="zh-CN"/>
        </w:rPr>
        <w:t>具有202</w:t>
      </w:r>
      <w:r>
        <w:rPr>
          <w:rFonts w:hint="eastAsia" w:ascii="宋体" w:hAnsi="宋体" w:cs="宋体"/>
          <w:spacing w:val="9"/>
          <w:sz w:val="24"/>
          <w:szCs w:val="24"/>
          <w:lang w:val="en-US" w:eastAsia="zh-CN"/>
        </w:rPr>
        <w:t>4</w:t>
      </w:r>
      <w:r>
        <w:rPr>
          <w:rFonts w:hint="eastAsia" w:ascii="宋体" w:hAnsi="宋体" w:cs="宋体"/>
          <w:spacing w:val="9"/>
          <w:sz w:val="24"/>
          <w:szCs w:val="24"/>
          <w:lang w:eastAsia="zh-CN"/>
        </w:rPr>
        <w:t>年度的财务审计报告（新成立不足一年的企业须提供自成立之日起至今企业财务状况良好的承诺书）。</w:t>
      </w:r>
    </w:p>
    <w:p w14:paraId="7326E51C">
      <w:pPr>
        <w:spacing w:line="421" w:lineRule="auto"/>
        <w:rPr>
          <w:rFonts w:ascii="宋体" w:hAnsi="宋体" w:eastAsia="宋体" w:cs="宋体"/>
          <w:sz w:val="19"/>
          <w:szCs w:val="19"/>
        </w:rPr>
        <w:sectPr>
          <w:footerReference r:id="rId12" w:type="default"/>
          <w:pgSz w:w="11910" w:h="16850"/>
          <w:pgMar w:top="1432" w:right="1701" w:bottom="1417" w:left="1701" w:header="1134" w:footer="1134" w:gutter="0"/>
          <w:pgNumType w:fmt="decimal"/>
          <w:cols w:space="720" w:num="1"/>
        </w:sectPr>
      </w:pPr>
    </w:p>
    <w:p w14:paraId="36259C88">
      <w:pPr>
        <w:spacing w:before="103" w:line="219" w:lineRule="auto"/>
        <w:jc w:val="right"/>
        <w:rPr>
          <w:rFonts w:ascii="宋体" w:hAnsi="宋体" w:eastAsia="宋体" w:cs="宋体"/>
          <w:spacing w:val="-1"/>
          <w:sz w:val="24"/>
          <w:szCs w:val="24"/>
        </w:rPr>
      </w:pPr>
    </w:p>
    <w:p w14:paraId="74EADD35">
      <w:pPr>
        <w:spacing w:before="103" w:line="219" w:lineRule="auto"/>
        <w:jc w:val="both"/>
        <w:rPr>
          <w:rFonts w:ascii="宋体" w:hAnsi="宋体" w:eastAsia="宋体" w:cs="宋体"/>
          <w:spacing w:val="-1"/>
          <w:sz w:val="24"/>
          <w:szCs w:val="24"/>
        </w:rPr>
      </w:pPr>
    </w:p>
    <w:p w14:paraId="64FFF5ED">
      <w:pPr>
        <w:spacing w:before="103" w:line="219" w:lineRule="auto"/>
        <w:jc w:val="center"/>
        <w:rPr>
          <w:rFonts w:ascii="宋体" w:hAnsi="宋体" w:eastAsia="宋体" w:cs="宋体"/>
          <w:sz w:val="24"/>
          <w:szCs w:val="24"/>
        </w:rPr>
      </w:pPr>
      <w:r>
        <w:rPr>
          <w:rFonts w:ascii="宋体" w:hAnsi="宋体" w:eastAsia="宋体" w:cs="宋体"/>
          <w:spacing w:val="-1"/>
          <w:sz w:val="24"/>
          <w:szCs w:val="24"/>
        </w:rPr>
        <w:t>（三）</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符合招标文件要求的信誉截图，提供网络截图并加盖</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公章</w:t>
      </w:r>
    </w:p>
    <w:p w14:paraId="4EC9E9AF">
      <w:pPr>
        <w:spacing w:line="219" w:lineRule="auto"/>
        <w:rPr>
          <w:rFonts w:ascii="宋体" w:hAnsi="宋体" w:eastAsia="宋体" w:cs="宋体"/>
          <w:sz w:val="24"/>
          <w:szCs w:val="24"/>
        </w:rPr>
        <w:sectPr>
          <w:footerReference r:id="rId13" w:type="default"/>
          <w:pgSz w:w="11910" w:h="16850"/>
          <w:pgMar w:top="1432" w:right="1626" w:bottom="868" w:left="1786" w:header="1134" w:footer="1134" w:gutter="0"/>
          <w:pgNumType w:fmt="decimal"/>
          <w:cols w:space="720" w:num="1"/>
        </w:sectPr>
      </w:pPr>
    </w:p>
    <w:p w14:paraId="4C343319">
      <w:pPr>
        <w:spacing w:before="217" w:line="225" w:lineRule="auto"/>
        <w:ind w:left="3231"/>
        <w:outlineLvl w:val="2"/>
        <w:rPr>
          <w:rFonts w:ascii="宋体" w:hAnsi="宋体" w:eastAsia="宋体" w:cs="宋体"/>
          <w:sz w:val="31"/>
          <w:szCs w:val="31"/>
        </w:rPr>
      </w:pPr>
      <w:r>
        <w:rPr>
          <w:rFonts w:ascii="宋体" w:hAnsi="宋体" w:eastAsia="宋体" w:cs="宋体"/>
          <w:b/>
          <w:bCs/>
          <w:spacing w:val="5"/>
          <w:sz w:val="31"/>
          <w:szCs w:val="31"/>
        </w:rPr>
        <w:t>九、类似项目业绩（如有）</w:t>
      </w:r>
    </w:p>
    <w:p w14:paraId="0BE8765E">
      <w:pPr>
        <w:spacing w:before="34"/>
      </w:pPr>
    </w:p>
    <w:p w14:paraId="08594FF5">
      <w:pPr>
        <w:spacing w:before="34"/>
      </w:pPr>
    </w:p>
    <w:p w14:paraId="7C8DD93F">
      <w:pPr>
        <w:spacing w:before="34"/>
      </w:pPr>
    </w:p>
    <w:tbl>
      <w:tblPr>
        <w:tblStyle w:val="52"/>
        <w:tblW w:w="8624" w:type="dxa"/>
        <w:tblInd w:w="3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380"/>
        <w:gridCol w:w="1387"/>
        <w:gridCol w:w="1200"/>
        <w:gridCol w:w="1337"/>
        <w:gridCol w:w="1295"/>
        <w:gridCol w:w="1268"/>
      </w:tblGrid>
      <w:tr w14:paraId="6C38B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9" w:hRule="atLeast"/>
        </w:trPr>
        <w:tc>
          <w:tcPr>
            <w:tcW w:w="757" w:type="dxa"/>
            <w:vAlign w:val="center"/>
          </w:tcPr>
          <w:p w14:paraId="2514BF61">
            <w:pPr>
              <w:spacing w:line="423" w:lineRule="auto"/>
              <w:jc w:val="center"/>
              <w:rPr>
                <w:rFonts w:ascii="Arial"/>
                <w:sz w:val="21"/>
              </w:rPr>
            </w:pPr>
          </w:p>
          <w:p w14:paraId="143DBE80">
            <w:pPr>
              <w:pStyle w:val="51"/>
              <w:spacing w:before="65" w:line="230" w:lineRule="auto"/>
              <w:ind w:left="169"/>
              <w:jc w:val="center"/>
              <w:rPr>
                <w:sz w:val="20"/>
                <w:szCs w:val="20"/>
              </w:rPr>
            </w:pPr>
            <w:r>
              <w:rPr>
                <w:spacing w:val="5"/>
                <w:sz w:val="20"/>
                <w:szCs w:val="20"/>
              </w:rPr>
              <w:t>序号</w:t>
            </w:r>
          </w:p>
        </w:tc>
        <w:tc>
          <w:tcPr>
            <w:tcW w:w="1380" w:type="dxa"/>
            <w:vAlign w:val="center"/>
          </w:tcPr>
          <w:p w14:paraId="2D740543">
            <w:pPr>
              <w:spacing w:line="424" w:lineRule="auto"/>
              <w:jc w:val="center"/>
              <w:rPr>
                <w:rFonts w:ascii="Arial"/>
                <w:sz w:val="21"/>
              </w:rPr>
            </w:pPr>
          </w:p>
          <w:p w14:paraId="189D7671">
            <w:pPr>
              <w:pStyle w:val="51"/>
              <w:spacing w:before="65" w:line="229" w:lineRule="auto"/>
              <w:ind w:left="376"/>
              <w:jc w:val="center"/>
              <w:rPr>
                <w:sz w:val="20"/>
                <w:szCs w:val="20"/>
              </w:rPr>
            </w:pPr>
            <w:r>
              <w:rPr>
                <w:spacing w:val="6"/>
                <w:sz w:val="20"/>
                <w:szCs w:val="20"/>
              </w:rPr>
              <w:t>招标人</w:t>
            </w:r>
          </w:p>
        </w:tc>
        <w:tc>
          <w:tcPr>
            <w:tcW w:w="1387" w:type="dxa"/>
            <w:vAlign w:val="center"/>
          </w:tcPr>
          <w:p w14:paraId="170335E5">
            <w:pPr>
              <w:spacing w:line="424" w:lineRule="auto"/>
              <w:jc w:val="center"/>
              <w:rPr>
                <w:rFonts w:ascii="Arial"/>
                <w:sz w:val="21"/>
              </w:rPr>
            </w:pPr>
          </w:p>
          <w:p w14:paraId="195B02DF">
            <w:pPr>
              <w:pStyle w:val="51"/>
              <w:spacing w:before="65" w:line="229" w:lineRule="auto"/>
              <w:jc w:val="center"/>
              <w:rPr>
                <w:sz w:val="20"/>
                <w:szCs w:val="20"/>
              </w:rPr>
            </w:pPr>
            <w:r>
              <w:rPr>
                <w:spacing w:val="6"/>
                <w:sz w:val="20"/>
                <w:szCs w:val="20"/>
              </w:rPr>
              <w:t>项目名称</w:t>
            </w:r>
          </w:p>
        </w:tc>
        <w:tc>
          <w:tcPr>
            <w:tcW w:w="1200" w:type="dxa"/>
            <w:vAlign w:val="center"/>
          </w:tcPr>
          <w:p w14:paraId="73EDC411">
            <w:pPr>
              <w:spacing w:line="424" w:lineRule="auto"/>
              <w:jc w:val="center"/>
              <w:rPr>
                <w:rFonts w:ascii="Arial"/>
                <w:sz w:val="21"/>
              </w:rPr>
            </w:pPr>
          </w:p>
          <w:p w14:paraId="73463FA8">
            <w:pPr>
              <w:pStyle w:val="51"/>
              <w:spacing w:before="65" w:line="228" w:lineRule="auto"/>
              <w:jc w:val="center"/>
              <w:rPr>
                <w:sz w:val="20"/>
                <w:szCs w:val="20"/>
              </w:rPr>
            </w:pPr>
            <w:r>
              <w:rPr>
                <w:spacing w:val="7"/>
                <w:sz w:val="20"/>
                <w:szCs w:val="20"/>
              </w:rPr>
              <w:t>服务内容</w:t>
            </w:r>
          </w:p>
        </w:tc>
        <w:tc>
          <w:tcPr>
            <w:tcW w:w="1337" w:type="dxa"/>
            <w:tcBorders>
              <w:right w:val="single" w:color="000000" w:sz="6" w:space="0"/>
            </w:tcBorders>
            <w:vAlign w:val="center"/>
          </w:tcPr>
          <w:p w14:paraId="52F6CCF7">
            <w:pPr>
              <w:spacing w:line="424" w:lineRule="auto"/>
              <w:jc w:val="center"/>
              <w:rPr>
                <w:rFonts w:ascii="Arial"/>
                <w:sz w:val="21"/>
              </w:rPr>
            </w:pPr>
          </w:p>
          <w:p w14:paraId="0D4E7EF8">
            <w:pPr>
              <w:pStyle w:val="51"/>
              <w:spacing w:before="65" w:line="228" w:lineRule="auto"/>
              <w:ind w:left="341"/>
              <w:jc w:val="center"/>
              <w:rPr>
                <w:sz w:val="20"/>
                <w:szCs w:val="20"/>
              </w:rPr>
            </w:pPr>
            <w:r>
              <w:rPr>
                <w:spacing w:val="2"/>
                <w:sz w:val="20"/>
                <w:szCs w:val="20"/>
              </w:rPr>
              <w:t>中标金额</w:t>
            </w:r>
          </w:p>
        </w:tc>
        <w:tc>
          <w:tcPr>
            <w:tcW w:w="1295" w:type="dxa"/>
            <w:tcBorders>
              <w:left w:val="single" w:color="000000" w:sz="6" w:space="0"/>
            </w:tcBorders>
            <w:vAlign w:val="center"/>
          </w:tcPr>
          <w:p w14:paraId="09B5E580">
            <w:pPr>
              <w:spacing w:line="424" w:lineRule="auto"/>
              <w:jc w:val="center"/>
              <w:rPr>
                <w:rFonts w:ascii="Arial"/>
                <w:sz w:val="21"/>
              </w:rPr>
            </w:pPr>
          </w:p>
          <w:p w14:paraId="73915167">
            <w:pPr>
              <w:pStyle w:val="51"/>
              <w:spacing w:before="65" w:line="228" w:lineRule="auto"/>
              <w:ind w:left="276"/>
              <w:jc w:val="center"/>
              <w:rPr>
                <w:sz w:val="20"/>
                <w:szCs w:val="20"/>
              </w:rPr>
            </w:pPr>
            <w:r>
              <w:rPr>
                <w:spacing w:val="7"/>
                <w:sz w:val="20"/>
                <w:szCs w:val="20"/>
              </w:rPr>
              <w:t>服务期限</w:t>
            </w:r>
          </w:p>
        </w:tc>
        <w:tc>
          <w:tcPr>
            <w:tcW w:w="1268" w:type="dxa"/>
            <w:vAlign w:val="center"/>
          </w:tcPr>
          <w:p w14:paraId="7AEA0C02">
            <w:pPr>
              <w:spacing w:line="287" w:lineRule="auto"/>
              <w:jc w:val="center"/>
              <w:rPr>
                <w:rFonts w:ascii="Arial"/>
                <w:sz w:val="21"/>
              </w:rPr>
            </w:pPr>
          </w:p>
          <w:p w14:paraId="6FF4D4AD">
            <w:pPr>
              <w:pStyle w:val="51"/>
              <w:spacing w:before="65" w:line="279" w:lineRule="auto"/>
              <w:ind w:right="206"/>
              <w:jc w:val="center"/>
              <w:rPr>
                <w:sz w:val="20"/>
                <w:szCs w:val="20"/>
              </w:rPr>
            </w:pPr>
            <w:r>
              <w:rPr>
                <w:spacing w:val="6"/>
                <w:sz w:val="20"/>
                <w:szCs w:val="20"/>
              </w:rPr>
              <w:t>招标人</w:t>
            </w:r>
            <w:r>
              <w:rPr>
                <w:spacing w:val="7"/>
                <w:sz w:val="20"/>
                <w:szCs w:val="20"/>
              </w:rPr>
              <w:t>联系电话</w:t>
            </w:r>
          </w:p>
        </w:tc>
      </w:tr>
      <w:tr w14:paraId="5C3A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vAlign w:val="top"/>
          </w:tcPr>
          <w:p w14:paraId="70B58F62">
            <w:pPr>
              <w:rPr>
                <w:rFonts w:ascii="Arial"/>
                <w:sz w:val="21"/>
              </w:rPr>
            </w:pPr>
          </w:p>
        </w:tc>
        <w:tc>
          <w:tcPr>
            <w:tcW w:w="1380" w:type="dxa"/>
            <w:vAlign w:val="top"/>
          </w:tcPr>
          <w:p w14:paraId="0492B377">
            <w:pPr>
              <w:rPr>
                <w:rFonts w:ascii="Arial"/>
                <w:sz w:val="21"/>
              </w:rPr>
            </w:pPr>
          </w:p>
        </w:tc>
        <w:tc>
          <w:tcPr>
            <w:tcW w:w="1387" w:type="dxa"/>
            <w:vAlign w:val="top"/>
          </w:tcPr>
          <w:p w14:paraId="0FF2910F">
            <w:pPr>
              <w:rPr>
                <w:rFonts w:ascii="Arial"/>
                <w:sz w:val="21"/>
              </w:rPr>
            </w:pPr>
          </w:p>
        </w:tc>
        <w:tc>
          <w:tcPr>
            <w:tcW w:w="1200" w:type="dxa"/>
            <w:vAlign w:val="top"/>
          </w:tcPr>
          <w:p w14:paraId="4AD5DC8E">
            <w:pPr>
              <w:rPr>
                <w:rFonts w:ascii="Arial"/>
                <w:sz w:val="21"/>
              </w:rPr>
            </w:pPr>
          </w:p>
        </w:tc>
        <w:tc>
          <w:tcPr>
            <w:tcW w:w="1337" w:type="dxa"/>
            <w:tcBorders>
              <w:right w:val="single" w:color="000000" w:sz="6" w:space="0"/>
            </w:tcBorders>
            <w:vAlign w:val="top"/>
          </w:tcPr>
          <w:p w14:paraId="0789F4EA">
            <w:pPr>
              <w:rPr>
                <w:rFonts w:ascii="Arial"/>
                <w:sz w:val="21"/>
              </w:rPr>
            </w:pPr>
          </w:p>
        </w:tc>
        <w:tc>
          <w:tcPr>
            <w:tcW w:w="1295" w:type="dxa"/>
            <w:tcBorders>
              <w:left w:val="single" w:color="000000" w:sz="6" w:space="0"/>
            </w:tcBorders>
            <w:vAlign w:val="top"/>
          </w:tcPr>
          <w:p w14:paraId="7FC10402">
            <w:pPr>
              <w:rPr>
                <w:rFonts w:ascii="Arial"/>
                <w:sz w:val="21"/>
              </w:rPr>
            </w:pPr>
          </w:p>
        </w:tc>
        <w:tc>
          <w:tcPr>
            <w:tcW w:w="1268" w:type="dxa"/>
            <w:vAlign w:val="top"/>
          </w:tcPr>
          <w:p w14:paraId="5691B96D">
            <w:pPr>
              <w:rPr>
                <w:rFonts w:ascii="Arial"/>
                <w:sz w:val="21"/>
              </w:rPr>
            </w:pPr>
          </w:p>
        </w:tc>
      </w:tr>
      <w:tr w14:paraId="5CE04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57" w:type="dxa"/>
            <w:vAlign w:val="top"/>
          </w:tcPr>
          <w:p w14:paraId="13F584C7">
            <w:pPr>
              <w:rPr>
                <w:rFonts w:ascii="Arial"/>
                <w:sz w:val="21"/>
              </w:rPr>
            </w:pPr>
          </w:p>
        </w:tc>
        <w:tc>
          <w:tcPr>
            <w:tcW w:w="1380" w:type="dxa"/>
            <w:vAlign w:val="top"/>
          </w:tcPr>
          <w:p w14:paraId="2254E049">
            <w:pPr>
              <w:rPr>
                <w:rFonts w:ascii="Arial"/>
                <w:sz w:val="21"/>
              </w:rPr>
            </w:pPr>
          </w:p>
        </w:tc>
        <w:tc>
          <w:tcPr>
            <w:tcW w:w="1387" w:type="dxa"/>
            <w:vAlign w:val="top"/>
          </w:tcPr>
          <w:p w14:paraId="3553580D">
            <w:pPr>
              <w:rPr>
                <w:rFonts w:ascii="Arial"/>
                <w:sz w:val="21"/>
              </w:rPr>
            </w:pPr>
          </w:p>
        </w:tc>
        <w:tc>
          <w:tcPr>
            <w:tcW w:w="1200" w:type="dxa"/>
            <w:vAlign w:val="top"/>
          </w:tcPr>
          <w:p w14:paraId="3BA3022B">
            <w:pPr>
              <w:rPr>
                <w:rFonts w:ascii="Arial"/>
                <w:sz w:val="21"/>
              </w:rPr>
            </w:pPr>
          </w:p>
        </w:tc>
        <w:tc>
          <w:tcPr>
            <w:tcW w:w="1337" w:type="dxa"/>
            <w:tcBorders>
              <w:right w:val="single" w:color="000000" w:sz="6" w:space="0"/>
            </w:tcBorders>
            <w:vAlign w:val="top"/>
          </w:tcPr>
          <w:p w14:paraId="11405732">
            <w:pPr>
              <w:rPr>
                <w:rFonts w:ascii="Arial"/>
                <w:sz w:val="21"/>
              </w:rPr>
            </w:pPr>
          </w:p>
        </w:tc>
        <w:tc>
          <w:tcPr>
            <w:tcW w:w="1295" w:type="dxa"/>
            <w:tcBorders>
              <w:left w:val="single" w:color="000000" w:sz="6" w:space="0"/>
            </w:tcBorders>
            <w:vAlign w:val="top"/>
          </w:tcPr>
          <w:p w14:paraId="68775886">
            <w:pPr>
              <w:rPr>
                <w:rFonts w:ascii="Arial"/>
                <w:sz w:val="21"/>
              </w:rPr>
            </w:pPr>
          </w:p>
        </w:tc>
        <w:tc>
          <w:tcPr>
            <w:tcW w:w="1268" w:type="dxa"/>
            <w:vAlign w:val="top"/>
          </w:tcPr>
          <w:p w14:paraId="4E9D6F0A">
            <w:pPr>
              <w:rPr>
                <w:rFonts w:ascii="Arial"/>
                <w:sz w:val="21"/>
              </w:rPr>
            </w:pPr>
          </w:p>
        </w:tc>
      </w:tr>
      <w:tr w14:paraId="059E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vAlign w:val="top"/>
          </w:tcPr>
          <w:p w14:paraId="6946EF9A">
            <w:pPr>
              <w:rPr>
                <w:rFonts w:ascii="Arial"/>
                <w:sz w:val="21"/>
              </w:rPr>
            </w:pPr>
          </w:p>
        </w:tc>
        <w:tc>
          <w:tcPr>
            <w:tcW w:w="1380" w:type="dxa"/>
            <w:vAlign w:val="top"/>
          </w:tcPr>
          <w:p w14:paraId="49A2B0D8">
            <w:pPr>
              <w:rPr>
                <w:rFonts w:ascii="Arial"/>
                <w:sz w:val="21"/>
              </w:rPr>
            </w:pPr>
          </w:p>
        </w:tc>
        <w:tc>
          <w:tcPr>
            <w:tcW w:w="1387" w:type="dxa"/>
            <w:vAlign w:val="top"/>
          </w:tcPr>
          <w:p w14:paraId="08612F14">
            <w:pPr>
              <w:rPr>
                <w:rFonts w:ascii="Arial"/>
                <w:sz w:val="21"/>
              </w:rPr>
            </w:pPr>
          </w:p>
        </w:tc>
        <w:tc>
          <w:tcPr>
            <w:tcW w:w="1200" w:type="dxa"/>
            <w:vAlign w:val="top"/>
          </w:tcPr>
          <w:p w14:paraId="0AA3A95F">
            <w:pPr>
              <w:rPr>
                <w:rFonts w:ascii="Arial"/>
                <w:sz w:val="21"/>
              </w:rPr>
            </w:pPr>
          </w:p>
        </w:tc>
        <w:tc>
          <w:tcPr>
            <w:tcW w:w="1337" w:type="dxa"/>
            <w:tcBorders>
              <w:right w:val="single" w:color="000000" w:sz="6" w:space="0"/>
            </w:tcBorders>
            <w:vAlign w:val="top"/>
          </w:tcPr>
          <w:p w14:paraId="3A6E6D95">
            <w:pPr>
              <w:rPr>
                <w:rFonts w:ascii="Arial"/>
                <w:sz w:val="21"/>
              </w:rPr>
            </w:pPr>
          </w:p>
        </w:tc>
        <w:tc>
          <w:tcPr>
            <w:tcW w:w="1295" w:type="dxa"/>
            <w:tcBorders>
              <w:left w:val="single" w:color="000000" w:sz="6" w:space="0"/>
            </w:tcBorders>
            <w:vAlign w:val="top"/>
          </w:tcPr>
          <w:p w14:paraId="4CD70534">
            <w:pPr>
              <w:rPr>
                <w:rFonts w:ascii="Arial"/>
                <w:sz w:val="21"/>
              </w:rPr>
            </w:pPr>
          </w:p>
        </w:tc>
        <w:tc>
          <w:tcPr>
            <w:tcW w:w="1268" w:type="dxa"/>
            <w:vAlign w:val="top"/>
          </w:tcPr>
          <w:p w14:paraId="57E5AC97">
            <w:pPr>
              <w:rPr>
                <w:rFonts w:ascii="Arial"/>
                <w:sz w:val="21"/>
              </w:rPr>
            </w:pPr>
          </w:p>
        </w:tc>
      </w:tr>
      <w:tr w14:paraId="5D7BA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vAlign w:val="top"/>
          </w:tcPr>
          <w:p w14:paraId="4C88B60C">
            <w:pPr>
              <w:rPr>
                <w:rFonts w:ascii="Arial"/>
                <w:sz w:val="21"/>
              </w:rPr>
            </w:pPr>
          </w:p>
        </w:tc>
        <w:tc>
          <w:tcPr>
            <w:tcW w:w="1380" w:type="dxa"/>
            <w:vAlign w:val="top"/>
          </w:tcPr>
          <w:p w14:paraId="5189B1E0">
            <w:pPr>
              <w:rPr>
                <w:rFonts w:ascii="Arial"/>
                <w:sz w:val="21"/>
              </w:rPr>
            </w:pPr>
          </w:p>
        </w:tc>
        <w:tc>
          <w:tcPr>
            <w:tcW w:w="1387" w:type="dxa"/>
            <w:vAlign w:val="top"/>
          </w:tcPr>
          <w:p w14:paraId="79654E50">
            <w:pPr>
              <w:rPr>
                <w:rFonts w:ascii="Arial"/>
                <w:sz w:val="21"/>
              </w:rPr>
            </w:pPr>
          </w:p>
        </w:tc>
        <w:tc>
          <w:tcPr>
            <w:tcW w:w="1200" w:type="dxa"/>
            <w:vAlign w:val="top"/>
          </w:tcPr>
          <w:p w14:paraId="6AD95891">
            <w:pPr>
              <w:rPr>
                <w:rFonts w:ascii="Arial"/>
                <w:sz w:val="21"/>
              </w:rPr>
            </w:pPr>
          </w:p>
        </w:tc>
        <w:tc>
          <w:tcPr>
            <w:tcW w:w="1337" w:type="dxa"/>
            <w:tcBorders>
              <w:right w:val="single" w:color="000000" w:sz="6" w:space="0"/>
            </w:tcBorders>
            <w:vAlign w:val="top"/>
          </w:tcPr>
          <w:p w14:paraId="2B5E8E49">
            <w:pPr>
              <w:rPr>
                <w:rFonts w:ascii="Arial"/>
                <w:sz w:val="21"/>
              </w:rPr>
            </w:pPr>
          </w:p>
        </w:tc>
        <w:tc>
          <w:tcPr>
            <w:tcW w:w="1295" w:type="dxa"/>
            <w:tcBorders>
              <w:left w:val="single" w:color="000000" w:sz="6" w:space="0"/>
            </w:tcBorders>
            <w:vAlign w:val="top"/>
          </w:tcPr>
          <w:p w14:paraId="5A5B9B58">
            <w:pPr>
              <w:rPr>
                <w:rFonts w:ascii="Arial"/>
                <w:sz w:val="21"/>
              </w:rPr>
            </w:pPr>
          </w:p>
        </w:tc>
        <w:tc>
          <w:tcPr>
            <w:tcW w:w="1268" w:type="dxa"/>
            <w:vAlign w:val="top"/>
          </w:tcPr>
          <w:p w14:paraId="01B5A394">
            <w:pPr>
              <w:rPr>
                <w:rFonts w:ascii="Arial"/>
                <w:sz w:val="21"/>
              </w:rPr>
            </w:pPr>
          </w:p>
        </w:tc>
      </w:tr>
      <w:tr w14:paraId="11A57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57" w:type="dxa"/>
            <w:vAlign w:val="top"/>
          </w:tcPr>
          <w:p w14:paraId="719907C8">
            <w:pPr>
              <w:rPr>
                <w:rFonts w:ascii="Arial"/>
                <w:sz w:val="21"/>
              </w:rPr>
            </w:pPr>
          </w:p>
        </w:tc>
        <w:tc>
          <w:tcPr>
            <w:tcW w:w="1380" w:type="dxa"/>
            <w:vAlign w:val="top"/>
          </w:tcPr>
          <w:p w14:paraId="1D82B5DF">
            <w:pPr>
              <w:rPr>
                <w:rFonts w:ascii="Arial"/>
                <w:sz w:val="21"/>
              </w:rPr>
            </w:pPr>
          </w:p>
        </w:tc>
        <w:tc>
          <w:tcPr>
            <w:tcW w:w="1387" w:type="dxa"/>
            <w:vAlign w:val="top"/>
          </w:tcPr>
          <w:p w14:paraId="00A10EF0">
            <w:pPr>
              <w:rPr>
                <w:rFonts w:ascii="Arial"/>
                <w:sz w:val="21"/>
              </w:rPr>
            </w:pPr>
          </w:p>
        </w:tc>
        <w:tc>
          <w:tcPr>
            <w:tcW w:w="1200" w:type="dxa"/>
            <w:vAlign w:val="top"/>
          </w:tcPr>
          <w:p w14:paraId="4EAEC6C3">
            <w:pPr>
              <w:rPr>
                <w:rFonts w:ascii="Arial"/>
                <w:sz w:val="21"/>
              </w:rPr>
            </w:pPr>
          </w:p>
        </w:tc>
        <w:tc>
          <w:tcPr>
            <w:tcW w:w="1337" w:type="dxa"/>
            <w:tcBorders>
              <w:right w:val="single" w:color="000000" w:sz="6" w:space="0"/>
            </w:tcBorders>
            <w:vAlign w:val="top"/>
          </w:tcPr>
          <w:p w14:paraId="709C3008">
            <w:pPr>
              <w:rPr>
                <w:rFonts w:ascii="Arial"/>
                <w:sz w:val="21"/>
              </w:rPr>
            </w:pPr>
          </w:p>
        </w:tc>
        <w:tc>
          <w:tcPr>
            <w:tcW w:w="1295" w:type="dxa"/>
            <w:tcBorders>
              <w:left w:val="single" w:color="000000" w:sz="6" w:space="0"/>
            </w:tcBorders>
            <w:vAlign w:val="top"/>
          </w:tcPr>
          <w:p w14:paraId="62BEBCE4">
            <w:pPr>
              <w:rPr>
                <w:rFonts w:ascii="Arial"/>
                <w:sz w:val="21"/>
              </w:rPr>
            </w:pPr>
          </w:p>
        </w:tc>
        <w:tc>
          <w:tcPr>
            <w:tcW w:w="1268" w:type="dxa"/>
            <w:vAlign w:val="top"/>
          </w:tcPr>
          <w:p w14:paraId="222268F8">
            <w:pPr>
              <w:rPr>
                <w:rFonts w:ascii="Arial"/>
                <w:sz w:val="21"/>
              </w:rPr>
            </w:pPr>
          </w:p>
        </w:tc>
      </w:tr>
      <w:tr w14:paraId="4C9B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vAlign w:val="top"/>
          </w:tcPr>
          <w:p w14:paraId="32AB1FB8">
            <w:pPr>
              <w:rPr>
                <w:rFonts w:ascii="Arial"/>
                <w:sz w:val="21"/>
              </w:rPr>
            </w:pPr>
          </w:p>
        </w:tc>
        <w:tc>
          <w:tcPr>
            <w:tcW w:w="1380" w:type="dxa"/>
            <w:vAlign w:val="top"/>
          </w:tcPr>
          <w:p w14:paraId="4573DBA8">
            <w:pPr>
              <w:rPr>
                <w:rFonts w:ascii="Arial"/>
                <w:sz w:val="21"/>
              </w:rPr>
            </w:pPr>
          </w:p>
        </w:tc>
        <w:tc>
          <w:tcPr>
            <w:tcW w:w="1387" w:type="dxa"/>
            <w:vAlign w:val="top"/>
          </w:tcPr>
          <w:p w14:paraId="1D85B12C">
            <w:pPr>
              <w:rPr>
                <w:rFonts w:ascii="Arial"/>
                <w:sz w:val="21"/>
              </w:rPr>
            </w:pPr>
          </w:p>
        </w:tc>
        <w:tc>
          <w:tcPr>
            <w:tcW w:w="1200" w:type="dxa"/>
            <w:vAlign w:val="top"/>
          </w:tcPr>
          <w:p w14:paraId="0F87F454">
            <w:pPr>
              <w:rPr>
                <w:rFonts w:ascii="Arial"/>
                <w:sz w:val="21"/>
              </w:rPr>
            </w:pPr>
          </w:p>
        </w:tc>
        <w:tc>
          <w:tcPr>
            <w:tcW w:w="1337" w:type="dxa"/>
            <w:tcBorders>
              <w:right w:val="single" w:color="000000" w:sz="6" w:space="0"/>
            </w:tcBorders>
            <w:vAlign w:val="top"/>
          </w:tcPr>
          <w:p w14:paraId="16E958B4">
            <w:pPr>
              <w:rPr>
                <w:rFonts w:ascii="Arial"/>
                <w:sz w:val="21"/>
              </w:rPr>
            </w:pPr>
          </w:p>
        </w:tc>
        <w:tc>
          <w:tcPr>
            <w:tcW w:w="1295" w:type="dxa"/>
            <w:tcBorders>
              <w:left w:val="single" w:color="000000" w:sz="6" w:space="0"/>
            </w:tcBorders>
            <w:vAlign w:val="top"/>
          </w:tcPr>
          <w:p w14:paraId="1E9C5BF0">
            <w:pPr>
              <w:rPr>
                <w:rFonts w:ascii="Arial"/>
                <w:sz w:val="21"/>
              </w:rPr>
            </w:pPr>
          </w:p>
        </w:tc>
        <w:tc>
          <w:tcPr>
            <w:tcW w:w="1268" w:type="dxa"/>
            <w:vAlign w:val="top"/>
          </w:tcPr>
          <w:p w14:paraId="00B9F5E0">
            <w:pPr>
              <w:rPr>
                <w:rFonts w:ascii="Arial"/>
                <w:sz w:val="21"/>
              </w:rPr>
            </w:pPr>
          </w:p>
        </w:tc>
      </w:tr>
      <w:tr w14:paraId="055F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7" w:type="dxa"/>
            <w:vAlign w:val="top"/>
          </w:tcPr>
          <w:p w14:paraId="401EFC21">
            <w:pPr>
              <w:rPr>
                <w:rFonts w:ascii="Arial"/>
                <w:sz w:val="21"/>
              </w:rPr>
            </w:pPr>
          </w:p>
        </w:tc>
        <w:tc>
          <w:tcPr>
            <w:tcW w:w="1380" w:type="dxa"/>
            <w:vAlign w:val="top"/>
          </w:tcPr>
          <w:p w14:paraId="624CFAFA">
            <w:pPr>
              <w:rPr>
                <w:rFonts w:ascii="Arial"/>
                <w:sz w:val="21"/>
              </w:rPr>
            </w:pPr>
          </w:p>
        </w:tc>
        <w:tc>
          <w:tcPr>
            <w:tcW w:w="1387" w:type="dxa"/>
            <w:vAlign w:val="top"/>
          </w:tcPr>
          <w:p w14:paraId="3CE30B35">
            <w:pPr>
              <w:rPr>
                <w:rFonts w:ascii="Arial"/>
                <w:sz w:val="21"/>
              </w:rPr>
            </w:pPr>
          </w:p>
        </w:tc>
        <w:tc>
          <w:tcPr>
            <w:tcW w:w="1200" w:type="dxa"/>
            <w:vAlign w:val="top"/>
          </w:tcPr>
          <w:p w14:paraId="04915B9E">
            <w:pPr>
              <w:rPr>
                <w:rFonts w:ascii="Arial"/>
                <w:sz w:val="21"/>
              </w:rPr>
            </w:pPr>
          </w:p>
        </w:tc>
        <w:tc>
          <w:tcPr>
            <w:tcW w:w="1337" w:type="dxa"/>
            <w:tcBorders>
              <w:right w:val="single" w:color="000000" w:sz="6" w:space="0"/>
            </w:tcBorders>
            <w:vAlign w:val="top"/>
          </w:tcPr>
          <w:p w14:paraId="6B6A3F94">
            <w:pPr>
              <w:rPr>
                <w:rFonts w:ascii="Arial"/>
                <w:sz w:val="21"/>
              </w:rPr>
            </w:pPr>
          </w:p>
        </w:tc>
        <w:tc>
          <w:tcPr>
            <w:tcW w:w="1295" w:type="dxa"/>
            <w:tcBorders>
              <w:left w:val="single" w:color="000000" w:sz="6" w:space="0"/>
            </w:tcBorders>
            <w:vAlign w:val="top"/>
          </w:tcPr>
          <w:p w14:paraId="07266ADC">
            <w:pPr>
              <w:rPr>
                <w:rFonts w:ascii="Arial"/>
                <w:sz w:val="21"/>
              </w:rPr>
            </w:pPr>
          </w:p>
        </w:tc>
        <w:tc>
          <w:tcPr>
            <w:tcW w:w="1268" w:type="dxa"/>
            <w:vAlign w:val="top"/>
          </w:tcPr>
          <w:p w14:paraId="5CE7ED13">
            <w:pPr>
              <w:rPr>
                <w:rFonts w:ascii="Arial"/>
                <w:sz w:val="21"/>
              </w:rPr>
            </w:pPr>
          </w:p>
        </w:tc>
      </w:tr>
    </w:tbl>
    <w:p w14:paraId="24DA92B1">
      <w:pPr>
        <w:spacing w:before="137" w:line="228" w:lineRule="auto"/>
        <w:jc w:val="right"/>
        <w:rPr>
          <w:rFonts w:ascii="宋体" w:hAnsi="宋体" w:eastAsia="宋体" w:cs="宋体"/>
          <w:spacing w:val="8"/>
          <w:sz w:val="19"/>
          <w:szCs w:val="19"/>
        </w:rPr>
      </w:pPr>
      <w:r>
        <w:rPr>
          <w:rFonts w:hint="eastAsia" w:ascii="宋体" w:hAnsi="宋体" w:eastAsia="宋体" w:cs="宋体"/>
          <w:spacing w:val="9"/>
          <w:sz w:val="19"/>
          <w:szCs w:val="19"/>
          <w:lang w:val="en-US" w:eastAsia="zh-CN"/>
        </w:rPr>
        <w:t xml:space="preserve">  </w:t>
      </w:r>
      <w:r>
        <w:rPr>
          <w:rFonts w:ascii="宋体" w:hAnsi="宋体" w:eastAsia="宋体" w:cs="宋体"/>
          <w:spacing w:val="9"/>
          <w:sz w:val="19"/>
          <w:szCs w:val="19"/>
        </w:rPr>
        <w:t>后附：上述项目的中标通知书或合同（包括：项目名称、签约时间、中标金额和双方签字</w:t>
      </w:r>
      <w:r>
        <w:rPr>
          <w:rFonts w:ascii="宋体" w:hAnsi="宋体" w:eastAsia="宋体" w:cs="宋体"/>
          <w:spacing w:val="8"/>
          <w:sz w:val="19"/>
          <w:szCs w:val="19"/>
        </w:rPr>
        <w:t xml:space="preserve">并盖章） </w:t>
      </w:r>
    </w:p>
    <w:p w14:paraId="32C40906">
      <w:pPr>
        <w:spacing w:before="137" w:line="228" w:lineRule="auto"/>
        <w:jc w:val="both"/>
        <w:rPr>
          <w:rFonts w:ascii="宋体" w:hAnsi="宋体" w:eastAsia="宋体" w:cs="宋体"/>
          <w:sz w:val="19"/>
          <w:szCs w:val="19"/>
        </w:rPr>
      </w:pPr>
      <w:r>
        <w:rPr>
          <w:rFonts w:ascii="宋体" w:hAnsi="宋体" w:eastAsia="宋体" w:cs="宋体"/>
          <w:spacing w:val="8"/>
          <w:sz w:val="19"/>
          <w:szCs w:val="19"/>
        </w:rPr>
        <w:t>复印件加盖公章，</w:t>
      </w:r>
      <w:r>
        <w:rPr>
          <w:rFonts w:ascii="宋体" w:hAnsi="宋体" w:eastAsia="宋体" w:cs="宋体"/>
          <w:spacing w:val="7"/>
          <w:sz w:val="19"/>
          <w:szCs w:val="19"/>
        </w:rPr>
        <w:t>否则该项业绩视为无效。</w:t>
      </w:r>
    </w:p>
    <w:p w14:paraId="35A133D0">
      <w:pPr>
        <w:pStyle w:val="7"/>
        <w:spacing w:line="254" w:lineRule="auto"/>
      </w:pPr>
    </w:p>
    <w:p w14:paraId="6DAE6E5B">
      <w:pPr>
        <w:pStyle w:val="7"/>
        <w:spacing w:line="254" w:lineRule="auto"/>
      </w:pPr>
    </w:p>
    <w:p w14:paraId="1CD6C3AF">
      <w:pPr>
        <w:pStyle w:val="7"/>
        <w:spacing w:line="254" w:lineRule="auto"/>
      </w:pPr>
    </w:p>
    <w:p w14:paraId="390132F8">
      <w:pPr>
        <w:pStyle w:val="7"/>
        <w:spacing w:line="254" w:lineRule="auto"/>
      </w:pPr>
    </w:p>
    <w:p w14:paraId="602F1E25">
      <w:pPr>
        <w:pStyle w:val="7"/>
        <w:spacing w:line="254" w:lineRule="auto"/>
      </w:pPr>
    </w:p>
    <w:p w14:paraId="2E412345">
      <w:pPr>
        <w:pStyle w:val="7"/>
        <w:spacing w:line="254" w:lineRule="auto"/>
      </w:pPr>
    </w:p>
    <w:p w14:paraId="537B813E">
      <w:pPr>
        <w:pStyle w:val="7"/>
        <w:spacing w:line="254" w:lineRule="auto"/>
      </w:pPr>
    </w:p>
    <w:p w14:paraId="4EC4A812">
      <w:pPr>
        <w:pStyle w:val="7"/>
        <w:spacing w:line="255" w:lineRule="auto"/>
      </w:pPr>
    </w:p>
    <w:p w14:paraId="1763B358">
      <w:pPr>
        <w:pStyle w:val="7"/>
        <w:spacing w:line="255" w:lineRule="auto"/>
      </w:pPr>
    </w:p>
    <w:p w14:paraId="4C6C82AF">
      <w:pPr>
        <w:spacing w:before="79" w:line="348" w:lineRule="auto"/>
        <w:ind w:left="612" w:right="2421"/>
        <w:rPr>
          <w:rFonts w:ascii="宋体" w:hAnsi="宋体" w:eastAsia="宋体" w:cs="宋体"/>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5"/>
          <w:sz w:val="24"/>
          <w:szCs w:val="24"/>
        </w:rPr>
        <w:t>盖单位公章）</w:t>
      </w:r>
      <w:r>
        <w:rPr>
          <w:rFonts w:ascii="宋体" w:hAnsi="宋体" w:eastAsia="宋体" w:cs="宋体"/>
          <w:spacing w:val="4"/>
          <w:sz w:val="24"/>
          <w:szCs w:val="24"/>
        </w:rPr>
        <w:t xml:space="preserve"> </w:t>
      </w:r>
      <w:r>
        <w:rPr>
          <w:rFonts w:hint="eastAsia" w:ascii="宋体" w:hAnsi="宋体"/>
          <w:sz w:val="24"/>
          <w:szCs w:val="24"/>
        </w:rPr>
        <w:t>供应商</w:t>
      </w:r>
      <w:r>
        <w:rPr>
          <w:rFonts w:ascii="宋体" w:hAnsi="宋体" w:eastAsia="宋体" w:cs="宋体"/>
          <w:spacing w:val="3"/>
          <w:sz w:val="24"/>
          <w:szCs w:val="24"/>
        </w:rPr>
        <w:t>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签字或盖章）</w:t>
      </w:r>
    </w:p>
    <w:p w14:paraId="52FC6D2C">
      <w:pPr>
        <w:spacing w:before="33" w:line="220" w:lineRule="auto"/>
        <w:ind w:left="65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5"/>
          <w:sz w:val="24"/>
          <w:szCs w:val="24"/>
        </w:rPr>
        <w:t>日</w:t>
      </w:r>
    </w:p>
    <w:p w14:paraId="4F4D4A56">
      <w:pPr>
        <w:spacing w:line="220" w:lineRule="auto"/>
        <w:rPr>
          <w:rFonts w:ascii="宋体" w:hAnsi="宋体" w:eastAsia="宋体" w:cs="宋体"/>
          <w:sz w:val="24"/>
          <w:szCs w:val="24"/>
        </w:rPr>
        <w:sectPr>
          <w:headerReference r:id="rId14" w:type="default"/>
          <w:footerReference r:id="rId15" w:type="default"/>
          <w:pgSz w:w="11910" w:h="16850"/>
          <w:pgMar w:top="1432" w:right="1417" w:bottom="1417" w:left="1417" w:header="1134" w:footer="1134" w:gutter="0"/>
          <w:pgNumType w:fmt="decimal"/>
          <w:cols w:space="720" w:num="1"/>
        </w:sectPr>
      </w:pPr>
    </w:p>
    <w:p w14:paraId="79BDDA73">
      <w:pPr>
        <w:spacing w:before="64" w:line="226" w:lineRule="auto"/>
        <w:jc w:val="center"/>
        <w:rPr>
          <w:rFonts w:ascii="宋体" w:hAnsi="宋体" w:eastAsia="宋体" w:cs="宋体"/>
          <w:sz w:val="31"/>
          <w:szCs w:val="31"/>
        </w:rPr>
      </w:pPr>
      <w:bookmarkStart w:id="277" w:name="bookmark12"/>
      <w:bookmarkEnd w:id="277"/>
      <w:r>
        <w:rPr>
          <w:rFonts w:ascii="宋体" w:hAnsi="宋体" w:eastAsia="宋体" w:cs="宋体"/>
          <w:b/>
          <w:bCs/>
          <w:spacing w:val="5"/>
          <w:sz w:val="31"/>
          <w:szCs w:val="31"/>
        </w:rPr>
        <w:t>专业人员配置</w:t>
      </w:r>
    </w:p>
    <w:p w14:paraId="33A3F872">
      <w:pPr>
        <w:spacing w:before="40"/>
      </w:pPr>
    </w:p>
    <w:p w14:paraId="36DAD9E8">
      <w:pPr>
        <w:spacing w:before="39"/>
      </w:pPr>
    </w:p>
    <w:tbl>
      <w:tblPr>
        <w:tblStyle w:val="52"/>
        <w:tblW w:w="9034"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199"/>
        <w:gridCol w:w="1176"/>
        <w:gridCol w:w="1070"/>
        <w:gridCol w:w="1069"/>
        <w:gridCol w:w="1070"/>
        <w:gridCol w:w="996"/>
        <w:gridCol w:w="1650"/>
      </w:tblGrid>
      <w:tr w14:paraId="36567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04" w:type="dxa"/>
            <w:vAlign w:val="center"/>
          </w:tcPr>
          <w:p w14:paraId="45FD3787">
            <w:pPr>
              <w:pStyle w:val="51"/>
              <w:spacing w:before="65" w:line="230" w:lineRule="auto"/>
              <w:jc w:val="center"/>
              <w:rPr>
                <w:sz w:val="20"/>
                <w:szCs w:val="20"/>
              </w:rPr>
            </w:pPr>
            <w:r>
              <w:rPr>
                <w:spacing w:val="5"/>
                <w:sz w:val="20"/>
                <w:szCs w:val="20"/>
              </w:rPr>
              <w:t>序号</w:t>
            </w:r>
          </w:p>
        </w:tc>
        <w:tc>
          <w:tcPr>
            <w:tcW w:w="1199" w:type="dxa"/>
            <w:vAlign w:val="center"/>
          </w:tcPr>
          <w:p w14:paraId="03BCC38F">
            <w:pPr>
              <w:pStyle w:val="51"/>
              <w:spacing w:before="266" w:line="228" w:lineRule="auto"/>
              <w:jc w:val="center"/>
              <w:rPr>
                <w:sz w:val="20"/>
                <w:szCs w:val="20"/>
              </w:rPr>
            </w:pPr>
            <w:r>
              <w:rPr>
                <w:spacing w:val="4"/>
                <w:sz w:val="20"/>
                <w:szCs w:val="20"/>
              </w:rPr>
              <w:t>职务</w:t>
            </w:r>
          </w:p>
        </w:tc>
        <w:tc>
          <w:tcPr>
            <w:tcW w:w="1176" w:type="dxa"/>
            <w:vAlign w:val="center"/>
          </w:tcPr>
          <w:p w14:paraId="3040CB90">
            <w:pPr>
              <w:pStyle w:val="51"/>
              <w:spacing w:before="266" w:line="228" w:lineRule="auto"/>
              <w:jc w:val="center"/>
              <w:rPr>
                <w:sz w:val="20"/>
                <w:szCs w:val="20"/>
              </w:rPr>
            </w:pPr>
            <w:r>
              <w:rPr>
                <w:spacing w:val="4"/>
                <w:sz w:val="20"/>
                <w:szCs w:val="20"/>
              </w:rPr>
              <w:t>姓名</w:t>
            </w:r>
          </w:p>
        </w:tc>
        <w:tc>
          <w:tcPr>
            <w:tcW w:w="1070" w:type="dxa"/>
            <w:vAlign w:val="center"/>
          </w:tcPr>
          <w:p w14:paraId="55E52EF3">
            <w:pPr>
              <w:pStyle w:val="51"/>
              <w:spacing w:before="266" w:line="229" w:lineRule="auto"/>
              <w:jc w:val="center"/>
              <w:rPr>
                <w:sz w:val="20"/>
                <w:szCs w:val="20"/>
              </w:rPr>
            </w:pPr>
            <w:r>
              <w:rPr>
                <w:spacing w:val="4"/>
                <w:sz w:val="20"/>
                <w:szCs w:val="20"/>
              </w:rPr>
              <w:t>性别</w:t>
            </w:r>
          </w:p>
        </w:tc>
        <w:tc>
          <w:tcPr>
            <w:tcW w:w="1069" w:type="dxa"/>
            <w:vAlign w:val="center"/>
          </w:tcPr>
          <w:p w14:paraId="4310041B">
            <w:pPr>
              <w:pStyle w:val="51"/>
              <w:spacing w:before="266" w:line="228" w:lineRule="auto"/>
              <w:jc w:val="center"/>
              <w:rPr>
                <w:sz w:val="20"/>
                <w:szCs w:val="20"/>
              </w:rPr>
            </w:pPr>
            <w:r>
              <w:rPr>
                <w:spacing w:val="4"/>
                <w:sz w:val="20"/>
                <w:szCs w:val="20"/>
              </w:rPr>
              <w:t>年龄</w:t>
            </w:r>
          </w:p>
        </w:tc>
        <w:tc>
          <w:tcPr>
            <w:tcW w:w="1070" w:type="dxa"/>
            <w:vAlign w:val="center"/>
          </w:tcPr>
          <w:p w14:paraId="384EAA5E">
            <w:pPr>
              <w:pStyle w:val="51"/>
              <w:spacing w:before="265" w:line="230" w:lineRule="auto"/>
              <w:jc w:val="center"/>
              <w:rPr>
                <w:sz w:val="20"/>
                <w:szCs w:val="20"/>
              </w:rPr>
            </w:pPr>
            <w:r>
              <w:rPr>
                <w:spacing w:val="2"/>
                <w:sz w:val="20"/>
                <w:szCs w:val="20"/>
              </w:rPr>
              <w:t>学历</w:t>
            </w:r>
          </w:p>
        </w:tc>
        <w:tc>
          <w:tcPr>
            <w:tcW w:w="996" w:type="dxa"/>
            <w:vAlign w:val="center"/>
          </w:tcPr>
          <w:p w14:paraId="326BC12C">
            <w:pPr>
              <w:pStyle w:val="51"/>
              <w:spacing w:before="266" w:line="228" w:lineRule="auto"/>
              <w:jc w:val="center"/>
              <w:rPr>
                <w:sz w:val="20"/>
                <w:szCs w:val="20"/>
              </w:rPr>
            </w:pPr>
            <w:r>
              <w:rPr>
                <w:spacing w:val="7"/>
                <w:sz w:val="20"/>
                <w:szCs w:val="20"/>
              </w:rPr>
              <w:t>执业资格</w:t>
            </w:r>
          </w:p>
        </w:tc>
        <w:tc>
          <w:tcPr>
            <w:tcW w:w="1650" w:type="dxa"/>
            <w:vAlign w:val="center"/>
          </w:tcPr>
          <w:p w14:paraId="4AED8BC1">
            <w:pPr>
              <w:pStyle w:val="51"/>
              <w:spacing w:before="267" w:line="234" w:lineRule="auto"/>
              <w:ind w:right="126"/>
              <w:jc w:val="center"/>
              <w:rPr>
                <w:sz w:val="20"/>
                <w:szCs w:val="20"/>
              </w:rPr>
            </w:pPr>
            <w:r>
              <w:rPr>
                <w:spacing w:val="8"/>
                <w:sz w:val="20"/>
                <w:szCs w:val="20"/>
              </w:rPr>
              <w:t>从事专业工作年</w:t>
            </w:r>
            <w:r>
              <w:rPr>
                <w:spacing w:val="1"/>
                <w:sz w:val="20"/>
                <w:szCs w:val="20"/>
              </w:rPr>
              <w:t xml:space="preserve"> </w:t>
            </w:r>
            <w:r>
              <w:rPr>
                <w:sz w:val="20"/>
                <w:szCs w:val="20"/>
              </w:rPr>
              <w:t>限</w:t>
            </w:r>
          </w:p>
        </w:tc>
      </w:tr>
      <w:tr w14:paraId="3CF87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04" w:type="dxa"/>
            <w:vAlign w:val="top"/>
          </w:tcPr>
          <w:p w14:paraId="1CFD5ED5">
            <w:pPr>
              <w:rPr>
                <w:rFonts w:ascii="Arial"/>
                <w:sz w:val="21"/>
              </w:rPr>
            </w:pPr>
          </w:p>
        </w:tc>
        <w:tc>
          <w:tcPr>
            <w:tcW w:w="1199" w:type="dxa"/>
            <w:vAlign w:val="top"/>
          </w:tcPr>
          <w:p w14:paraId="05FD2D54">
            <w:pPr>
              <w:rPr>
                <w:rFonts w:ascii="Arial"/>
                <w:sz w:val="21"/>
              </w:rPr>
            </w:pPr>
          </w:p>
        </w:tc>
        <w:tc>
          <w:tcPr>
            <w:tcW w:w="1176" w:type="dxa"/>
            <w:vAlign w:val="top"/>
          </w:tcPr>
          <w:p w14:paraId="4BF09952">
            <w:pPr>
              <w:rPr>
                <w:rFonts w:ascii="Arial"/>
                <w:sz w:val="21"/>
              </w:rPr>
            </w:pPr>
          </w:p>
        </w:tc>
        <w:tc>
          <w:tcPr>
            <w:tcW w:w="1070" w:type="dxa"/>
            <w:vAlign w:val="top"/>
          </w:tcPr>
          <w:p w14:paraId="01DFC9F8">
            <w:pPr>
              <w:rPr>
                <w:rFonts w:ascii="Arial"/>
                <w:sz w:val="21"/>
              </w:rPr>
            </w:pPr>
          </w:p>
        </w:tc>
        <w:tc>
          <w:tcPr>
            <w:tcW w:w="1069" w:type="dxa"/>
            <w:vAlign w:val="top"/>
          </w:tcPr>
          <w:p w14:paraId="4A26D2D9">
            <w:pPr>
              <w:rPr>
                <w:rFonts w:ascii="Arial"/>
                <w:sz w:val="21"/>
              </w:rPr>
            </w:pPr>
          </w:p>
        </w:tc>
        <w:tc>
          <w:tcPr>
            <w:tcW w:w="1070" w:type="dxa"/>
            <w:vAlign w:val="top"/>
          </w:tcPr>
          <w:p w14:paraId="1F088276">
            <w:pPr>
              <w:rPr>
                <w:rFonts w:ascii="Arial"/>
                <w:sz w:val="21"/>
              </w:rPr>
            </w:pPr>
          </w:p>
        </w:tc>
        <w:tc>
          <w:tcPr>
            <w:tcW w:w="996" w:type="dxa"/>
            <w:vAlign w:val="top"/>
          </w:tcPr>
          <w:p w14:paraId="2DB3F647">
            <w:pPr>
              <w:rPr>
                <w:rFonts w:ascii="Arial"/>
                <w:sz w:val="21"/>
              </w:rPr>
            </w:pPr>
          </w:p>
        </w:tc>
        <w:tc>
          <w:tcPr>
            <w:tcW w:w="1650" w:type="dxa"/>
            <w:vAlign w:val="top"/>
          </w:tcPr>
          <w:p w14:paraId="4928A47E">
            <w:pPr>
              <w:rPr>
                <w:rFonts w:ascii="Arial"/>
                <w:sz w:val="21"/>
              </w:rPr>
            </w:pPr>
          </w:p>
        </w:tc>
      </w:tr>
      <w:tr w14:paraId="1F26E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04" w:type="dxa"/>
            <w:vAlign w:val="top"/>
          </w:tcPr>
          <w:p w14:paraId="6B780B37">
            <w:pPr>
              <w:rPr>
                <w:rFonts w:ascii="Arial"/>
                <w:sz w:val="21"/>
              </w:rPr>
            </w:pPr>
          </w:p>
        </w:tc>
        <w:tc>
          <w:tcPr>
            <w:tcW w:w="1199" w:type="dxa"/>
            <w:vAlign w:val="top"/>
          </w:tcPr>
          <w:p w14:paraId="6D0B1BC0">
            <w:pPr>
              <w:rPr>
                <w:rFonts w:ascii="Arial"/>
                <w:sz w:val="21"/>
              </w:rPr>
            </w:pPr>
          </w:p>
        </w:tc>
        <w:tc>
          <w:tcPr>
            <w:tcW w:w="1176" w:type="dxa"/>
            <w:vAlign w:val="top"/>
          </w:tcPr>
          <w:p w14:paraId="2AF3BCB9">
            <w:pPr>
              <w:rPr>
                <w:rFonts w:ascii="Arial"/>
                <w:sz w:val="21"/>
              </w:rPr>
            </w:pPr>
          </w:p>
        </w:tc>
        <w:tc>
          <w:tcPr>
            <w:tcW w:w="1070" w:type="dxa"/>
            <w:vAlign w:val="top"/>
          </w:tcPr>
          <w:p w14:paraId="59F98141">
            <w:pPr>
              <w:rPr>
                <w:rFonts w:ascii="Arial"/>
                <w:sz w:val="21"/>
              </w:rPr>
            </w:pPr>
          </w:p>
        </w:tc>
        <w:tc>
          <w:tcPr>
            <w:tcW w:w="1069" w:type="dxa"/>
            <w:vAlign w:val="top"/>
          </w:tcPr>
          <w:p w14:paraId="053B4393">
            <w:pPr>
              <w:rPr>
                <w:rFonts w:ascii="Arial"/>
                <w:sz w:val="21"/>
              </w:rPr>
            </w:pPr>
          </w:p>
        </w:tc>
        <w:tc>
          <w:tcPr>
            <w:tcW w:w="1070" w:type="dxa"/>
            <w:vAlign w:val="top"/>
          </w:tcPr>
          <w:p w14:paraId="4CF62658">
            <w:pPr>
              <w:rPr>
                <w:rFonts w:ascii="Arial"/>
                <w:sz w:val="21"/>
              </w:rPr>
            </w:pPr>
          </w:p>
        </w:tc>
        <w:tc>
          <w:tcPr>
            <w:tcW w:w="996" w:type="dxa"/>
            <w:vAlign w:val="top"/>
          </w:tcPr>
          <w:p w14:paraId="1AF01BDB">
            <w:pPr>
              <w:rPr>
                <w:rFonts w:ascii="Arial"/>
                <w:sz w:val="21"/>
              </w:rPr>
            </w:pPr>
          </w:p>
        </w:tc>
        <w:tc>
          <w:tcPr>
            <w:tcW w:w="1650" w:type="dxa"/>
            <w:vAlign w:val="top"/>
          </w:tcPr>
          <w:p w14:paraId="350081E6">
            <w:pPr>
              <w:rPr>
                <w:rFonts w:ascii="Arial"/>
                <w:sz w:val="21"/>
              </w:rPr>
            </w:pPr>
          </w:p>
        </w:tc>
      </w:tr>
      <w:tr w14:paraId="608CC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04" w:type="dxa"/>
            <w:vAlign w:val="top"/>
          </w:tcPr>
          <w:p w14:paraId="773E2EA0">
            <w:pPr>
              <w:rPr>
                <w:rFonts w:ascii="Arial"/>
                <w:sz w:val="21"/>
              </w:rPr>
            </w:pPr>
          </w:p>
        </w:tc>
        <w:tc>
          <w:tcPr>
            <w:tcW w:w="1199" w:type="dxa"/>
            <w:vAlign w:val="top"/>
          </w:tcPr>
          <w:p w14:paraId="433FE264">
            <w:pPr>
              <w:rPr>
                <w:rFonts w:ascii="Arial"/>
                <w:sz w:val="21"/>
              </w:rPr>
            </w:pPr>
          </w:p>
        </w:tc>
        <w:tc>
          <w:tcPr>
            <w:tcW w:w="1176" w:type="dxa"/>
            <w:vAlign w:val="top"/>
          </w:tcPr>
          <w:p w14:paraId="050E3A4E">
            <w:pPr>
              <w:rPr>
                <w:rFonts w:ascii="Arial"/>
                <w:sz w:val="21"/>
              </w:rPr>
            </w:pPr>
          </w:p>
        </w:tc>
        <w:tc>
          <w:tcPr>
            <w:tcW w:w="1070" w:type="dxa"/>
            <w:vAlign w:val="top"/>
          </w:tcPr>
          <w:p w14:paraId="471A91D4">
            <w:pPr>
              <w:rPr>
                <w:rFonts w:ascii="Arial"/>
                <w:sz w:val="21"/>
              </w:rPr>
            </w:pPr>
          </w:p>
        </w:tc>
        <w:tc>
          <w:tcPr>
            <w:tcW w:w="1069" w:type="dxa"/>
            <w:vAlign w:val="top"/>
          </w:tcPr>
          <w:p w14:paraId="3F634027">
            <w:pPr>
              <w:rPr>
                <w:rFonts w:ascii="Arial"/>
                <w:sz w:val="21"/>
              </w:rPr>
            </w:pPr>
          </w:p>
        </w:tc>
        <w:tc>
          <w:tcPr>
            <w:tcW w:w="1070" w:type="dxa"/>
            <w:vAlign w:val="top"/>
          </w:tcPr>
          <w:p w14:paraId="3011848B">
            <w:pPr>
              <w:rPr>
                <w:rFonts w:ascii="Arial"/>
                <w:sz w:val="21"/>
              </w:rPr>
            </w:pPr>
          </w:p>
        </w:tc>
        <w:tc>
          <w:tcPr>
            <w:tcW w:w="996" w:type="dxa"/>
            <w:vAlign w:val="top"/>
          </w:tcPr>
          <w:p w14:paraId="38BC3EF7">
            <w:pPr>
              <w:rPr>
                <w:rFonts w:ascii="Arial"/>
                <w:sz w:val="21"/>
              </w:rPr>
            </w:pPr>
          </w:p>
        </w:tc>
        <w:tc>
          <w:tcPr>
            <w:tcW w:w="1650" w:type="dxa"/>
            <w:vAlign w:val="top"/>
          </w:tcPr>
          <w:p w14:paraId="5CA34915">
            <w:pPr>
              <w:rPr>
                <w:rFonts w:ascii="Arial"/>
                <w:sz w:val="21"/>
              </w:rPr>
            </w:pPr>
          </w:p>
        </w:tc>
      </w:tr>
      <w:tr w14:paraId="79C80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4" w:type="dxa"/>
            <w:vAlign w:val="top"/>
          </w:tcPr>
          <w:p w14:paraId="19391A03">
            <w:pPr>
              <w:rPr>
                <w:rFonts w:ascii="Arial"/>
                <w:sz w:val="21"/>
              </w:rPr>
            </w:pPr>
          </w:p>
        </w:tc>
        <w:tc>
          <w:tcPr>
            <w:tcW w:w="1199" w:type="dxa"/>
            <w:vAlign w:val="top"/>
          </w:tcPr>
          <w:p w14:paraId="0308AA06">
            <w:pPr>
              <w:rPr>
                <w:rFonts w:ascii="Arial"/>
                <w:sz w:val="21"/>
              </w:rPr>
            </w:pPr>
          </w:p>
        </w:tc>
        <w:tc>
          <w:tcPr>
            <w:tcW w:w="1176" w:type="dxa"/>
            <w:vAlign w:val="top"/>
          </w:tcPr>
          <w:p w14:paraId="525356F2">
            <w:pPr>
              <w:rPr>
                <w:rFonts w:ascii="Arial"/>
                <w:sz w:val="21"/>
              </w:rPr>
            </w:pPr>
          </w:p>
        </w:tc>
        <w:tc>
          <w:tcPr>
            <w:tcW w:w="1070" w:type="dxa"/>
            <w:vAlign w:val="top"/>
          </w:tcPr>
          <w:p w14:paraId="5AE64C1C">
            <w:pPr>
              <w:rPr>
                <w:rFonts w:ascii="Arial"/>
                <w:sz w:val="21"/>
              </w:rPr>
            </w:pPr>
          </w:p>
        </w:tc>
        <w:tc>
          <w:tcPr>
            <w:tcW w:w="1069" w:type="dxa"/>
            <w:vAlign w:val="top"/>
          </w:tcPr>
          <w:p w14:paraId="4F9E67D5">
            <w:pPr>
              <w:rPr>
                <w:rFonts w:ascii="Arial"/>
                <w:sz w:val="21"/>
              </w:rPr>
            </w:pPr>
          </w:p>
        </w:tc>
        <w:tc>
          <w:tcPr>
            <w:tcW w:w="1070" w:type="dxa"/>
            <w:vAlign w:val="top"/>
          </w:tcPr>
          <w:p w14:paraId="7DB17AE3">
            <w:pPr>
              <w:rPr>
                <w:rFonts w:ascii="Arial"/>
                <w:sz w:val="21"/>
              </w:rPr>
            </w:pPr>
          </w:p>
        </w:tc>
        <w:tc>
          <w:tcPr>
            <w:tcW w:w="996" w:type="dxa"/>
            <w:vAlign w:val="top"/>
          </w:tcPr>
          <w:p w14:paraId="36519E2F">
            <w:pPr>
              <w:rPr>
                <w:rFonts w:ascii="Arial"/>
                <w:sz w:val="21"/>
              </w:rPr>
            </w:pPr>
          </w:p>
        </w:tc>
        <w:tc>
          <w:tcPr>
            <w:tcW w:w="1650" w:type="dxa"/>
            <w:vAlign w:val="top"/>
          </w:tcPr>
          <w:p w14:paraId="1EB04179">
            <w:pPr>
              <w:rPr>
                <w:rFonts w:ascii="Arial"/>
                <w:sz w:val="21"/>
              </w:rPr>
            </w:pPr>
          </w:p>
        </w:tc>
      </w:tr>
      <w:tr w14:paraId="3FEDD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568E340A">
            <w:pPr>
              <w:rPr>
                <w:rFonts w:ascii="Arial"/>
                <w:sz w:val="21"/>
              </w:rPr>
            </w:pPr>
          </w:p>
        </w:tc>
        <w:tc>
          <w:tcPr>
            <w:tcW w:w="1199" w:type="dxa"/>
            <w:vAlign w:val="top"/>
          </w:tcPr>
          <w:p w14:paraId="4B42EB24">
            <w:pPr>
              <w:rPr>
                <w:rFonts w:ascii="Arial"/>
                <w:sz w:val="21"/>
              </w:rPr>
            </w:pPr>
          </w:p>
        </w:tc>
        <w:tc>
          <w:tcPr>
            <w:tcW w:w="1176" w:type="dxa"/>
            <w:vAlign w:val="top"/>
          </w:tcPr>
          <w:p w14:paraId="5BE4C678">
            <w:pPr>
              <w:rPr>
                <w:rFonts w:ascii="Arial"/>
                <w:sz w:val="21"/>
              </w:rPr>
            </w:pPr>
          </w:p>
        </w:tc>
        <w:tc>
          <w:tcPr>
            <w:tcW w:w="1070" w:type="dxa"/>
            <w:vAlign w:val="top"/>
          </w:tcPr>
          <w:p w14:paraId="5A7A229B">
            <w:pPr>
              <w:rPr>
                <w:rFonts w:ascii="Arial"/>
                <w:sz w:val="21"/>
              </w:rPr>
            </w:pPr>
          </w:p>
        </w:tc>
        <w:tc>
          <w:tcPr>
            <w:tcW w:w="1069" w:type="dxa"/>
            <w:vAlign w:val="top"/>
          </w:tcPr>
          <w:p w14:paraId="5DA3F9A4">
            <w:pPr>
              <w:rPr>
                <w:rFonts w:ascii="Arial"/>
                <w:sz w:val="21"/>
              </w:rPr>
            </w:pPr>
          </w:p>
        </w:tc>
        <w:tc>
          <w:tcPr>
            <w:tcW w:w="1070" w:type="dxa"/>
            <w:vAlign w:val="top"/>
          </w:tcPr>
          <w:p w14:paraId="367360C5">
            <w:pPr>
              <w:rPr>
                <w:rFonts w:ascii="Arial"/>
                <w:sz w:val="21"/>
              </w:rPr>
            </w:pPr>
          </w:p>
        </w:tc>
        <w:tc>
          <w:tcPr>
            <w:tcW w:w="996" w:type="dxa"/>
            <w:vAlign w:val="top"/>
          </w:tcPr>
          <w:p w14:paraId="23ED31A9">
            <w:pPr>
              <w:rPr>
                <w:rFonts w:ascii="Arial"/>
                <w:sz w:val="21"/>
              </w:rPr>
            </w:pPr>
          </w:p>
        </w:tc>
        <w:tc>
          <w:tcPr>
            <w:tcW w:w="1650" w:type="dxa"/>
            <w:vAlign w:val="top"/>
          </w:tcPr>
          <w:p w14:paraId="7D8543A6">
            <w:pPr>
              <w:rPr>
                <w:rFonts w:ascii="Arial"/>
                <w:sz w:val="21"/>
              </w:rPr>
            </w:pPr>
          </w:p>
        </w:tc>
      </w:tr>
      <w:tr w14:paraId="2D40E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23F4A5A4">
            <w:pPr>
              <w:rPr>
                <w:rFonts w:ascii="Arial"/>
                <w:sz w:val="21"/>
              </w:rPr>
            </w:pPr>
          </w:p>
        </w:tc>
        <w:tc>
          <w:tcPr>
            <w:tcW w:w="1199" w:type="dxa"/>
            <w:vAlign w:val="top"/>
          </w:tcPr>
          <w:p w14:paraId="3F2DBC97">
            <w:pPr>
              <w:rPr>
                <w:rFonts w:ascii="Arial"/>
                <w:sz w:val="21"/>
              </w:rPr>
            </w:pPr>
          </w:p>
        </w:tc>
        <w:tc>
          <w:tcPr>
            <w:tcW w:w="1176" w:type="dxa"/>
            <w:vAlign w:val="top"/>
          </w:tcPr>
          <w:p w14:paraId="2B6D7C79">
            <w:pPr>
              <w:rPr>
                <w:rFonts w:ascii="Arial"/>
                <w:sz w:val="21"/>
              </w:rPr>
            </w:pPr>
          </w:p>
        </w:tc>
        <w:tc>
          <w:tcPr>
            <w:tcW w:w="1070" w:type="dxa"/>
            <w:vAlign w:val="top"/>
          </w:tcPr>
          <w:p w14:paraId="5E20CE8B">
            <w:pPr>
              <w:rPr>
                <w:rFonts w:ascii="Arial"/>
                <w:sz w:val="21"/>
              </w:rPr>
            </w:pPr>
          </w:p>
        </w:tc>
        <w:tc>
          <w:tcPr>
            <w:tcW w:w="1069" w:type="dxa"/>
            <w:vAlign w:val="top"/>
          </w:tcPr>
          <w:p w14:paraId="4F390A76">
            <w:pPr>
              <w:rPr>
                <w:rFonts w:ascii="Arial"/>
                <w:sz w:val="21"/>
              </w:rPr>
            </w:pPr>
          </w:p>
        </w:tc>
        <w:tc>
          <w:tcPr>
            <w:tcW w:w="1070" w:type="dxa"/>
            <w:vAlign w:val="top"/>
          </w:tcPr>
          <w:p w14:paraId="6FC85118">
            <w:pPr>
              <w:rPr>
                <w:rFonts w:ascii="Arial"/>
                <w:sz w:val="21"/>
              </w:rPr>
            </w:pPr>
          </w:p>
        </w:tc>
        <w:tc>
          <w:tcPr>
            <w:tcW w:w="996" w:type="dxa"/>
            <w:vAlign w:val="top"/>
          </w:tcPr>
          <w:p w14:paraId="478C901A">
            <w:pPr>
              <w:rPr>
                <w:rFonts w:ascii="Arial"/>
                <w:sz w:val="21"/>
              </w:rPr>
            </w:pPr>
          </w:p>
        </w:tc>
        <w:tc>
          <w:tcPr>
            <w:tcW w:w="1650" w:type="dxa"/>
            <w:vAlign w:val="top"/>
          </w:tcPr>
          <w:p w14:paraId="743D52FB">
            <w:pPr>
              <w:rPr>
                <w:rFonts w:ascii="Arial"/>
                <w:sz w:val="21"/>
              </w:rPr>
            </w:pPr>
          </w:p>
        </w:tc>
      </w:tr>
      <w:tr w14:paraId="1CF8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681A906D">
            <w:pPr>
              <w:rPr>
                <w:rFonts w:ascii="Arial"/>
                <w:sz w:val="21"/>
              </w:rPr>
            </w:pPr>
          </w:p>
        </w:tc>
        <w:tc>
          <w:tcPr>
            <w:tcW w:w="1199" w:type="dxa"/>
            <w:vAlign w:val="top"/>
          </w:tcPr>
          <w:p w14:paraId="00B53274">
            <w:pPr>
              <w:rPr>
                <w:rFonts w:ascii="Arial"/>
                <w:sz w:val="21"/>
              </w:rPr>
            </w:pPr>
          </w:p>
        </w:tc>
        <w:tc>
          <w:tcPr>
            <w:tcW w:w="1176" w:type="dxa"/>
            <w:vAlign w:val="top"/>
          </w:tcPr>
          <w:p w14:paraId="7077D449">
            <w:pPr>
              <w:rPr>
                <w:rFonts w:ascii="Arial"/>
                <w:sz w:val="21"/>
              </w:rPr>
            </w:pPr>
          </w:p>
        </w:tc>
        <w:tc>
          <w:tcPr>
            <w:tcW w:w="1070" w:type="dxa"/>
            <w:vAlign w:val="top"/>
          </w:tcPr>
          <w:p w14:paraId="52D6F083">
            <w:pPr>
              <w:rPr>
                <w:rFonts w:ascii="Arial"/>
                <w:sz w:val="21"/>
              </w:rPr>
            </w:pPr>
          </w:p>
        </w:tc>
        <w:tc>
          <w:tcPr>
            <w:tcW w:w="1069" w:type="dxa"/>
            <w:vAlign w:val="top"/>
          </w:tcPr>
          <w:p w14:paraId="5DC2B79F">
            <w:pPr>
              <w:rPr>
                <w:rFonts w:ascii="Arial"/>
                <w:sz w:val="21"/>
              </w:rPr>
            </w:pPr>
          </w:p>
        </w:tc>
        <w:tc>
          <w:tcPr>
            <w:tcW w:w="1070" w:type="dxa"/>
            <w:vAlign w:val="top"/>
          </w:tcPr>
          <w:p w14:paraId="38CC2B14">
            <w:pPr>
              <w:rPr>
                <w:rFonts w:ascii="Arial"/>
                <w:sz w:val="21"/>
              </w:rPr>
            </w:pPr>
          </w:p>
        </w:tc>
        <w:tc>
          <w:tcPr>
            <w:tcW w:w="996" w:type="dxa"/>
            <w:vAlign w:val="top"/>
          </w:tcPr>
          <w:p w14:paraId="0DB616C3">
            <w:pPr>
              <w:rPr>
                <w:rFonts w:ascii="Arial"/>
                <w:sz w:val="21"/>
              </w:rPr>
            </w:pPr>
          </w:p>
        </w:tc>
        <w:tc>
          <w:tcPr>
            <w:tcW w:w="1650" w:type="dxa"/>
            <w:vAlign w:val="top"/>
          </w:tcPr>
          <w:p w14:paraId="04DA15BE">
            <w:pPr>
              <w:rPr>
                <w:rFonts w:ascii="Arial"/>
                <w:sz w:val="21"/>
              </w:rPr>
            </w:pPr>
          </w:p>
        </w:tc>
      </w:tr>
      <w:tr w14:paraId="1C0BB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19A41517">
            <w:pPr>
              <w:rPr>
                <w:rFonts w:ascii="Arial"/>
                <w:sz w:val="21"/>
              </w:rPr>
            </w:pPr>
          </w:p>
        </w:tc>
        <w:tc>
          <w:tcPr>
            <w:tcW w:w="1199" w:type="dxa"/>
            <w:vAlign w:val="top"/>
          </w:tcPr>
          <w:p w14:paraId="48364C8A">
            <w:pPr>
              <w:rPr>
                <w:rFonts w:ascii="Arial"/>
                <w:sz w:val="21"/>
              </w:rPr>
            </w:pPr>
          </w:p>
        </w:tc>
        <w:tc>
          <w:tcPr>
            <w:tcW w:w="1176" w:type="dxa"/>
            <w:vAlign w:val="top"/>
          </w:tcPr>
          <w:p w14:paraId="14DEC72F">
            <w:pPr>
              <w:rPr>
                <w:rFonts w:ascii="Arial"/>
                <w:sz w:val="21"/>
              </w:rPr>
            </w:pPr>
          </w:p>
        </w:tc>
        <w:tc>
          <w:tcPr>
            <w:tcW w:w="1070" w:type="dxa"/>
            <w:vAlign w:val="top"/>
          </w:tcPr>
          <w:p w14:paraId="62CAD770">
            <w:pPr>
              <w:rPr>
                <w:rFonts w:ascii="Arial"/>
                <w:sz w:val="21"/>
              </w:rPr>
            </w:pPr>
          </w:p>
        </w:tc>
        <w:tc>
          <w:tcPr>
            <w:tcW w:w="1069" w:type="dxa"/>
            <w:vAlign w:val="top"/>
          </w:tcPr>
          <w:p w14:paraId="4F159EFC">
            <w:pPr>
              <w:rPr>
                <w:rFonts w:ascii="Arial"/>
                <w:sz w:val="21"/>
              </w:rPr>
            </w:pPr>
          </w:p>
        </w:tc>
        <w:tc>
          <w:tcPr>
            <w:tcW w:w="1070" w:type="dxa"/>
            <w:vAlign w:val="top"/>
          </w:tcPr>
          <w:p w14:paraId="331960D3">
            <w:pPr>
              <w:rPr>
                <w:rFonts w:ascii="Arial"/>
                <w:sz w:val="21"/>
              </w:rPr>
            </w:pPr>
          </w:p>
        </w:tc>
        <w:tc>
          <w:tcPr>
            <w:tcW w:w="996" w:type="dxa"/>
            <w:vAlign w:val="top"/>
          </w:tcPr>
          <w:p w14:paraId="5C8F8ADB">
            <w:pPr>
              <w:rPr>
                <w:rFonts w:ascii="Arial"/>
                <w:sz w:val="21"/>
              </w:rPr>
            </w:pPr>
          </w:p>
        </w:tc>
        <w:tc>
          <w:tcPr>
            <w:tcW w:w="1650" w:type="dxa"/>
            <w:vAlign w:val="top"/>
          </w:tcPr>
          <w:p w14:paraId="572F428E">
            <w:pPr>
              <w:rPr>
                <w:rFonts w:ascii="Arial"/>
                <w:sz w:val="21"/>
              </w:rPr>
            </w:pPr>
          </w:p>
        </w:tc>
      </w:tr>
      <w:tr w14:paraId="39D4B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4DACCFC9">
            <w:pPr>
              <w:rPr>
                <w:rFonts w:ascii="Arial"/>
                <w:sz w:val="21"/>
              </w:rPr>
            </w:pPr>
          </w:p>
        </w:tc>
        <w:tc>
          <w:tcPr>
            <w:tcW w:w="1199" w:type="dxa"/>
            <w:vAlign w:val="top"/>
          </w:tcPr>
          <w:p w14:paraId="4A5641CB">
            <w:pPr>
              <w:rPr>
                <w:rFonts w:ascii="Arial"/>
                <w:sz w:val="21"/>
              </w:rPr>
            </w:pPr>
          </w:p>
        </w:tc>
        <w:tc>
          <w:tcPr>
            <w:tcW w:w="1176" w:type="dxa"/>
            <w:vAlign w:val="top"/>
          </w:tcPr>
          <w:p w14:paraId="7AA80189">
            <w:pPr>
              <w:rPr>
                <w:rFonts w:ascii="Arial"/>
                <w:sz w:val="21"/>
              </w:rPr>
            </w:pPr>
          </w:p>
        </w:tc>
        <w:tc>
          <w:tcPr>
            <w:tcW w:w="1070" w:type="dxa"/>
            <w:vAlign w:val="top"/>
          </w:tcPr>
          <w:p w14:paraId="04F8378A">
            <w:pPr>
              <w:rPr>
                <w:rFonts w:ascii="Arial"/>
                <w:sz w:val="21"/>
              </w:rPr>
            </w:pPr>
          </w:p>
        </w:tc>
        <w:tc>
          <w:tcPr>
            <w:tcW w:w="1069" w:type="dxa"/>
            <w:vAlign w:val="top"/>
          </w:tcPr>
          <w:p w14:paraId="68D57314">
            <w:pPr>
              <w:rPr>
                <w:rFonts w:ascii="Arial"/>
                <w:sz w:val="21"/>
              </w:rPr>
            </w:pPr>
          </w:p>
        </w:tc>
        <w:tc>
          <w:tcPr>
            <w:tcW w:w="1070" w:type="dxa"/>
            <w:vAlign w:val="top"/>
          </w:tcPr>
          <w:p w14:paraId="33ABD502">
            <w:pPr>
              <w:rPr>
                <w:rFonts w:ascii="Arial"/>
                <w:sz w:val="21"/>
              </w:rPr>
            </w:pPr>
          </w:p>
        </w:tc>
        <w:tc>
          <w:tcPr>
            <w:tcW w:w="996" w:type="dxa"/>
            <w:vAlign w:val="top"/>
          </w:tcPr>
          <w:p w14:paraId="1507244E">
            <w:pPr>
              <w:rPr>
                <w:rFonts w:ascii="Arial"/>
                <w:sz w:val="21"/>
              </w:rPr>
            </w:pPr>
          </w:p>
        </w:tc>
        <w:tc>
          <w:tcPr>
            <w:tcW w:w="1650" w:type="dxa"/>
            <w:vAlign w:val="top"/>
          </w:tcPr>
          <w:p w14:paraId="5F245309">
            <w:pPr>
              <w:rPr>
                <w:rFonts w:ascii="Arial"/>
                <w:sz w:val="21"/>
              </w:rPr>
            </w:pPr>
          </w:p>
        </w:tc>
      </w:tr>
      <w:tr w14:paraId="63EA0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15B50376">
            <w:pPr>
              <w:rPr>
                <w:rFonts w:ascii="Arial"/>
                <w:sz w:val="21"/>
              </w:rPr>
            </w:pPr>
          </w:p>
        </w:tc>
        <w:tc>
          <w:tcPr>
            <w:tcW w:w="1199" w:type="dxa"/>
            <w:vAlign w:val="top"/>
          </w:tcPr>
          <w:p w14:paraId="15E690F4">
            <w:pPr>
              <w:rPr>
                <w:rFonts w:ascii="Arial"/>
                <w:sz w:val="21"/>
              </w:rPr>
            </w:pPr>
          </w:p>
        </w:tc>
        <w:tc>
          <w:tcPr>
            <w:tcW w:w="1176" w:type="dxa"/>
            <w:vAlign w:val="top"/>
          </w:tcPr>
          <w:p w14:paraId="4D588A55">
            <w:pPr>
              <w:rPr>
                <w:rFonts w:ascii="Arial"/>
                <w:sz w:val="21"/>
              </w:rPr>
            </w:pPr>
          </w:p>
        </w:tc>
        <w:tc>
          <w:tcPr>
            <w:tcW w:w="1070" w:type="dxa"/>
            <w:vAlign w:val="top"/>
          </w:tcPr>
          <w:p w14:paraId="536EA181">
            <w:pPr>
              <w:rPr>
                <w:rFonts w:ascii="Arial"/>
                <w:sz w:val="21"/>
              </w:rPr>
            </w:pPr>
          </w:p>
        </w:tc>
        <w:tc>
          <w:tcPr>
            <w:tcW w:w="1069" w:type="dxa"/>
            <w:vAlign w:val="top"/>
          </w:tcPr>
          <w:p w14:paraId="3D0C07B9">
            <w:pPr>
              <w:rPr>
                <w:rFonts w:ascii="Arial"/>
                <w:sz w:val="21"/>
              </w:rPr>
            </w:pPr>
          </w:p>
        </w:tc>
        <w:tc>
          <w:tcPr>
            <w:tcW w:w="1070" w:type="dxa"/>
            <w:vAlign w:val="top"/>
          </w:tcPr>
          <w:p w14:paraId="308555C3">
            <w:pPr>
              <w:rPr>
                <w:rFonts w:ascii="Arial"/>
                <w:sz w:val="21"/>
              </w:rPr>
            </w:pPr>
          </w:p>
        </w:tc>
        <w:tc>
          <w:tcPr>
            <w:tcW w:w="996" w:type="dxa"/>
            <w:vAlign w:val="top"/>
          </w:tcPr>
          <w:p w14:paraId="69E42EC7">
            <w:pPr>
              <w:rPr>
                <w:rFonts w:ascii="Arial"/>
                <w:sz w:val="21"/>
              </w:rPr>
            </w:pPr>
          </w:p>
        </w:tc>
        <w:tc>
          <w:tcPr>
            <w:tcW w:w="1650" w:type="dxa"/>
            <w:vAlign w:val="top"/>
          </w:tcPr>
          <w:p w14:paraId="589A84FB">
            <w:pPr>
              <w:rPr>
                <w:rFonts w:ascii="Arial"/>
                <w:sz w:val="21"/>
              </w:rPr>
            </w:pPr>
          </w:p>
        </w:tc>
      </w:tr>
      <w:tr w14:paraId="567E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04" w:type="dxa"/>
            <w:vAlign w:val="top"/>
          </w:tcPr>
          <w:p w14:paraId="472F2866">
            <w:pPr>
              <w:rPr>
                <w:rFonts w:ascii="Arial"/>
                <w:sz w:val="21"/>
              </w:rPr>
            </w:pPr>
          </w:p>
        </w:tc>
        <w:tc>
          <w:tcPr>
            <w:tcW w:w="1199" w:type="dxa"/>
            <w:vAlign w:val="top"/>
          </w:tcPr>
          <w:p w14:paraId="2C26AB86">
            <w:pPr>
              <w:rPr>
                <w:rFonts w:ascii="Arial"/>
                <w:sz w:val="21"/>
              </w:rPr>
            </w:pPr>
          </w:p>
        </w:tc>
        <w:tc>
          <w:tcPr>
            <w:tcW w:w="1176" w:type="dxa"/>
            <w:vAlign w:val="top"/>
          </w:tcPr>
          <w:p w14:paraId="5D246B7B">
            <w:pPr>
              <w:rPr>
                <w:rFonts w:ascii="Arial"/>
                <w:sz w:val="21"/>
              </w:rPr>
            </w:pPr>
          </w:p>
        </w:tc>
        <w:tc>
          <w:tcPr>
            <w:tcW w:w="1070" w:type="dxa"/>
            <w:vAlign w:val="top"/>
          </w:tcPr>
          <w:p w14:paraId="15BEB8F8">
            <w:pPr>
              <w:rPr>
                <w:rFonts w:ascii="Arial"/>
                <w:sz w:val="21"/>
              </w:rPr>
            </w:pPr>
          </w:p>
        </w:tc>
        <w:tc>
          <w:tcPr>
            <w:tcW w:w="1069" w:type="dxa"/>
            <w:vAlign w:val="top"/>
          </w:tcPr>
          <w:p w14:paraId="34C842B7">
            <w:pPr>
              <w:rPr>
                <w:rFonts w:ascii="Arial"/>
                <w:sz w:val="21"/>
              </w:rPr>
            </w:pPr>
          </w:p>
        </w:tc>
        <w:tc>
          <w:tcPr>
            <w:tcW w:w="1070" w:type="dxa"/>
            <w:vAlign w:val="top"/>
          </w:tcPr>
          <w:p w14:paraId="66D42971">
            <w:pPr>
              <w:rPr>
                <w:rFonts w:ascii="Arial"/>
                <w:sz w:val="21"/>
              </w:rPr>
            </w:pPr>
          </w:p>
        </w:tc>
        <w:tc>
          <w:tcPr>
            <w:tcW w:w="996" w:type="dxa"/>
            <w:vAlign w:val="top"/>
          </w:tcPr>
          <w:p w14:paraId="0B719CD8">
            <w:pPr>
              <w:rPr>
                <w:rFonts w:ascii="Arial"/>
                <w:sz w:val="21"/>
              </w:rPr>
            </w:pPr>
          </w:p>
        </w:tc>
        <w:tc>
          <w:tcPr>
            <w:tcW w:w="1650" w:type="dxa"/>
            <w:vAlign w:val="top"/>
          </w:tcPr>
          <w:p w14:paraId="4AC9835E">
            <w:pPr>
              <w:rPr>
                <w:rFonts w:ascii="Arial"/>
                <w:sz w:val="21"/>
              </w:rPr>
            </w:pPr>
          </w:p>
        </w:tc>
      </w:tr>
      <w:tr w14:paraId="4EC72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6E5B856A">
            <w:pPr>
              <w:rPr>
                <w:rFonts w:ascii="Arial"/>
                <w:sz w:val="21"/>
              </w:rPr>
            </w:pPr>
          </w:p>
        </w:tc>
        <w:tc>
          <w:tcPr>
            <w:tcW w:w="1199" w:type="dxa"/>
            <w:vAlign w:val="top"/>
          </w:tcPr>
          <w:p w14:paraId="173030FB">
            <w:pPr>
              <w:rPr>
                <w:rFonts w:ascii="Arial"/>
                <w:sz w:val="21"/>
              </w:rPr>
            </w:pPr>
          </w:p>
        </w:tc>
        <w:tc>
          <w:tcPr>
            <w:tcW w:w="1176" w:type="dxa"/>
            <w:vAlign w:val="top"/>
          </w:tcPr>
          <w:p w14:paraId="4917C3EE">
            <w:pPr>
              <w:rPr>
                <w:rFonts w:ascii="Arial"/>
                <w:sz w:val="21"/>
              </w:rPr>
            </w:pPr>
          </w:p>
        </w:tc>
        <w:tc>
          <w:tcPr>
            <w:tcW w:w="1070" w:type="dxa"/>
            <w:vAlign w:val="top"/>
          </w:tcPr>
          <w:p w14:paraId="796A040A">
            <w:pPr>
              <w:rPr>
                <w:rFonts w:ascii="Arial"/>
                <w:sz w:val="21"/>
              </w:rPr>
            </w:pPr>
          </w:p>
        </w:tc>
        <w:tc>
          <w:tcPr>
            <w:tcW w:w="1069" w:type="dxa"/>
            <w:vAlign w:val="top"/>
          </w:tcPr>
          <w:p w14:paraId="0A2FAA99">
            <w:pPr>
              <w:rPr>
                <w:rFonts w:ascii="Arial"/>
                <w:sz w:val="21"/>
              </w:rPr>
            </w:pPr>
          </w:p>
        </w:tc>
        <w:tc>
          <w:tcPr>
            <w:tcW w:w="1070" w:type="dxa"/>
            <w:vAlign w:val="top"/>
          </w:tcPr>
          <w:p w14:paraId="7A989EB4">
            <w:pPr>
              <w:rPr>
                <w:rFonts w:ascii="Arial"/>
                <w:sz w:val="21"/>
              </w:rPr>
            </w:pPr>
          </w:p>
        </w:tc>
        <w:tc>
          <w:tcPr>
            <w:tcW w:w="996" w:type="dxa"/>
            <w:vAlign w:val="top"/>
          </w:tcPr>
          <w:p w14:paraId="5A9E4BF5">
            <w:pPr>
              <w:rPr>
                <w:rFonts w:ascii="Arial"/>
                <w:sz w:val="21"/>
              </w:rPr>
            </w:pPr>
          </w:p>
        </w:tc>
        <w:tc>
          <w:tcPr>
            <w:tcW w:w="1650" w:type="dxa"/>
            <w:vAlign w:val="top"/>
          </w:tcPr>
          <w:p w14:paraId="5076ECFF">
            <w:pPr>
              <w:rPr>
                <w:rFonts w:ascii="Arial"/>
                <w:sz w:val="21"/>
              </w:rPr>
            </w:pPr>
          </w:p>
        </w:tc>
      </w:tr>
      <w:tr w14:paraId="44305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04" w:type="dxa"/>
            <w:vAlign w:val="top"/>
          </w:tcPr>
          <w:p w14:paraId="22A35B23">
            <w:pPr>
              <w:rPr>
                <w:rFonts w:ascii="Arial"/>
                <w:sz w:val="21"/>
              </w:rPr>
            </w:pPr>
          </w:p>
        </w:tc>
        <w:tc>
          <w:tcPr>
            <w:tcW w:w="1199" w:type="dxa"/>
            <w:vAlign w:val="top"/>
          </w:tcPr>
          <w:p w14:paraId="372C36E7">
            <w:pPr>
              <w:rPr>
                <w:rFonts w:ascii="Arial"/>
                <w:sz w:val="21"/>
              </w:rPr>
            </w:pPr>
          </w:p>
        </w:tc>
        <w:tc>
          <w:tcPr>
            <w:tcW w:w="1176" w:type="dxa"/>
            <w:vAlign w:val="top"/>
          </w:tcPr>
          <w:p w14:paraId="34B01F84">
            <w:pPr>
              <w:rPr>
                <w:rFonts w:ascii="Arial"/>
                <w:sz w:val="21"/>
              </w:rPr>
            </w:pPr>
          </w:p>
        </w:tc>
        <w:tc>
          <w:tcPr>
            <w:tcW w:w="1070" w:type="dxa"/>
            <w:vAlign w:val="top"/>
          </w:tcPr>
          <w:p w14:paraId="1F997661">
            <w:pPr>
              <w:rPr>
                <w:rFonts w:ascii="Arial"/>
                <w:sz w:val="21"/>
              </w:rPr>
            </w:pPr>
          </w:p>
        </w:tc>
        <w:tc>
          <w:tcPr>
            <w:tcW w:w="1069" w:type="dxa"/>
            <w:vAlign w:val="top"/>
          </w:tcPr>
          <w:p w14:paraId="30EF81D3">
            <w:pPr>
              <w:rPr>
                <w:rFonts w:ascii="Arial"/>
                <w:sz w:val="21"/>
              </w:rPr>
            </w:pPr>
          </w:p>
        </w:tc>
        <w:tc>
          <w:tcPr>
            <w:tcW w:w="1070" w:type="dxa"/>
            <w:vAlign w:val="top"/>
          </w:tcPr>
          <w:p w14:paraId="0E16FFE7">
            <w:pPr>
              <w:rPr>
                <w:rFonts w:ascii="Arial"/>
                <w:sz w:val="21"/>
              </w:rPr>
            </w:pPr>
          </w:p>
        </w:tc>
        <w:tc>
          <w:tcPr>
            <w:tcW w:w="996" w:type="dxa"/>
            <w:vAlign w:val="top"/>
          </w:tcPr>
          <w:p w14:paraId="01FA2508">
            <w:pPr>
              <w:rPr>
                <w:rFonts w:ascii="Arial"/>
                <w:sz w:val="21"/>
              </w:rPr>
            </w:pPr>
          </w:p>
        </w:tc>
        <w:tc>
          <w:tcPr>
            <w:tcW w:w="1650" w:type="dxa"/>
            <w:vAlign w:val="top"/>
          </w:tcPr>
          <w:p w14:paraId="3ECE86A5">
            <w:pPr>
              <w:rPr>
                <w:rFonts w:ascii="Arial"/>
                <w:sz w:val="21"/>
              </w:rPr>
            </w:pPr>
          </w:p>
        </w:tc>
      </w:tr>
    </w:tbl>
    <w:p w14:paraId="7AAAF362">
      <w:pPr>
        <w:spacing w:before="297" w:line="228" w:lineRule="auto"/>
        <w:rPr>
          <w:rFonts w:ascii="宋体" w:hAnsi="宋体" w:eastAsia="宋体" w:cs="宋体"/>
          <w:sz w:val="20"/>
          <w:szCs w:val="20"/>
        </w:rPr>
      </w:pPr>
      <w:r>
        <w:rPr>
          <w:rFonts w:ascii="宋体" w:hAnsi="宋体" w:eastAsia="宋体" w:cs="宋体"/>
          <w:spacing w:val="9"/>
          <w:sz w:val="20"/>
          <w:szCs w:val="20"/>
        </w:rPr>
        <w:t>注：1、</w:t>
      </w:r>
      <w:r>
        <w:rPr>
          <w:rFonts w:hint="eastAsia" w:ascii="宋体" w:hAnsi="宋体" w:eastAsia="宋体" w:cs="宋体"/>
          <w:spacing w:val="9"/>
          <w:sz w:val="20"/>
          <w:szCs w:val="20"/>
          <w:lang w:eastAsia="zh-CN"/>
        </w:rPr>
        <w:t>供应商</w:t>
      </w:r>
      <w:r>
        <w:rPr>
          <w:rFonts w:ascii="宋体" w:hAnsi="宋体" w:eastAsia="宋体" w:cs="宋体"/>
          <w:spacing w:val="9"/>
          <w:sz w:val="20"/>
          <w:szCs w:val="20"/>
        </w:rPr>
        <w:t>应根据</w:t>
      </w:r>
      <w:r>
        <w:rPr>
          <w:rFonts w:ascii="宋体" w:hAnsi="宋体" w:eastAsia="宋体" w:cs="宋体"/>
          <w:b/>
          <w:bCs/>
          <w:spacing w:val="9"/>
          <w:sz w:val="20"/>
          <w:szCs w:val="20"/>
        </w:rPr>
        <w:t>招标文件</w:t>
      </w:r>
      <w:r>
        <w:rPr>
          <w:rFonts w:ascii="宋体" w:hAnsi="宋体" w:eastAsia="宋体" w:cs="宋体"/>
          <w:spacing w:val="9"/>
          <w:sz w:val="20"/>
          <w:szCs w:val="20"/>
        </w:rPr>
        <w:t>要求和采购项目的实际需要，列出为本项目所配备人员。</w:t>
      </w:r>
    </w:p>
    <w:p w14:paraId="622B1962">
      <w:pPr>
        <w:spacing w:before="101" w:line="228" w:lineRule="auto"/>
        <w:ind w:left="357"/>
        <w:rPr>
          <w:rFonts w:ascii="宋体" w:hAnsi="宋体" w:eastAsia="宋体" w:cs="宋体"/>
          <w:sz w:val="20"/>
          <w:szCs w:val="20"/>
        </w:rPr>
      </w:pPr>
      <w:r>
        <w:rPr>
          <w:rFonts w:ascii="宋体" w:hAnsi="宋体" w:eastAsia="宋体" w:cs="宋体"/>
          <w:spacing w:val="8"/>
          <w:sz w:val="20"/>
          <w:szCs w:val="20"/>
        </w:rPr>
        <w:t>2、附人员职称证书或资格证书、社保证明等材料。</w:t>
      </w:r>
    </w:p>
    <w:p w14:paraId="7259A767">
      <w:pPr>
        <w:spacing w:line="228" w:lineRule="auto"/>
        <w:rPr>
          <w:rFonts w:ascii="宋体" w:hAnsi="宋体" w:eastAsia="宋体" w:cs="宋体"/>
          <w:sz w:val="20"/>
          <w:szCs w:val="20"/>
        </w:rPr>
        <w:sectPr>
          <w:footerReference r:id="rId16" w:type="default"/>
          <w:pgSz w:w="11910" w:h="16840"/>
          <w:pgMar w:top="1446" w:right="1451" w:bottom="1451" w:left="1417" w:header="1134" w:footer="1134" w:gutter="0"/>
          <w:pgNumType w:fmt="decimal"/>
          <w:cols w:space="720" w:num="1"/>
        </w:sectPr>
      </w:pPr>
    </w:p>
    <w:p w14:paraId="0846626B">
      <w:pPr>
        <w:spacing w:before="175" w:line="225" w:lineRule="auto"/>
        <w:ind w:left="2895"/>
        <w:outlineLvl w:val="2"/>
        <w:rPr>
          <w:rFonts w:ascii="宋体" w:hAnsi="宋体" w:eastAsia="宋体" w:cs="宋体"/>
          <w:b/>
          <w:bCs/>
          <w:spacing w:val="5"/>
          <w:sz w:val="31"/>
          <w:szCs w:val="31"/>
        </w:rPr>
      </w:pPr>
    </w:p>
    <w:p w14:paraId="08559840">
      <w:pPr>
        <w:spacing w:before="175" w:line="225" w:lineRule="auto"/>
        <w:ind w:left="2895"/>
        <w:outlineLvl w:val="2"/>
        <w:rPr>
          <w:rFonts w:ascii="宋体" w:hAnsi="宋体" w:eastAsia="宋体" w:cs="宋体"/>
          <w:sz w:val="32"/>
          <w:szCs w:val="32"/>
        </w:rPr>
      </w:pPr>
      <w:r>
        <w:rPr>
          <w:rFonts w:ascii="宋体" w:hAnsi="宋体" w:eastAsia="宋体" w:cs="宋体"/>
          <w:b/>
          <w:bCs/>
          <w:spacing w:val="5"/>
          <w:sz w:val="32"/>
          <w:szCs w:val="32"/>
        </w:rPr>
        <w:t>十、企业综合能力</w:t>
      </w:r>
    </w:p>
    <w:p w14:paraId="6737862A">
      <w:pPr>
        <w:spacing w:line="225" w:lineRule="auto"/>
        <w:rPr>
          <w:rFonts w:ascii="宋体" w:hAnsi="宋体" w:eastAsia="宋体" w:cs="宋体"/>
          <w:sz w:val="31"/>
          <w:szCs w:val="31"/>
        </w:rPr>
        <w:sectPr>
          <w:footerReference r:id="rId17" w:type="default"/>
          <w:pgSz w:w="11906" w:h="16839"/>
          <w:pgMar w:top="1431" w:right="1785" w:bottom="1156" w:left="1785" w:header="1134" w:footer="1134" w:gutter="0"/>
          <w:pgNumType w:fmt="decimal"/>
          <w:cols w:space="720" w:num="1"/>
        </w:sectPr>
      </w:pPr>
    </w:p>
    <w:p w14:paraId="64ED123C">
      <w:pPr>
        <w:spacing w:before="162" w:line="225" w:lineRule="auto"/>
        <w:ind w:left="1450"/>
        <w:outlineLvl w:val="2"/>
        <w:rPr>
          <w:rFonts w:ascii="宋体" w:hAnsi="宋体" w:eastAsia="宋体" w:cs="宋体"/>
          <w:b/>
          <w:bCs/>
          <w:spacing w:val="6"/>
          <w:sz w:val="32"/>
          <w:szCs w:val="32"/>
        </w:rPr>
      </w:pPr>
    </w:p>
    <w:p w14:paraId="3B0A496A">
      <w:pPr>
        <w:spacing w:before="162" w:line="225" w:lineRule="auto"/>
        <w:ind w:left="1450"/>
        <w:outlineLvl w:val="2"/>
        <w:rPr>
          <w:rFonts w:ascii="宋体" w:hAnsi="宋体" w:eastAsia="宋体" w:cs="宋体"/>
          <w:sz w:val="32"/>
          <w:szCs w:val="32"/>
        </w:rPr>
      </w:pPr>
      <w:r>
        <w:rPr>
          <w:rFonts w:ascii="宋体" w:hAnsi="宋体" w:eastAsia="宋体" w:cs="宋体"/>
          <w:b/>
          <w:bCs/>
          <w:spacing w:val="6"/>
          <w:sz w:val="32"/>
          <w:szCs w:val="32"/>
        </w:rPr>
        <w:t>十一、</w:t>
      </w:r>
      <w:r>
        <w:rPr>
          <w:rFonts w:hint="eastAsia" w:ascii="宋体" w:hAnsi="宋体" w:eastAsia="宋体" w:cs="宋体"/>
          <w:b/>
          <w:bCs/>
          <w:spacing w:val="6"/>
          <w:sz w:val="32"/>
          <w:szCs w:val="32"/>
          <w:lang w:eastAsia="zh-CN"/>
        </w:rPr>
        <w:t>供应商</w:t>
      </w:r>
      <w:r>
        <w:rPr>
          <w:rFonts w:ascii="宋体" w:hAnsi="宋体" w:eastAsia="宋体" w:cs="宋体"/>
          <w:b/>
          <w:bCs/>
          <w:spacing w:val="6"/>
          <w:sz w:val="32"/>
          <w:szCs w:val="32"/>
        </w:rPr>
        <w:t>认为需要提供的其他材料</w:t>
      </w:r>
    </w:p>
    <w:p w14:paraId="08A67EE1">
      <w:pPr>
        <w:spacing w:line="225" w:lineRule="auto"/>
        <w:rPr>
          <w:rFonts w:ascii="宋体" w:hAnsi="宋体" w:eastAsia="宋体" w:cs="宋体"/>
          <w:sz w:val="31"/>
          <w:szCs w:val="31"/>
        </w:rPr>
        <w:sectPr>
          <w:footerReference r:id="rId18" w:type="default"/>
          <w:pgSz w:w="11906" w:h="16839"/>
          <w:pgMar w:top="1431" w:right="1785" w:bottom="1156" w:left="1785" w:header="1134" w:footer="1134" w:gutter="0"/>
          <w:pgNumType w:fmt="decimal"/>
          <w:cols w:space="720" w:num="1"/>
        </w:sectPr>
      </w:pPr>
    </w:p>
    <w:p w14:paraId="089664EE">
      <w:pPr>
        <w:spacing w:before="172" w:line="220" w:lineRule="auto"/>
        <w:ind w:left="3113"/>
        <w:rPr>
          <w:rFonts w:ascii="宋体" w:hAnsi="宋体" w:eastAsia="宋体" w:cs="宋体"/>
          <w:sz w:val="30"/>
          <w:szCs w:val="30"/>
        </w:rPr>
      </w:pPr>
      <w:r>
        <w:rPr>
          <w:rFonts w:ascii="宋体" w:hAnsi="宋体" w:eastAsia="宋体" w:cs="宋体"/>
          <w:b/>
          <w:bCs/>
          <w:spacing w:val="-8"/>
          <w:sz w:val="30"/>
          <w:szCs w:val="30"/>
        </w:rPr>
        <w:t>中小企业声明函</w:t>
      </w:r>
    </w:p>
    <w:p w14:paraId="5DEDF1E6">
      <w:pPr>
        <w:pStyle w:val="7"/>
        <w:spacing w:line="279" w:lineRule="auto"/>
      </w:pPr>
    </w:p>
    <w:p w14:paraId="29C5A2DB">
      <w:pPr>
        <w:pStyle w:val="7"/>
        <w:spacing w:line="279" w:lineRule="auto"/>
      </w:pPr>
    </w:p>
    <w:p w14:paraId="6B780850">
      <w:pPr>
        <w:spacing w:before="78" w:line="303" w:lineRule="auto"/>
        <w:ind w:left="85" w:firstLine="480"/>
        <w:jc w:val="both"/>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本公司（联合体）郑重声明，根据《政府采购促进中小企业发展管理办法》</w:t>
      </w:r>
      <w:r>
        <w:rPr>
          <w:rFonts w:ascii="宋体" w:hAnsi="宋体" w:eastAsia="宋体" w:cs="宋体"/>
          <w:spacing w:val="1"/>
          <w:sz w:val="24"/>
          <w:szCs w:val="24"/>
        </w:rPr>
        <w:t xml:space="preserve"> </w:t>
      </w:r>
      <w:r>
        <w:rPr>
          <w:rFonts w:ascii="宋体" w:hAnsi="宋体" w:eastAsia="宋体" w:cs="宋体"/>
          <w:spacing w:val="-1"/>
          <w:sz w:val="24"/>
          <w:szCs w:val="24"/>
        </w:rPr>
        <w:t>（财库﹝2020﹞46 号）的规定，本公司（联合体）参</w:t>
      </w:r>
      <w:r>
        <w:rPr>
          <w:rFonts w:ascii="宋体" w:hAnsi="宋体" w:eastAsia="宋体" w:cs="宋体"/>
          <w:spacing w:val="-2"/>
          <w:sz w:val="24"/>
          <w:szCs w:val="24"/>
        </w:rPr>
        <w:t>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（项目</w:t>
      </w:r>
      <w:r>
        <w:rPr>
          <w:rFonts w:ascii="宋体" w:hAnsi="宋体" w:eastAsia="宋体" w:cs="宋体"/>
          <w:spacing w:val="2"/>
          <w:sz w:val="24"/>
          <w:szCs w:val="24"/>
          <w:u w:val="single" w:color="auto"/>
        </w:rPr>
        <w:t>名称）</w:t>
      </w:r>
      <w:r>
        <w:rPr>
          <w:rFonts w:ascii="宋体" w:hAnsi="宋体" w:eastAsia="宋体" w:cs="宋体"/>
          <w:spacing w:val="2"/>
          <w:sz w:val="24"/>
          <w:szCs w:val="24"/>
        </w:rPr>
        <w:t>采购活动</w:t>
      </w:r>
      <w:r>
        <w:rPr>
          <w:rFonts w:hint="eastAsia" w:ascii="宋体" w:hAnsi="宋体" w:eastAsia="宋体" w:cs="宋体"/>
          <w:spacing w:val="2"/>
          <w:sz w:val="24"/>
          <w:szCs w:val="24"/>
          <w:lang w:eastAsia="zh-CN"/>
        </w:rPr>
        <w:t>，</w:t>
      </w:r>
      <w:r>
        <w:rPr>
          <w:rFonts w:ascii="宋体" w:hAnsi="宋体" w:eastAsia="宋体" w:cs="宋体"/>
          <w:spacing w:val="2"/>
          <w:sz w:val="24"/>
          <w:szCs w:val="24"/>
        </w:rPr>
        <w:t>工程的施工单位全部为符合政策要求的中小企业（或者：服</w:t>
      </w:r>
      <w:r>
        <w:rPr>
          <w:rFonts w:ascii="宋体" w:hAnsi="宋体" w:eastAsia="宋体" w:cs="宋体"/>
          <w:spacing w:val="-5"/>
          <w:sz w:val="24"/>
          <w:szCs w:val="24"/>
        </w:rPr>
        <w:t>务全部由符合政策要求的中小企业承接）。相关企业（含联合体中的中</w:t>
      </w:r>
      <w:r>
        <w:rPr>
          <w:rFonts w:ascii="宋体" w:hAnsi="宋体" w:eastAsia="宋体" w:cs="宋体"/>
          <w:spacing w:val="-6"/>
          <w:sz w:val="24"/>
          <w:szCs w:val="24"/>
        </w:rPr>
        <w:t>小企业、</w:t>
      </w:r>
      <w:r>
        <w:rPr>
          <w:rFonts w:ascii="宋体" w:hAnsi="宋体" w:eastAsia="宋体" w:cs="宋体"/>
          <w:spacing w:val="-1"/>
          <w:sz w:val="24"/>
          <w:szCs w:val="24"/>
        </w:rPr>
        <w:t>签订分包意向协议的中小企业）的具体情况如下：</w:t>
      </w:r>
    </w:p>
    <w:p w14:paraId="6DD49188">
      <w:pPr>
        <w:spacing w:before="96" w:line="298" w:lineRule="auto"/>
        <w:ind w:left="84" w:right="165" w:firstLine="498"/>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6"/>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（招标文件中明确的所属行业</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承建（</w:t>
      </w:r>
      <w:r>
        <w:rPr>
          <w:rFonts w:ascii="宋体" w:hAnsi="宋体" w:eastAsia="宋体" w:cs="宋体"/>
          <w:spacing w:val="-2"/>
          <w:sz w:val="24"/>
          <w:szCs w:val="24"/>
        </w:rPr>
        <w:t>承接）企</w:t>
      </w:r>
      <w:r>
        <w:rPr>
          <w:rFonts w:ascii="宋体" w:hAnsi="宋体" w:eastAsia="宋体" w:cs="宋体"/>
          <w:spacing w:val="2"/>
          <w:sz w:val="24"/>
          <w:szCs w:val="24"/>
        </w:rPr>
        <w:t>业为</w:t>
      </w:r>
      <w:r>
        <w:rPr>
          <w:rFonts w:ascii="宋体" w:hAnsi="宋体" w:eastAsia="宋体" w:cs="宋体"/>
          <w:spacing w:val="2"/>
          <w:sz w:val="24"/>
          <w:szCs w:val="24"/>
          <w:u w:val="single" w:color="auto"/>
        </w:rPr>
        <w:t>（企业名称</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w:t>
      </w:r>
      <w:r>
        <w:rPr>
          <w:rFonts w:ascii="宋体" w:hAnsi="宋体" w:eastAsia="宋体" w:cs="宋体"/>
          <w:spacing w:val="-1"/>
          <w:sz w:val="24"/>
          <w:szCs w:val="24"/>
        </w:rPr>
        <w:t>额为</w:t>
      </w:r>
      <w:r>
        <w:rPr>
          <w:rFonts w:ascii="宋体" w:hAnsi="宋体" w:eastAsia="宋体" w:cs="宋体"/>
          <w:spacing w:val="1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（中型企业、小型企业、微</w:t>
      </w:r>
      <w:r>
        <w:rPr>
          <w:rFonts w:ascii="宋体" w:hAnsi="宋体" w:eastAsia="宋体" w:cs="宋体"/>
          <w:spacing w:val="-2"/>
          <w:sz w:val="24"/>
          <w:szCs w:val="24"/>
          <w:u w:val="single" w:color="auto"/>
        </w:rPr>
        <w:t>型企业</w:t>
      </w:r>
      <w:r>
        <w:rPr>
          <w:rFonts w:ascii="宋体" w:hAnsi="宋体" w:eastAsia="宋体" w:cs="宋体"/>
          <w:sz w:val="24"/>
          <w:szCs w:val="24"/>
          <w:u w:val="single" w:color="auto"/>
        </w:rPr>
        <w:t>）</w:t>
      </w:r>
      <w:r>
        <w:rPr>
          <w:rFonts w:ascii="宋体" w:hAnsi="宋体" w:eastAsia="宋体" w:cs="宋体"/>
          <w:sz w:val="24"/>
          <w:szCs w:val="24"/>
        </w:rPr>
        <w:t>；</w:t>
      </w:r>
    </w:p>
    <w:p w14:paraId="12E938CE">
      <w:pPr>
        <w:spacing w:before="97" w:line="298" w:lineRule="auto"/>
        <w:ind w:left="84" w:right="165" w:firstLine="483"/>
        <w:jc w:val="both"/>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（标的名称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（招标文件中明确的所属行业</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承建（承接）企业为</w:t>
      </w:r>
      <w:r>
        <w:rPr>
          <w:rFonts w:ascii="宋体" w:hAnsi="宋体" w:eastAsia="宋体" w:cs="宋体"/>
          <w:spacing w:val="-1"/>
          <w:sz w:val="24"/>
          <w:szCs w:val="24"/>
          <w:u w:val="single" w:color="auto"/>
        </w:rPr>
        <w:t>（企业名称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1"/>
          <w:sz w:val="24"/>
          <w:szCs w:val="24"/>
        </w:rPr>
        <w:t>从业人员</w:t>
      </w:r>
      <w:r>
        <w:rPr>
          <w:rFonts w:ascii="宋体" w:hAnsi="宋体" w:eastAsia="宋体" w:cs="宋体"/>
          <w:spacing w:val="29"/>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万元，资产总额为万元，属于</w:t>
      </w:r>
      <w:r>
        <w:rPr>
          <w:rFonts w:ascii="宋体" w:hAnsi="宋体" w:eastAsia="宋体" w:cs="宋体"/>
          <w:spacing w:val="-1"/>
          <w:sz w:val="24"/>
          <w:szCs w:val="24"/>
          <w:u w:val="single" w:color="auto"/>
        </w:rPr>
        <w:t>（中型企业、小型企业、微型企业</w:t>
      </w:r>
      <w:r>
        <w:rPr>
          <w:rFonts w:ascii="宋体" w:hAnsi="宋体" w:eastAsia="宋体" w:cs="宋体"/>
          <w:spacing w:val="20"/>
          <w:sz w:val="24"/>
          <w:szCs w:val="24"/>
          <w:u w:val="single" w:color="auto"/>
        </w:rPr>
        <w:t>）；</w:t>
      </w:r>
    </w:p>
    <w:p w14:paraId="2BADBE68">
      <w:pPr>
        <w:spacing w:before="96" w:line="378" w:lineRule="exact"/>
        <w:ind w:left="741"/>
        <w:rPr>
          <w:rFonts w:ascii="宋体" w:hAnsi="宋体" w:eastAsia="宋体" w:cs="宋体"/>
          <w:sz w:val="24"/>
          <w:szCs w:val="24"/>
        </w:rPr>
      </w:pPr>
      <w:r>
        <w:rPr>
          <w:rFonts w:ascii="宋体" w:hAnsi="宋体" w:eastAsia="宋体" w:cs="宋体"/>
          <w:spacing w:val="-13"/>
          <w:position w:val="3"/>
          <w:sz w:val="24"/>
          <w:szCs w:val="24"/>
        </w:rPr>
        <w:t>……</w:t>
      </w:r>
    </w:p>
    <w:p w14:paraId="17DF22CE">
      <w:pPr>
        <w:spacing w:before="127" w:line="295" w:lineRule="auto"/>
        <w:ind w:left="90" w:right="102" w:firstLine="667"/>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9"/>
          <w:sz w:val="24"/>
          <w:szCs w:val="24"/>
        </w:rPr>
        <w:t xml:space="preserve"> </w:t>
      </w:r>
      <w:r>
        <w:rPr>
          <w:rFonts w:ascii="宋体" w:hAnsi="宋体" w:eastAsia="宋体" w:cs="宋体"/>
          <w:spacing w:val="-1"/>
          <w:sz w:val="24"/>
          <w:szCs w:val="24"/>
        </w:rPr>
        <w:t>也不存在与大企业的负责人为同一人的情形。</w:t>
      </w:r>
    </w:p>
    <w:p w14:paraId="7949DA5A">
      <w:pPr>
        <w:spacing w:before="95" w:line="219" w:lineRule="auto"/>
        <w:ind w:left="727"/>
        <w:rPr>
          <w:rFonts w:ascii="宋体" w:hAnsi="宋体" w:eastAsia="宋体" w:cs="宋体"/>
          <w:sz w:val="24"/>
          <w:szCs w:val="24"/>
        </w:rPr>
      </w:pPr>
      <w:r>
        <w:rPr>
          <w:rFonts w:ascii="宋体" w:hAnsi="宋体" w:eastAsia="宋体" w:cs="宋体"/>
          <w:spacing w:val="-1"/>
          <w:sz w:val="24"/>
          <w:szCs w:val="24"/>
        </w:rPr>
        <w:t>本企业对上述声明内容的真实性负责。如有虚假，将依法承担相应责任。</w:t>
      </w:r>
    </w:p>
    <w:p w14:paraId="2DF67ADB">
      <w:pPr>
        <w:pStyle w:val="7"/>
        <w:spacing w:line="280" w:lineRule="auto"/>
        <w:rPr>
          <w:sz w:val="24"/>
          <w:szCs w:val="24"/>
        </w:rPr>
      </w:pPr>
    </w:p>
    <w:p w14:paraId="5F19712F">
      <w:pPr>
        <w:pStyle w:val="7"/>
        <w:spacing w:line="280" w:lineRule="auto"/>
        <w:rPr>
          <w:sz w:val="24"/>
          <w:szCs w:val="24"/>
        </w:rPr>
      </w:pPr>
    </w:p>
    <w:p w14:paraId="357D7242">
      <w:pPr>
        <w:spacing w:before="79" w:line="401" w:lineRule="auto"/>
        <w:ind w:left="767" w:right="5606" w:hanging="37"/>
        <w:rPr>
          <w:rFonts w:ascii="宋体" w:hAnsi="宋体" w:eastAsia="宋体" w:cs="宋体"/>
          <w:spacing w:val="1"/>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p>
    <w:p w14:paraId="3EA23181">
      <w:pPr>
        <w:spacing w:before="79" w:line="401" w:lineRule="auto"/>
        <w:ind w:left="767" w:right="5606" w:hanging="37"/>
        <w:rPr>
          <w:rFonts w:ascii="宋体" w:hAnsi="宋体" w:eastAsia="宋体" w:cs="宋体"/>
          <w:sz w:val="24"/>
          <w:szCs w:val="24"/>
        </w:rPr>
      </w:pPr>
      <w:r>
        <w:rPr>
          <w:rFonts w:ascii="宋体" w:hAnsi="宋体" w:eastAsia="宋体" w:cs="宋体"/>
          <w:spacing w:val="-17"/>
          <w:sz w:val="24"/>
          <w:szCs w:val="24"/>
        </w:rPr>
        <w:t>日</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期：</w:t>
      </w:r>
    </w:p>
    <w:p w14:paraId="5AC4FD0E">
      <w:pPr>
        <w:pStyle w:val="7"/>
        <w:spacing w:line="273" w:lineRule="auto"/>
        <w:rPr>
          <w:sz w:val="24"/>
          <w:szCs w:val="24"/>
        </w:rPr>
      </w:pPr>
    </w:p>
    <w:p w14:paraId="3A072DD7">
      <w:pPr>
        <w:pStyle w:val="7"/>
        <w:spacing w:line="273" w:lineRule="auto"/>
        <w:rPr>
          <w:sz w:val="24"/>
          <w:szCs w:val="24"/>
        </w:rPr>
      </w:pPr>
    </w:p>
    <w:p w14:paraId="29E57A64">
      <w:pPr>
        <w:pStyle w:val="7"/>
        <w:spacing w:line="274" w:lineRule="auto"/>
        <w:rPr>
          <w:sz w:val="24"/>
          <w:szCs w:val="24"/>
        </w:rPr>
      </w:pPr>
    </w:p>
    <w:p w14:paraId="44562150">
      <w:pPr>
        <w:spacing w:before="79" w:line="467" w:lineRule="auto"/>
        <w:ind w:left="47" w:right="103"/>
        <w:rPr>
          <w:rFonts w:ascii="宋体" w:hAnsi="宋体" w:eastAsia="宋体" w:cs="宋体"/>
          <w:sz w:val="24"/>
          <w:szCs w:val="24"/>
        </w:rPr>
      </w:pPr>
      <w:r>
        <w:rPr>
          <w:rFonts w:ascii="宋体" w:hAnsi="宋体" w:eastAsia="宋体" w:cs="宋体"/>
          <w:spacing w:val="-4"/>
          <w:sz w:val="24"/>
          <w:szCs w:val="24"/>
        </w:rPr>
        <w:t>注：从业人员、营业收入、资产总额填报上一年度数据，无上一年度数据的新成</w:t>
      </w:r>
      <w:r>
        <w:rPr>
          <w:rFonts w:ascii="宋体" w:hAnsi="宋体" w:eastAsia="宋体" w:cs="宋体"/>
          <w:spacing w:val="-2"/>
          <w:sz w:val="24"/>
          <w:szCs w:val="24"/>
        </w:rPr>
        <w:t>立企业可不填报。</w:t>
      </w:r>
    </w:p>
    <w:p w14:paraId="773EEF3A">
      <w:pPr>
        <w:spacing w:line="467" w:lineRule="auto"/>
        <w:rPr>
          <w:rFonts w:ascii="宋体" w:hAnsi="宋体" w:eastAsia="宋体" w:cs="宋体"/>
          <w:sz w:val="24"/>
          <w:szCs w:val="24"/>
        </w:rPr>
        <w:sectPr>
          <w:footerReference r:id="rId19" w:type="default"/>
          <w:pgSz w:w="11906" w:h="16839"/>
          <w:pgMar w:top="1431" w:right="1696" w:bottom="1156" w:left="1785" w:header="1134" w:footer="1134" w:gutter="0"/>
          <w:pgNumType w:fmt="decimal"/>
          <w:cols w:space="720" w:num="1"/>
        </w:sectPr>
      </w:pPr>
    </w:p>
    <w:p w14:paraId="40216EAB">
      <w:pPr>
        <w:pStyle w:val="10"/>
        <w:ind w:left="0"/>
        <w:rPr>
          <w:rFonts w:hint="eastAsia" w:ascii="宋体" w:hAnsi="宋体"/>
          <w:b/>
          <w:color w:val="000000"/>
          <w:kern w:val="0"/>
          <w:sz w:val="28"/>
          <w:szCs w:val="28"/>
        </w:rPr>
      </w:pPr>
      <w:r>
        <w:rPr>
          <w:rFonts w:hint="eastAsia" w:cs="宋体"/>
          <w:b/>
          <w:bCs/>
          <w:color w:val="000000"/>
          <w:sz w:val="32"/>
          <w:szCs w:val="32"/>
        </w:rPr>
        <w:t>附件：政府采购政策</w:t>
      </w:r>
    </w:p>
    <w:p w14:paraId="73AD0E62">
      <w:pPr>
        <w:widowControl/>
        <w:spacing w:line="360" w:lineRule="auto"/>
        <w:jc w:val="center"/>
        <w:outlineLvl w:val="1"/>
        <w:rPr>
          <w:rFonts w:ascii="宋体" w:hAnsi="宋体"/>
          <w:b/>
          <w:color w:val="000000"/>
          <w:kern w:val="0"/>
          <w:sz w:val="28"/>
          <w:szCs w:val="28"/>
        </w:rPr>
      </w:pPr>
      <w:bookmarkStart w:id="278" w:name="_Toc10546"/>
      <w:r>
        <w:rPr>
          <w:rFonts w:hint="eastAsia" w:ascii="宋体" w:hAnsi="宋体"/>
          <w:b/>
          <w:color w:val="000000"/>
          <w:kern w:val="0"/>
          <w:sz w:val="28"/>
          <w:szCs w:val="28"/>
        </w:rPr>
        <w:t>政府采购促进中小企业发展管理办法</w:t>
      </w:r>
      <w:bookmarkEnd w:id="278"/>
    </w:p>
    <w:p w14:paraId="3AA57439">
      <w:pPr>
        <w:spacing w:line="312" w:lineRule="auto"/>
        <w:jc w:val="center"/>
        <w:rPr>
          <w:rFonts w:ascii="宋体" w:hAnsi="宋体"/>
          <w:b/>
          <w:color w:val="000000"/>
        </w:rPr>
      </w:pPr>
      <w:r>
        <w:rPr>
          <w:rFonts w:hint="eastAsia" w:ascii="宋体" w:hAnsi="宋体"/>
          <w:b/>
          <w:color w:val="000000"/>
        </w:rPr>
        <w:t>财库〔2020〕46号</w:t>
      </w:r>
    </w:p>
    <w:p w14:paraId="51B6AFB6">
      <w:pPr>
        <w:spacing w:line="312" w:lineRule="auto"/>
        <w:rPr>
          <w:rFonts w:ascii="宋体" w:hAnsi="宋体"/>
          <w:color w:val="000000"/>
        </w:rPr>
      </w:pPr>
      <w:r>
        <w:rPr>
          <w:rFonts w:hint="eastAsia" w:ascii="宋体" w:hAnsi="宋体"/>
          <w:color w:val="000000"/>
        </w:rPr>
        <w:t>　　第一条 为了发挥政府采购的政策功能，促进中小企业健康发展，根据《中华人民共和国政府采购法》、《中华人民共和国中小企业促进法》等有关法律法规，制定本办法。</w:t>
      </w:r>
    </w:p>
    <w:p w14:paraId="49201FCF">
      <w:pPr>
        <w:spacing w:line="312" w:lineRule="auto"/>
        <w:rPr>
          <w:rFonts w:ascii="宋体" w:hAnsi="宋体"/>
          <w:color w:val="000000"/>
        </w:rPr>
      </w:pPr>
      <w:r>
        <w:rPr>
          <w:rFonts w:hint="eastAsia" w:ascii="宋体" w:hAnsi="宋体"/>
          <w:color w:val="000000"/>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838BDB">
      <w:pPr>
        <w:spacing w:line="312" w:lineRule="auto"/>
        <w:ind w:firstLine="420" w:firstLineChars="200"/>
        <w:rPr>
          <w:rFonts w:ascii="宋体" w:hAnsi="宋体"/>
          <w:color w:val="000000"/>
        </w:rPr>
      </w:pPr>
      <w:r>
        <w:rPr>
          <w:rFonts w:hint="eastAsia" w:ascii="宋体" w:hAnsi="宋体"/>
          <w:color w:val="000000"/>
        </w:rPr>
        <w:t>符合中小企业划分标准的个体工商户，在政府采购活动中视同中小企业。</w:t>
      </w:r>
    </w:p>
    <w:p w14:paraId="4C92BFD3">
      <w:pPr>
        <w:spacing w:line="312" w:lineRule="auto"/>
        <w:rPr>
          <w:rFonts w:ascii="宋体" w:hAnsi="宋体"/>
          <w:color w:val="000000"/>
        </w:rPr>
      </w:pPr>
      <w:r>
        <w:rPr>
          <w:rFonts w:hint="eastAsia" w:ascii="宋体" w:hAnsi="宋体"/>
          <w:color w:val="000000"/>
        </w:rPr>
        <w:t>　  第三条 采购人在政府采购活动中应当通过加强采购需求管理，落实预留采购份额、价格评审优惠、优先采购等措施，提高中小企业在政府采购中的份额，支持中小企业发展。</w:t>
      </w:r>
    </w:p>
    <w:p w14:paraId="0A2593C1">
      <w:pPr>
        <w:spacing w:line="312" w:lineRule="auto"/>
        <w:rPr>
          <w:rFonts w:ascii="宋体" w:hAnsi="宋体"/>
          <w:color w:val="000000"/>
        </w:rPr>
      </w:pPr>
      <w:r>
        <w:rPr>
          <w:rFonts w:hint="eastAsia" w:ascii="宋体" w:hAnsi="宋体"/>
          <w:color w:val="000000"/>
        </w:rPr>
        <w:t>　　第四条 在政府采购活动中，供应商提供的货物、工程或者服务符合下列情形的，享受本办法规定的中小企业扶持政策：</w:t>
      </w:r>
    </w:p>
    <w:p w14:paraId="309D20FA">
      <w:pPr>
        <w:spacing w:line="312" w:lineRule="auto"/>
        <w:ind w:firstLine="420" w:firstLineChars="200"/>
        <w:rPr>
          <w:rFonts w:ascii="宋体" w:hAnsi="宋体"/>
          <w:color w:val="000000"/>
        </w:rPr>
      </w:pPr>
      <w:r>
        <w:rPr>
          <w:rFonts w:hint="eastAsia" w:ascii="宋体" w:hAnsi="宋体"/>
          <w:color w:val="000000"/>
        </w:rPr>
        <w:t>（一）在货物采购项目中，货物由中小企业制造，即货物由中小企业生产且使用该中小企业商号或者注册商标；</w:t>
      </w:r>
    </w:p>
    <w:p w14:paraId="619EF1BC">
      <w:pPr>
        <w:spacing w:line="312" w:lineRule="auto"/>
        <w:ind w:firstLine="420" w:firstLineChars="200"/>
        <w:rPr>
          <w:color w:val="000000"/>
        </w:rPr>
      </w:pPr>
      <w:r>
        <w:rPr>
          <w:rFonts w:hint="eastAsia"/>
          <w:color w:val="000000"/>
        </w:rPr>
        <w:t>（二）在工程采购项目中，工程由中小企业承建，即工程施工单位为中小企业；</w:t>
      </w:r>
    </w:p>
    <w:p w14:paraId="6BE353CB">
      <w:pPr>
        <w:spacing w:line="312" w:lineRule="auto"/>
        <w:ind w:firstLine="420" w:firstLineChars="200"/>
        <w:rPr>
          <w:color w:val="000000"/>
        </w:rPr>
      </w:pPr>
      <w:r>
        <w:rPr>
          <w:rFonts w:hint="eastAsia"/>
          <w:color w:val="000000"/>
        </w:rPr>
        <w:t>（三）在服务采购项目中，服务由中小企业承接，即提供服务的人员为中小企业依照《中华人民共和国劳动合同法》订立劳动合同的从业人员。</w:t>
      </w:r>
    </w:p>
    <w:p w14:paraId="5E8E0325">
      <w:pPr>
        <w:spacing w:line="312" w:lineRule="auto"/>
        <w:ind w:firstLine="420" w:firstLineChars="200"/>
        <w:rPr>
          <w:color w:val="000000"/>
        </w:rPr>
      </w:pPr>
      <w:r>
        <w:rPr>
          <w:rFonts w:hint="eastAsia"/>
          <w:color w:val="000000"/>
        </w:rPr>
        <w:t>在货物采购项目中，供应商提供的货物既有中小企业制造货物，也有大型企业制造货物的，不享受本办法规定的中小企业扶持政策。</w:t>
      </w:r>
    </w:p>
    <w:p w14:paraId="118A8919">
      <w:pPr>
        <w:spacing w:line="312" w:lineRule="auto"/>
        <w:ind w:firstLine="420" w:firstLineChars="200"/>
        <w:rPr>
          <w:color w:val="000000"/>
        </w:rPr>
      </w:pPr>
      <w:r>
        <w:rPr>
          <w:rFonts w:hint="eastAsia"/>
          <w:color w:val="000000"/>
        </w:rPr>
        <w:t>以联合体形式参加政府采购活动，联合体各方均为中小企业的，联合体视同中小企业。其中，联合体各方均为小微企业的，联合体视同小微企业。</w:t>
      </w:r>
    </w:p>
    <w:p w14:paraId="6047A54C">
      <w:pPr>
        <w:spacing w:line="312" w:lineRule="auto"/>
        <w:ind w:firstLine="420" w:firstLineChars="200"/>
        <w:rPr>
          <w:color w:val="000000"/>
        </w:rPr>
      </w:pPr>
      <w:r>
        <w:rPr>
          <w:rFonts w:hint="eastAsia"/>
          <w:color w:val="000000"/>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8245920">
      <w:pPr>
        <w:spacing w:line="312" w:lineRule="auto"/>
        <w:ind w:firstLine="420" w:firstLineChars="200"/>
        <w:rPr>
          <w:color w:val="000000"/>
        </w:rPr>
      </w:pPr>
      <w:r>
        <w:rPr>
          <w:rFonts w:hint="eastAsia"/>
          <w:color w:val="000000"/>
        </w:rPr>
        <w:t>第六条主管预算单位应当组织评估本部门及所属单位政府采购项目，统筹制定面向中小企业预留采购份额的具体方案，对适宜由中小企业提供的采购项目和采购标，预留采购份额专门面向中小企业采购，并在政府采购预算中单独列示。</w:t>
      </w:r>
    </w:p>
    <w:p w14:paraId="654CEF66">
      <w:pPr>
        <w:spacing w:line="312" w:lineRule="auto"/>
        <w:ind w:firstLine="420" w:firstLineChars="200"/>
        <w:rPr>
          <w:color w:val="000000"/>
        </w:rPr>
      </w:pPr>
      <w:r>
        <w:rPr>
          <w:rFonts w:hint="eastAsia"/>
          <w:color w:val="000000"/>
        </w:rPr>
        <w:t>符合下列情形之一的，可不专门面向中小企业预留采购份额：</w:t>
      </w:r>
    </w:p>
    <w:p w14:paraId="28FD55A9">
      <w:pPr>
        <w:spacing w:line="312" w:lineRule="auto"/>
        <w:ind w:firstLine="420" w:firstLineChars="200"/>
        <w:rPr>
          <w:color w:val="000000"/>
        </w:rPr>
      </w:pPr>
      <w:r>
        <w:rPr>
          <w:rFonts w:hint="eastAsia"/>
          <w:color w:val="000000"/>
        </w:rPr>
        <w:t>（一）法律法规和国家有关政策明确规定优先或者应当面向事业单位、社会组织等非企业主体采购的；</w:t>
      </w:r>
    </w:p>
    <w:p w14:paraId="0FF832B6">
      <w:pPr>
        <w:spacing w:line="312" w:lineRule="auto"/>
        <w:ind w:firstLine="420" w:firstLineChars="200"/>
        <w:rPr>
          <w:color w:val="000000"/>
        </w:rPr>
      </w:pPr>
      <w:r>
        <w:rPr>
          <w:rFonts w:hint="eastAsia"/>
          <w:color w:val="000000"/>
        </w:rPr>
        <w:t>（二）因确需使用不可替代的专利、专有技术，基础设施限制，或者提供特定公共服务等原因，只能从中小企业之外的供应商处采购的；</w:t>
      </w:r>
    </w:p>
    <w:p w14:paraId="5B2EAB16">
      <w:pPr>
        <w:spacing w:line="312" w:lineRule="auto"/>
        <w:rPr>
          <w:rFonts w:ascii="宋体" w:hAnsi="宋体"/>
          <w:color w:val="000000"/>
        </w:rPr>
      </w:pPr>
      <w:r>
        <w:rPr>
          <w:rFonts w:hint="eastAsia" w:ascii="宋体" w:hAnsi="宋体"/>
          <w:color w:val="000000"/>
        </w:rPr>
        <w:t>　  （三）按照本办法规定预留采购份额无法确保充分供应、充分竞争，或者存在可能影响政府采购目标实现的情形；</w:t>
      </w:r>
    </w:p>
    <w:p w14:paraId="45F3D6FA">
      <w:pPr>
        <w:spacing w:line="312" w:lineRule="auto"/>
        <w:ind w:firstLine="420" w:firstLineChars="200"/>
        <w:rPr>
          <w:rFonts w:ascii="宋体" w:hAnsi="宋体"/>
          <w:color w:val="000000"/>
        </w:rPr>
      </w:pPr>
      <w:r>
        <w:rPr>
          <w:rFonts w:hint="eastAsia" w:ascii="宋体" w:hAnsi="宋体"/>
          <w:color w:val="000000"/>
        </w:rPr>
        <w:t>（四）框架协议采购项目；</w:t>
      </w:r>
    </w:p>
    <w:p w14:paraId="653BF0E9">
      <w:pPr>
        <w:spacing w:line="312" w:lineRule="auto"/>
        <w:ind w:firstLine="420" w:firstLineChars="200"/>
        <w:rPr>
          <w:rFonts w:ascii="宋体" w:hAnsi="宋体"/>
          <w:color w:val="000000"/>
        </w:rPr>
      </w:pPr>
      <w:r>
        <w:rPr>
          <w:rFonts w:hint="eastAsia" w:ascii="宋体" w:hAnsi="宋体"/>
          <w:color w:val="000000"/>
        </w:rPr>
        <w:t>（五）省级以上人民政府财政部门规定的其他情形。</w:t>
      </w:r>
    </w:p>
    <w:p w14:paraId="443C8185">
      <w:pPr>
        <w:spacing w:line="312" w:lineRule="auto"/>
        <w:ind w:firstLine="420" w:firstLineChars="200"/>
        <w:rPr>
          <w:rFonts w:ascii="宋体" w:hAnsi="宋体"/>
          <w:color w:val="000000"/>
        </w:rPr>
      </w:pPr>
      <w:r>
        <w:rPr>
          <w:rFonts w:hint="eastAsia" w:ascii="宋体" w:hAnsi="宋体"/>
          <w:color w:val="000000"/>
        </w:rPr>
        <w:t>除上述情形外，其他均为适宜由中小企业提供的情形。</w:t>
      </w:r>
    </w:p>
    <w:p w14:paraId="31D24FDF">
      <w:pPr>
        <w:spacing w:line="312" w:lineRule="auto"/>
        <w:ind w:firstLine="420" w:firstLineChars="200"/>
        <w:rPr>
          <w:rFonts w:ascii="宋体" w:hAnsi="宋体"/>
          <w:color w:val="000000"/>
        </w:rPr>
      </w:pPr>
      <w:r>
        <w:rPr>
          <w:rFonts w:hint="eastAsia" w:ascii="宋体" w:hAnsi="宋体"/>
          <w:color w:val="000000"/>
        </w:rPr>
        <w:t>第七条 采购限额标准以上，200万元以下的货物和服务采购项目、400万元以下的工程采购项目，适宜由中小企业提供的，采购人应当专门面向中小企业采购。</w:t>
      </w:r>
    </w:p>
    <w:p w14:paraId="1CE7F303">
      <w:pPr>
        <w:spacing w:line="312" w:lineRule="auto"/>
        <w:ind w:firstLine="420" w:firstLineChars="200"/>
        <w:rPr>
          <w:rFonts w:ascii="宋体" w:hAnsi="宋体"/>
          <w:color w:val="000000"/>
        </w:rPr>
      </w:pPr>
      <w:r>
        <w:rPr>
          <w:rFonts w:hint="eastAsia" w:ascii="宋体" w:hAnsi="宋体"/>
          <w:color w:val="000000"/>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774514F">
      <w:pPr>
        <w:spacing w:line="312" w:lineRule="auto"/>
        <w:ind w:firstLine="420" w:firstLineChars="200"/>
        <w:rPr>
          <w:rFonts w:ascii="宋体" w:hAnsi="宋体"/>
          <w:color w:val="000000"/>
        </w:rPr>
      </w:pPr>
      <w:r>
        <w:rPr>
          <w:rFonts w:hint="eastAsia" w:ascii="宋体" w:hAnsi="宋体"/>
          <w:color w:val="000000"/>
        </w:rPr>
        <w:t>（一）将采购项目整体或者设置采购标专门面向中小企业采购；</w:t>
      </w:r>
    </w:p>
    <w:p w14:paraId="78FD544A">
      <w:pPr>
        <w:spacing w:line="312" w:lineRule="auto"/>
        <w:ind w:firstLine="420" w:firstLineChars="200"/>
        <w:rPr>
          <w:rFonts w:ascii="宋体" w:hAnsi="宋体"/>
          <w:color w:val="000000"/>
        </w:rPr>
      </w:pPr>
      <w:r>
        <w:rPr>
          <w:rFonts w:hint="eastAsia" w:ascii="宋体" w:hAnsi="宋体"/>
          <w:color w:val="000000"/>
        </w:rPr>
        <w:t>（二）要求供应商以联合体形式参加采购活动，且联合体中中小企业承担的部分达到一定比例；</w:t>
      </w:r>
    </w:p>
    <w:p w14:paraId="6283C26F">
      <w:pPr>
        <w:spacing w:line="312" w:lineRule="auto"/>
        <w:ind w:firstLine="420" w:firstLineChars="200"/>
        <w:rPr>
          <w:rFonts w:ascii="宋体" w:hAnsi="宋体"/>
          <w:color w:val="000000"/>
        </w:rPr>
      </w:pPr>
      <w:r>
        <w:rPr>
          <w:rFonts w:hint="eastAsia" w:ascii="宋体" w:hAnsi="宋体"/>
          <w:color w:val="000000"/>
        </w:rPr>
        <w:t>（三）要求获得采购合同的供应商将采购项目中的一定比例分标给一家或者多家中小企业。</w:t>
      </w:r>
    </w:p>
    <w:p w14:paraId="4A33393F">
      <w:pPr>
        <w:spacing w:line="312" w:lineRule="auto"/>
        <w:ind w:firstLine="420" w:firstLineChars="200"/>
        <w:rPr>
          <w:rFonts w:ascii="宋体" w:hAnsi="宋体"/>
          <w:color w:val="000000"/>
        </w:rPr>
      </w:pPr>
      <w:r>
        <w:rPr>
          <w:rFonts w:hint="eastAsia" w:ascii="宋体" w:hAnsi="宋体"/>
          <w:color w:val="000000"/>
        </w:rPr>
        <w:t>组成联合体或者接受分标合同的中小企业与联合体内其他企业、分标企业之间不得存在直接控股、管理关系。</w:t>
      </w:r>
    </w:p>
    <w:p w14:paraId="14E65083">
      <w:pPr>
        <w:spacing w:line="312" w:lineRule="auto"/>
        <w:ind w:firstLine="420" w:firstLineChars="200"/>
        <w:rPr>
          <w:rFonts w:ascii="宋体" w:hAnsi="宋体"/>
          <w:color w:val="000000"/>
        </w:rPr>
      </w:pPr>
      <w:r>
        <w:rPr>
          <w:rFonts w:hint="eastAsia" w:ascii="宋体" w:hAnsi="宋体"/>
          <w:color w:val="000000"/>
        </w:rPr>
        <w:t>第九条 对于经主管预算单位统筹后未预留份额专门面向中小企业采购的采购项目，以及预留份额项目中的非预留部分采购标，采购人、采购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D6642C">
      <w:pPr>
        <w:spacing w:line="312" w:lineRule="auto"/>
        <w:ind w:firstLine="420" w:firstLineChars="200"/>
        <w:rPr>
          <w:rFonts w:ascii="宋体" w:hAnsi="宋体"/>
          <w:color w:val="000000"/>
        </w:rPr>
      </w:pPr>
      <w:r>
        <w:rPr>
          <w:rFonts w:hint="eastAsia" w:ascii="宋体" w:hAnsi="宋体"/>
          <w:color w:val="000000"/>
        </w:rPr>
        <w:t>接受大中型企业与小微企业组成联合体或者允许大中型企业向一家或者多家小微企业分标的采购项目，对于联合协议或者分标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标的小微企业与联合体内其他企业、分标企业之间存在直接控股、管理关系的，不享受价格扣除优惠政策。</w:t>
      </w:r>
    </w:p>
    <w:p w14:paraId="5B42723C">
      <w:pPr>
        <w:spacing w:line="312" w:lineRule="auto"/>
        <w:ind w:firstLine="420" w:firstLineChars="200"/>
        <w:rPr>
          <w:rFonts w:ascii="宋体" w:hAnsi="宋体"/>
          <w:color w:val="000000"/>
        </w:rPr>
      </w:pPr>
      <w:r>
        <w:rPr>
          <w:rFonts w:hint="eastAsia" w:ascii="宋体" w:hAnsi="宋体"/>
          <w:color w:val="00000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BE77826">
      <w:pPr>
        <w:spacing w:line="312" w:lineRule="auto"/>
        <w:ind w:firstLine="420" w:firstLineChars="200"/>
        <w:rPr>
          <w:rFonts w:ascii="宋体" w:hAnsi="宋体"/>
          <w:color w:val="000000"/>
        </w:rPr>
      </w:pPr>
      <w:r>
        <w:rPr>
          <w:rFonts w:hint="eastAsia" w:ascii="宋体" w:hAnsi="宋体"/>
          <w:color w:val="000000"/>
        </w:rPr>
        <w:t>第十条 采购人应当严格按照本办法规定和主管预算单位制定的预留采购份额具体方案开展采购活动。预留份额的采购项目或者采购标，通过发布公告方式邀请供应商后，符合资格条件的中小企业数量不足3家的，应当中止采购活动，视同未预留份额的采购项目或者采购标，按照本办法第九条有关规定重新组织采购活动。</w:t>
      </w:r>
    </w:p>
    <w:p w14:paraId="140B9E01">
      <w:pPr>
        <w:spacing w:line="312" w:lineRule="auto"/>
        <w:ind w:firstLine="420" w:firstLineChars="200"/>
        <w:rPr>
          <w:rFonts w:ascii="宋体" w:hAnsi="宋体"/>
          <w:color w:val="000000"/>
        </w:rPr>
      </w:pPr>
      <w:r>
        <w:rPr>
          <w:rFonts w:hint="eastAsia" w:ascii="宋体" w:hAnsi="宋体"/>
          <w:color w:val="00000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4CE48C">
      <w:pPr>
        <w:spacing w:line="312" w:lineRule="auto"/>
        <w:ind w:firstLine="420" w:firstLineChars="200"/>
        <w:rPr>
          <w:rFonts w:ascii="宋体" w:hAnsi="宋体"/>
          <w:color w:val="000000"/>
        </w:rPr>
      </w:pPr>
      <w:r>
        <w:rPr>
          <w:rFonts w:hint="eastAsia" w:ascii="宋体" w:hAnsi="宋体"/>
          <w:color w:val="000000"/>
        </w:rPr>
        <w:t>第十二条 采购项目涉及中小企业采购的，采购文件应当明确以下内容：</w:t>
      </w:r>
    </w:p>
    <w:p w14:paraId="3CF4D253">
      <w:pPr>
        <w:spacing w:line="312" w:lineRule="auto"/>
        <w:ind w:firstLine="420" w:firstLineChars="200"/>
        <w:rPr>
          <w:rFonts w:ascii="宋体" w:hAnsi="宋体"/>
          <w:color w:val="000000"/>
        </w:rPr>
      </w:pPr>
      <w:r>
        <w:rPr>
          <w:rFonts w:hint="eastAsia" w:ascii="宋体" w:hAnsi="宋体"/>
          <w:color w:val="000000"/>
        </w:rPr>
        <w:t>（一）预留份额的采购项目或者采购标，明确该项目或相关采购标专门面向中小企业采购，以及相关标的及预算金额；</w:t>
      </w:r>
    </w:p>
    <w:p w14:paraId="1C88F55D">
      <w:pPr>
        <w:spacing w:line="312" w:lineRule="auto"/>
        <w:ind w:firstLine="420" w:firstLineChars="200"/>
        <w:rPr>
          <w:rFonts w:ascii="宋体" w:hAnsi="宋体"/>
          <w:color w:val="000000"/>
        </w:rPr>
      </w:pPr>
      <w:r>
        <w:rPr>
          <w:rFonts w:hint="eastAsia" w:ascii="宋体" w:hAnsi="宋体"/>
          <w:color w:val="000000"/>
        </w:rPr>
        <w:t>（二）要求以联合体形式参加或者合同分标的，明确联合协议或者分标意向协议中中小企业合同金额应当达到的比例，并作为供应商资格条件；</w:t>
      </w:r>
    </w:p>
    <w:p w14:paraId="677C5C1E">
      <w:pPr>
        <w:spacing w:line="312" w:lineRule="auto"/>
        <w:ind w:firstLine="420" w:firstLineChars="200"/>
        <w:rPr>
          <w:rFonts w:ascii="宋体" w:hAnsi="宋体"/>
          <w:color w:val="000000"/>
        </w:rPr>
      </w:pPr>
      <w:r>
        <w:rPr>
          <w:rFonts w:hint="eastAsia" w:ascii="宋体" w:hAnsi="宋体"/>
          <w:color w:val="000000"/>
        </w:rPr>
        <w:t>（三）非预留份额的采购项目或者采购标，明确有关价格扣除比例或者价格分加分比例；</w:t>
      </w:r>
    </w:p>
    <w:p w14:paraId="0B42A9F0">
      <w:pPr>
        <w:spacing w:line="312" w:lineRule="auto"/>
        <w:ind w:firstLine="420" w:firstLineChars="200"/>
        <w:rPr>
          <w:rFonts w:ascii="宋体" w:hAnsi="宋体"/>
          <w:color w:val="000000"/>
        </w:rPr>
      </w:pPr>
      <w:r>
        <w:rPr>
          <w:rFonts w:hint="eastAsia" w:ascii="宋体" w:hAnsi="宋体"/>
          <w:color w:val="000000"/>
        </w:rPr>
        <w:t>（四）规定依据本办法规定享受扶持政策获得政府采购合同的，小微企业不得将合同分标给大中型企业，中型企业不得将合同分标给大型企业；</w:t>
      </w:r>
    </w:p>
    <w:p w14:paraId="15F77721">
      <w:pPr>
        <w:spacing w:line="312" w:lineRule="auto"/>
        <w:ind w:firstLine="420" w:firstLineChars="200"/>
        <w:rPr>
          <w:rFonts w:ascii="宋体" w:hAnsi="宋体"/>
          <w:color w:val="000000"/>
        </w:rPr>
      </w:pPr>
      <w:r>
        <w:rPr>
          <w:rFonts w:hint="eastAsia" w:ascii="宋体" w:hAnsi="宋体"/>
          <w:color w:val="000000"/>
        </w:rPr>
        <w:t>（五）采购人认为具备相关条件的，明确对中小企业在资金支付期限、预付款比例等方面的优惠措施；</w:t>
      </w:r>
    </w:p>
    <w:p w14:paraId="77F6E143">
      <w:pPr>
        <w:spacing w:line="312" w:lineRule="auto"/>
        <w:ind w:firstLine="420" w:firstLineChars="200"/>
        <w:rPr>
          <w:rFonts w:ascii="宋体" w:hAnsi="宋体"/>
          <w:color w:val="000000"/>
        </w:rPr>
      </w:pPr>
      <w:r>
        <w:rPr>
          <w:rFonts w:hint="eastAsia" w:ascii="宋体" w:hAnsi="宋体"/>
          <w:color w:val="000000"/>
        </w:rPr>
        <w:t>（六）明确采购标的对应的中小企业划分标准所属行业；</w:t>
      </w:r>
    </w:p>
    <w:p w14:paraId="57F096B3">
      <w:pPr>
        <w:spacing w:line="312" w:lineRule="auto"/>
        <w:ind w:firstLine="420" w:firstLineChars="200"/>
        <w:rPr>
          <w:rFonts w:ascii="宋体" w:hAnsi="宋体"/>
          <w:color w:val="000000"/>
        </w:rPr>
      </w:pPr>
      <w:r>
        <w:rPr>
          <w:rFonts w:hint="eastAsia" w:ascii="宋体" w:hAnsi="宋体"/>
          <w:color w:val="000000"/>
        </w:rPr>
        <w:t>（七）法律法规和省级以上人民政府财政部门规定的其他事项。</w:t>
      </w:r>
    </w:p>
    <w:p w14:paraId="1F8FCFD6">
      <w:pPr>
        <w:spacing w:line="312" w:lineRule="auto"/>
        <w:ind w:firstLine="420" w:firstLineChars="200"/>
        <w:rPr>
          <w:rFonts w:ascii="宋体" w:hAnsi="宋体"/>
          <w:color w:val="000000"/>
        </w:rPr>
      </w:pPr>
      <w:r>
        <w:rPr>
          <w:rFonts w:hint="eastAsia" w:ascii="宋体" w:hAnsi="宋体"/>
          <w:color w:val="000000"/>
        </w:rPr>
        <w:t>第十三条 中标、成交供应商享受本办法规定的中小企业扶持政策的，采购人、采购代理机构应当随中标、成交结果公开中标、成交供应商的《中小企业声明函》。</w:t>
      </w:r>
    </w:p>
    <w:p w14:paraId="13A44FB7">
      <w:pPr>
        <w:spacing w:line="312" w:lineRule="auto"/>
        <w:ind w:firstLine="420" w:firstLineChars="200"/>
        <w:rPr>
          <w:rFonts w:ascii="宋体" w:hAnsi="宋体"/>
          <w:color w:val="000000"/>
        </w:rPr>
      </w:pPr>
      <w:r>
        <w:rPr>
          <w:rFonts w:hint="eastAsia" w:ascii="宋体" w:hAnsi="宋体"/>
          <w:color w:val="000000"/>
        </w:rPr>
        <w:t>适用招标投标法的政府采购工程建设项目，应当在公示中标候选人时公开中标候选人的《中小企业声明函》。</w:t>
      </w:r>
    </w:p>
    <w:p w14:paraId="5AD71FEF">
      <w:pPr>
        <w:spacing w:line="312" w:lineRule="auto"/>
        <w:ind w:firstLine="420" w:firstLineChars="200"/>
        <w:rPr>
          <w:rFonts w:ascii="宋体" w:hAnsi="宋体"/>
          <w:color w:val="000000"/>
        </w:rPr>
      </w:pPr>
      <w:r>
        <w:rPr>
          <w:rFonts w:hint="eastAsia" w:ascii="宋体" w:hAnsi="宋体"/>
          <w:color w:val="000000"/>
        </w:rPr>
        <w:t>第十四条 对于通过预留采购项目、预留专门采购标、要求以联合体形式参加或者合同分标等措施签订的采购合同，应当明确标注本合同为中小企业预留合同。其中，要求以联合体形式参加采购活动或者合同分标的，应当将联合协议或者分标意向协议作为采购合同的组成部分。</w:t>
      </w:r>
    </w:p>
    <w:p w14:paraId="388D372E">
      <w:pPr>
        <w:spacing w:line="312" w:lineRule="auto"/>
        <w:ind w:firstLine="420" w:firstLineChars="200"/>
        <w:rPr>
          <w:rFonts w:ascii="宋体" w:hAnsi="宋体"/>
          <w:color w:val="000000"/>
        </w:rPr>
      </w:pPr>
      <w:r>
        <w:rPr>
          <w:rFonts w:hint="eastAsia" w:ascii="宋体" w:hAnsi="宋体"/>
          <w:color w:val="000000"/>
        </w:rPr>
        <w:t>第十五条 鼓励各地区、各部门在采购活动中允许中小企业引入信用担保手段，为中小企业在投标（响应）保证、履约保证等方面提供专业化服务。鼓励中小企业依法合规通过政府采购合同融资。</w:t>
      </w:r>
    </w:p>
    <w:p w14:paraId="11A35C9E">
      <w:pPr>
        <w:spacing w:line="312" w:lineRule="auto"/>
        <w:ind w:firstLine="420" w:firstLineChars="200"/>
        <w:rPr>
          <w:rFonts w:ascii="宋体" w:hAnsi="宋体"/>
          <w:color w:val="000000"/>
        </w:rPr>
      </w:pPr>
      <w:r>
        <w:rPr>
          <w:rFonts w:hint="eastAsia" w:ascii="宋体" w:hAnsi="宋体"/>
          <w:color w:val="000000"/>
        </w:rPr>
        <w:t>第十六条 政府采购监督检查、投诉处理及政府采购行政处罚中对中小企业的认定，由货物制造商或者工程、服务供应商注册登记所在地的县级以上人民政府中小企业主管部门负责。</w:t>
      </w:r>
    </w:p>
    <w:p w14:paraId="15534C33">
      <w:pPr>
        <w:spacing w:line="312" w:lineRule="auto"/>
        <w:ind w:firstLine="420" w:firstLineChars="200"/>
        <w:rPr>
          <w:rFonts w:ascii="宋体" w:hAnsi="宋体"/>
          <w:color w:val="000000"/>
        </w:rPr>
      </w:pPr>
      <w:r>
        <w:rPr>
          <w:rFonts w:hint="eastAsia" w:ascii="宋体" w:hAnsi="宋体"/>
          <w:color w:val="000000"/>
        </w:rPr>
        <w:t>中小企业主管部门应当在收到财政部门或者有关招标投标行政监督部门关于协助开展中小企业认定函后 10 个工作日内做出书面答复。</w:t>
      </w:r>
    </w:p>
    <w:p w14:paraId="4CBEAF81">
      <w:pPr>
        <w:widowControl/>
        <w:numPr>
          <w:ilvl w:val="0"/>
          <w:numId w:val="5"/>
        </w:numPr>
        <w:kinsoku w:val="0"/>
        <w:autoSpaceDE w:val="0"/>
        <w:autoSpaceDN w:val="0"/>
        <w:adjustRightInd w:val="0"/>
        <w:snapToGrid w:val="0"/>
        <w:spacing w:line="312" w:lineRule="auto"/>
        <w:ind w:firstLine="420" w:firstLineChars="200"/>
        <w:jc w:val="left"/>
        <w:textAlignment w:val="baseline"/>
        <w:rPr>
          <w:rFonts w:ascii="宋体" w:hAnsi="宋体"/>
          <w:color w:val="000000"/>
        </w:rPr>
      </w:pPr>
      <w:r>
        <w:rPr>
          <w:rFonts w:hint="eastAsia" w:ascii="宋体" w:hAnsi="宋体"/>
          <w:color w:val="000000"/>
        </w:rPr>
        <w:t>各地区、各部门应当对涉及中小企业采购的预算项目实施全过程绩效管理，合理设置绩效目标和指标，落实扶持中小企业有关政策要求，定期开展绩效监控和评价，强化绩效评价结果应用。</w:t>
      </w:r>
    </w:p>
    <w:p w14:paraId="3F435306">
      <w:pPr>
        <w:spacing w:line="312" w:lineRule="auto"/>
        <w:rPr>
          <w:color w:val="000000"/>
        </w:rPr>
      </w:pPr>
      <w:r>
        <w:rPr>
          <w:rFonts w:hint="eastAsia"/>
          <w:color w:val="000000"/>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A115D12">
      <w:pPr>
        <w:spacing w:line="312" w:lineRule="auto"/>
        <w:ind w:firstLine="420" w:firstLineChars="200"/>
        <w:rPr>
          <w:color w:val="000000"/>
        </w:rPr>
      </w:pPr>
      <w:r>
        <w:rPr>
          <w:rFonts w:hint="eastAsia"/>
          <w:color w:val="000000"/>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4C1ADC">
      <w:pPr>
        <w:spacing w:line="312" w:lineRule="auto"/>
        <w:ind w:firstLine="420" w:firstLineChars="200"/>
        <w:rPr>
          <w:color w:val="000000"/>
        </w:rPr>
      </w:pPr>
      <w:r>
        <w:rPr>
          <w:rFonts w:hint="eastAsia"/>
          <w:color w:val="000000"/>
        </w:rPr>
        <w:t>第二十条供应商按照本办法规定提供声明函内容不实的，属于提供虚假材料谋取中标、成交，依照《中华人民共和国政府采购法》等国家有关规定追究相应责任。</w:t>
      </w:r>
    </w:p>
    <w:p w14:paraId="4EE44876">
      <w:pPr>
        <w:spacing w:line="312" w:lineRule="auto"/>
        <w:ind w:firstLine="420" w:firstLineChars="200"/>
        <w:rPr>
          <w:color w:val="000000"/>
        </w:rPr>
      </w:pPr>
      <w:r>
        <w:rPr>
          <w:rFonts w:hint="eastAsia"/>
          <w:color w:val="000000"/>
        </w:rPr>
        <w:t>适用招标投标法的政府采购工程建设项目，</w:t>
      </w:r>
      <w:r>
        <w:rPr>
          <w:rFonts w:hint="eastAsia"/>
          <w:color w:val="000000"/>
          <w:lang w:eastAsia="zh-CN"/>
        </w:rPr>
        <w:t>供应商</w:t>
      </w:r>
      <w:r>
        <w:rPr>
          <w:rFonts w:hint="eastAsia"/>
          <w:color w:val="000000"/>
        </w:rPr>
        <w:t>按照本办法规定提供声明函内容不实的，属于弄虚作假骗取中标，依照《中华人民共和国招标投标法》等国家有关规定追究相应责任。</w:t>
      </w:r>
    </w:p>
    <w:p w14:paraId="4AF9DEE6">
      <w:pPr>
        <w:spacing w:line="312" w:lineRule="auto"/>
        <w:ind w:firstLine="420" w:firstLineChars="200"/>
        <w:rPr>
          <w:color w:val="000000"/>
        </w:rPr>
      </w:pPr>
      <w:r>
        <w:rPr>
          <w:rFonts w:hint="eastAsia"/>
          <w:color w:val="000000"/>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w:t>
      </w:r>
      <w:r>
        <w:rPr>
          <w:color w:val="000000"/>
        </w:rPr>
        <w:fldChar w:fldCharType="begin"/>
      </w:r>
      <w:r>
        <w:rPr>
          <w:color w:val="000000"/>
        </w:rPr>
        <w:instrText xml:space="preserve"> HYPERLINK "http://10.162.100.18:168/golaw?dbnm=gjfg&amp;flid=1129012015130679" </w:instrText>
      </w:r>
      <w:r>
        <w:rPr>
          <w:color w:val="000000"/>
        </w:rPr>
        <w:fldChar w:fldCharType="separate"/>
      </w:r>
      <w:r>
        <w:rPr>
          <w:rFonts w:hint="eastAsia"/>
          <w:color w:val="000000"/>
        </w:rPr>
        <w:t>国监察法》、《中华人民共和国政府采购法实施条例》等国家</w:t>
      </w:r>
      <w:r>
        <w:rPr>
          <w:rFonts w:hint="eastAsia"/>
          <w:color w:val="000000"/>
        </w:rPr>
        <w:fldChar w:fldCharType="end"/>
      </w:r>
      <w:r>
        <w:rPr>
          <w:rFonts w:hint="eastAsia"/>
          <w:color w:val="000000"/>
        </w:rPr>
        <w:t>有关规定追究相应责任；涉嫌犯罪的，依法移送有关国家机关处理。</w:t>
      </w:r>
    </w:p>
    <w:p w14:paraId="405BF4AD">
      <w:pPr>
        <w:spacing w:line="312" w:lineRule="auto"/>
        <w:ind w:firstLine="420" w:firstLineChars="200"/>
        <w:rPr>
          <w:color w:val="000000"/>
        </w:rPr>
      </w:pPr>
      <w:r>
        <w:rPr>
          <w:rFonts w:hint="eastAsia"/>
          <w:color w:val="000000"/>
        </w:rPr>
        <w:t>第二十二条对外援助项目、国家相关资格或者资质管理制度另有规定的项目，不适用本办法。</w:t>
      </w:r>
    </w:p>
    <w:p w14:paraId="41FFF8F9">
      <w:pPr>
        <w:spacing w:line="312" w:lineRule="auto"/>
        <w:ind w:firstLine="420" w:firstLineChars="200"/>
        <w:rPr>
          <w:color w:val="000000"/>
        </w:rPr>
      </w:pPr>
      <w:r>
        <w:rPr>
          <w:rFonts w:hint="eastAsia"/>
          <w:color w:val="000000"/>
        </w:rPr>
        <w:t>第二十三条</w:t>
      </w:r>
      <w:r>
        <w:rPr>
          <w:rFonts w:hint="eastAsia"/>
          <w:color w:val="000000"/>
        </w:rPr>
        <w:tab/>
      </w:r>
      <w:r>
        <w:rPr>
          <w:rFonts w:hint="eastAsia"/>
          <w:color w:val="000000"/>
        </w:rPr>
        <w:t>关于视同中小企业的其他主体的政府采购扶持政策，由财政部会同有关部门另行规定。</w:t>
      </w:r>
    </w:p>
    <w:p w14:paraId="3AF1328D">
      <w:pPr>
        <w:spacing w:line="276" w:lineRule="auto"/>
        <w:ind w:firstLine="420" w:firstLineChars="200"/>
        <w:rPr>
          <w:color w:val="000000"/>
        </w:rPr>
      </w:pPr>
      <w:r>
        <w:rPr>
          <w:rFonts w:hint="eastAsia"/>
          <w:color w:val="000000"/>
        </w:rPr>
        <w:t>第二十四条</w:t>
      </w:r>
      <w:r>
        <w:rPr>
          <w:rFonts w:hint="eastAsia"/>
          <w:color w:val="000000"/>
        </w:rPr>
        <w:tab/>
      </w:r>
      <w:r>
        <w:rPr>
          <w:rFonts w:hint="eastAsia"/>
          <w:color w:val="000000"/>
        </w:rPr>
        <w:t>省级财政部门可以会同中小企业主管部门根据本办法的规定制定具体实施办法。</w:t>
      </w:r>
    </w:p>
    <w:p w14:paraId="05480306">
      <w:pPr>
        <w:spacing w:line="276" w:lineRule="auto"/>
        <w:rPr>
          <w:rFonts w:ascii="宋体" w:hAnsi="宋体"/>
          <w:color w:val="000000"/>
        </w:rPr>
      </w:pPr>
      <w:r>
        <w:rPr>
          <w:rFonts w:hint="eastAsia"/>
          <w:color w:val="000000"/>
        </w:rPr>
        <w:t>第二十五条本办法自2021年1月1日起施行。《财政部工业和信息化部关于印发〈政府采购促进中小企业发展暂行办法〉的通知》（财库﹝2011﹞181 号）同时废止。</w:t>
      </w:r>
    </w:p>
    <w:p w14:paraId="124DB2C9">
      <w:pPr>
        <w:widowControl/>
        <w:spacing w:line="360" w:lineRule="auto"/>
        <w:jc w:val="center"/>
        <w:outlineLvl w:val="1"/>
        <w:rPr>
          <w:rFonts w:hint="eastAsia" w:ascii="宋体" w:hAnsi="宋体"/>
          <w:b/>
          <w:color w:val="000000"/>
          <w:kern w:val="0"/>
          <w:sz w:val="28"/>
          <w:szCs w:val="28"/>
        </w:rPr>
      </w:pPr>
    </w:p>
    <w:p w14:paraId="1B18272F">
      <w:pPr>
        <w:widowControl/>
        <w:spacing w:line="360" w:lineRule="auto"/>
        <w:jc w:val="center"/>
        <w:outlineLvl w:val="1"/>
        <w:rPr>
          <w:rFonts w:hint="eastAsia" w:ascii="宋体" w:hAnsi="宋体"/>
          <w:b/>
          <w:color w:val="000000"/>
          <w:kern w:val="0"/>
          <w:sz w:val="28"/>
          <w:szCs w:val="28"/>
        </w:rPr>
      </w:pPr>
      <w:bookmarkStart w:id="279" w:name="_Toc18284"/>
    </w:p>
    <w:p w14:paraId="23F74ECE">
      <w:pPr>
        <w:widowControl/>
        <w:spacing w:line="360" w:lineRule="auto"/>
        <w:jc w:val="center"/>
        <w:outlineLvl w:val="1"/>
        <w:rPr>
          <w:rFonts w:hint="eastAsia" w:ascii="宋体" w:hAnsi="宋体"/>
          <w:b/>
          <w:color w:val="000000"/>
          <w:kern w:val="0"/>
          <w:sz w:val="28"/>
          <w:szCs w:val="28"/>
        </w:rPr>
      </w:pPr>
    </w:p>
    <w:p w14:paraId="2C2954FF">
      <w:pPr>
        <w:widowControl/>
        <w:spacing w:line="360" w:lineRule="auto"/>
        <w:jc w:val="center"/>
        <w:outlineLvl w:val="1"/>
        <w:rPr>
          <w:rFonts w:hint="eastAsia" w:ascii="宋体" w:hAnsi="宋体"/>
          <w:b/>
          <w:color w:val="000000"/>
          <w:kern w:val="0"/>
          <w:sz w:val="28"/>
          <w:szCs w:val="28"/>
        </w:rPr>
      </w:pPr>
    </w:p>
    <w:p w14:paraId="35D45F5D">
      <w:pPr>
        <w:widowControl/>
        <w:spacing w:line="360" w:lineRule="auto"/>
        <w:jc w:val="both"/>
        <w:outlineLvl w:val="1"/>
        <w:rPr>
          <w:rFonts w:hint="eastAsia" w:ascii="宋体" w:hAnsi="宋体"/>
          <w:b/>
          <w:color w:val="000000"/>
          <w:kern w:val="0"/>
          <w:sz w:val="28"/>
          <w:szCs w:val="28"/>
        </w:rPr>
      </w:pPr>
    </w:p>
    <w:p w14:paraId="1A2F9A08">
      <w:pPr>
        <w:widowControl/>
        <w:spacing w:line="360" w:lineRule="auto"/>
        <w:jc w:val="center"/>
        <w:outlineLvl w:val="1"/>
        <w:rPr>
          <w:rFonts w:ascii="宋体" w:hAnsi="宋体"/>
          <w:b/>
          <w:color w:val="000000"/>
          <w:kern w:val="0"/>
          <w:sz w:val="28"/>
          <w:szCs w:val="28"/>
        </w:rPr>
      </w:pPr>
      <w:r>
        <w:rPr>
          <w:rFonts w:hint="eastAsia" w:ascii="宋体" w:hAnsi="宋体"/>
          <w:b/>
          <w:color w:val="000000"/>
          <w:kern w:val="0"/>
          <w:sz w:val="28"/>
          <w:szCs w:val="28"/>
        </w:rPr>
        <w:t>财政部 司法部关于政府采购支持监狱企业发展有关问题的通知</w:t>
      </w:r>
      <w:bookmarkEnd w:id="279"/>
    </w:p>
    <w:p w14:paraId="23F63365">
      <w:pPr>
        <w:widowControl/>
        <w:spacing w:line="360" w:lineRule="auto"/>
        <w:jc w:val="center"/>
        <w:outlineLvl w:val="1"/>
        <w:rPr>
          <w:rFonts w:ascii="宋体" w:hAnsi="宋体"/>
          <w:b/>
          <w:color w:val="000000"/>
          <w:kern w:val="0"/>
          <w:sz w:val="28"/>
          <w:szCs w:val="28"/>
        </w:rPr>
      </w:pPr>
      <w:bookmarkStart w:id="280" w:name="_Toc26623"/>
      <w:r>
        <w:rPr>
          <w:rFonts w:hint="eastAsia" w:ascii="宋体" w:hAnsi="宋体"/>
          <w:b/>
          <w:color w:val="000000"/>
          <w:kern w:val="0"/>
          <w:sz w:val="28"/>
          <w:szCs w:val="28"/>
        </w:rPr>
        <w:t>(财库〔2014〕68号)</w:t>
      </w:r>
      <w:bookmarkEnd w:id="280"/>
    </w:p>
    <w:p w14:paraId="02E4CCDD">
      <w:pPr>
        <w:spacing w:line="312" w:lineRule="auto"/>
        <w:rPr>
          <w:rFonts w:hint="eastAsia" w:ascii="宋体" w:hAnsi="宋体"/>
          <w:color w:val="000000"/>
        </w:rPr>
      </w:pPr>
      <w:r>
        <w:rPr>
          <w:rFonts w:hint="eastAsia" w:ascii="宋体" w:hAnsi="宋体"/>
          <w:color w:val="000000"/>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A9AEEF5">
      <w:pPr>
        <w:spacing w:line="312" w:lineRule="auto"/>
        <w:rPr>
          <w:rFonts w:hint="eastAsia" w:ascii="宋体" w:hAnsi="宋体"/>
          <w:color w:val="000000"/>
        </w:rPr>
      </w:pPr>
      <w:r>
        <w:rPr>
          <w:rFonts w:hint="eastAsia" w:ascii="宋体" w:hAnsi="宋体"/>
          <w:color w:val="000000"/>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95C0240">
      <w:pPr>
        <w:spacing w:line="312" w:lineRule="auto"/>
        <w:rPr>
          <w:rFonts w:hint="eastAsia" w:ascii="宋体" w:hAnsi="宋体"/>
          <w:color w:val="000000"/>
        </w:rPr>
      </w:pPr>
      <w:r>
        <w:rPr>
          <w:rFonts w:hint="eastAsia" w:ascii="宋体" w:hAnsi="宋体"/>
          <w:color w:val="000000"/>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C919694">
      <w:pPr>
        <w:spacing w:line="312" w:lineRule="auto"/>
        <w:rPr>
          <w:rFonts w:hint="eastAsia" w:ascii="宋体" w:hAnsi="宋体"/>
          <w:color w:val="000000"/>
        </w:rPr>
      </w:pPr>
      <w:r>
        <w:rPr>
          <w:rFonts w:hint="eastAsia" w:ascii="宋体" w:hAnsi="宋体"/>
          <w:color w:val="000000"/>
        </w:rPr>
        <w:t>　　二、在政府采购活动中，监狱企业视同小型、微型企业，享受预留份额、评审中价格扣除等政府采购促进中小企业发展的政府采购政策。向监狱企业采购的金额，计入面向中小企业采购的统计数据。</w:t>
      </w:r>
    </w:p>
    <w:p w14:paraId="362F34D2">
      <w:pPr>
        <w:spacing w:line="312" w:lineRule="auto"/>
        <w:rPr>
          <w:rFonts w:hint="eastAsia" w:ascii="宋体" w:hAnsi="宋体"/>
          <w:color w:val="000000"/>
        </w:rPr>
      </w:pPr>
      <w:r>
        <w:rPr>
          <w:rFonts w:hint="eastAsia" w:ascii="宋体" w:hAnsi="宋体"/>
          <w:color w:val="000000"/>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83F27EB">
      <w:pPr>
        <w:spacing w:line="312" w:lineRule="auto"/>
        <w:rPr>
          <w:rFonts w:hint="eastAsia" w:ascii="宋体" w:hAnsi="宋体"/>
          <w:color w:val="000000"/>
        </w:rPr>
      </w:pPr>
      <w:r>
        <w:rPr>
          <w:rFonts w:hint="eastAsia" w:ascii="宋体" w:hAnsi="宋体"/>
          <w:color w:val="000000"/>
        </w:rPr>
        <w:t>　　四、各地区可以结合本地区实际，对监狱企业生产的办公用品、家具用具、车辆维修和提供的保养服务、消防设备等，提出预留份额等政府采购支持措施，加大对监狱企业产品的采购力度。</w:t>
      </w:r>
    </w:p>
    <w:p w14:paraId="6ECD17B9">
      <w:pPr>
        <w:spacing w:line="312" w:lineRule="auto"/>
        <w:rPr>
          <w:rFonts w:ascii="宋体" w:hAnsi="宋体"/>
          <w:color w:val="000000"/>
        </w:rPr>
      </w:pPr>
      <w:r>
        <w:rPr>
          <w:rFonts w:hint="eastAsia" w:ascii="宋体" w:hAnsi="宋体"/>
          <w:color w:val="000000"/>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0791410">
      <w:pPr>
        <w:widowControl/>
        <w:spacing w:line="360" w:lineRule="auto"/>
        <w:jc w:val="both"/>
        <w:outlineLvl w:val="1"/>
        <w:rPr>
          <w:rFonts w:hint="eastAsia" w:ascii="宋体" w:hAnsi="宋体"/>
          <w:b/>
          <w:color w:val="000000"/>
          <w:kern w:val="0"/>
          <w:sz w:val="28"/>
          <w:szCs w:val="28"/>
        </w:rPr>
      </w:pPr>
      <w:bookmarkStart w:id="281" w:name="_Toc23988"/>
    </w:p>
    <w:p w14:paraId="1C4FEE19">
      <w:pPr>
        <w:autoSpaceDE w:val="0"/>
        <w:autoSpaceDN w:val="0"/>
        <w:adjustRightInd w:val="0"/>
        <w:spacing w:line="300" w:lineRule="exact"/>
        <w:jc w:val="center"/>
        <w:rPr>
          <w:rFonts w:hint="eastAsia" w:ascii="宋体" w:hAnsi="宋体" w:cs="宋体"/>
          <w:b/>
          <w:bCs w:val="0"/>
          <w:sz w:val="28"/>
          <w:szCs w:val="28"/>
          <w:lang w:val="zh-CN"/>
        </w:rPr>
      </w:pPr>
      <w:r>
        <w:rPr>
          <w:rFonts w:hint="eastAsia" w:ascii="宋体" w:hAnsi="宋体" w:cs="宋体"/>
          <w:b/>
          <w:bCs w:val="0"/>
          <w:sz w:val="28"/>
          <w:szCs w:val="28"/>
          <w:lang w:val="zh-CN"/>
        </w:rPr>
        <w:t>关于促进残疾人就业政府采购政策的通知（财库〔2017〕141号）</w:t>
      </w:r>
    </w:p>
    <w:p w14:paraId="34C61174">
      <w:pPr>
        <w:autoSpaceDE w:val="0"/>
        <w:autoSpaceDN w:val="0"/>
        <w:adjustRightInd w:val="0"/>
        <w:spacing w:line="300" w:lineRule="exact"/>
        <w:jc w:val="both"/>
        <w:rPr>
          <w:rFonts w:hint="eastAsia" w:ascii="宋体" w:hAnsi="宋体" w:cs="宋体"/>
          <w:b w:val="0"/>
          <w:bCs/>
          <w:sz w:val="21"/>
          <w:szCs w:val="21"/>
          <w:lang w:val="zh-CN"/>
        </w:rPr>
      </w:pPr>
    </w:p>
    <w:p w14:paraId="7323CE7D">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CA5FB71">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为了发挥政府采购促进残疾人就业的作用，进一步保障残疾人权益，依照《政府采购法》、《残疾人保障法》等法律法规及相关规定，现就促进残疾人就业政府采购政策通知如下：</w:t>
      </w:r>
    </w:p>
    <w:p w14:paraId="4F82CE33">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一、享受政府采购支持政策的残疾人福利性单位应当同时满足以下条件：</w:t>
      </w:r>
    </w:p>
    <w:p w14:paraId="776CDC99">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（一）安置的残疾人占本单位在职职工人数的比例不低于25%（含25%），并且安置的残疾人人数不少于10人（含10人）；</w:t>
      </w:r>
    </w:p>
    <w:p w14:paraId="5EDC3C29">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（二）依法与安置的每位残疾人签订了一年以上（含一年）的劳动合同或服务协议；</w:t>
      </w:r>
    </w:p>
    <w:p w14:paraId="3668F97A">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（三）为安置的每位残疾人按月足额缴纳了基本养老保险、基本医疗保险、失业保险、工伤保险和生育保险等社会保险费；</w:t>
      </w:r>
    </w:p>
    <w:p w14:paraId="3908CF8B">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（四）通过银行等金融机构向安置的每位残疾人，按月支付了不低于单位所在区县适用的经省级人民政府批准的月最低工资标准的工资；</w:t>
      </w:r>
    </w:p>
    <w:p w14:paraId="1001B980">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（五）提供本单位制造的货物、承担的工程或者服务（以下简称产品），或者提供其他残疾人福利性单位制造的货物（不包括使用非残疾人福利性单位注册商标的货物）。</w:t>
      </w:r>
    </w:p>
    <w:p w14:paraId="3C520BF8">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038B9A4">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90FEF52">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中标、成交供应商为残疾人福利性单位的，采购人或者其委托的采购代理机构应当随中标、成交结果同时公告其《残疾人福利性单位声明函》，接受社会监督。</w:t>
      </w:r>
    </w:p>
    <w:p w14:paraId="783D0AD1">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供应商提供的《残疾人福利性单位声明函》与事实不符的，依照《政府采购法》第七十七条第一款的规定追究法律责任。</w:t>
      </w:r>
    </w:p>
    <w:p w14:paraId="2B9BB76C">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D344F63">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四、采购人采购公开招标数额标准以上的货物或者服务，因落实促进残疾人就业政策的需要，依法履行有关报批程序后，可采用公开招标以外的采购方式。</w:t>
      </w:r>
    </w:p>
    <w:p w14:paraId="15CDFBF7">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7244EE4">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4333119">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七、本通知自2017年10月1日起执行。</w:t>
      </w:r>
    </w:p>
    <w:p w14:paraId="7D26D6B3">
      <w:pPr>
        <w:autoSpaceDE w:val="0"/>
        <w:autoSpaceDN w:val="0"/>
        <w:adjustRightInd w:val="0"/>
        <w:spacing w:line="300" w:lineRule="exact"/>
        <w:jc w:val="right"/>
        <w:rPr>
          <w:rFonts w:hint="eastAsia" w:ascii="宋体" w:hAnsi="宋体" w:cs="宋体"/>
          <w:b w:val="0"/>
          <w:bCs/>
          <w:sz w:val="21"/>
          <w:szCs w:val="21"/>
          <w:lang w:val="zh-CN"/>
        </w:rPr>
      </w:pPr>
      <w:r>
        <w:rPr>
          <w:rFonts w:hint="eastAsia" w:ascii="宋体" w:hAnsi="宋体" w:cs="宋体"/>
          <w:b w:val="0"/>
          <w:bCs/>
          <w:sz w:val="21"/>
          <w:szCs w:val="21"/>
          <w:lang w:val="zh-CN"/>
        </w:rPr>
        <w:t>　　　　财政部 民政部 中国残疾人联合会</w:t>
      </w:r>
    </w:p>
    <w:p w14:paraId="036ADD8C">
      <w:pPr>
        <w:autoSpaceDE w:val="0"/>
        <w:autoSpaceDN w:val="0"/>
        <w:adjustRightInd w:val="0"/>
        <w:spacing w:line="300" w:lineRule="exact"/>
        <w:jc w:val="right"/>
        <w:rPr>
          <w:rFonts w:ascii="宋体" w:hAnsi="宋体" w:cs="宋体"/>
          <w:b w:val="0"/>
          <w:bCs/>
          <w:sz w:val="21"/>
          <w:szCs w:val="21"/>
          <w:lang w:val="zh-CN"/>
        </w:rPr>
      </w:pPr>
      <w:r>
        <w:rPr>
          <w:rFonts w:hint="eastAsia" w:ascii="宋体" w:hAnsi="宋体" w:cs="宋体"/>
          <w:b w:val="0"/>
          <w:bCs/>
          <w:sz w:val="21"/>
          <w:szCs w:val="21"/>
          <w:lang w:val="zh-CN"/>
        </w:rPr>
        <w:t>　　2017年8月22日</w:t>
      </w:r>
    </w:p>
    <w:p w14:paraId="42D508FB">
      <w:pPr>
        <w:rPr>
          <w:rFonts w:hint="eastAsia" w:ascii="宋体" w:hAnsi="宋体"/>
          <w:sz w:val="21"/>
          <w:szCs w:val="21"/>
        </w:rPr>
      </w:pPr>
      <w:r>
        <w:rPr>
          <w:rFonts w:hint="eastAsia" w:ascii="宋体" w:hAnsi="宋体"/>
          <w:sz w:val="21"/>
          <w:szCs w:val="21"/>
        </w:rPr>
        <w:br w:type="page"/>
      </w:r>
    </w:p>
    <w:p w14:paraId="5F79D471">
      <w:pPr>
        <w:jc w:val="both"/>
        <w:rPr>
          <w:rFonts w:hint="eastAsia" w:ascii="宋体" w:hAnsi="宋体"/>
          <w:sz w:val="21"/>
          <w:szCs w:val="21"/>
        </w:rPr>
      </w:pPr>
    </w:p>
    <w:p w14:paraId="3FA2EF20">
      <w:pPr>
        <w:jc w:val="both"/>
        <w:rPr>
          <w:rFonts w:hint="eastAsia" w:ascii="宋体" w:hAnsi="宋体"/>
          <w:sz w:val="21"/>
          <w:szCs w:val="21"/>
        </w:rPr>
      </w:pPr>
      <w:r>
        <w:rPr>
          <w:rFonts w:hint="eastAsia" w:ascii="宋体" w:hAnsi="宋体"/>
          <w:sz w:val="21"/>
          <w:szCs w:val="21"/>
        </w:rPr>
        <w:t>附件</w:t>
      </w:r>
    </w:p>
    <w:p w14:paraId="3F68BB83">
      <w:pPr>
        <w:jc w:val="center"/>
        <w:rPr>
          <w:rFonts w:hint="eastAsia" w:ascii="宋体" w:hAnsi="宋体"/>
          <w:sz w:val="28"/>
          <w:szCs w:val="28"/>
        </w:rPr>
      </w:pPr>
      <w:r>
        <w:rPr>
          <w:rFonts w:hint="eastAsia" w:ascii="宋体" w:hAnsi="宋体"/>
          <w:sz w:val="28"/>
          <w:szCs w:val="28"/>
        </w:rPr>
        <w:t>残疾人福利性单位声明函</w:t>
      </w:r>
    </w:p>
    <w:p w14:paraId="1DBF8119">
      <w:pPr>
        <w:jc w:val="both"/>
        <w:rPr>
          <w:rFonts w:hint="eastAsia" w:ascii="宋体" w:hAnsi="宋体"/>
          <w:sz w:val="21"/>
          <w:szCs w:val="21"/>
        </w:rPr>
      </w:pPr>
    </w:p>
    <w:p w14:paraId="19C69E4E">
      <w:pPr>
        <w:ind w:firstLine="420" w:firstLineChars="200"/>
        <w:jc w:val="both"/>
        <w:rPr>
          <w:rFonts w:hint="eastAsia" w:ascii="宋体" w:hAnsi="宋体"/>
          <w:b w:val="0"/>
          <w:bCs/>
          <w:sz w:val="21"/>
          <w:szCs w:val="21"/>
        </w:rPr>
      </w:pPr>
      <w:r>
        <w:rPr>
          <w:rFonts w:hint="eastAsia" w:ascii="宋体" w:hAnsi="宋体"/>
          <w:b w:val="0"/>
          <w:bCs/>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1B1C5">
      <w:pPr>
        <w:jc w:val="both"/>
        <w:rPr>
          <w:rFonts w:hint="eastAsia" w:ascii="宋体" w:hAnsi="宋体"/>
          <w:b w:val="0"/>
          <w:bCs/>
          <w:sz w:val="21"/>
          <w:szCs w:val="21"/>
        </w:rPr>
      </w:pPr>
      <w:r>
        <w:rPr>
          <w:rFonts w:hint="eastAsia" w:ascii="宋体" w:hAnsi="宋体"/>
          <w:b w:val="0"/>
          <w:bCs/>
          <w:sz w:val="21"/>
          <w:szCs w:val="21"/>
        </w:rPr>
        <w:t>本单位对上述声明的真实性负责。如有虚假，将依法承担相应责任。</w:t>
      </w:r>
    </w:p>
    <w:p w14:paraId="75DCCF70">
      <w:pPr>
        <w:jc w:val="both"/>
        <w:rPr>
          <w:rFonts w:hint="eastAsia" w:ascii="宋体" w:hAnsi="宋体"/>
          <w:b w:val="0"/>
          <w:bCs/>
          <w:sz w:val="21"/>
          <w:szCs w:val="21"/>
        </w:rPr>
      </w:pPr>
    </w:p>
    <w:p w14:paraId="2879FBEF">
      <w:pPr>
        <w:jc w:val="both"/>
        <w:rPr>
          <w:rFonts w:hint="eastAsia" w:ascii="宋体" w:hAnsi="宋体"/>
          <w:b w:val="0"/>
          <w:bCs/>
          <w:sz w:val="21"/>
          <w:szCs w:val="21"/>
        </w:rPr>
      </w:pPr>
    </w:p>
    <w:p w14:paraId="764B6F83">
      <w:pPr>
        <w:jc w:val="right"/>
        <w:rPr>
          <w:rFonts w:hint="eastAsia" w:ascii="宋体" w:hAnsi="宋体"/>
          <w:b w:val="0"/>
          <w:bCs/>
          <w:sz w:val="21"/>
          <w:szCs w:val="21"/>
        </w:rPr>
      </w:pPr>
      <w:r>
        <w:rPr>
          <w:rFonts w:hint="eastAsia" w:ascii="宋体" w:hAnsi="宋体"/>
          <w:b w:val="0"/>
          <w:bCs/>
          <w:sz w:val="21"/>
          <w:szCs w:val="21"/>
        </w:rPr>
        <w:t xml:space="preserve">               单位名称（盖章）：</w:t>
      </w:r>
    </w:p>
    <w:p w14:paraId="0B039696">
      <w:pPr>
        <w:jc w:val="right"/>
        <w:rPr>
          <w:rFonts w:hint="eastAsia" w:ascii="宋体" w:hAnsi="宋体"/>
          <w:b w:val="0"/>
          <w:bCs/>
          <w:sz w:val="21"/>
          <w:szCs w:val="21"/>
        </w:rPr>
      </w:pPr>
      <w:r>
        <w:rPr>
          <w:rFonts w:hint="eastAsia" w:ascii="宋体" w:hAnsi="宋体"/>
          <w:b w:val="0"/>
          <w:bCs/>
          <w:sz w:val="21"/>
          <w:szCs w:val="21"/>
        </w:rPr>
        <w:t xml:space="preserve">       日  期：</w:t>
      </w:r>
    </w:p>
    <w:p w14:paraId="3141D9CA">
      <w:pPr>
        <w:widowControl/>
        <w:spacing w:line="360" w:lineRule="auto"/>
        <w:jc w:val="center"/>
        <w:outlineLvl w:val="1"/>
        <w:rPr>
          <w:rFonts w:hint="eastAsia" w:ascii="宋体" w:hAnsi="宋体"/>
          <w:b/>
          <w:color w:val="000000"/>
          <w:kern w:val="0"/>
          <w:sz w:val="28"/>
          <w:szCs w:val="28"/>
        </w:rPr>
      </w:pPr>
    </w:p>
    <w:p w14:paraId="7D73851D">
      <w:pPr>
        <w:pStyle w:val="21"/>
        <w:rPr>
          <w:rFonts w:hint="eastAsia" w:ascii="宋体" w:hAnsi="宋体"/>
          <w:b/>
          <w:color w:val="000000"/>
          <w:kern w:val="0"/>
          <w:sz w:val="28"/>
          <w:szCs w:val="28"/>
        </w:rPr>
      </w:pPr>
    </w:p>
    <w:p w14:paraId="6229B746">
      <w:pPr>
        <w:rPr>
          <w:rFonts w:hint="eastAsia" w:ascii="宋体" w:hAnsi="宋体"/>
          <w:b/>
          <w:color w:val="000000"/>
          <w:kern w:val="0"/>
          <w:sz w:val="28"/>
          <w:szCs w:val="28"/>
        </w:rPr>
      </w:pPr>
    </w:p>
    <w:p w14:paraId="043AD975">
      <w:pPr>
        <w:pStyle w:val="21"/>
        <w:rPr>
          <w:rFonts w:hint="eastAsia" w:ascii="宋体" w:hAnsi="宋体"/>
          <w:b/>
          <w:color w:val="000000"/>
          <w:kern w:val="0"/>
          <w:sz w:val="28"/>
          <w:szCs w:val="28"/>
        </w:rPr>
      </w:pPr>
    </w:p>
    <w:p w14:paraId="49C4CD9F">
      <w:pPr>
        <w:rPr>
          <w:rFonts w:hint="eastAsia" w:ascii="宋体" w:hAnsi="宋体"/>
          <w:b/>
          <w:color w:val="000000"/>
          <w:kern w:val="0"/>
          <w:sz w:val="28"/>
          <w:szCs w:val="28"/>
        </w:rPr>
      </w:pPr>
    </w:p>
    <w:p w14:paraId="7A3D57CB">
      <w:pPr>
        <w:pStyle w:val="21"/>
        <w:rPr>
          <w:rFonts w:hint="eastAsia" w:ascii="宋体" w:hAnsi="宋体"/>
          <w:b/>
          <w:color w:val="000000"/>
          <w:kern w:val="0"/>
          <w:sz w:val="28"/>
          <w:szCs w:val="28"/>
        </w:rPr>
      </w:pPr>
    </w:p>
    <w:p w14:paraId="7727455E">
      <w:pPr>
        <w:rPr>
          <w:rFonts w:hint="eastAsia" w:ascii="宋体" w:hAnsi="宋体"/>
          <w:b/>
          <w:color w:val="000000"/>
          <w:kern w:val="0"/>
          <w:sz w:val="28"/>
          <w:szCs w:val="28"/>
        </w:rPr>
      </w:pPr>
    </w:p>
    <w:p w14:paraId="4AC2E37C">
      <w:pPr>
        <w:pStyle w:val="21"/>
        <w:rPr>
          <w:rFonts w:hint="eastAsia" w:ascii="宋体" w:hAnsi="宋体"/>
          <w:b/>
          <w:color w:val="000000"/>
          <w:kern w:val="0"/>
          <w:sz w:val="28"/>
          <w:szCs w:val="28"/>
        </w:rPr>
      </w:pPr>
    </w:p>
    <w:p w14:paraId="64EAE0B9">
      <w:pPr>
        <w:rPr>
          <w:rFonts w:hint="eastAsia" w:ascii="宋体" w:hAnsi="宋体"/>
          <w:b/>
          <w:color w:val="000000"/>
          <w:kern w:val="0"/>
          <w:sz w:val="28"/>
          <w:szCs w:val="28"/>
        </w:rPr>
      </w:pPr>
    </w:p>
    <w:p w14:paraId="0A2EE3EE">
      <w:pPr>
        <w:pStyle w:val="21"/>
        <w:rPr>
          <w:rFonts w:hint="eastAsia" w:ascii="宋体" w:hAnsi="宋体"/>
          <w:b/>
          <w:color w:val="000000"/>
          <w:kern w:val="0"/>
          <w:sz w:val="28"/>
          <w:szCs w:val="28"/>
        </w:rPr>
      </w:pPr>
    </w:p>
    <w:p w14:paraId="553B8698">
      <w:pPr>
        <w:rPr>
          <w:rFonts w:hint="eastAsia" w:ascii="宋体" w:hAnsi="宋体"/>
          <w:b/>
          <w:color w:val="000000"/>
          <w:kern w:val="0"/>
          <w:sz w:val="28"/>
          <w:szCs w:val="28"/>
        </w:rPr>
      </w:pPr>
    </w:p>
    <w:p w14:paraId="3D48AC62">
      <w:pPr>
        <w:pStyle w:val="21"/>
        <w:rPr>
          <w:rFonts w:hint="eastAsia"/>
        </w:rPr>
      </w:pPr>
    </w:p>
    <w:p w14:paraId="0F7B12A1">
      <w:pPr>
        <w:widowControl/>
        <w:spacing w:line="360" w:lineRule="auto"/>
        <w:jc w:val="center"/>
        <w:outlineLvl w:val="1"/>
        <w:rPr>
          <w:rFonts w:ascii="宋体" w:hAnsi="宋体"/>
          <w:b/>
          <w:color w:val="000000"/>
          <w:kern w:val="0"/>
          <w:sz w:val="28"/>
          <w:szCs w:val="28"/>
        </w:rPr>
      </w:pPr>
      <w:r>
        <w:rPr>
          <w:rFonts w:hint="eastAsia" w:ascii="宋体" w:hAnsi="宋体"/>
          <w:b/>
          <w:color w:val="000000"/>
          <w:kern w:val="0"/>
          <w:sz w:val="28"/>
          <w:szCs w:val="28"/>
        </w:rPr>
        <w:t>中小企业划型标准规定</w:t>
      </w:r>
      <w:bookmarkEnd w:id="281"/>
    </w:p>
    <w:p w14:paraId="542DECFE">
      <w:pPr>
        <w:spacing w:line="312" w:lineRule="auto"/>
        <w:rPr>
          <w:rFonts w:ascii="宋体" w:hAnsi="宋体"/>
          <w:color w:val="000000"/>
        </w:rPr>
      </w:pPr>
      <w:r>
        <w:rPr>
          <w:rFonts w:hint="eastAsia" w:ascii="宋体" w:hAnsi="宋体"/>
          <w:color w:val="000000"/>
        </w:rPr>
        <w:t>　　</w:t>
      </w:r>
    </w:p>
    <w:p w14:paraId="59908E44">
      <w:pPr>
        <w:spacing w:line="312" w:lineRule="auto"/>
        <w:rPr>
          <w:rFonts w:ascii="宋体" w:hAnsi="宋体"/>
          <w:color w:val="000000"/>
        </w:rPr>
      </w:pPr>
      <w:r>
        <w:rPr>
          <w:rFonts w:hint="eastAsia" w:ascii="宋体" w:hAnsi="宋体"/>
          <w:color w:val="000000"/>
        </w:rPr>
        <w:t>一、根据《中华人民共和国中小企业促进法》和《国务院关于进一步促进中小企业发展的若干意见》(国发〔2009〕36号)，制定本规定。</w:t>
      </w:r>
    </w:p>
    <w:p w14:paraId="3F6280D9">
      <w:pPr>
        <w:spacing w:line="312" w:lineRule="auto"/>
        <w:rPr>
          <w:rFonts w:ascii="宋体" w:hAnsi="宋体"/>
          <w:color w:val="000000"/>
        </w:rPr>
      </w:pPr>
      <w:r>
        <w:rPr>
          <w:rFonts w:hint="eastAsia" w:ascii="宋体" w:hAnsi="宋体"/>
          <w:color w:val="000000"/>
        </w:rPr>
        <w:t>　　二、中小企业划分为中型、小型、微型三种类型，具体标准根据企业从业人员、营业收入、资产总额等指标，结合行业特点制定。</w:t>
      </w:r>
    </w:p>
    <w:p w14:paraId="0185F0C3">
      <w:pPr>
        <w:spacing w:line="312" w:lineRule="auto"/>
        <w:rPr>
          <w:rFonts w:ascii="宋体" w:hAnsi="宋体"/>
          <w:color w:val="000000"/>
        </w:rPr>
      </w:pPr>
      <w:r>
        <w:rPr>
          <w:rFonts w:hint="eastAsia" w:ascii="宋体" w:hAnsi="宋体"/>
          <w:color w:val="000000"/>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06AF0B8">
      <w:pPr>
        <w:spacing w:line="312" w:lineRule="auto"/>
        <w:rPr>
          <w:rFonts w:ascii="宋体" w:hAnsi="宋体"/>
          <w:color w:val="000000"/>
        </w:rPr>
      </w:pPr>
      <w:r>
        <w:rPr>
          <w:rFonts w:hint="eastAsia" w:ascii="宋体" w:hAnsi="宋体"/>
          <w:color w:val="000000"/>
        </w:rPr>
        <w:t>　　四、各行业划型标准为：</w:t>
      </w:r>
    </w:p>
    <w:p w14:paraId="1747DA86">
      <w:pPr>
        <w:spacing w:line="312" w:lineRule="auto"/>
        <w:rPr>
          <w:rFonts w:ascii="宋体" w:hAnsi="宋体"/>
          <w:color w:val="000000"/>
        </w:rPr>
      </w:pPr>
      <w:r>
        <w:rPr>
          <w:rFonts w:hint="eastAsia" w:ascii="宋体" w:hAnsi="宋体"/>
          <w:color w:val="000000"/>
        </w:rPr>
        <w:t>　　（一）农、林、牧、渔业。营业收入20000万元以下的为中小微型企业。其中，营业收入500万元及以上的为中型企业，营业收入50万元及以上的为小型企业，营业收入50万元以下的为微型企业。</w:t>
      </w:r>
    </w:p>
    <w:p w14:paraId="0C8039A4">
      <w:pPr>
        <w:spacing w:line="312" w:lineRule="auto"/>
        <w:rPr>
          <w:rFonts w:ascii="宋体" w:hAnsi="宋体"/>
          <w:color w:val="000000"/>
        </w:rPr>
      </w:pPr>
      <w:r>
        <w:rPr>
          <w:rFonts w:hint="eastAsia" w:ascii="宋体" w:hAnsi="宋体"/>
          <w:color w:val="000000"/>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E0B474">
      <w:pPr>
        <w:spacing w:line="312" w:lineRule="auto"/>
        <w:rPr>
          <w:rFonts w:ascii="宋体" w:hAnsi="宋体"/>
          <w:color w:val="000000"/>
        </w:rPr>
      </w:pPr>
      <w:r>
        <w:rPr>
          <w:rFonts w:hint="eastAsia" w:ascii="宋体" w:hAnsi="宋体"/>
          <w:color w:val="000000"/>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56CE67">
      <w:pPr>
        <w:spacing w:line="312" w:lineRule="auto"/>
        <w:rPr>
          <w:rFonts w:ascii="宋体" w:hAnsi="宋体"/>
          <w:color w:val="000000"/>
        </w:rPr>
      </w:pPr>
      <w:r>
        <w:rPr>
          <w:rFonts w:hint="eastAsia" w:ascii="宋体" w:hAnsi="宋体"/>
          <w:color w:val="000000"/>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09B685">
      <w:pPr>
        <w:spacing w:line="312" w:lineRule="auto"/>
        <w:rPr>
          <w:rFonts w:ascii="宋体" w:hAnsi="宋体"/>
          <w:color w:val="000000"/>
        </w:rPr>
      </w:pPr>
      <w:r>
        <w:rPr>
          <w:rFonts w:hint="eastAsia" w:ascii="宋体" w:hAnsi="宋体"/>
          <w:color w:val="000000"/>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EED38A">
      <w:pPr>
        <w:spacing w:line="312" w:lineRule="auto"/>
        <w:rPr>
          <w:rFonts w:ascii="宋体" w:hAnsi="宋体"/>
          <w:color w:val="000000"/>
        </w:rPr>
      </w:pPr>
      <w:r>
        <w:rPr>
          <w:rFonts w:hint="eastAsia" w:ascii="宋体" w:hAnsi="宋体"/>
          <w:color w:val="000000"/>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660581">
      <w:pPr>
        <w:spacing w:line="312" w:lineRule="auto"/>
        <w:rPr>
          <w:rFonts w:ascii="宋体" w:hAnsi="宋体"/>
          <w:color w:val="000000"/>
        </w:rPr>
      </w:pPr>
      <w:r>
        <w:rPr>
          <w:rFonts w:hint="eastAsia" w:ascii="宋体" w:hAnsi="宋体"/>
          <w:color w:val="000000"/>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DE1288">
      <w:pPr>
        <w:spacing w:line="312" w:lineRule="auto"/>
        <w:rPr>
          <w:rFonts w:ascii="宋体" w:hAnsi="宋体"/>
          <w:color w:val="000000"/>
        </w:rPr>
      </w:pPr>
      <w:r>
        <w:rPr>
          <w:rFonts w:hint="eastAsia" w:ascii="宋体" w:hAnsi="宋体"/>
          <w:color w:val="000000"/>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409EDD">
      <w:pPr>
        <w:spacing w:line="312" w:lineRule="auto"/>
        <w:rPr>
          <w:rFonts w:ascii="宋体" w:hAnsi="宋体"/>
          <w:color w:val="000000"/>
        </w:rPr>
      </w:pPr>
      <w:r>
        <w:rPr>
          <w:rFonts w:hint="eastAsia" w:ascii="宋体" w:hAnsi="宋体"/>
          <w:color w:val="000000"/>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C58144">
      <w:pPr>
        <w:spacing w:line="312" w:lineRule="auto"/>
        <w:rPr>
          <w:rFonts w:ascii="宋体" w:hAnsi="宋体"/>
          <w:color w:val="000000"/>
        </w:rPr>
      </w:pPr>
      <w:r>
        <w:rPr>
          <w:rFonts w:hint="eastAsia" w:ascii="宋体" w:hAnsi="宋体"/>
          <w:color w:val="000000"/>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03DB77">
      <w:pPr>
        <w:spacing w:line="312" w:lineRule="auto"/>
        <w:rPr>
          <w:rFonts w:ascii="宋体" w:hAnsi="宋体"/>
          <w:color w:val="000000"/>
        </w:rPr>
      </w:pPr>
      <w:r>
        <w:rPr>
          <w:rFonts w:hint="eastAsia" w:ascii="宋体" w:hAnsi="宋体"/>
          <w:color w:val="000000"/>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BBBAE2">
      <w:pPr>
        <w:spacing w:line="312" w:lineRule="auto"/>
        <w:rPr>
          <w:rFonts w:ascii="宋体" w:hAnsi="宋体"/>
          <w:color w:val="000000"/>
        </w:rPr>
      </w:pPr>
      <w:r>
        <w:rPr>
          <w:rFonts w:hint="eastAsia" w:ascii="宋体" w:hAnsi="宋体"/>
          <w:color w:val="000000"/>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AF7BFA">
      <w:pPr>
        <w:spacing w:line="312" w:lineRule="auto"/>
        <w:rPr>
          <w:rFonts w:ascii="宋体" w:hAnsi="宋体"/>
          <w:color w:val="000000"/>
        </w:rPr>
      </w:pPr>
      <w:r>
        <w:rPr>
          <w:rFonts w:hint="eastAsia" w:ascii="宋体" w:hAnsi="宋体"/>
          <w:color w:val="000000"/>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F74CCC">
      <w:pPr>
        <w:spacing w:line="312" w:lineRule="auto"/>
        <w:rPr>
          <w:rFonts w:ascii="宋体" w:hAnsi="宋体"/>
          <w:color w:val="000000"/>
        </w:rPr>
      </w:pPr>
      <w:r>
        <w:rPr>
          <w:rFonts w:hint="eastAsia" w:ascii="宋体" w:hAnsi="宋体"/>
          <w:color w:val="000000"/>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88E1ED">
      <w:pPr>
        <w:spacing w:line="312" w:lineRule="auto"/>
        <w:rPr>
          <w:rFonts w:ascii="宋体" w:hAnsi="宋体"/>
          <w:color w:val="000000"/>
        </w:rPr>
      </w:pPr>
      <w:r>
        <w:rPr>
          <w:rFonts w:hint="eastAsia" w:ascii="宋体" w:hAnsi="宋体"/>
          <w:color w:val="000000"/>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6D818F">
      <w:pPr>
        <w:spacing w:line="312" w:lineRule="auto"/>
        <w:rPr>
          <w:rFonts w:ascii="宋体" w:hAnsi="宋体"/>
          <w:color w:val="000000"/>
        </w:rPr>
      </w:pPr>
      <w:r>
        <w:rPr>
          <w:rFonts w:hint="eastAsia" w:ascii="宋体" w:hAnsi="宋体"/>
          <w:color w:val="000000"/>
        </w:rPr>
        <w:t>　　（十六）其他未列明行业。从业人员300人以下的为中小微型企业。其中，从业人员100人及以上的为中型企业；从业人员10人及以上的为小型企业；从业人员10人以下的为微型企业。</w:t>
      </w:r>
    </w:p>
    <w:p w14:paraId="314FA36A">
      <w:pPr>
        <w:spacing w:line="312" w:lineRule="auto"/>
        <w:rPr>
          <w:rFonts w:ascii="宋体" w:hAnsi="宋体"/>
          <w:color w:val="000000"/>
        </w:rPr>
      </w:pPr>
      <w:r>
        <w:rPr>
          <w:rFonts w:hint="eastAsia" w:ascii="宋体" w:hAnsi="宋体"/>
          <w:color w:val="000000"/>
        </w:rPr>
        <w:t>　　五、企业类型的划分以统计部门的统计数据为依据。</w:t>
      </w:r>
    </w:p>
    <w:p w14:paraId="795B8FDF">
      <w:pPr>
        <w:spacing w:line="312" w:lineRule="auto"/>
        <w:rPr>
          <w:rFonts w:ascii="宋体" w:hAnsi="宋体"/>
          <w:color w:val="000000"/>
        </w:rPr>
      </w:pPr>
      <w:r>
        <w:rPr>
          <w:rFonts w:hint="eastAsia" w:ascii="宋体" w:hAnsi="宋体"/>
          <w:color w:val="000000"/>
        </w:rPr>
        <w:t>　　六、本规定适用于在中华人民共和国境内依法设立的各类所有制和各种组织形式的企业。个体工商户和本规定以外的行业，参照本规定进行划型。</w:t>
      </w:r>
    </w:p>
    <w:p w14:paraId="7EB326F1">
      <w:pPr>
        <w:spacing w:line="312" w:lineRule="auto"/>
        <w:rPr>
          <w:rFonts w:ascii="宋体" w:hAnsi="宋体"/>
          <w:color w:val="000000"/>
        </w:rPr>
      </w:pPr>
      <w:r>
        <w:rPr>
          <w:rFonts w:hint="eastAsia" w:ascii="宋体" w:hAnsi="宋体"/>
          <w:color w:val="000000"/>
        </w:rPr>
        <w:t>　　七、本规定的中型企业标准上限即为大型企业标准的下限，国家统计部门据此制定大中小微型企业的统计分类。国务院有关部门据此进行相关数据分析，不得制定与本规定不一致的企业划型标准。</w:t>
      </w:r>
    </w:p>
    <w:p w14:paraId="68A3A67D">
      <w:pPr>
        <w:spacing w:line="312" w:lineRule="auto"/>
        <w:rPr>
          <w:rFonts w:ascii="宋体" w:hAnsi="宋体"/>
          <w:color w:val="000000"/>
        </w:rPr>
      </w:pPr>
      <w:r>
        <w:rPr>
          <w:rFonts w:hint="eastAsia" w:ascii="宋体" w:hAnsi="宋体"/>
          <w:color w:val="000000"/>
        </w:rPr>
        <w:t>　　八、本规定由工业和信息化部、国家统计局会同有关部门根据《国民经济行业分类》修订情况和企业发展变化情况适时修订。</w:t>
      </w:r>
    </w:p>
    <w:p w14:paraId="45763D54">
      <w:pPr>
        <w:spacing w:line="312" w:lineRule="auto"/>
        <w:rPr>
          <w:rFonts w:ascii="宋体" w:hAnsi="宋体"/>
          <w:color w:val="000000"/>
        </w:rPr>
      </w:pPr>
      <w:r>
        <w:rPr>
          <w:rFonts w:hint="eastAsia" w:ascii="宋体" w:hAnsi="宋体"/>
          <w:color w:val="000000"/>
        </w:rPr>
        <w:t>　　九、本规定由工业和信息化部、国家统计局会同有关部门负责解释。</w:t>
      </w:r>
    </w:p>
    <w:p w14:paraId="72E8A4B1">
      <w:pPr>
        <w:spacing w:line="312" w:lineRule="auto"/>
        <w:rPr>
          <w:rFonts w:ascii="宋体" w:hAnsi="宋体"/>
          <w:bCs/>
          <w:color w:val="000000"/>
        </w:rPr>
      </w:pPr>
      <w:r>
        <w:rPr>
          <w:rFonts w:hint="eastAsia" w:ascii="宋体" w:hAnsi="宋体"/>
          <w:color w:val="000000"/>
        </w:rPr>
        <w:t>　　十、本规定自发布之日起执行，原国家经贸委、原国家计委、财政部和国家统计局2003年颁布的《中小企业标准暂行规定》同时废止。</w:t>
      </w:r>
    </w:p>
    <w:p w14:paraId="7961E42F">
      <w:pPr>
        <w:autoSpaceDE w:val="0"/>
        <w:autoSpaceDN w:val="0"/>
        <w:adjustRightInd w:val="0"/>
        <w:jc w:val="center"/>
        <w:rPr>
          <w:rFonts w:hint="eastAsia" w:asciiTheme="majorEastAsia" w:hAnsiTheme="majorEastAsia" w:eastAsiaTheme="majorEastAsia"/>
          <w:b/>
          <w:sz w:val="30"/>
          <w:szCs w:val="30"/>
        </w:rPr>
      </w:pPr>
    </w:p>
    <w:p w14:paraId="75DAC19F">
      <w:pPr>
        <w:pStyle w:val="21"/>
        <w:rPr>
          <w:rFonts w:hint="eastAsia" w:asciiTheme="majorEastAsia" w:hAnsiTheme="majorEastAsia" w:eastAsiaTheme="majorEastAsia"/>
          <w:b/>
          <w:sz w:val="30"/>
          <w:szCs w:val="30"/>
        </w:rPr>
      </w:pPr>
    </w:p>
    <w:p w14:paraId="00FBF1D5">
      <w:pPr>
        <w:rPr>
          <w:rFonts w:hint="eastAsia" w:asciiTheme="majorEastAsia" w:hAnsiTheme="majorEastAsia" w:eastAsiaTheme="majorEastAsia"/>
          <w:b/>
          <w:sz w:val="30"/>
          <w:szCs w:val="30"/>
        </w:rPr>
      </w:pPr>
    </w:p>
    <w:p w14:paraId="2F0BE79F">
      <w:pPr>
        <w:pStyle w:val="21"/>
        <w:rPr>
          <w:rFonts w:hint="eastAsia" w:asciiTheme="majorEastAsia" w:hAnsiTheme="majorEastAsia" w:eastAsiaTheme="majorEastAsia"/>
          <w:b/>
          <w:sz w:val="30"/>
          <w:szCs w:val="30"/>
        </w:rPr>
      </w:pPr>
    </w:p>
    <w:p w14:paraId="7DB54AE7">
      <w:pPr>
        <w:rPr>
          <w:rFonts w:hint="eastAsia" w:asciiTheme="majorEastAsia" w:hAnsiTheme="majorEastAsia" w:eastAsiaTheme="majorEastAsia"/>
          <w:b/>
          <w:sz w:val="30"/>
          <w:szCs w:val="30"/>
        </w:rPr>
      </w:pPr>
    </w:p>
    <w:p w14:paraId="36CB915C">
      <w:pPr>
        <w:pStyle w:val="21"/>
        <w:rPr>
          <w:rFonts w:hint="eastAsia" w:asciiTheme="majorEastAsia" w:hAnsiTheme="majorEastAsia" w:eastAsiaTheme="majorEastAsia"/>
          <w:b/>
          <w:sz w:val="30"/>
          <w:szCs w:val="30"/>
        </w:rPr>
      </w:pPr>
    </w:p>
    <w:p w14:paraId="7ACB080F">
      <w:pPr>
        <w:rPr>
          <w:rFonts w:hint="eastAsia" w:asciiTheme="majorEastAsia" w:hAnsiTheme="majorEastAsia" w:eastAsiaTheme="majorEastAsia"/>
          <w:b/>
          <w:sz w:val="30"/>
          <w:szCs w:val="30"/>
        </w:rPr>
      </w:pPr>
    </w:p>
    <w:p w14:paraId="305EE080">
      <w:pPr>
        <w:pStyle w:val="21"/>
        <w:rPr>
          <w:rFonts w:hint="eastAsia"/>
        </w:rPr>
      </w:pPr>
    </w:p>
    <w:p w14:paraId="617D323E">
      <w:pPr>
        <w:pStyle w:val="55"/>
        <w:numPr>
          <w:ilvl w:val="0"/>
          <w:numId w:val="0"/>
        </w:numPr>
        <w:snapToGrid w:val="0"/>
        <w:spacing w:before="240" w:line="360" w:lineRule="auto"/>
        <w:jc w:val="center"/>
        <w:rPr>
          <w:rFonts w:hint="eastAsia" w:ascii="宋体" w:hAnsi="宋体" w:eastAsia="宋体" w:cs="宋体"/>
          <w:b/>
          <w:bCs/>
          <w:color w:val="000000"/>
          <w:sz w:val="28"/>
          <w:szCs w:val="28"/>
          <w:lang w:val="zh-CN"/>
        </w:rPr>
      </w:pPr>
      <w:bookmarkStart w:id="282" w:name="_Toc403382882"/>
      <w:bookmarkStart w:id="283" w:name="_Toc403382884"/>
    </w:p>
    <w:p w14:paraId="7EC1F8BD">
      <w:pPr>
        <w:pStyle w:val="55"/>
        <w:numPr>
          <w:ilvl w:val="0"/>
          <w:numId w:val="0"/>
        </w:numPr>
        <w:snapToGrid w:val="0"/>
        <w:spacing w:before="240" w:line="360" w:lineRule="auto"/>
        <w:jc w:val="center"/>
        <w:rPr>
          <w:rFonts w:hint="eastAsia" w:ascii="宋体" w:hAnsi="宋体" w:eastAsia="宋体" w:cs="宋体"/>
          <w:b/>
          <w:bCs/>
          <w:color w:val="000000"/>
          <w:sz w:val="28"/>
          <w:szCs w:val="28"/>
          <w:lang w:val="zh-CN"/>
        </w:rPr>
      </w:pPr>
      <w:r>
        <w:rPr>
          <w:rFonts w:hint="eastAsia" w:ascii="宋体" w:hAnsi="宋体" w:eastAsia="宋体" w:cs="宋体"/>
          <w:b/>
          <w:bCs/>
          <w:color w:val="000000"/>
          <w:sz w:val="28"/>
          <w:szCs w:val="28"/>
          <w:lang w:val="zh-CN"/>
        </w:rPr>
        <w:t>未被列入政府取消投标资格记录期间的企业承诺书</w:t>
      </w:r>
    </w:p>
    <w:p w14:paraId="4CA0E7C1">
      <w:pPr>
        <w:pStyle w:val="55"/>
        <w:numPr>
          <w:ilvl w:val="0"/>
          <w:numId w:val="0"/>
        </w:numPr>
        <w:snapToGrid w:val="0"/>
        <w:spacing w:before="240" w:line="360" w:lineRule="auto"/>
        <w:jc w:val="both"/>
        <w:rPr>
          <w:rFonts w:hint="eastAsia" w:ascii="宋体" w:hAnsi="宋体" w:eastAsia="宋体" w:cs="宋体"/>
          <w:color w:val="000000"/>
          <w:sz w:val="28"/>
          <w:szCs w:val="28"/>
          <w:lang w:val="zh-CN"/>
        </w:rPr>
      </w:pPr>
    </w:p>
    <w:p w14:paraId="1A6C2CD0">
      <w:pPr>
        <w:spacing w:line="600" w:lineRule="auto"/>
        <w:ind w:firstLine="480"/>
        <w:jc w:val="left"/>
        <w:rPr>
          <w:rFonts w:hint="eastAsia" w:ascii="宋体" w:hAnsi="宋体" w:eastAsia="宋体" w:cs="宋体"/>
          <w:b w:val="0"/>
          <w:bCs/>
          <w:color w:val="000000"/>
          <w:sz w:val="24"/>
          <w:szCs w:val="24"/>
        </w:rPr>
      </w:pPr>
      <w:r>
        <w:rPr>
          <w:rFonts w:hint="eastAsia" w:ascii="宋体" w:hAnsi="宋体" w:eastAsia="宋体" w:cs="宋体"/>
          <w:b w:val="0"/>
          <w:bCs/>
          <w:sz w:val="24"/>
          <w:szCs w:val="24"/>
          <w:lang w:eastAsia="zh-CN"/>
        </w:rPr>
        <w:t>本人</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系</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color w:val="000000"/>
          <w:sz w:val="24"/>
          <w:szCs w:val="24"/>
          <w:u w:val="none"/>
          <w:lang w:val="en-US" w:eastAsia="zh-CN"/>
        </w:rPr>
        <w:t>的法定代表人，</w:t>
      </w:r>
      <w:r>
        <w:rPr>
          <w:rFonts w:hint="eastAsia" w:ascii="宋体" w:hAnsi="宋体" w:eastAsia="宋体" w:cs="宋体"/>
          <w:b w:val="0"/>
          <w:bCs/>
          <w:color w:val="000000"/>
          <w:sz w:val="24"/>
          <w:szCs w:val="24"/>
        </w:rPr>
        <w:t>现承诺我单位在全国范围内没有被</w:t>
      </w:r>
      <w:r>
        <w:rPr>
          <w:rFonts w:hint="eastAsia" w:ascii="宋体" w:hAnsi="宋体" w:eastAsia="宋体" w:cs="宋体"/>
          <w:b w:val="0"/>
          <w:bCs/>
          <w:color w:val="000000"/>
          <w:sz w:val="24"/>
          <w:szCs w:val="24"/>
          <w:lang w:eastAsia="zh-CN"/>
        </w:rPr>
        <w:t>列入政府取消投标资格记录期间内</w:t>
      </w:r>
      <w:r>
        <w:rPr>
          <w:rFonts w:hint="eastAsia" w:ascii="宋体" w:hAnsi="宋体" w:eastAsia="宋体" w:cs="宋体"/>
          <w:b w:val="0"/>
          <w:bCs/>
          <w:color w:val="000000"/>
          <w:sz w:val="24"/>
          <w:szCs w:val="24"/>
        </w:rPr>
        <w:t>，也没有不良行为记录。</w:t>
      </w:r>
    </w:p>
    <w:p w14:paraId="4ED4FA54">
      <w:pPr>
        <w:spacing w:line="600" w:lineRule="auto"/>
        <w:ind w:firstLine="48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如承诺虚假，本单位愿承担一切法律后果。</w:t>
      </w:r>
    </w:p>
    <w:p w14:paraId="16758047">
      <w:pPr>
        <w:pStyle w:val="56"/>
        <w:rPr>
          <w:rFonts w:hint="eastAsia" w:ascii="宋体" w:hAnsi="宋体" w:eastAsia="宋体" w:cs="宋体"/>
          <w:b w:val="0"/>
          <w:bCs/>
          <w:sz w:val="24"/>
          <w:szCs w:val="24"/>
          <w:lang w:eastAsia="zh-CN"/>
        </w:rPr>
      </w:pPr>
    </w:p>
    <w:p w14:paraId="2E573681">
      <w:pPr>
        <w:pStyle w:val="12"/>
        <w:rPr>
          <w:rFonts w:hint="eastAsia" w:ascii="宋体" w:hAnsi="宋体" w:eastAsia="宋体" w:cs="宋体"/>
          <w:b w:val="0"/>
          <w:bCs/>
          <w:sz w:val="24"/>
          <w:szCs w:val="24"/>
          <w:lang w:eastAsia="zh-CN"/>
        </w:rPr>
      </w:pPr>
    </w:p>
    <w:p w14:paraId="3C4D4805">
      <w:pPr>
        <w:rPr>
          <w:rFonts w:hint="eastAsia" w:ascii="宋体" w:hAnsi="宋体" w:eastAsia="宋体" w:cs="宋体"/>
          <w:sz w:val="24"/>
          <w:szCs w:val="24"/>
          <w:lang w:eastAsia="zh-CN"/>
        </w:rPr>
      </w:pPr>
    </w:p>
    <w:p w14:paraId="5625F443">
      <w:pPr>
        <w:spacing w:line="480" w:lineRule="auto"/>
        <w:ind w:right="330" w:rightChars="157" w:firstLine="729" w:firstLineChars="304"/>
        <w:jc w:val="left"/>
        <w:rPr>
          <w:rFonts w:hint="eastAsia" w:ascii="宋体" w:hAnsi="宋体" w:eastAsia="宋体" w:cs="宋体"/>
          <w:b w:val="0"/>
          <w:bCs w:val="0"/>
          <w:color w:val="000000"/>
          <w:sz w:val="24"/>
          <w:szCs w:val="24"/>
        </w:rPr>
      </w:pPr>
    </w:p>
    <w:p w14:paraId="2736208C">
      <w:pPr>
        <w:spacing w:line="600" w:lineRule="auto"/>
        <w:ind w:right="330" w:rightChars="157" w:firstLine="2080" w:firstLineChars="800"/>
        <w:jc w:val="left"/>
        <w:rPr>
          <w:rFonts w:hint="eastAsia" w:ascii="宋体" w:hAnsi="宋体" w:eastAsia="宋体" w:cs="宋体"/>
          <w:b w:val="0"/>
          <w:bCs w:val="0"/>
          <w:color w:val="000000"/>
          <w:sz w:val="24"/>
          <w:szCs w:val="24"/>
        </w:rPr>
      </w:pPr>
      <w:r>
        <w:rPr>
          <w:rFonts w:hint="eastAsia" w:ascii="宋体" w:hAnsi="宋体"/>
          <w:sz w:val="26"/>
        </w:rPr>
        <w:t>供应商：</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（加盖公章）</w:t>
      </w:r>
    </w:p>
    <w:p w14:paraId="06D42BEC">
      <w:pPr>
        <w:spacing w:line="600" w:lineRule="auto"/>
        <w:ind w:right="330" w:rightChars="157" w:firstLine="2080" w:firstLineChars="800"/>
        <w:jc w:val="left"/>
        <w:rPr>
          <w:rFonts w:hint="eastAsia" w:ascii="宋体" w:hAnsi="宋体" w:eastAsia="宋体" w:cs="宋体"/>
          <w:b w:val="0"/>
          <w:bCs w:val="0"/>
          <w:color w:val="000000"/>
          <w:sz w:val="24"/>
          <w:szCs w:val="24"/>
        </w:rPr>
      </w:pPr>
      <w:r>
        <w:rPr>
          <w:rFonts w:hint="eastAsia" w:ascii="宋体" w:hAnsi="宋体"/>
          <w:sz w:val="26"/>
        </w:rPr>
        <w:t>法定代表人或其委托代理人</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hint="eastAsia" w:ascii="宋体" w:hAnsi="宋体" w:eastAsia="宋体" w:cs="宋体"/>
          <w:b w:val="0"/>
          <w:bCs w:val="0"/>
          <w:color w:val="000000"/>
          <w:sz w:val="24"/>
          <w:szCs w:val="24"/>
        </w:rPr>
        <w:t>）</w:t>
      </w:r>
    </w:p>
    <w:p w14:paraId="60F57D40">
      <w:pPr>
        <w:autoSpaceDE w:val="0"/>
        <w:autoSpaceDN w:val="0"/>
        <w:adjustRightInd w:val="0"/>
        <w:spacing w:line="600" w:lineRule="auto"/>
        <w:ind w:right="330" w:rightChars="157" w:firstLine="4320" w:firstLineChars="18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月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日</w:t>
      </w:r>
    </w:p>
    <w:p w14:paraId="4682CA27">
      <w:pPr>
        <w:spacing w:line="360" w:lineRule="auto"/>
        <w:jc w:val="center"/>
        <w:rPr>
          <w:rFonts w:hint="eastAsia" w:ascii="宋体" w:hAnsi="宋体"/>
          <w:sz w:val="26"/>
        </w:rPr>
      </w:pPr>
    </w:p>
    <w:p w14:paraId="24431ABC">
      <w:pPr>
        <w:spacing w:line="360" w:lineRule="auto"/>
        <w:jc w:val="center"/>
        <w:rPr>
          <w:rFonts w:hint="eastAsia" w:ascii="宋体" w:hAnsi="宋体"/>
          <w:sz w:val="26"/>
        </w:rPr>
      </w:pPr>
    </w:p>
    <w:p w14:paraId="200E7579">
      <w:pPr>
        <w:spacing w:line="360" w:lineRule="auto"/>
        <w:jc w:val="center"/>
        <w:rPr>
          <w:rFonts w:hint="eastAsia" w:ascii="宋体" w:hAnsi="宋体"/>
          <w:sz w:val="26"/>
        </w:rPr>
      </w:pPr>
    </w:p>
    <w:p w14:paraId="1D594CA7">
      <w:pPr>
        <w:spacing w:line="360" w:lineRule="auto"/>
        <w:jc w:val="center"/>
        <w:rPr>
          <w:rFonts w:hint="eastAsia" w:ascii="宋体" w:hAnsi="宋体"/>
          <w:sz w:val="26"/>
        </w:rPr>
      </w:pPr>
    </w:p>
    <w:p w14:paraId="62E635D3">
      <w:pPr>
        <w:spacing w:line="360" w:lineRule="auto"/>
        <w:jc w:val="center"/>
        <w:rPr>
          <w:rFonts w:hint="eastAsia" w:ascii="宋体" w:hAnsi="宋体"/>
          <w:sz w:val="26"/>
        </w:rPr>
      </w:pPr>
    </w:p>
    <w:p w14:paraId="31B5C1BD">
      <w:pPr>
        <w:spacing w:line="360" w:lineRule="auto"/>
        <w:jc w:val="center"/>
        <w:rPr>
          <w:rFonts w:hint="eastAsia" w:ascii="宋体" w:hAnsi="宋体"/>
          <w:sz w:val="26"/>
        </w:rPr>
      </w:pPr>
    </w:p>
    <w:p w14:paraId="4B7E0626">
      <w:pPr>
        <w:spacing w:line="360" w:lineRule="auto"/>
        <w:jc w:val="center"/>
        <w:rPr>
          <w:rFonts w:hint="eastAsia" w:ascii="宋体" w:hAnsi="宋体"/>
          <w:sz w:val="26"/>
        </w:rPr>
      </w:pPr>
    </w:p>
    <w:p w14:paraId="377A2ADA">
      <w:pPr>
        <w:spacing w:line="360" w:lineRule="auto"/>
        <w:jc w:val="center"/>
        <w:rPr>
          <w:rFonts w:hint="eastAsia" w:ascii="宋体" w:hAnsi="宋体"/>
          <w:sz w:val="26"/>
        </w:rPr>
      </w:pPr>
    </w:p>
    <w:p w14:paraId="0CFE3751">
      <w:pPr>
        <w:spacing w:line="360" w:lineRule="auto"/>
        <w:jc w:val="center"/>
        <w:rPr>
          <w:rFonts w:hint="eastAsia" w:ascii="宋体" w:hAnsi="宋体"/>
          <w:sz w:val="26"/>
        </w:rPr>
      </w:pPr>
    </w:p>
    <w:p w14:paraId="2037CEED">
      <w:pPr>
        <w:spacing w:line="360" w:lineRule="auto"/>
        <w:jc w:val="center"/>
        <w:rPr>
          <w:rFonts w:ascii="宋体" w:hAnsi="宋体"/>
          <w:b/>
          <w:bCs/>
          <w:sz w:val="28"/>
          <w:szCs w:val="28"/>
        </w:rPr>
      </w:pPr>
      <w:r>
        <w:rPr>
          <w:rFonts w:hint="eastAsia" w:ascii="宋体" w:hAnsi="宋体"/>
          <w:b/>
          <w:bCs/>
          <w:sz w:val="28"/>
          <w:szCs w:val="28"/>
        </w:rPr>
        <w:t>无重大违法记录声明</w:t>
      </w:r>
    </w:p>
    <w:p w14:paraId="363A81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77EFB0D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采购人和采购代理机构：</w:t>
      </w:r>
    </w:p>
    <w:p w14:paraId="48535F79">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我方在此声明，我方在参加本次政府采购活动前三年内，在经营活动中没有以下重大违法记录：</w:t>
      </w:r>
    </w:p>
    <w:p w14:paraId="37A2BA4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我方因违法经营被追究过刑事责任；</w:t>
      </w:r>
    </w:p>
    <w:p w14:paraId="235830E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我方因违法经营被责令停产停业、吊销许可证或者执照；</w:t>
      </w:r>
    </w:p>
    <w:p w14:paraId="543400C8">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我方因违法经营被处以较大数额罚款等行政处罚。</w:t>
      </w:r>
    </w:p>
    <w:p w14:paraId="57913B9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随本声明附上我方参加本次政府采购活动前3年内发生的诉讼及仲裁情况表以及相关的法律证明文件供贵方核验。我方保证上述信息的完整、客观、真实、准确，并愿意承担我方因提供虚假材料谋骗取成交、成交所引起的一切法律后果。</w:t>
      </w:r>
    </w:p>
    <w:p w14:paraId="7C1AEC72">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特此声明！</w:t>
      </w:r>
    </w:p>
    <w:p w14:paraId="0FB817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2D6E7A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026476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2E171D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184C5282">
      <w:pPr>
        <w:spacing w:line="600" w:lineRule="auto"/>
        <w:ind w:right="330" w:rightChars="157" w:firstLine="2080" w:firstLineChars="800"/>
        <w:jc w:val="left"/>
        <w:rPr>
          <w:rFonts w:hint="eastAsia" w:ascii="宋体" w:hAnsi="宋体" w:eastAsia="宋体" w:cs="宋体"/>
          <w:b w:val="0"/>
          <w:bCs w:val="0"/>
          <w:color w:val="000000"/>
          <w:sz w:val="24"/>
          <w:szCs w:val="24"/>
        </w:rPr>
      </w:pPr>
      <w:r>
        <w:rPr>
          <w:rFonts w:hint="eastAsia" w:ascii="宋体" w:hAnsi="宋体"/>
          <w:sz w:val="26"/>
        </w:rPr>
        <w:t>供</w:t>
      </w:r>
      <w:r>
        <w:rPr>
          <w:rFonts w:hint="eastAsia" w:ascii="宋体" w:hAnsi="宋体"/>
          <w:sz w:val="26"/>
          <w:lang w:val="en-US" w:eastAsia="zh-CN"/>
        </w:rPr>
        <w:t xml:space="preserve">  </w:t>
      </w:r>
      <w:r>
        <w:rPr>
          <w:rFonts w:hint="eastAsia" w:ascii="宋体" w:hAnsi="宋体"/>
          <w:sz w:val="26"/>
        </w:rPr>
        <w:t>应</w:t>
      </w:r>
      <w:r>
        <w:rPr>
          <w:rFonts w:hint="eastAsia" w:ascii="宋体" w:hAnsi="宋体"/>
          <w:sz w:val="26"/>
          <w:lang w:val="en-US" w:eastAsia="zh-CN"/>
        </w:rPr>
        <w:t xml:space="preserve">  </w:t>
      </w:r>
      <w:r>
        <w:rPr>
          <w:rFonts w:hint="eastAsia" w:ascii="宋体" w:hAnsi="宋体"/>
          <w:sz w:val="26"/>
        </w:rPr>
        <w:t>商：</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（加盖公章）</w:t>
      </w:r>
    </w:p>
    <w:p w14:paraId="19F04CC0">
      <w:pPr>
        <w:spacing w:line="600" w:lineRule="auto"/>
        <w:ind w:right="330" w:rightChars="157" w:firstLine="2080" w:firstLineChars="800"/>
        <w:jc w:val="left"/>
        <w:rPr>
          <w:rFonts w:hint="eastAsia" w:ascii="宋体" w:hAnsi="宋体" w:eastAsia="宋体" w:cs="宋体"/>
          <w:b w:val="0"/>
          <w:bCs w:val="0"/>
          <w:color w:val="000000"/>
          <w:sz w:val="24"/>
          <w:szCs w:val="24"/>
        </w:rPr>
      </w:pPr>
      <w:r>
        <w:rPr>
          <w:rFonts w:hint="eastAsia" w:ascii="宋体" w:hAnsi="宋体"/>
          <w:sz w:val="26"/>
        </w:rPr>
        <w:t>法定代表人或其委托代理人</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hint="eastAsia" w:ascii="宋体" w:hAnsi="宋体" w:eastAsia="宋体" w:cs="宋体"/>
          <w:b w:val="0"/>
          <w:bCs w:val="0"/>
          <w:color w:val="000000"/>
          <w:sz w:val="24"/>
          <w:szCs w:val="24"/>
        </w:rPr>
        <w:t>）</w:t>
      </w:r>
    </w:p>
    <w:p w14:paraId="52EA3CD9">
      <w:pPr>
        <w:autoSpaceDE w:val="0"/>
        <w:autoSpaceDN w:val="0"/>
        <w:adjustRightInd w:val="0"/>
        <w:spacing w:line="600" w:lineRule="auto"/>
        <w:ind w:right="330" w:rightChars="157" w:firstLine="4320" w:firstLineChars="18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月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日</w:t>
      </w:r>
    </w:p>
    <w:p w14:paraId="43E2D713">
      <w:pPr>
        <w:spacing w:line="360" w:lineRule="auto"/>
        <w:rPr>
          <w:rFonts w:ascii="宋体" w:hAnsi="宋体"/>
          <w:sz w:val="26"/>
        </w:rPr>
      </w:pPr>
    </w:p>
    <w:p w14:paraId="08E12EDD">
      <w:pPr>
        <w:spacing w:line="360" w:lineRule="auto"/>
        <w:rPr>
          <w:rFonts w:ascii="宋体" w:hAnsi="宋体"/>
          <w:sz w:val="26"/>
        </w:rPr>
      </w:pPr>
    </w:p>
    <w:p w14:paraId="20F64DFF">
      <w:pPr>
        <w:spacing w:line="360" w:lineRule="auto"/>
        <w:rPr>
          <w:rFonts w:ascii="宋体" w:hAnsi="宋体"/>
          <w:sz w:val="26"/>
        </w:rPr>
      </w:pPr>
    </w:p>
    <w:p w14:paraId="518B63D4">
      <w:pPr>
        <w:spacing w:line="360" w:lineRule="auto"/>
        <w:rPr>
          <w:rFonts w:ascii="宋体" w:hAnsi="宋体"/>
          <w:sz w:val="26"/>
        </w:rPr>
      </w:pPr>
    </w:p>
    <w:p w14:paraId="7CEA8DD2">
      <w:pPr>
        <w:widowControl/>
        <w:jc w:val="left"/>
        <w:rPr>
          <w:rFonts w:ascii="宋体" w:hAnsi="宋体"/>
          <w:sz w:val="26"/>
        </w:rPr>
      </w:pPr>
    </w:p>
    <w:bookmarkEnd w:id="282"/>
    <w:bookmarkEnd w:id="283"/>
    <w:p w14:paraId="38B909DA">
      <w:pPr>
        <w:jc w:val="center"/>
        <w:rPr>
          <w:rFonts w:ascii="宋体" w:hAnsi="宋体" w:cs="Times New Roman"/>
          <w:b/>
          <w:sz w:val="30"/>
          <w:szCs w:val="21"/>
        </w:rPr>
      </w:pPr>
      <w:r>
        <w:rPr>
          <w:rFonts w:hint="eastAsia" w:ascii="宋体" w:hAnsi="宋体" w:cs="Times New Roman"/>
          <w:b/>
          <w:sz w:val="30"/>
          <w:szCs w:val="21"/>
        </w:rPr>
        <w:t>报价一览表（格式）</w:t>
      </w:r>
    </w:p>
    <w:p w14:paraId="61D6351D">
      <w:pPr>
        <w:spacing w:line="500" w:lineRule="exact"/>
        <w:jc w:val="center"/>
        <w:rPr>
          <w:rFonts w:ascii="宋体" w:hAnsi="宋体" w:cs="Times New Roman"/>
          <w:sz w:val="24"/>
          <w:szCs w:val="21"/>
        </w:rPr>
      </w:pPr>
      <w:r>
        <w:rPr>
          <w:rFonts w:hint="eastAsia" w:ascii="宋体" w:hAnsi="宋体" w:cs="Times New Roman"/>
          <w:sz w:val="24"/>
          <w:szCs w:val="21"/>
        </w:rPr>
        <w:t>(第二次报价)</w:t>
      </w:r>
    </w:p>
    <w:p w14:paraId="17CA41CD">
      <w:pPr>
        <w:spacing w:line="360" w:lineRule="auto"/>
        <w:rPr>
          <w:rFonts w:ascii="宋体" w:hAnsi="宋体"/>
          <w:sz w:val="26"/>
        </w:rPr>
      </w:pPr>
      <w:r>
        <w:rPr>
          <w:rFonts w:hint="eastAsia" w:ascii="宋体" w:hAnsi="宋体"/>
          <w:sz w:val="26"/>
        </w:rPr>
        <w:t xml:space="preserve">项目名称：（项目名称）          </w:t>
      </w:r>
    </w:p>
    <w:p w14:paraId="309AB957">
      <w:pPr>
        <w:spacing w:line="360" w:lineRule="auto"/>
        <w:rPr>
          <w:rFonts w:ascii="宋体" w:hAnsi="宋体"/>
          <w:sz w:val="26"/>
        </w:rPr>
      </w:pPr>
      <w:r>
        <w:rPr>
          <w:rFonts w:hint="eastAsia" w:ascii="宋体" w:hAnsi="宋体"/>
          <w:sz w:val="26"/>
        </w:rPr>
        <w:t>项目编号：</w:t>
      </w:r>
    </w:p>
    <w:tbl>
      <w:tblPr>
        <w:tblStyle w:val="23"/>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5386"/>
        <w:gridCol w:w="1134"/>
      </w:tblGrid>
      <w:tr w14:paraId="427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vAlign w:val="center"/>
          </w:tcPr>
          <w:p w14:paraId="554EC2C9">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5386" w:type="dxa"/>
            <w:vAlign w:val="center"/>
          </w:tcPr>
          <w:p w14:paraId="75C041E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投标总价(第二次报价)</w:t>
            </w:r>
          </w:p>
          <w:p w14:paraId="255A5C3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134" w:type="dxa"/>
            <w:vAlign w:val="center"/>
          </w:tcPr>
          <w:p w14:paraId="56AF296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3326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538935EC">
            <w:pPr>
              <w:widowControl/>
              <w:tabs>
                <w:tab w:val="left" w:pos="1197"/>
              </w:tabs>
              <w:autoSpaceDE w:val="0"/>
              <w:autoSpaceDN w:val="0"/>
              <w:ind w:right="215"/>
              <w:jc w:val="center"/>
              <w:textAlignment w:val="bottom"/>
              <w:rPr>
                <w:rFonts w:ascii="Arial" w:hAnsi="Arial" w:cs="Arial"/>
                <w:color w:val="000000"/>
              </w:rPr>
            </w:pPr>
          </w:p>
        </w:tc>
        <w:tc>
          <w:tcPr>
            <w:tcW w:w="5386" w:type="dxa"/>
            <w:vAlign w:val="center"/>
          </w:tcPr>
          <w:p w14:paraId="47875D84">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7E4F0AAE">
            <w:pPr>
              <w:widowControl/>
              <w:tabs>
                <w:tab w:val="left" w:pos="1197"/>
              </w:tabs>
              <w:autoSpaceDE w:val="0"/>
              <w:autoSpaceDN w:val="0"/>
              <w:ind w:right="215"/>
              <w:jc w:val="center"/>
              <w:textAlignment w:val="bottom"/>
              <w:rPr>
                <w:rFonts w:ascii="Arial" w:hAnsi="Arial" w:cs="Arial"/>
                <w:color w:val="000000"/>
              </w:rPr>
            </w:pPr>
          </w:p>
        </w:tc>
      </w:tr>
    </w:tbl>
    <w:p w14:paraId="446E6AD9">
      <w:pPr>
        <w:spacing w:line="360" w:lineRule="auto"/>
        <w:rPr>
          <w:rFonts w:ascii="宋体" w:hAnsi="宋体"/>
          <w:sz w:val="26"/>
        </w:rPr>
      </w:pPr>
    </w:p>
    <w:p w14:paraId="28ABF90D">
      <w:pPr>
        <w:spacing w:line="360" w:lineRule="auto"/>
        <w:rPr>
          <w:rFonts w:ascii="宋体" w:hAnsi="宋体"/>
          <w:sz w:val="26"/>
        </w:rPr>
      </w:pPr>
    </w:p>
    <w:p w14:paraId="52296156">
      <w:pPr>
        <w:spacing w:line="360" w:lineRule="auto"/>
        <w:jc w:val="center"/>
        <w:rPr>
          <w:rFonts w:ascii="宋体" w:hAnsi="宋体"/>
          <w:sz w:val="26"/>
        </w:rPr>
      </w:pPr>
      <w:r>
        <w:rPr>
          <w:rFonts w:hint="eastAsia" w:ascii="宋体" w:hAnsi="宋体"/>
          <w:sz w:val="26"/>
          <w:lang w:val="en-US" w:eastAsia="zh-CN"/>
        </w:rPr>
        <w:t xml:space="preserve">       </w:t>
      </w:r>
      <w:r>
        <w:rPr>
          <w:rFonts w:hint="eastAsia" w:ascii="宋体" w:hAnsi="宋体"/>
          <w:sz w:val="26"/>
        </w:rPr>
        <w:t>供应商：（盖单位章）</w:t>
      </w:r>
    </w:p>
    <w:p w14:paraId="280E543B">
      <w:pPr>
        <w:spacing w:line="360" w:lineRule="auto"/>
        <w:jc w:val="right"/>
        <w:rPr>
          <w:rFonts w:ascii="宋体" w:hAnsi="宋体"/>
          <w:sz w:val="26"/>
        </w:rPr>
      </w:pPr>
      <w:r>
        <w:rPr>
          <w:rFonts w:hint="eastAsia" w:ascii="宋体" w:hAnsi="宋体"/>
          <w:sz w:val="26"/>
        </w:rPr>
        <w:t>法定代表人或其委托代理人：（</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hint="eastAsia" w:ascii="宋体" w:hAnsi="宋体"/>
          <w:sz w:val="26"/>
        </w:rPr>
        <w:t>）</w:t>
      </w:r>
    </w:p>
    <w:p w14:paraId="6162A551">
      <w:pPr>
        <w:spacing w:line="360" w:lineRule="auto"/>
        <w:jc w:val="center"/>
        <w:rPr>
          <w:rFonts w:ascii="宋体" w:hAnsi="宋体"/>
          <w:sz w:val="26"/>
        </w:rPr>
      </w:pPr>
      <w:r>
        <w:rPr>
          <w:rFonts w:hint="eastAsia" w:ascii="宋体" w:hAnsi="宋体"/>
          <w:sz w:val="26"/>
          <w:lang w:val="en-US" w:eastAsia="zh-CN"/>
        </w:rPr>
        <w:t xml:space="preserve">                                       </w:t>
      </w:r>
      <w:r>
        <w:rPr>
          <w:rFonts w:hint="eastAsia" w:ascii="宋体" w:hAnsi="宋体"/>
          <w:sz w:val="26"/>
        </w:rPr>
        <w:t>年</w:t>
      </w:r>
      <w:r>
        <w:rPr>
          <w:rFonts w:hint="eastAsia" w:ascii="宋体" w:hAnsi="宋体"/>
          <w:sz w:val="26"/>
          <w:lang w:val="en-US" w:eastAsia="zh-CN"/>
        </w:rPr>
        <w:t xml:space="preserve">   </w:t>
      </w:r>
      <w:r>
        <w:rPr>
          <w:rFonts w:hint="eastAsia" w:ascii="宋体" w:hAnsi="宋体"/>
          <w:sz w:val="26"/>
        </w:rPr>
        <w:t>月</w:t>
      </w:r>
      <w:r>
        <w:rPr>
          <w:rFonts w:hint="eastAsia" w:ascii="宋体" w:hAnsi="宋体"/>
          <w:sz w:val="26"/>
          <w:lang w:val="en-US" w:eastAsia="zh-CN"/>
        </w:rPr>
        <w:t xml:space="preserve">   </w:t>
      </w:r>
      <w:r>
        <w:rPr>
          <w:rFonts w:hint="eastAsia" w:ascii="宋体" w:hAnsi="宋体"/>
          <w:sz w:val="26"/>
        </w:rPr>
        <w:t>日</w:t>
      </w:r>
    </w:p>
    <w:p w14:paraId="40424BF7">
      <w:pPr>
        <w:spacing w:line="500" w:lineRule="exact"/>
        <w:jc w:val="center"/>
        <w:rPr>
          <w:rFonts w:ascii="宋体" w:hAnsi="宋体" w:cs="Times New Roman"/>
          <w:b/>
          <w:sz w:val="30"/>
          <w:szCs w:val="21"/>
        </w:rPr>
      </w:pPr>
    </w:p>
    <w:p w14:paraId="259B6C0A">
      <w:pPr>
        <w:spacing w:line="500" w:lineRule="exact"/>
        <w:rPr>
          <w:rFonts w:ascii="宋体" w:hAnsi="宋体" w:cs="Times New Roman"/>
          <w:b/>
          <w:sz w:val="24"/>
          <w:szCs w:val="21"/>
        </w:rPr>
      </w:pPr>
    </w:p>
    <w:p w14:paraId="0F535070">
      <w:pPr>
        <w:spacing w:line="500" w:lineRule="exact"/>
        <w:ind w:firstLine="562" w:firstLineChars="200"/>
        <w:outlineLvl w:val="0"/>
        <w:rPr>
          <w:rFonts w:ascii="宋体" w:hAnsi="宋体" w:cs="Times New Roman"/>
          <w:b/>
          <w:sz w:val="28"/>
          <w:szCs w:val="28"/>
          <w:em w:val="dot"/>
        </w:rPr>
      </w:pPr>
      <w:bookmarkStart w:id="284" w:name="_Toc72756004"/>
      <w:bookmarkStart w:id="285" w:name="_Toc376439322"/>
      <w:bookmarkStart w:id="286" w:name="_Toc15466"/>
      <w:r>
        <w:rPr>
          <w:rFonts w:hint="eastAsia" w:ascii="宋体" w:hAnsi="宋体" w:cs="Times New Roman"/>
          <w:b/>
          <w:sz w:val="28"/>
          <w:szCs w:val="28"/>
          <w:em w:val="dot"/>
        </w:rPr>
        <w:t>※注：第二次报价一览表不要装订在响应文件中，初审合格后，在政采云平台统一按平台格式上交。</w:t>
      </w:r>
      <w:bookmarkEnd w:id="284"/>
      <w:bookmarkEnd w:id="285"/>
      <w:bookmarkEnd w:id="286"/>
    </w:p>
    <w:p w14:paraId="21B8E498">
      <w:pPr>
        <w:widowControl/>
        <w:jc w:val="left"/>
        <w:rPr>
          <w:rFonts w:ascii="宋体" w:hAnsi="宋体"/>
          <w:sz w:val="26"/>
        </w:rPr>
      </w:pPr>
    </w:p>
    <w:p w14:paraId="2D2B6B15">
      <w:pPr>
        <w:widowControl/>
        <w:jc w:val="left"/>
        <w:rPr>
          <w:rFonts w:ascii="宋体" w:hAnsi="宋体"/>
          <w:sz w:val="26"/>
        </w:rPr>
      </w:pPr>
      <w:r>
        <w:rPr>
          <w:rFonts w:hint="eastAsia" w:ascii="宋体" w:hAnsi="宋体"/>
          <w:sz w:val="26"/>
        </w:rPr>
        <w:t>附：本项目共2轮报价，第一轮为在竞争性磋商响应文件中的报价，第二轮报价需要在谈判小组（评标委员会）要求时进行第二轮报价。</w:t>
      </w:r>
    </w:p>
    <w:sectPr>
      <w:footerReference r:id="rId22" w:type="first"/>
      <w:headerReference r:id="rId20" w:type="default"/>
      <w:footerReference r:id="rId21" w:type="default"/>
      <w:pgSz w:w="11906" w:h="16838"/>
      <w:pgMar w:top="1440" w:right="1800" w:bottom="1440" w:left="1800" w:header="1134"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AC94">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CCA9">
    <w:pPr>
      <w:spacing w:line="176" w:lineRule="auto"/>
      <w:rPr>
        <w:rFonts w:ascii="Times New Roman" w:hAnsi="Times New Roman" w:eastAsia="Times New Roman" w:cs="Times New Roman"/>
        <w:sz w:val="18"/>
        <w:szCs w:val="18"/>
      </w:rPr>
    </w:pPr>
    <w:r>
      <w:rPr>
        <w:sz w:val="18"/>
      </w:rPr>
      <w:pict>
        <v:shape id="_x0000_s4105" o:spid="_x0000_s410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36B2A4D">
                <w:pPr>
                  <w:pStyle w:val="14"/>
                </w:pPr>
                <w:r>
                  <w:fldChar w:fldCharType="begin"/>
                </w:r>
                <w:r>
                  <w:instrText xml:space="preserve"> PAGE  \* MERGEFORMAT </w:instrText>
                </w:r>
                <w:r>
                  <w:fldChar w:fldCharType="separate"/>
                </w:r>
                <w:r>
                  <w:t>51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DE8D">
    <w:pPr>
      <w:spacing w:line="176" w:lineRule="auto"/>
      <w:rPr>
        <w:rFonts w:ascii="Times New Roman" w:hAnsi="Times New Roman" w:eastAsia="Times New Roman" w:cs="Times New Roman"/>
        <w:sz w:val="18"/>
        <w:szCs w:val="18"/>
      </w:rPr>
    </w:pPr>
    <w:r>
      <w:rPr>
        <w:sz w:val="18"/>
      </w:rPr>
      <w:pict>
        <v:shape id="_x0000_s4106" o:spid="_x0000_s410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C217587">
                <w:pPr>
                  <w:pStyle w:val="14"/>
                </w:pPr>
                <w:r>
                  <w:fldChar w:fldCharType="begin"/>
                </w:r>
                <w:r>
                  <w:instrText xml:space="preserve"> PAGE  \* MERGEFORMAT </w:instrText>
                </w:r>
                <w:r>
                  <w:fldChar w:fldCharType="separate"/>
                </w:r>
                <w:r>
                  <w:t>52</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60D1C">
    <w:pPr>
      <w:spacing w:line="176" w:lineRule="auto"/>
      <w:rPr>
        <w:rFonts w:ascii="Times New Roman" w:hAnsi="Times New Roman" w:eastAsia="Times New Roman" w:cs="Times New Roman"/>
        <w:sz w:val="18"/>
        <w:szCs w:val="18"/>
      </w:rPr>
    </w:pPr>
    <w:r>
      <w:rPr>
        <w:sz w:val="18"/>
      </w:rPr>
      <w:pict>
        <v:shape id="_x0000_s4107" o:spid="_x0000_s410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3319A9A9">
                <w:pPr>
                  <w:pStyle w:val="14"/>
                </w:pPr>
                <w:r>
                  <w:fldChar w:fldCharType="begin"/>
                </w:r>
                <w:r>
                  <w:instrText xml:space="preserve"> PAGE  \* MERGEFORMAT </w:instrText>
                </w:r>
                <w:r>
                  <w:fldChar w:fldCharType="separate"/>
                </w:r>
                <w:r>
                  <w:t>53</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7375">
    <w:pPr>
      <w:spacing w:line="176" w:lineRule="auto"/>
      <w:rPr>
        <w:rFonts w:ascii="Times New Roman" w:hAnsi="Times New Roman" w:eastAsia="Times New Roman" w:cs="Times New Roman"/>
        <w:sz w:val="18"/>
        <w:szCs w:val="18"/>
      </w:rPr>
    </w:pPr>
    <w:r>
      <w:rPr>
        <w:sz w:val="18"/>
      </w:rPr>
      <w:pict>
        <v:shape id="_x0000_s4108" o:spid="_x0000_s4108"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16A084C">
                <w:pPr>
                  <w:pStyle w:val="14"/>
                </w:pPr>
                <w:r>
                  <w:fldChar w:fldCharType="begin"/>
                </w:r>
                <w:r>
                  <w:instrText xml:space="preserve"> PAGE  \* MERGEFORMAT </w:instrText>
                </w:r>
                <w:r>
                  <w:fldChar w:fldCharType="separate"/>
                </w:r>
                <w:r>
                  <w:t>54</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FA0C">
    <w:pPr>
      <w:spacing w:line="176" w:lineRule="auto"/>
      <w:rPr>
        <w:rFonts w:ascii="Times New Roman" w:hAnsi="Times New Roman" w:eastAsia="Times New Roman" w:cs="Times New Roman"/>
        <w:sz w:val="18"/>
        <w:szCs w:val="18"/>
      </w:rPr>
    </w:pPr>
    <w:r>
      <w:rPr>
        <w:sz w:val="18"/>
      </w:rPr>
      <w:pict>
        <v:shape id="_x0000_s4109" o:spid="_x0000_s4109"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4F40F6BE">
                <w:pPr>
                  <w:pStyle w:val="14"/>
                </w:pPr>
                <w:r>
                  <w:fldChar w:fldCharType="begin"/>
                </w:r>
                <w:r>
                  <w:instrText xml:space="preserve"> PAGE  \* MERGEFORMAT </w:instrText>
                </w:r>
                <w:r>
                  <w:fldChar w:fldCharType="separate"/>
                </w:r>
                <w:r>
                  <w:t>55</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EB15E">
    <w:pPr>
      <w:spacing w:line="176" w:lineRule="auto"/>
      <w:rPr>
        <w:rFonts w:ascii="Times New Roman" w:hAnsi="Times New Roman" w:eastAsia="Times New Roman" w:cs="Times New Roman"/>
        <w:sz w:val="18"/>
        <w:szCs w:val="18"/>
      </w:rP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3935F427">
                <w:pPr>
                  <w:pStyle w:val="14"/>
                </w:pPr>
                <w:r>
                  <w:fldChar w:fldCharType="begin"/>
                </w:r>
                <w:r>
                  <w:instrText xml:space="preserve"> PAGE  \* MERGEFORMAT </w:instrText>
                </w:r>
                <w:r>
                  <w:fldChar w:fldCharType="separate"/>
                </w:r>
                <w:r>
                  <w:t>56</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6F52">
    <w:pPr>
      <w:pStyle w:val="14"/>
      <w:jc w:val="center"/>
    </w:pPr>
    <w:r>
      <w:rPr>
        <w:sz w:val="18"/>
      </w:rPr>
      <w:pict>
        <v:shape id="_x0000_s4112" o:spid="_x0000_s4112"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245A96EB">
                <w:pPr>
                  <w:pStyle w:val="14"/>
                </w:pPr>
                <w:r>
                  <w:fldChar w:fldCharType="begin"/>
                </w:r>
                <w:r>
                  <w:instrText xml:space="preserve"> PAGE  \* MERGEFORMAT </w:instrText>
                </w:r>
                <w:r>
                  <w:fldChar w:fldCharType="separate"/>
                </w:r>
                <w:r>
                  <w:t>1</w:t>
                </w:r>
                <w:r>
                  <w:fldChar w:fldCharType="end"/>
                </w:r>
              </w:p>
            </w:txbxContent>
          </v:textbox>
        </v:shape>
      </w:pict>
    </w:r>
  </w:p>
  <w:p w14:paraId="669F5ACB"/>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54BC">
    <w:pPr>
      <w:pStyle w:val="14"/>
    </w:pPr>
    <w:r>
      <w:rPr>
        <w:sz w:val="18"/>
      </w:rPr>
      <w:pict>
        <v:shape id="_x0000_s4111" o:spid="_x0000_s4111"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01DA198F">
                <w:pPr>
                  <w:pStyle w:val="1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D03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8329E">
    <w:pPr>
      <w:spacing w:line="176" w:lineRule="auto"/>
      <w:rPr>
        <w:rFonts w:ascii="Times New Roman" w:hAnsi="Times New Roman" w:eastAsia="Times New Roman" w:cs="Times New Roman"/>
        <w:sz w:val="18"/>
        <w:szCs w:val="18"/>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FFB4B8F">
                <w:pPr>
                  <w:pStyle w:val="14"/>
                </w:pPr>
                <w:r>
                  <w:fldChar w:fldCharType="begin"/>
                </w:r>
                <w:r>
                  <w:instrText xml:space="preserve"> PAGE  \* MERGEFORMAT </w:instrText>
                </w:r>
                <w:r>
                  <w:fldChar w:fldCharType="separate"/>
                </w:r>
                <w:r>
                  <w:t>40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63B5">
    <w:pPr>
      <w:spacing w:line="176" w:lineRule="auto"/>
      <w:rPr>
        <w:rFonts w:ascii="Times New Roman" w:hAnsi="Times New Roman" w:eastAsia="Times New Roman" w:cs="Times New Roman"/>
        <w:sz w:val="18"/>
        <w:szCs w:val="18"/>
      </w:rP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7215921">
                <w:pPr>
                  <w:pStyle w:val="14"/>
                </w:pPr>
                <w:r>
                  <w:fldChar w:fldCharType="begin"/>
                </w:r>
                <w:r>
                  <w:instrText xml:space="preserve"> PAGE  \* MERGEFORMAT </w:instrText>
                </w:r>
                <w:r>
                  <w:fldChar w:fldCharType="separate"/>
                </w:r>
                <w:r>
                  <w:t>44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9F84">
    <w:pPr>
      <w:spacing w:line="176" w:lineRule="auto"/>
      <w:rPr>
        <w:rFonts w:ascii="Times New Roman" w:hAnsi="Times New Roman" w:eastAsia="Times New Roman" w:cs="Times New Roman"/>
        <w:sz w:val="18"/>
        <w:szCs w:val="18"/>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13079F8">
                <w:pPr>
                  <w:pStyle w:val="14"/>
                </w:pPr>
                <w:r>
                  <w:fldChar w:fldCharType="begin"/>
                </w:r>
                <w:r>
                  <w:instrText xml:space="preserve"> PAGE  \* MERGEFORMAT </w:instrText>
                </w:r>
                <w:r>
                  <w:fldChar w:fldCharType="separate"/>
                </w:r>
                <w:r>
                  <w:t>46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0398">
    <w:pPr>
      <w:spacing w:line="176" w:lineRule="auto"/>
      <w:ind w:left="4780"/>
      <w:rPr>
        <w:rFonts w:hint="default" w:ascii="Times New Roman" w:hAnsi="Times New Roman" w:eastAsia="宋体" w:cs="Times New Roman"/>
        <w:sz w:val="18"/>
        <w:szCs w:val="18"/>
        <w:lang w:val="en-US" w:eastAsia="zh-CN"/>
      </w:rPr>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582546A">
                <w:pPr>
                  <w:pStyle w:val="14"/>
                </w:pPr>
                <w:r>
                  <w:fldChar w:fldCharType="begin"/>
                </w:r>
                <w:r>
                  <w:instrText xml:space="preserve"> PAGE  \* MERGEFORMAT </w:instrText>
                </w:r>
                <w:r>
                  <w:fldChar w:fldCharType="separate"/>
                </w:r>
                <w:r>
                  <w:t>47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AC59">
    <w:pPr>
      <w:spacing w:line="176" w:lineRule="auto"/>
      <w:rPr>
        <w:rFonts w:ascii="Times New Roman" w:hAnsi="Times New Roman" w:eastAsia="Times New Roman" w:cs="Times New Roman"/>
        <w:sz w:val="18"/>
        <w:szCs w:val="18"/>
      </w:rPr>
    </w:pPr>
    <w:r>
      <w:rPr>
        <w:sz w:val="18"/>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1ECD412">
                <w:pPr>
                  <w:pStyle w:val="14"/>
                </w:pPr>
                <w:r>
                  <w:fldChar w:fldCharType="begin"/>
                </w:r>
                <w:r>
                  <w:instrText xml:space="preserve"> PAGE  \* MERGEFORMAT </w:instrText>
                </w:r>
                <w:r>
                  <w:fldChar w:fldCharType="separate"/>
                </w:r>
                <w:r>
                  <w:t>48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FF46">
    <w:pPr>
      <w:spacing w:line="176" w:lineRule="auto"/>
      <w:rPr>
        <w:rFonts w:ascii="Times New Roman" w:hAnsi="Times New Roman" w:eastAsia="Times New Roman" w:cs="Times New Roman"/>
        <w:sz w:val="18"/>
        <w:szCs w:val="18"/>
      </w:rPr>
    </w:pPr>
    <w:r>
      <w:rPr>
        <w:sz w:val="18"/>
      </w:rP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66EBDBB">
                <w:pPr>
                  <w:pStyle w:val="14"/>
                </w:pPr>
                <w:r>
                  <w:fldChar w:fldCharType="begin"/>
                </w:r>
                <w:r>
                  <w:instrText xml:space="preserve"> PAGE  \* MERGEFORMAT </w:instrText>
                </w:r>
                <w:r>
                  <w:fldChar w:fldCharType="separate"/>
                </w:r>
                <w:r>
                  <w:t>49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8429">
    <w:pPr>
      <w:spacing w:line="176" w:lineRule="auto"/>
      <w:rPr>
        <w:rFonts w:ascii="Times New Roman" w:hAnsi="Times New Roman" w:eastAsia="Times New Roman" w:cs="Times New Roman"/>
        <w:sz w:val="18"/>
        <w:szCs w:val="18"/>
      </w:rPr>
    </w:pPr>
    <w:r>
      <w:rPr>
        <w:sz w:val="18"/>
      </w:rP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0D83920">
                <w:pPr>
                  <w:pStyle w:val="14"/>
                </w:pPr>
                <w:r>
                  <w:fldChar w:fldCharType="begin"/>
                </w:r>
                <w:r>
                  <w:instrText xml:space="preserve"> PAGE  \* MERGEFORMAT </w:instrText>
                </w:r>
                <w:r>
                  <w:fldChar w:fldCharType="separate"/>
                </w:r>
                <w: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3676">
    <w:pPr>
      <w:pStyle w:val="15"/>
      <w:rPr>
        <w:rFonts w:hint="default" w:eastAsia="宋体"/>
        <w:lang w:val="en-US" w:eastAsia="zh-CN"/>
      </w:rPr>
    </w:pPr>
    <w:r>
      <w:rPr>
        <w:rFonts w:hint="eastAsia"/>
        <w:lang w:val="en-US" w:eastAsia="zh-CN"/>
      </w:rPr>
      <w:t>吉林省隆元工程管理咨询有限公司                                                  0433-5812769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D29BF">
    <w:pPr>
      <w:pStyle w:val="15"/>
      <w:jc w:val="both"/>
      <w:rPr>
        <w:rFonts w:hint="default" w:eastAsia="宋体"/>
        <w:lang w:val="en-US" w:eastAsia="zh-CN"/>
      </w:rPr>
    </w:pPr>
    <w:r>
      <w:rPr>
        <w:rFonts w:hint="eastAsia"/>
        <w:lang w:val="en-US" w:eastAsia="zh-CN"/>
      </w:rPr>
      <w:t>吉林省隆元工程管理咨询有限公司                                                  0433-5812769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8F5C">
    <w:pPr>
      <w:pStyle w:val="15"/>
      <w:rPr>
        <w:b w:val="0"/>
        <w:bCs/>
        <w:sz w:val="21"/>
        <w:szCs w:val="21"/>
        <w:u w:val="single"/>
      </w:rPr>
    </w:pPr>
    <w:r>
      <w:rPr>
        <w:rFonts w:hint="eastAsia"/>
        <w:lang w:val="en-US" w:eastAsia="zh-CN"/>
      </w:rPr>
      <w:t>吉林省隆元工程管理咨询有限公司                                                  0433-5812769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359DD"/>
    <w:multiLevelType w:val="singleLevel"/>
    <w:tmpl w:val="83D359DD"/>
    <w:lvl w:ilvl="0" w:tentative="0">
      <w:start w:val="5"/>
      <w:numFmt w:val="chineseCounting"/>
      <w:suff w:val="space"/>
      <w:lvlText w:val="第%1章"/>
      <w:lvlJc w:val="left"/>
      <w:rPr>
        <w:rFonts w:hint="eastAsia"/>
      </w:rPr>
    </w:lvl>
  </w:abstractNum>
  <w:abstractNum w:abstractNumId="1">
    <w:nsid w:val="9BEFF028"/>
    <w:multiLevelType w:val="singleLevel"/>
    <w:tmpl w:val="9BEFF028"/>
    <w:lvl w:ilvl="0" w:tentative="0">
      <w:start w:val="1"/>
      <w:numFmt w:val="decimal"/>
      <w:suff w:val="nothing"/>
      <w:lvlText w:val="%1、"/>
      <w:lvlJc w:val="left"/>
    </w:lvl>
  </w:abstractNum>
  <w:abstractNum w:abstractNumId="2">
    <w:nsid w:val="B8FD791A"/>
    <w:multiLevelType w:val="singleLevel"/>
    <w:tmpl w:val="B8FD791A"/>
    <w:lvl w:ilvl="0" w:tentative="0">
      <w:start w:val="1"/>
      <w:numFmt w:val="chineseCounting"/>
      <w:suff w:val="nothing"/>
      <w:lvlText w:val="%1、"/>
      <w:lvlJc w:val="left"/>
      <w:rPr>
        <w:rFonts w:hint="eastAsia"/>
      </w:rPr>
    </w:lvl>
  </w:abstractNum>
  <w:abstractNum w:abstractNumId="3">
    <w:nsid w:val="15E5310A"/>
    <w:multiLevelType w:val="multilevel"/>
    <w:tmpl w:val="15E5310A"/>
    <w:lvl w:ilvl="0" w:tentative="0">
      <w:start w:val="1"/>
      <w:numFmt w:val="chineseCountingThousand"/>
      <w:pStyle w:val="5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DB61E8"/>
    <w:multiLevelType w:val="singleLevel"/>
    <w:tmpl w:val="75DB61E8"/>
    <w:lvl w:ilvl="0" w:tentative="0">
      <w:start w:val="17"/>
      <w:numFmt w:val="chineseCounting"/>
      <w:suff w:val="space"/>
      <w:lvlText w:val="第%1条"/>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2081"/>
    <w:rsid w:val="000222CC"/>
    <w:rsid w:val="0002767B"/>
    <w:rsid w:val="000313FB"/>
    <w:rsid w:val="00042587"/>
    <w:rsid w:val="00042B20"/>
    <w:rsid w:val="0004334A"/>
    <w:rsid w:val="00047F0C"/>
    <w:rsid w:val="000533A3"/>
    <w:rsid w:val="00074C00"/>
    <w:rsid w:val="00077AAA"/>
    <w:rsid w:val="000836CD"/>
    <w:rsid w:val="00083F47"/>
    <w:rsid w:val="0009006A"/>
    <w:rsid w:val="0009583E"/>
    <w:rsid w:val="000A2ADD"/>
    <w:rsid w:val="000A6FD9"/>
    <w:rsid w:val="000B2186"/>
    <w:rsid w:val="000B40F0"/>
    <w:rsid w:val="000B6192"/>
    <w:rsid w:val="000C16F8"/>
    <w:rsid w:val="000E39CE"/>
    <w:rsid w:val="000E7720"/>
    <w:rsid w:val="0010174A"/>
    <w:rsid w:val="001068DD"/>
    <w:rsid w:val="00115151"/>
    <w:rsid w:val="001200CA"/>
    <w:rsid w:val="00130D32"/>
    <w:rsid w:val="00131B2A"/>
    <w:rsid w:val="00155E09"/>
    <w:rsid w:val="00166EF2"/>
    <w:rsid w:val="0017272A"/>
    <w:rsid w:val="001777FC"/>
    <w:rsid w:val="001A283E"/>
    <w:rsid w:val="001B19E7"/>
    <w:rsid w:val="001B3AE7"/>
    <w:rsid w:val="001B6FAB"/>
    <w:rsid w:val="001C61EC"/>
    <w:rsid w:val="001D2081"/>
    <w:rsid w:val="001E2018"/>
    <w:rsid w:val="001E3206"/>
    <w:rsid w:val="001F4EB7"/>
    <w:rsid w:val="00217004"/>
    <w:rsid w:val="00236162"/>
    <w:rsid w:val="00236483"/>
    <w:rsid w:val="002423E3"/>
    <w:rsid w:val="00244AF1"/>
    <w:rsid w:val="00246B7E"/>
    <w:rsid w:val="002556EA"/>
    <w:rsid w:val="0026322A"/>
    <w:rsid w:val="0026378B"/>
    <w:rsid w:val="00273ABB"/>
    <w:rsid w:val="002770D2"/>
    <w:rsid w:val="00281529"/>
    <w:rsid w:val="002822D8"/>
    <w:rsid w:val="002867C4"/>
    <w:rsid w:val="002934AD"/>
    <w:rsid w:val="002940CD"/>
    <w:rsid w:val="00294DB2"/>
    <w:rsid w:val="00297BFC"/>
    <w:rsid w:val="002A4D97"/>
    <w:rsid w:val="002B1B06"/>
    <w:rsid w:val="002B3574"/>
    <w:rsid w:val="002B3F84"/>
    <w:rsid w:val="002C7F59"/>
    <w:rsid w:val="002D1FC8"/>
    <w:rsid w:val="002E0389"/>
    <w:rsid w:val="002F1BC7"/>
    <w:rsid w:val="003005F4"/>
    <w:rsid w:val="003016E6"/>
    <w:rsid w:val="00321C71"/>
    <w:rsid w:val="003223F5"/>
    <w:rsid w:val="00332817"/>
    <w:rsid w:val="003419F8"/>
    <w:rsid w:val="00346025"/>
    <w:rsid w:val="0035220F"/>
    <w:rsid w:val="00367AE0"/>
    <w:rsid w:val="00370ECD"/>
    <w:rsid w:val="003733BA"/>
    <w:rsid w:val="00391F17"/>
    <w:rsid w:val="003B021D"/>
    <w:rsid w:val="003B0BBC"/>
    <w:rsid w:val="003B7D2A"/>
    <w:rsid w:val="003C2F6E"/>
    <w:rsid w:val="003E12EB"/>
    <w:rsid w:val="0040196A"/>
    <w:rsid w:val="00403BA6"/>
    <w:rsid w:val="00406A09"/>
    <w:rsid w:val="00410AF4"/>
    <w:rsid w:val="00415472"/>
    <w:rsid w:val="004374DA"/>
    <w:rsid w:val="00455D0F"/>
    <w:rsid w:val="00460C1B"/>
    <w:rsid w:val="00462B43"/>
    <w:rsid w:val="00495EF5"/>
    <w:rsid w:val="00497498"/>
    <w:rsid w:val="004A1277"/>
    <w:rsid w:val="004A413D"/>
    <w:rsid w:val="004D1558"/>
    <w:rsid w:val="004E0E23"/>
    <w:rsid w:val="004F2D0C"/>
    <w:rsid w:val="005024A9"/>
    <w:rsid w:val="00503191"/>
    <w:rsid w:val="00515300"/>
    <w:rsid w:val="005179D5"/>
    <w:rsid w:val="00521640"/>
    <w:rsid w:val="0053186B"/>
    <w:rsid w:val="0054124E"/>
    <w:rsid w:val="00543AB5"/>
    <w:rsid w:val="005574B3"/>
    <w:rsid w:val="005616D0"/>
    <w:rsid w:val="00582B71"/>
    <w:rsid w:val="005A1B2D"/>
    <w:rsid w:val="005A2907"/>
    <w:rsid w:val="005A46A3"/>
    <w:rsid w:val="005A4723"/>
    <w:rsid w:val="005B46EE"/>
    <w:rsid w:val="005E3095"/>
    <w:rsid w:val="005E400E"/>
    <w:rsid w:val="005F2442"/>
    <w:rsid w:val="005F545C"/>
    <w:rsid w:val="00605B64"/>
    <w:rsid w:val="00611ECF"/>
    <w:rsid w:val="00612426"/>
    <w:rsid w:val="00613045"/>
    <w:rsid w:val="006165B6"/>
    <w:rsid w:val="00623411"/>
    <w:rsid w:val="00636A3B"/>
    <w:rsid w:val="006379BA"/>
    <w:rsid w:val="00650158"/>
    <w:rsid w:val="006549AE"/>
    <w:rsid w:val="00666869"/>
    <w:rsid w:val="006710BA"/>
    <w:rsid w:val="00677E5B"/>
    <w:rsid w:val="006828C0"/>
    <w:rsid w:val="00683255"/>
    <w:rsid w:val="00683B0C"/>
    <w:rsid w:val="0069034D"/>
    <w:rsid w:val="006909F1"/>
    <w:rsid w:val="00694C37"/>
    <w:rsid w:val="006A4662"/>
    <w:rsid w:val="006B59D9"/>
    <w:rsid w:val="006B7A65"/>
    <w:rsid w:val="006C5FFE"/>
    <w:rsid w:val="006C7D82"/>
    <w:rsid w:val="006D34B8"/>
    <w:rsid w:val="006D7304"/>
    <w:rsid w:val="006E59C4"/>
    <w:rsid w:val="006E6BFF"/>
    <w:rsid w:val="00704543"/>
    <w:rsid w:val="007137D6"/>
    <w:rsid w:val="00726CB6"/>
    <w:rsid w:val="00737F91"/>
    <w:rsid w:val="007462AD"/>
    <w:rsid w:val="00750E64"/>
    <w:rsid w:val="00752B77"/>
    <w:rsid w:val="007531BE"/>
    <w:rsid w:val="00755375"/>
    <w:rsid w:val="00765747"/>
    <w:rsid w:val="0077400D"/>
    <w:rsid w:val="00775BAC"/>
    <w:rsid w:val="0077663D"/>
    <w:rsid w:val="00787EEE"/>
    <w:rsid w:val="007A0443"/>
    <w:rsid w:val="007A0E1B"/>
    <w:rsid w:val="007A7ACA"/>
    <w:rsid w:val="007B4E74"/>
    <w:rsid w:val="007D66C3"/>
    <w:rsid w:val="007E4194"/>
    <w:rsid w:val="007F120D"/>
    <w:rsid w:val="007F15E5"/>
    <w:rsid w:val="007F1E8B"/>
    <w:rsid w:val="007F3633"/>
    <w:rsid w:val="00800A0C"/>
    <w:rsid w:val="00817965"/>
    <w:rsid w:val="00833D73"/>
    <w:rsid w:val="00850233"/>
    <w:rsid w:val="00853511"/>
    <w:rsid w:val="00874C4E"/>
    <w:rsid w:val="00880D5A"/>
    <w:rsid w:val="008875A0"/>
    <w:rsid w:val="008909C4"/>
    <w:rsid w:val="008A305E"/>
    <w:rsid w:val="008C638D"/>
    <w:rsid w:val="008E4337"/>
    <w:rsid w:val="008F1B1E"/>
    <w:rsid w:val="008F4DB1"/>
    <w:rsid w:val="008F5E9F"/>
    <w:rsid w:val="0090021E"/>
    <w:rsid w:val="00904A52"/>
    <w:rsid w:val="009122EC"/>
    <w:rsid w:val="009141BF"/>
    <w:rsid w:val="009250A5"/>
    <w:rsid w:val="00943752"/>
    <w:rsid w:val="009466C2"/>
    <w:rsid w:val="009475BE"/>
    <w:rsid w:val="00956BBC"/>
    <w:rsid w:val="0097004B"/>
    <w:rsid w:val="009834B2"/>
    <w:rsid w:val="0098556E"/>
    <w:rsid w:val="00996705"/>
    <w:rsid w:val="009A762C"/>
    <w:rsid w:val="009B4472"/>
    <w:rsid w:val="009C5CC0"/>
    <w:rsid w:val="009C7E7F"/>
    <w:rsid w:val="009D480A"/>
    <w:rsid w:val="009E161C"/>
    <w:rsid w:val="009F470A"/>
    <w:rsid w:val="00A01423"/>
    <w:rsid w:val="00A06E86"/>
    <w:rsid w:val="00A10A1B"/>
    <w:rsid w:val="00A10F61"/>
    <w:rsid w:val="00A17496"/>
    <w:rsid w:val="00A25B88"/>
    <w:rsid w:val="00A32424"/>
    <w:rsid w:val="00A33DB2"/>
    <w:rsid w:val="00A43B9B"/>
    <w:rsid w:val="00A468A5"/>
    <w:rsid w:val="00A74F42"/>
    <w:rsid w:val="00AA57DF"/>
    <w:rsid w:val="00AC1106"/>
    <w:rsid w:val="00AC7AC7"/>
    <w:rsid w:val="00AD1CC7"/>
    <w:rsid w:val="00AE1CDE"/>
    <w:rsid w:val="00AE585B"/>
    <w:rsid w:val="00AF17C7"/>
    <w:rsid w:val="00AF3430"/>
    <w:rsid w:val="00AF348F"/>
    <w:rsid w:val="00B150FF"/>
    <w:rsid w:val="00B20A95"/>
    <w:rsid w:val="00B23174"/>
    <w:rsid w:val="00B301CB"/>
    <w:rsid w:val="00B314F4"/>
    <w:rsid w:val="00B37C83"/>
    <w:rsid w:val="00B74246"/>
    <w:rsid w:val="00B82844"/>
    <w:rsid w:val="00B8323A"/>
    <w:rsid w:val="00B85C64"/>
    <w:rsid w:val="00B94880"/>
    <w:rsid w:val="00BA4A3D"/>
    <w:rsid w:val="00BB2383"/>
    <w:rsid w:val="00BB2B09"/>
    <w:rsid w:val="00BC5252"/>
    <w:rsid w:val="00BD12B7"/>
    <w:rsid w:val="00BD3C7A"/>
    <w:rsid w:val="00BD6330"/>
    <w:rsid w:val="00BE3FC2"/>
    <w:rsid w:val="00BF37C1"/>
    <w:rsid w:val="00BF54AF"/>
    <w:rsid w:val="00C016AD"/>
    <w:rsid w:val="00C05C2E"/>
    <w:rsid w:val="00C14183"/>
    <w:rsid w:val="00C1504B"/>
    <w:rsid w:val="00C247B6"/>
    <w:rsid w:val="00C302EB"/>
    <w:rsid w:val="00C31819"/>
    <w:rsid w:val="00C32DAF"/>
    <w:rsid w:val="00C368E2"/>
    <w:rsid w:val="00C410DB"/>
    <w:rsid w:val="00C52F74"/>
    <w:rsid w:val="00C53E5C"/>
    <w:rsid w:val="00C649C9"/>
    <w:rsid w:val="00C67647"/>
    <w:rsid w:val="00C732D2"/>
    <w:rsid w:val="00C755EF"/>
    <w:rsid w:val="00C81868"/>
    <w:rsid w:val="00C84FBA"/>
    <w:rsid w:val="00C95512"/>
    <w:rsid w:val="00CA3932"/>
    <w:rsid w:val="00CC09C9"/>
    <w:rsid w:val="00CD2A45"/>
    <w:rsid w:val="00CD5B49"/>
    <w:rsid w:val="00CE1709"/>
    <w:rsid w:val="00CF0361"/>
    <w:rsid w:val="00CF2004"/>
    <w:rsid w:val="00CF4A2E"/>
    <w:rsid w:val="00D04572"/>
    <w:rsid w:val="00D04D11"/>
    <w:rsid w:val="00D06A8A"/>
    <w:rsid w:val="00D16AAF"/>
    <w:rsid w:val="00D21401"/>
    <w:rsid w:val="00D26B97"/>
    <w:rsid w:val="00D43761"/>
    <w:rsid w:val="00D453CB"/>
    <w:rsid w:val="00D50CC6"/>
    <w:rsid w:val="00D545C9"/>
    <w:rsid w:val="00D761B0"/>
    <w:rsid w:val="00D77F3F"/>
    <w:rsid w:val="00D92D48"/>
    <w:rsid w:val="00DA42F2"/>
    <w:rsid w:val="00DA7E71"/>
    <w:rsid w:val="00DB3494"/>
    <w:rsid w:val="00DB4A43"/>
    <w:rsid w:val="00DC23A5"/>
    <w:rsid w:val="00DC5A66"/>
    <w:rsid w:val="00DC62F8"/>
    <w:rsid w:val="00DE759F"/>
    <w:rsid w:val="00E13F91"/>
    <w:rsid w:val="00E24286"/>
    <w:rsid w:val="00E35EA9"/>
    <w:rsid w:val="00E37795"/>
    <w:rsid w:val="00E6574F"/>
    <w:rsid w:val="00E671B3"/>
    <w:rsid w:val="00E721E3"/>
    <w:rsid w:val="00E730DF"/>
    <w:rsid w:val="00E7674D"/>
    <w:rsid w:val="00EB0CCE"/>
    <w:rsid w:val="00EB6B8F"/>
    <w:rsid w:val="00EB7657"/>
    <w:rsid w:val="00EC41C8"/>
    <w:rsid w:val="00EC6C7F"/>
    <w:rsid w:val="00ED2C87"/>
    <w:rsid w:val="00EE5DAE"/>
    <w:rsid w:val="00EF0EB1"/>
    <w:rsid w:val="00F129E3"/>
    <w:rsid w:val="00F25590"/>
    <w:rsid w:val="00F37E7B"/>
    <w:rsid w:val="00F638CE"/>
    <w:rsid w:val="00F66552"/>
    <w:rsid w:val="00F73BDF"/>
    <w:rsid w:val="00F749AA"/>
    <w:rsid w:val="00F77620"/>
    <w:rsid w:val="00F839B2"/>
    <w:rsid w:val="00F84A8D"/>
    <w:rsid w:val="00FA4DEB"/>
    <w:rsid w:val="00FB0BAC"/>
    <w:rsid w:val="00FB6FF6"/>
    <w:rsid w:val="00FD3D17"/>
    <w:rsid w:val="00FD5E55"/>
    <w:rsid w:val="00FE19A1"/>
    <w:rsid w:val="00FF3177"/>
    <w:rsid w:val="00FF65A0"/>
    <w:rsid w:val="00FF7708"/>
    <w:rsid w:val="04E065B4"/>
    <w:rsid w:val="06220667"/>
    <w:rsid w:val="06814816"/>
    <w:rsid w:val="07875544"/>
    <w:rsid w:val="0A534807"/>
    <w:rsid w:val="141C4DCA"/>
    <w:rsid w:val="16125FC0"/>
    <w:rsid w:val="166C5148"/>
    <w:rsid w:val="18A45264"/>
    <w:rsid w:val="1B4641B9"/>
    <w:rsid w:val="1D091942"/>
    <w:rsid w:val="224D673B"/>
    <w:rsid w:val="2D9259ED"/>
    <w:rsid w:val="2DEB107B"/>
    <w:rsid w:val="318A0A94"/>
    <w:rsid w:val="331F315B"/>
    <w:rsid w:val="33EF3803"/>
    <w:rsid w:val="35380917"/>
    <w:rsid w:val="36707454"/>
    <w:rsid w:val="37737DD5"/>
    <w:rsid w:val="3AAA152C"/>
    <w:rsid w:val="3AD46C94"/>
    <w:rsid w:val="3AEF3771"/>
    <w:rsid w:val="3F46487E"/>
    <w:rsid w:val="41E2613A"/>
    <w:rsid w:val="46982FF8"/>
    <w:rsid w:val="48E332D4"/>
    <w:rsid w:val="4A0A26D2"/>
    <w:rsid w:val="4A146D4F"/>
    <w:rsid w:val="4A6D7A89"/>
    <w:rsid w:val="50404DCD"/>
    <w:rsid w:val="52340123"/>
    <w:rsid w:val="532F6D06"/>
    <w:rsid w:val="540B32CF"/>
    <w:rsid w:val="55075F26"/>
    <w:rsid w:val="56951575"/>
    <w:rsid w:val="56BA23F1"/>
    <w:rsid w:val="56E4733A"/>
    <w:rsid w:val="582567C0"/>
    <w:rsid w:val="587E6D3D"/>
    <w:rsid w:val="58AC4F0E"/>
    <w:rsid w:val="5FFB3566"/>
    <w:rsid w:val="679B09B6"/>
    <w:rsid w:val="6878511A"/>
    <w:rsid w:val="6A141F06"/>
    <w:rsid w:val="6EA5451D"/>
    <w:rsid w:val="73D8121A"/>
    <w:rsid w:val="75B3511C"/>
    <w:rsid w:val="77224C3E"/>
    <w:rsid w:val="78EE3D36"/>
    <w:rsid w:val="79AB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9"/>
    <w:pPr>
      <w:keepNext/>
      <w:keepLines/>
      <w:widowControl w:val="0"/>
      <w:spacing w:before="260" w:after="260" w:line="412" w:lineRule="auto"/>
      <w:ind w:firstLine="49" w:firstLineChars="49"/>
      <w:outlineLvl w:val="2"/>
    </w:pPr>
    <w:rPr>
      <w:rFonts w:ascii="黑体" w:hAnsi="Calibri" w:eastAsia="黑体"/>
      <w:sz w:val="2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0"/>
    <w:pPr>
      <w:ind w:firstLine="420" w:firstLineChars="200"/>
    </w:pPr>
  </w:style>
  <w:style w:type="paragraph" w:styleId="6">
    <w:name w:val="index 5"/>
    <w:basedOn w:val="1"/>
    <w:next w:val="1"/>
    <w:qFormat/>
    <w:uiPriority w:val="0"/>
    <w:pPr>
      <w:adjustRightInd w:val="0"/>
      <w:snapToGrid w:val="0"/>
      <w:spacing w:line="360" w:lineRule="auto"/>
      <w:jc w:val="center"/>
    </w:pPr>
    <w:rPr>
      <w:rFonts w:ascii="宋体" w:hAnsi="宋体" w:cs="宋体"/>
      <w:bCs/>
      <w:kern w:val="0"/>
    </w:rPr>
  </w:style>
  <w:style w:type="paragraph" w:styleId="7">
    <w:name w:val="Body Text"/>
    <w:basedOn w:val="1"/>
    <w:next w:val="1"/>
    <w:link w:val="41"/>
    <w:qFormat/>
    <w:uiPriority w:val="0"/>
    <w:pPr>
      <w:spacing w:line="0" w:lineRule="atLeast"/>
    </w:pPr>
    <w:rPr>
      <w:rFonts w:ascii="Times New Roman" w:hAnsi="Times New Roman" w:cs="Times New Roman"/>
      <w:sz w:val="30"/>
      <w:szCs w:val="20"/>
    </w:rPr>
  </w:style>
  <w:style w:type="paragraph" w:styleId="8">
    <w:name w:val="Body Text Indent"/>
    <w:basedOn w:val="1"/>
    <w:next w:val="1"/>
    <w:link w:val="48"/>
    <w:unhideWhenUsed/>
    <w:qFormat/>
    <w:uiPriority w:val="0"/>
    <w:pPr>
      <w:spacing w:after="120"/>
      <w:ind w:left="420" w:leftChars="200"/>
    </w:pPr>
  </w:style>
  <w:style w:type="paragraph" w:styleId="9">
    <w:name w:val="List 2"/>
    <w:basedOn w:val="1"/>
    <w:qFormat/>
    <w:uiPriority w:val="0"/>
    <w:pPr>
      <w:ind w:left="840" w:hanging="420"/>
    </w:pPr>
    <w:rPr>
      <w:rFonts w:ascii="Times New Roman" w:hAnsi="Times New Roman" w:eastAsia="宋体" w:cs="Times New Roman"/>
      <w:szCs w:val="20"/>
    </w:rPr>
  </w:style>
  <w:style w:type="paragraph" w:styleId="10">
    <w:name w:val="toc 5"/>
    <w:basedOn w:val="1"/>
    <w:next w:val="1"/>
    <w:qFormat/>
    <w:uiPriority w:val="0"/>
    <w:pPr>
      <w:ind w:left="1760"/>
      <w:jc w:val="left"/>
    </w:pPr>
    <w:rPr>
      <w:szCs w:val="21"/>
    </w:rPr>
  </w:style>
  <w:style w:type="paragraph" w:styleId="11">
    <w:name w:val="Plain Text"/>
    <w:basedOn w:val="1"/>
    <w:next w:val="1"/>
    <w:link w:val="36"/>
    <w:qFormat/>
    <w:uiPriority w:val="0"/>
    <w:rPr>
      <w:rFonts w:ascii="宋体" w:hAnsi="Courier New"/>
    </w:rPr>
  </w:style>
  <w:style w:type="paragraph" w:styleId="12">
    <w:name w:val="Date"/>
    <w:basedOn w:val="1"/>
    <w:next w:val="1"/>
    <w:link w:val="46"/>
    <w:semiHidden/>
    <w:unhideWhenUsed/>
    <w:qFormat/>
    <w:uiPriority w:val="0"/>
    <w:pPr>
      <w:ind w:left="100" w:leftChars="2500"/>
    </w:pPr>
  </w:style>
  <w:style w:type="paragraph" w:styleId="13">
    <w:name w:val="Balloon Text"/>
    <w:basedOn w:val="1"/>
    <w:link w:val="42"/>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jc w:val="left"/>
    </w:pPr>
  </w:style>
  <w:style w:type="paragraph" w:styleId="17">
    <w:name w:val="Subtitle"/>
    <w:basedOn w:val="1"/>
    <w:next w:val="1"/>
    <w:link w:val="32"/>
    <w:qFormat/>
    <w:uiPriority w:val="11"/>
    <w:pPr>
      <w:spacing w:before="240" w:after="60" w:line="312" w:lineRule="auto"/>
      <w:jc w:val="center"/>
      <w:outlineLvl w:val="1"/>
    </w:pPr>
    <w:rPr>
      <w:rFonts w:ascii="Cambria" w:hAnsi="Cambria"/>
      <w:b/>
      <w:bCs/>
      <w:kern w:val="28"/>
      <w:sz w:val="32"/>
      <w:szCs w:val="32"/>
    </w:rPr>
  </w:style>
  <w:style w:type="paragraph" w:styleId="18">
    <w:name w:val="footnote text"/>
    <w:basedOn w:val="1"/>
    <w:link w:val="50"/>
    <w:semiHidden/>
    <w:unhideWhenUsed/>
    <w:qFormat/>
    <w:uiPriority w:val="99"/>
    <w:pPr>
      <w:snapToGrid w:val="0"/>
      <w:jc w:val="left"/>
    </w:pPr>
    <w:rPr>
      <w:rFonts w:asciiTheme="minorHAnsi" w:hAnsiTheme="minorHAnsi" w:eastAsiaTheme="minorEastAsia" w:cstheme="minorBidi"/>
      <w:sz w:val="18"/>
      <w:szCs w:val="18"/>
    </w:rPr>
  </w:style>
  <w:style w:type="paragraph" w:styleId="19">
    <w:name w:val="toc 2"/>
    <w:basedOn w:val="1"/>
    <w:next w:val="1"/>
    <w:unhideWhenUsed/>
    <w:qFormat/>
    <w:uiPriority w:val="39"/>
    <w:pPr>
      <w:ind w:left="420" w:leftChars="200"/>
    </w:pPr>
  </w:style>
  <w:style w:type="paragraph" w:styleId="20">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link w:val="38"/>
    <w:qFormat/>
    <w:uiPriority w:val="0"/>
    <w:pPr>
      <w:widowControl/>
      <w:spacing w:before="240" w:after="60"/>
      <w:jc w:val="center"/>
      <w:outlineLvl w:val="0"/>
    </w:pPr>
    <w:rPr>
      <w:rFonts w:ascii="Arial" w:hAnsi="Arial" w:cs="Arial"/>
      <w:b/>
      <w:bCs/>
      <w:sz w:val="44"/>
      <w:szCs w:val="32"/>
    </w:rPr>
  </w:style>
  <w:style w:type="paragraph" w:styleId="22">
    <w:name w:val="Body Text First Indent 2"/>
    <w:basedOn w:val="8"/>
    <w:next w:val="1"/>
    <w:link w:val="49"/>
    <w:semiHidden/>
    <w:unhideWhenUsed/>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unhideWhenUsed/>
    <w:qFormat/>
    <w:uiPriority w:val="99"/>
    <w:rPr>
      <w:color w:val="0000FF"/>
      <w:u w:val="single"/>
    </w:rPr>
  </w:style>
  <w:style w:type="character" w:styleId="28">
    <w:name w:val="footnote reference"/>
    <w:basedOn w:val="25"/>
    <w:semiHidden/>
    <w:unhideWhenUsed/>
    <w:qFormat/>
    <w:uiPriority w:val="99"/>
    <w:rPr>
      <w:vertAlign w:val="superscript"/>
    </w:r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30">
    <w:name w:val="无间隔1"/>
    <w:link w:val="43"/>
    <w:qFormat/>
    <w:uiPriority w:val="1"/>
    <w:rPr>
      <w:rFonts w:ascii="Calibri" w:hAnsi="Calibri" w:eastAsia="宋体" w:cs="黑体"/>
      <w:sz w:val="22"/>
      <w:szCs w:val="22"/>
      <w:lang w:val="en-US" w:eastAsia="zh-CN" w:bidi="ar-SA"/>
    </w:rPr>
  </w:style>
  <w:style w:type="character" w:customStyle="1" w:styleId="31">
    <w:name w:val="标题 1 Char"/>
    <w:link w:val="2"/>
    <w:qFormat/>
    <w:uiPriority w:val="9"/>
    <w:rPr>
      <w:b/>
      <w:bCs/>
      <w:kern w:val="44"/>
      <w:sz w:val="44"/>
      <w:szCs w:val="44"/>
    </w:rPr>
  </w:style>
  <w:style w:type="character" w:customStyle="1" w:styleId="32">
    <w:name w:val="副标题 Char"/>
    <w:link w:val="17"/>
    <w:qFormat/>
    <w:uiPriority w:val="11"/>
    <w:rPr>
      <w:rFonts w:ascii="Cambria" w:hAnsi="Cambria" w:eastAsia="宋体" w:cs="黑体"/>
      <w:b/>
      <w:bCs/>
      <w:kern w:val="28"/>
      <w:sz w:val="32"/>
      <w:szCs w:val="32"/>
    </w:rPr>
  </w:style>
  <w:style w:type="character" w:customStyle="1" w:styleId="33">
    <w:name w:val="页眉 Char"/>
    <w:link w:val="15"/>
    <w:qFormat/>
    <w:uiPriority w:val="0"/>
    <w:rPr>
      <w:sz w:val="18"/>
      <w:szCs w:val="18"/>
    </w:rPr>
  </w:style>
  <w:style w:type="character" w:customStyle="1" w:styleId="34">
    <w:name w:val="页脚 Char"/>
    <w:link w:val="14"/>
    <w:qFormat/>
    <w:uiPriority w:val="99"/>
    <w:rPr>
      <w:sz w:val="18"/>
      <w:szCs w:val="18"/>
    </w:rPr>
  </w:style>
  <w:style w:type="character" w:customStyle="1" w:styleId="35">
    <w:name w:val="标题 2 Char"/>
    <w:link w:val="3"/>
    <w:qFormat/>
    <w:uiPriority w:val="9"/>
    <w:rPr>
      <w:rFonts w:ascii="Cambria" w:hAnsi="Cambria" w:eastAsia="宋体" w:cs="黑体"/>
      <w:b/>
      <w:bCs/>
      <w:sz w:val="32"/>
      <w:szCs w:val="32"/>
    </w:rPr>
  </w:style>
  <w:style w:type="character" w:customStyle="1" w:styleId="36">
    <w:name w:val="纯文本 Char"/>
    <w:link w:val="11"/>
    <w:qFormat/>
    <w:uiPriority w:val="0"/>
    <w:rPr>
      <w:rFonts w:ascii="宋体" w:hAnsi="Courier New" w:eastAsia="宋体"/>
    </w:rPr>
  </w:style>
  <w:style w:type="character" w:customStyle="1" w:styleId="37">
    <w:name w:val="纯文本 Char1"/>
    <w:qFormat/>
    <w:uiPriority w:val="99"/>
    <w:rPr>
      <w:rFonts w:ascii="宋体" w:hAnsi="Courier New" w:eastAsia="宋体" w:cs="Courier New"/>
      <w:szCs w:val="21"/>
    </w:rPr>
  </w:style>
  <w:style w:type="character" w:customStyle="1" w:styleId="38">
    <w:name w:val="标题 Char"/>
    <w:link w:val="21"/>
    <w:qFormat/>
    <w:uiPriority w:val="0"/>
    <w:rPr>
      <w:rFonts w:ascii="Arial" w:hAnsi="Arial" w:eastAsia="宋体" w:cs="Arial"/>
      <w:b/>
      <w:bCs/>
      <w:sz w:val="44"/>
      <w:szCs w:val="32"/>
    </w:rPr>
  </w:style>
  <w:style w:type="character" w:customStyle="1" w:styleId="39">
    <w:name w:val="标题 Char1"/>
    <w:qFormat/>
    <w:uiPriority w:val="10"/>
    <w:rPr>
      <w:rFonts w:ascii="Cambria" w:hAnsi="Cambria" w:eastAsia="宋体" w:cs="黑体"/>
      <w:b/>
      <w:bCs/>
      <w:sz w:val="32"/>
      <w:szCs w:val="32"/>
    </w:rPr>
  </w:style>
  <w:style w:type="character" w:customStyle="1" w:styleId="40">
    <w:name w:val="正文文本 Char Char"/>
    <w:basedOn w:val="25"/>
    <w:qFormat/>
    <w:uiPriority w:val="99"/>
  </w:style>
  <w:style w:type="character" w:customStyle="1" w:styleId="41">
    <w:name w:val="正文文本 Char"/>
    <w:link w:val="7"/>
    <w:qFormat/>
    <w:uiPriority w:val="0"/>
    <w:rPr>
      <w:rFonts w:ascii="Times New Roman" w:hAnsi="Times New Roman" w:eastAsia="宋体" w:cs="Times New Roman"/>
      <w:sz w:val="30"/>
      <w:szCs w:val="20"/>
    </w:rPr>
  </w:style>
  <w:style w:type="character" w:customStyle="1" w:styleId="42">
    <w:name w:val="批注框文本 Char"/>
    <w:link w:val="13"/>
    <w:qFormat/>
    <w:uiPriority w:val="99"/>
    <w:rPr>
      <w:sz w:val="18"/>
      <w:szCs w:val="18"/>
    </w:rPr>
  </w:style>
  <w:style w:type="character" w:customStyle="1" w:styleId="43">
    <w:name w:val="无间隔 Char"/>
    <w:link w:val="30"/>
    <w:qFormat/>
    <w:uiPriority w:val="1"/>
    <w:rPr>
      <w:kern w:val="0"/>
      <w:sz w:val="22"/>
    </w:rPr>
  </w:style>
  <w:style w:type="paragraph" w:customStyle="1" w:styleId="44">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5">
    <w:name w:val="样式 正文（首行缩进两字） + 宋体 小四"/>
    <w:basedOn w:val="5"/>
    <w:qFormat/>
    <w:uiPriority w:val="0"/>
    <w:pPr>
      <w:spacing w:line="100" w:lineRule="atLeast"/>
      <w:ind w:firstLine="614" w:firstLineChars="192"/>
      <w:jc w:val="left"/>
    </w:pPr>
    <w:rPr>
      <w:rFonts w:ascii="仿宋_GB2312" w:hAnsi="宋体" w:eastAsia="仿宋_GB2312" w:cs="Times New Roman"/>
      <w:sz w:val="32"/>
      <w:szCs w:val="20"/>
    </w:rPr>
  </w:style>
  <w:style w:type="character" w:customStyle="1" w:styleId="46">
    <w:name w:val="日期 Char"/>
    <w:basedOn w:val="25"/>
    <w:link w:val="12"/>
    <w:semiHidden/>
    <w:qFormat/>
    <w:uiPriority w:val="0"/>
    <w:rPr>
      <w:rFonts w:ascii="Calibri" w:hAnsi="Calibri" w:cs="黑体"/>
      <w:kern w:val="2"/>
      <w:sz w:val="21"/>
      <w:szCs w:val="22"/>
    </w:rPr>
  </w:style>
  <w:style w:type="paragraph" w:styleId="47">
    <w:name w:val="List Paragraph"/>
    <w:basedOn w:val="1"/>
    <w:unhideWhenUsed/>
    <w:qFormat/>
    <w:uiPriority w:val="99"/>
    <w:pPr>
      <w:ind w:firstLine="420" w:firstLineChars="200"/>
    </w:pPr>
  </w:style>
  <w:style w:type="character" w:customStyle="1" w:styleId="48">
    <w:name w:val="正文文本缩进 Char"/>
    <w:basedOn w:val="25"/>
    <w:link w:val="8"/>
    <w:qFormat/>
    <w:uiPriority w:val="0"/>
    <w:rPr>
      <w:rFonts w:ascii="Calibri" w:hAnsi="Calibri" w:cs="黑体"/>
      <w:kern w:val="2"/>
      <w:sz w:val="21"/>
      <w:szCs w:val="22"/>
    </w:rPr>
  </w:style>
  <w:style w:type="character" w:customStyle="1" w:styleId="49">
    <w:name w:val="正文首行缩进 2 Char"/>
    <w:basedOn w:val="48"/>
    <w:link w:val="22"/>
    <w:semiHidden/>
    <w:qFormat/>
    <w:uiPriority w:val="0"/>
  </w:style>
  <w:style w:type="character" w:customStyle="1" w:styleId="50">
    <w:name w:val="脚注文本 Char"/>
    <w:basedOn w:val="25"/>
    <w:link w:val="18"/>
    <w:semiHidden/>
    <w:qFormat/>
    <w:uiPriority w:val="99"/>
    <w:rPr>
      <w:rFonts w:asciiTheme="minorHAnsi" w:hAnsiTheme="minorHAnsi" w:eastAsiaTheme="minorEastAsia" w:cstheme="minorBidi"/>
      <w:kern w:val="2"/>
      <w:sz w:val="18"/>
      <w:szCs w:val="18"/>
    </w:rPr>
  </w:style>
  <w:style w:type="paragraph" w:customStyle="1" w:styleId="51">
    <w:name w:val="Table Text"/>
    <w:basedOn w:val="1"/>
    <w:semiHidden/>
    <w:qFormat/>
    <w:uiPriority w:val="0"/>
    <w:rPr>
      <w:rFonts w:ascii="宋体" w:hAnsi="宋体" w:eastAsia="宋体" w:cs="宋体"/>
      <w:sz w:val="22"/>
      <w:szCs w:val="22"/>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p0"/>
    <w:basedOn w:val="1"/>
    <w:qFormat/>
    <w:uiPriority w:val="0"/>
    <w:pPr>
      <w:widowControl/>
    </w:pPr>
    <w:rPr>
      <w:kern w:val="0"/>
      <w:szCs w:val="21"/>
    </w:rPr>
  </w:style>
  <w:style w:type="paragraph" w:customStyle="1" w:styleId="54">
    <w:name w:val="样式 正文11 + 首行缩进:  2 字符"/>
    <w:basedOn w:val="1"/>
    <w:qFormat/>
    <w:uiPriority w:val="0"/>
    <w:pPr>
      <w:ind w:firstLine="560"/>
    </w:pPr>
    <w:rPr>
      <w:rFonts w:ascii="宋体" w:hAnsi="宋体" w:eastAsia="微软雅黑" w:cs="宋体"/>
      <w:color w:val="FF0000"/>
      <w:szCs w:val="20"/>
    </w:rPr>
  </w:style>
  <w:style w:type="paragraph" w:customStyle="1" w:styleId="55">
    <w:name w:val="List Paragraph1"/>
    <w:basedOn w:val="1"/>
    <w:qFormat/>
    <w:uiPriority w:val="99"/>
    <w:pPr>
      <w:ind w:firstLine="420" w:firstLineChars="200"/>
    </w:pPr>
  </w:style>
  <w:style w:type="paragraph" w:customStyle="1" w:styleId="56">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Table Paragraph"/>
    <w:basedOn w:val="1"/>
    <w:qFormat/>
    <w:uiPriority w:val="99"/>
    <w:pPr>
      <w:widowControl w:val="0"/>
      <w:jc w:val="left"/>
    </w:pPr>
    <w:rPr>
      <w:rFonts w:ascii="Calibri" w:hAnsi="Calibri"/>
      <w:kern w:val="0"/>
      <w:sz w:val="22"/>
      <w:szCs w:val="22"/>
    </w:rPr>
  </w:style>
  <w:style w:type="paragraph" w:customStyle="1" w:styleId="58">
    <w:name w:val="标题2"/>
    <w:basedOn w:val="2"/>
    <w:qFormat/>
    <w:uiPriority w:val="0"/>
    <w:pPr>
      <w:numPr>
        <w:ilvl w:val="0"/>
        <w:numId w:val="1"/>
      </w:numPr>
      <w:tabs>
        <w:tab w:val="left" w:pos="284"/>
      </w:tabs>
    </w:pPr>
    <w:rPr>
      <w:rFonts w:eastAsia="仿宋"/>
    </w:rPr>
  </w:style>
  <w:style w:type="paragraph" w:customStyle="1" w:styleId="59">
    <w:name w:val="标题3"/>
    <w:basedOn w:val="1"/>
    <w:qFormat/>
    <w:uiPriority w:val="0"/>
    <w:pPr>
      <w:tabs>
        <w:tab w:val="left" w:pos="1800"/>
      </w:tabs>
      <w:snapToGrid w:val="0"/>
      <w:spacing w:line="360" w:lineRule="auto"/>
      <w:ind w:left="0"/>
    </w:pPr>
    <w:rPr>
      <w:rFonts w:ascii="宋体" w:hAnsi="宋体" w:cs="仿宋_GB2312"/>
      <w:b/>
      <w:color w:val="000000"/>
      <w:sz w:val="24"/>
      <w:szCs w:val="24"/>
    </w:rPr>
  </w:style>
  <w:style w:type="paragraph" w:customStyle="1" w:styleId="60">
    <w:name w:val="正文-公1"/>
    <w:basedOn w:val="61"/>
    <w:autoRedefine/>
    <w:qFormat/>
    <w:uiPriority w:val="99"/>
    <w:pPr>
      <w:ind w:firstLine="200" w:firstLineChars="200"/>
    </w:pPr>
  </w:style>
  <w:style w:type="paragraph" w:customStyle="1" w:styleId="61">
    <w:name w:val="正文 New New New New New New New New New New New New"/>
    <w:next w:val="60"/>
    <w:autoRedefine/>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09" textRotate="1"/>
    <customShpInfo spid="_x0000_s4110" textRotate="1"/>
    <customShpInfo spid="_x0000_s4112" textRotate="1"/>
    <customShpInfo spid="_x0000_s411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30667</Words>
  <Characters>32623</Characters>
  <Lines>202</Lines>
  <Paragraphs>57</Paragraphs>
  <TotalTime>1</TotalTime>
  <ScaleCrop>false</ScaleCrop>
  <LinksUpToDate>false</LinksUpToDate>
  <CharactersWithSpaces>34638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NTKO</dc:creator>
  <cp:lastModifiedBy>00:00</cp:lastModifiedBy>
  <cp:lastPrinted>2025-07-10T03:16:29Z</cp:lastPrinted>
  <dcterms:modified xsi:type="dcterms:W3CDTF">2025-07-10T03:17:25Z</dcterms:modified>
  <dc:title>辉发河桦甸段水质变化分析论证</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896DEB5D2093415A9A5CFD90775A303C</vt:lpwstr>
  </property>
  <property fmtid="{D5CDD505-2E9C-101B-9397-08002B2CF9AE}" pid="4" name="KSOTemplateDocerSaveRecord">
    <vt:lpwstr>eyJoZGlkIjoiMGNjOTZhODViMzcxNGYxNmM1YWJhMjE2NmVjMmE4YTYiLCJ1c2VySWQiOiIzNjEzNjE5MjcifQ==</vt:lpwstr>
  </property>
</Properties>
</file>