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D3E7">
      <w:pPr>
        <w:jc w:val="both"/>
        <w:rPr>
          <w:rFonts w:hint="eastAsia" w:ascii="宋体" w:hAnsi="宋体"/>
          <w:b/>
          <w:bCs/>
          <w:sz w:val="72"/>
          <w:szCs w:val="72"/>
          <w:highlight w:val="none"/>
          <w:lang w:eastAsia="zh-CN"/>
        </w:rPr>
      </w:pPr>
    </w:p>
    <w:p w14:paraId="5EBA7C9C">
      <w:pPr>
        <w:jc w:val="center"/>
        <w:rPr>
          <w:rFonts w:hint="default" w:ascii="宋体" w:hAnsi="宋体" w:cs="宋体"/>
          <w:b/>
          <w:sz w:val="52"/>
          <w:szCs w:val="52"/>
          <w:highlight w:val="none"/>
          <w:lang w:val="en-US" w:eastAsia="zh-CN"/>
        </w:rPr>
      </w:pPr>
      <w:r>
        <w:rPr>
          <w:rFonts w:hint="eastAsia" w:ascii="宋体" w:hAnsi="宋体" w:cs="宋体"/>
          <w:b/>
          <w:sz w:val="52"/>
          <w:szCs w:val="52"/>
          <w:highlight w:val="none"/>
          <w:lang w:eastAsia="zh-CN"/>
        </w:rPr>
        <w:t>改善训练比赛场地设施条件维修改造运动员村、运动员之家公寓及附属设施</w:t>
      </w:r>
      <w:r>
        <w:rPr>
          <w:rFonts w:hint="eastAsia" w:ascii="宋体" w:hAnsi="宋体" w:cs="宋体"/>
          <w:b/>
          <w:sz w:val="52"/>
          <w:szCs w:val="52"/>
          <w:highlight w:val="none"/>
          <w:lang w:val="en-US" w:eastAsia="zh-CN"/>
        </w:rPr>
        <w:t>二次</w:t>
      </w:r>
    </w:p>
    <w:p w14:paraId="29620D56">
      <w:pPr>
        <w:jc w:val="center"/>
        <w:rPr>
          <w:rFonts w:hint="eastAsia" w:ascii="宋体" w:hAnsi="宋体" w:cs="宋体"/>
          <w:b/>
          <w:sz w:val="52"/>
          <w:szCs w:val="52"/>
          <w:highlight w:val="none"/>
          <w:lang w:eastAsia="zh-CN"/>
        </w:rPr>
      </w:pPr>
    </w:p>
    <w:p w14:paraId="286B565C">
      <w:pPr>
        <w:jc w:val="center"/>
        <w:outlineLvl w:val="0"/>
        <w:rPr>
          <w:rFonts w:hint="eastAsia" w:ascii="宋体" w:hAnsi="宋体" w:cs="宋体"/>
          <w:b/>
          <w:sz w:val="84"/>
          <w:szCs w:val="84"/>
          <w:highlight w:val="none"/>
        </w:rPr>
      </w:pPr>
      <w:bookmarkStart w:id="0" w:name="_Toc22326"/>
      <w:r>
        <w:rPr>
          <w:rFonts w:hint="eastAsia" w:ascii="宋体" w:hAnsi="宋体" w:cs="宋体"/>
          <w:b/>
          <w:sz w:val="84"/>
          <w:szCs w:val="84"/>
          <w:highlight w:val="none"/>
        </w:rPr>
        <w:t>竞争性磋商文件</w:t>
      </w:r>
      <w:bookmarkEnd w:id="0"/>
    </w:p>
    <w:p w14:paraId="0DF6F34C">
      <w:pPr>
        <w:jc w:val="center"/>
        <w:outlineLvl w:val="0"/>
        <w:rPr>
          <w:rFonts w:hint="eastAsia" w:ascii="宋体" w:hAnsi="宋体" w:cs="宋体"/>
          <w:b/>
          <w:sz w:val="36"/>
          <w:szCs w:val="36"/>
          <w:highlight w:val="none"/>
        </w:rPr>
      </w:pPr>
    </w:p>
    <w:p w14:paraId="32E9B110">
      <w:pPr>
        <w:jc w:val="center"/>
        <w:outlineLvl w:val="0"/>
        <w:rPr>
          <w:rFonts w:hint="default" w:ascii="宋体" w:hAnsi="宋体" w:eastAsia="宋体" w:cs="宋体"/>
          <w:b/>
          <w:bCs/>
          <w:sz w:val="28"/>
          <w:szCs w:val="28"/>
          <w:highlight w:val="none"/>
          <w:lang w:val="en-US"/>
        </w:rPr>
      </w:pPr>
      <w:bookmarkStart w:id="1" w:name="_Toc31795"/>
      <w:r>
        <w:rPr>
          <w:rFonts w:hint="eastAsia" w:ascii="宋体" w:hAnsi="宋体" w:cs="宋体"/>
          <w:b/>
          <w:bCs/>
          <w:sz w:val="28"/>
          <w:szCs w:val="28"/>
          <w:highlight w:val="none"/>
        </w:rPr>
        <w:t>项目编号：</w:t>
      </w:r>
      <w:bookmarkEnd w:id="1"/>
      <w:r>
        <w:rPr>
          <w:rFonts w:hint="eastAsia" w:ascii="宋体" w:hAnsi="宋体" w:cs="宋体"/>
          <w:b/>
          <w:bCs/>
          <w:sz w:val="28"/>
          <w:szCs w:val="28"/>
          <w:highlight w:val="none"/>
        </w:rPr>
        <w:t>采购计划-[2025]-06077号-HCKJ-2025-GC003</w:t>
      </w:r>
    </w:p>
    <w:p w14:paraId="3140DFB3">
      <w:pPr>
        <w:jc w:val="center"/>
        <w:rPr>
          <w:rFonts w:ascii="宋体" w:hAnsi="宋体" w:cs="宋体"/>
          <w:b/>
          <w:sz w:val="32"/>
          <w:szCs w:val="32"/>
          <w:highlight w:val="none"/>
        </w:rPr>
      </w:pPr>
    </w:p>
    <w:p w14:paraId="459C380C">
      <w:pPr>
        <w:spacing w:line="480" w:lineRule="auto"/>
        <w:jc w:val="center"/>
        <w:rPr>
          <w:rFonts w:ascii="宋体" w:hAnsi="宋体" w:cs="宋体"/>
          <w:b/>
          <w:sz w:val="32"/>
          <w:szCs w:val="32"/>
          <w:highlight w:val="none"/>
        </w:rPr>
      </w:pPr>
    </w:p>
    <w:p w14:paraId="37012544">
      <w:pPr>
        <w:spacing w:line="480" w:lineRule="auto"/>
        <w:jc w:val="center"/>
        <w:rPr>
          <w:rFonts w:hint="eastAsia" w:ascii="宋体" w:hAnsi="宋体" w:cs="宋体"/>
          <w:b/>
          <w:sz w:val="32"/>
          <w:szCs w:val="32"/>
          <w:highlight w:val="none"/>
        </w:rPr>
      </w:pPr>
    </w:p>
    <w:p w14:paraId="1B3FE1DB">
      <w:pPr>
        <w:spacing w:line="480" w:lineRule="auto"/>
        <w:jc w:val="center"/>
        <w:rPr>
          <w:rFonts w:hint="eastAsia" w:ascii="宋体" w:hAnsi="宋体" w:cs="宋体"/>
          <w:b/>
          <w:sz w:val="32"/>
          <w:szCs w:val="32"/>
          <w:highlight w:val="none"/>
        </w:rPr>
      </w:pPr>
    </w:p>
    <w:p w14:paraId="1A045A76">
      <w:pPr>
        <w:spacing w:line="480" w:lineRule="auto"/>
        <w:jc w:val="center"/>
        <w:rPr>
          <w:rFonts w:hint="eastAsia" w:ascii="宋体" w:hAnsi="宋体" w:cs="宋体"/>
          <w:b/>
          <w:sz w:val="32"/>
          <w:szCs w:val="32"/>
          <w:highlight w:val="none"/>
        </w:rPr>
      </w:pPr>
    </w:p>
    <w:p w14:paraId="06FFFB67">
      <w:pPr>
        <w:spacing w:line="480" w:lineRule="auto"/>
        <w:jc w:val="center"/>
        <w:outlineLvl w:val="0"/>
        <w:rPr>
          <w:rFonts w:hint="eastAsia" w:ascii="宋体" w:hAnsi="宋体" w:eastAsia="宋体" w:cs="宋体"/>
          <w:b/>
          <w:sz w:val="32"/>
          <w:szCs w:val="32"/>
          <w:highlight w:val="none"/>
          <w:lang w:eastAsia="zh-CN"/>
        </w:rPr>
      </w:pPr>
      <w:bookmarkStart w:id="2" w:name="_Toc16467"/>
      <w:r>
        <w:rPr>
          <w:rFonts w:hint="eastAsia" w:ascii="宋体" w:hAnsi="宋体" w:eastAsia="宋体" w:cs="宋体"/>
          <w:b/>
          <w:sz w:val="32"/>
          <w:szCs w:val="32"/>
          <w:highlight w:val="none"/>
        </w:rPr>
        <w:t>采购人：</w:t>
      </w:r>
      <w:bookmarkEnd w:id="2"/>
      <w:r>
        <w:rPr>
          <w:rFonts w:hint="eastAsia" w:ascii="宋体" w:hAnsi="宋体" w:eastAsia="宋体" w:cs="宋体"/>
          <w:b/>
          <w:sz w:val="32"/>
          <w:szCs w:val="32"/>
          <w:highlight w:val="none"/>
          <w:lang w:val="zh-CN" w:eastAsia="zh-CN"/>
        </w:rPr>
        <w:t>长白山高原冰雪训练基地</w:t>
      </w:r>
    </w:p>
    <w:p w14:paraId="447D3FC6">
      <w:pPr>
        <w:spacing w:line="480" w:lineRule="auto"/>
        <w:jc w:val="center"/>
        <w:outlineLvl w:val="0"/>
        <w:rPr>
          <w:rFonts w:hint="eastAsia" w:ascii="宋体" w:hAnsi="宋体" w:eastAsia="宋体" w:cs="宋体"/>
          <w:b/>
          <w:sz w:val="32"/>
          <w:szCs w:val="32"/>
          <w:highlight w:val="none"/>
          <w:lang w:eastAsia="zh-CN"/>
        </w:rPr>
      </w:pPr>
      <w:bookmarkStart w:id="3" w:name="_Toc22365"/>
      <w:r>
        <w:rPr>
          <w:rFonts w:hint="eastAsia" w:ascii="宋体" w:hAnsi="宋体" w:eastAsia="宋体" w:cs="宋体"/>
          <w:b/>
          <w:sz w:val="32"/>
          <w:szCs w:val="32"/>
          <w:highlight w:val="none"/>
        </w:rPr>
        <w:t>采购代理机构：</w:t>
      </w:r>
      <w:bookmarkEnd w:id="3"/>
      <w:r>
        <w:rPr>
          <w:rFonts w:hint="eastAsia" w:ascii="宋体" w:hAnsi="宋体" w:eastAsia="宋体" w:cs="宋体"/>
          <w:b/>
          <w:sz w:val="32"/>
          <w:szCs w:val="32"/>
          <w:highlight w:val="none"/>
          <w:lang w:val="zh-CN" w:eastAsia="zh-CN"/>
        </w:rPr>
        <w:t>吉林省海创科建工程咨询有限公司</w:t>
      </w:r>
    </w:p>
    <w:p w14:paraId="30F92FB9">
      <w:pPr>
        <w:spacing w:line="48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202</w:t>
      </w:r>
      <w:r>
        <w:rPr>
          <w:rFonts w:hint="eastAsia" w:ascii="宋体" w:hAnsi="宋体" w:cs="宋体"/>
          <w:b/>
          <w:sz w:val="32"/>
          <w:szCs w:val="32"/>
          <w:highlight w:val="none"/>
          <w:lang w:val="en-US" w:eastAsia="zh-CN"/>
        </w:rPr>
        <w:t>5</w:t>
      </w:r>
      <w:r>
        <w:rPr>
          <w:rFonts w:hint="eastAsia" w:ascii="宋体" w:hAnsi="宋体" w:eastAsia="宋体" w:cs="宋体"/>
          <w:b/>
          <w:sz w:val="32"/>
          <w:szCs w:val="32"/>
          <w:highlight w:val="none"/>
        </w:rPr>
        <w:t>年</w:t>
      </w:r>
      <w:r>
        <w:rPr>
          <w:rFonts w:hint="eastAsia" w:ascii="宋体" w:hAnsi="宋体" w:cs="宋体"/>
          <w:b/>
          <w:sz w:val="32"/>
          <w:szCs w:val="32"/>
          <w:highlight w:val="none"/>
          <w:lang w:val="en-US" w:eastAsia="zh-CN"/>
        </w:rPr>
        <w:t>7</w:t>
      </w:r>
      <w:r>
        <w:rPr>
          <w:rFonts w:hint="eastAsia" w:ascii="宋体" w:hAnsi="宋体" w:eastAsia="宋体" w:cs="宋体"/>
          <w:b/>
          <w:sz w:val="32"/>
          <w:szCs w:val="32"/>
          <w:highlight w:val="none"/>
        </w:rPr>
        <w:t>月</w:t>
      </w:r>
    </w:p>
    <w:p w14:paraId="6803467F">
      <w:pPr>
        <w:spacing w:line="480" w:lineRule="auto"/>
        <w:jc w:val="center"/>
        <w:rPr>
          <w:rFonts w:hint="eastAsia" w:ascii="宋体" w:hAnsi="宋体" w:eastAsia="宋体" w:cs="宋体"/>
          <w:b/>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737" w:gutter="0"/>
          <w:pgNumType w:start="0"/>
          <w:cols w:space="720" w:num="1"/>
          <w:titlePg/>
          <w:docGrid w:type="lines" w:linePitch="490" w:charSpace="0"/>
        </w:sectPr>
      </w:pPr>
    </w:p>
    <w:p w14:paraId="0C07E3E5">
      <w:pPr>
        <w:autoSpaceDE w:val="0"/>
        <w:autoSpaceDN w:val="0"/>
        <w:adjustRightInd w:val="0"/>
        <w:jc w:val="center"/>
        <w:rPr>
          <w:rFonts w:ascii="宋体" w:hAnsi="宋体" w:cs="宋体"/>
          <w:b/>
          <w:sz w:val="44"/>
          <w:highlight w:val="none"/>
          <w:lang w:val="zh-CN"/>
        </w:rPr>
      </w:pPr>
      <w:r>
        <w:rPr>
          <w:rFonts w:hint="eastAsia" w:ascii="宋体" w:hAnsi="宋体" w:cs="宋体"/>
          <w:b/>
          <w:sz w:val="44"/>
          <w:highlight w:val="none"/>
          <w:lang w:val="zh-CN"/>
        </w:rPr>
        <w:t>目  录</w:t>
      </w:r>
    </w:p>
    <w:sdt>
      <w:sdtPr>
        <w:rPr>
          <w:rFonts w:ascii="宋体" w:hAnsi="宋体" w:eastAsia="宋体" w:cs="Times New Roman"/>
          <w:kern w:val="2"/>
          <w:sz w:val="28"/>
          <w:szCs w:val="28"/>
          <w:highlight w:val="none"/>
          <w:lang w:val="en-US" w:eastAsia="zh-CN" w:bidi="ar-SA"/>
        </w:rPr>
        <w:id w:val="147463653"/>
        <w15:color w:val="DBDBDB"/>
        <w:docPartObj>
          <w:docPartGallery w:val="Table of Contents"/>
          <w:docPartUnique/>
        </w:docPartObj>
      </w:sdtPr>
      <w:sdtEndPr>
        <w:rPr>
          <w:rFonts w:ascii="宋体" w:hAnsi="宋体" w:eastAsia="宋体" w:cs="宋体"/>
          <w:kern w:val="2"/>
          <w:sz w:val="21"/>
          <w:szCs w:val="21"/>
          <w:highlight w:val="none"/>
          <w:lang w:val="zh-CN" w:eastAsia="zh-CN" w:bidi="ar-SA"/>
        </w:rPr>
      </w:sdtEndPr>
      <w:sdtContent>
        <w:p w14:paraId="47AFD069">
          <w:pPr>
            <w:keepNext w:val="0"/>
            <w:keepLines w:val="0"/>
            <w:pageBreakBefore w:val="0"/>
            <w:kinsoku/>
            <w:wordWrap/>
            <w:overflowPunct/>
            <w:topLinePunct w:val="0"/>
            <w:bidi w:val="0"/>
            <w:snapToGrid/>
            <w:spacing w:before="0" w:after="0" w:line="240" w:lineRule="auto"/>
            <w:ind w:left="0" w:leftChars="0" w:right="0" w:rightChars="0" w:firstLine="0" w:firstLineChars="0"/>
            <w:jc w:val="left"/>
            <w:textAlignment w:val="auto"/>
            <w:rPr>
              <w:sz w:val="28"/>
              <w:szCs w:val="28"/>
              <w:highlight w:val="none"/>
            </w:rPr>
          </w:pPr>
          <w:r>
            <w:rPr>
              <w:rFonts w:ascii="宋体" w:hAnsi="宋体" w:cs="宋体"/>
              <w:b/>
              <w:sz w:val="28"/>
              <w:szCs w:val="28"/>
              <w:highlight w:val="none"/>
              <w:lang w:val="zh-CN"/>
            </w:rPr>
            <w:fldChar w:fldCharType="begin"/>
          </w:r>
          <w:r>
            <w:rPr>
              <w:rFonts w:ascii="宋体" w:hAnsi="宋体" w:cs="宋体"/>
              <w:b/>
              <w:sz w:val="28"/>
              <w:szCs w:val="28"/>
              <w:highlight w:val="none"/>
              <w:lang w:val="zh-CN"/>
            </w:rPr>
            <w:instrText xml:space="preserve">TOC \o "1-1" \h \u </w:instrText>
          </w:r>
          <w:r>
            <w:rPr>
              <w:rFonts w:ascii="宋体" w:hAnsi="宋体" w:cs="宋体"/>
              <w:b/>
              <w:sz w:val="28"/>
              <w:szCs w:val="28"/>
              <w:highlight w:val="none"/>
              <w:lang w:val="zh-CN"/>
            </w:rPr>
            <w:fldChar w:fldCharType="separate"/>
          </w:r>
          <w:r>
            <w:rPr>
              <w:rFonts w:ascii="宋体" w:hAnsi="宋体" w:cs="宋体"/>
              <w:sz w:val="28"/>
              <w:szCs w:val="28"/>
              <w:highlight w:val="none"/>
              <w:lang w:val="zh-CN"/>
            </w:rPr>
            <w:fldChar w:fldCharType="begin"/>
          </w:r>
          <w:r>
            <w:rPr>
              <w:rFonts w:ascii="宋体" w:hAnsi="宋体" w:cs="宋体"/>
              <w:sz w:val="28"/>
              <w:szCs w:val="28"/>
              <w:highlight w:val="none"/>
              <w:lang w:val="zh-CN"/>
            </w:rPr>
            <w:instrText xml:space="preserve"> HYPERLINK \l _Toc12786 </w:instrText>
          </w:r>
          <w:r>
            <w:rPr>
              <w:rFonts w:ascii="宋体" w:hAnsi="宋体" w:cs="宋体"/>
              <w:sz w:val="28"/>
              <w:szCs w:val="28"/>
              <w:highlight w:val="none"/>
              <w:lang w:val="zh-CN"/>
            </w:rPr>
            <w:fldChar w:fldCharType="separate"/>
          </w:r>
          <w:r>
            <w:rPr>
              <w:rFonts w:hint="eastAsia" w:ascii="宋体" w:hAnsi="宋体" w:cs="宋体"/>
              <w:sz w:val="28"/>
              <w:szCs w:val="28"/>
              <w:highlight w:val="none"/>
            </w:rPr>
            <w:t xml:space="preserve">第一章 </w:t>
          </w:r>
          <w:r>
            <w:rPr>
              <w:rFonts w:hint="eastAsia" w:ascii="宋体" w:hAnsi="宋体" w:cs="宋体"/>
              <w:sz w:val="28"/>
              <w:szCs w:val="28"/>
              <w:highlight w:val="none"/>
              <w:lang w:val="en-US" w:eastAsia="zh-CN"/>
            </w:rPr>
            <w:t xml:space="preserve"> </w:t>
          </w:r>
          <w:r>
            <w:rPr>
              <w:rFonts w:hint="eastAsia" w:ascii="宋体" w:hAnsi="宋体" w:cs="宋体"/>
              <w:bCs/>
              <w:sz w:val="28"/>
              <w:szCs w:val="28"/>
              <w:highlight w:val="none"/>
            </w:rPr>
            <w:t>竞争性磋商公告</w:t>
          </w:r>
          <w:r>
            <w:rPr>
              <w:rFonts w:hint="eastAsia"/>
              <w:sz w:val="28"/>
              <w:szCs w:val="28"/>
              <w:highlight w:val="none"/>
              <w:lang w:val="en-US" w:eastAsia="zh-CN"/>
            </w:rPr>
            <w:t>...........................................................................................</w:t>
          </w:r>
          <w:r>
            <w:rPr>
              <w:sz w:val="28"/>
              <w:szCs w:val="28"/>
              <w:highlight w:val="none"/>
            </w:rPr>
            <w:fldChar w:fldCharType="begin"/>
          </w:r>
          <w:r>
            <w:rPr>
              <w:sz w:val="28"/>
              <w:szCs w:val="28"/>
              <w:highlight w:val="none"/>
            </w:rPr>
            <w:instrText xml:space="preserve"> PAGEREF _Toc12786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hAnsi="宋体" w:cs="宋体"/>
              <w:sz w:val="28"/>
              <w:szCs w:val="28"/>
              <w:highlight w:val="none"/>
              <w:lang w:val="zh-CN"/>
            </w:rPr>
            <w:fldChar w:fldCharType="end"/>
          </w:r>
        </w:p>
        <w:p w14:paraId="44782906">
          <w:pPr>
            <w:pStyle w:val="169"/>
            <w:keepNext w:val="0"/>
            <w:keepLines w:val="0"/>
            <w:pageBreakBefore w:val="0"/>
            <w:tabs>
              <w:tab w:val="right" w:leader="dot" w:pos="9638"/>
            </w:tabs>
            <w:kinsoku/>
            <w:wordWrap/>
            <w:overflowPunct/>
            <w:topLinePunct w:val="0"/>
            <w:bidi w:val="0"/>
            <w:snapToGrid/>
            <w:spacing w:line="240" w:lineRule="auto"/>
            <w:textAlignment w:val="auto"/>
            <w:rPr>
              <w:sz w:val="28"/>
              <w:szCs w:val="28"/>
              <w:highlight w:val="none"/>
            </w:rPr>
          </w:pPr>
          <w:r>
            <w:rPr>
              <w:rFonts w:ascii="宋体" w:hAnsi="宋体" w:cs="宋体"/>
              <w:sz w:val="28"/>
              <w:szCs w:val="28"/>
              <w:highlight w:val="none"/>
              <w:lang w:val="zh-CN"/>
            </w:rPr>
            <w:fldChar w:fldCharType="begin"/>
          </w:r>
          <w:r>
            <w:rPr>
              <w:rFonts w:ascii="宋体" w:hAnsi="宋体" w:cs="宋体"/>
              <w:sz w:val="28"/>
              <w:szCs w:val="28"/>
              <w:highlight w:val="none"/>
              <w:lang w:val="zh-CN"/>
            </w:rPr>
            <w:instrText xml:space="preserve"> HYPERLINK \l _Toc13601 </w:instrText>
          </w:r>
          <w:r>
            <w:rPr>
              <w:rFonts w:ascii="宋体" w:hAnsi="宋体" w:cs="宋体"/>
              <w:sz w:val="28"/>
              <w:szCs w:val="28"/>
              <w:highlight w:val="none"/>
              <w:lang w:val="zh-CN"/>
            </w:rPr>
            <w:fldChar w:fldCharType="separate"/>
          </w:r>
          <w:r>
            <w:rPr>
              <w:rFonts w:hint="eastAsia" w:ascii="宋体" w:hAnsi="宋体" w:cs="宋体"/>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_Toc13601 \h </w:instrText>
          </w:r>
          <w:r>
            <w:rPr>
              <w:sz w:val="28"/>
              <w:szCs w:val="28"/>
              <w:highlight w:val="none"/>
            </w:rPr>
            <w:fldChar w:fldCharType="separate"/>
          </w:r>
          <w:r>
            <w:rPr>
              <w:sz w:val="28"/>
              <w:szCs w:val="28"/>
              <w:highlight w:val="none"/>
            </w:rPr>
            <w:t>6</w:t>
          </w:r>
          <w:r>
            <w:rPr>
              <w:sz w:val="28"/>
              <w:szCs w:val="28"/>
              <w:highlight w:val="none"/>
            </w:rPr>
            <w:fldChar w:fldCharType="end"/>
          </w:r>
          <w:r>
            <w:rPr>
              <w:rFonts w:ascii="宋体" w:hAnsi="宋体" w:cs="宋体"/>
              <w:sz w:val="28"/>
              <w:szCs w:val="28"/>
              <w:highlight w:val="none"/>
              <w:lang w:val="zh-CN"/>
            </w:rPr>
            <w:fldChar w:fldCharType="end"/>
          </w:r>
        </w:p>
        <w:p w14:paraId="758DEDBC">
          <w:pPr>
            <w:pStyle w:val="169"/>
            <w:keepNext w:val="0"/>
            <w:keepLines w:val="0"/>
            <w:pageBreakBefore w:val="0"/>
            <w:tabs>
              <w:tab w:val="right" w:leader="dot" w:pos="9638"/>
            </w:tabs>
            <w:kinsoku/>
            <w:wordWrap/>
            <w:overflowPunct/>
            <w:topLinePunct w:val="0"/>
            <w:bidi w:val="0"/>
            <w:snapToGrid/>
            <w:spacing w:line="240" w:lineRule="auto"/>
            <w:textAlignment w:val="auto"/>
            <w:rPr>
              <w:sz w:val="28"/>
              <w:szCs w:val="28"/>
              <w:highlight w:val="none"/>
            </w:rPr>
          </w:pPr>
          <w:r>
            <w:rPr>
              <w:rFonts w:ascii="宋体" w:hAnsi="宋体" w:cs="宋体"/>
              <w:sz w:val="28"/>
              <w:szCs w:val="28"/>
              <w:highlight w:val="none"/>
              <w:lang w:val="zh-CN"/>
            </w:rPr>
            <w:fldChar w:fldCharType="begin"/>
          </w:r>
          <w:r>
            <w:rPr>
              <w:rFonts w:ascii="宋体" w:hAnsi="宋体" w:cs="宋体"/>
              <w:sz w:val="28"/>
              <w:szCs w:val="28"/>
              <w:highlight w:val="none"/>
              <w:lang w:val="zh-CN"/>
            </w:rPr>
            <w:instrText xml:space="preserve"> HYPERLINK \l _Toc21907 </w:instrText>
          </w:r>
          <w:r>
            <w:rPr>
              <w:rFonts w:ascii="宋体" w:hAnsi="宋体" w:cs="宋体"/>
              <w:sz w:val="28"/>
              <w:szCs w:val="28"/>
              <w:highlight w:val="none"/>
              <w:lang w:val="zh-CN"/>
            </w:rPr>
            <w:fldChar w:fldCharType="separate"/>
          </w:r>
          <w:r>
            <w:rPr>
              <w:rFonts w:hint="eastAsia" w:ascii="宋体" w:hAnsi="宋体" w:cs="宋体"/>
              <w:sz w:val="28"/>
              <w:szCs w:val="28"/>
              <w:highlight w:val="none"/>
            </w:rPr>
            <w:t xml:space="preserve">第三章  </w:t>
          </w:r>
          <w:r>
            <w:rPr>
              <w:rFonts w:hint="eastAsia" w:ascii="宋体" w:hAnsi="宋体" w:cs="宋体"/>
              <w:bCs/>
              <w:kern w:val="15"/>
              <w:sz w:val="28"/>
              <w:szCs w:val="28"/>
              <w:highlight w:val="none"/>
              <w:lang w:val="zh-CN"/>
            </w:rPr>
            <w:t>评</w:t>
          </w:r>
          <w:r>
            <w:rPr>
              <w:rFonts w:hint="eastAsia" w:ascii="宋体" w:hAnsi="宋体" w:cs="宋体"/>
              <w:bCs/>
              <w:kern w:val="15"/>
              <w:sz w:val="28"/>
              <w:szCs w:val="28"/>
              <w:highlight w:val="none"/>
              <w:lang w:val="en-US" w:eastAsia="zh-CN"/>
            </w:rPr>
            <w:t>审方</w:t>
          </w:r>
          <w:r>
            <w:rPr>
              <w:rFonts w:hint="eastAsia" w:ascii="宋体" w:hAnsi="宋体" w:cs="宋体"/>
              <w:bCs/>
              <w:kern w:val="15"/>
              <w:sz w:val="28"/>
              <w:szCs w:val="28"/>
              <w:highlight w:val="none"/>
              <w:lang w:val="zh-CN"/>
            </w:rPr>
            <w:t>法</w:t>
          </w:r>
          <w:r>
            <w:rPr>
              <w:rFonts w:hint="eastAsia" w:ascii="宋体" w:hAnsi="宋体" w:cs="宋体"/>
              <w:sz w:val="28"/>
              <w:szCs w:val="28"/>
              <w:highlight w:val="none"/>
            </w:rPr>
            <w:t>（综合评分法）</w:t>
          </w:r>
          <w:r>
            <w:rPr>
              <w:sz w:val="28"/>
              <w:szCs w:val="28"/>
              <w:highlight w:val="none"/>
            </w:rPr>
            <w:tab/>
          </w:r>
          <w:r>
            <w:rPr>
              <w:sz w:val="28"/>
              <w:szCs w:val="28"/>
              <w:highlight w:val="none"/>
            </w:rPr>
            <w:fldChar w:fldCharType="begin"/>
          </w:r>
          <w:r>
            <w:rPr>
              <w:sz w:val="28"/>
              <w:szCs w:val="28"/>
              <w:highlight w:val="none"/>
            </w:rPr>
            <w:instrText xml:space="preserve"> PAGEREF _Toc21907 \h </w:instrText>
          </w:r>
          <w:r>
            <w:rPr>
              <w:sz w:val="28"/>
              <w:szCs w:val="28"/>
              <w:highlight w:val="none"/>
            </w:rPr>
            <w:fldChar w:fldCharType="separate"/>
          </w:r>
          <w:r>
            <w:rPr>
              <w:sz w:val="28"/>
              <w:szCs w:val="28"/>
              <w:highlight w:val="none"/>
            </w:rPr>
            <w:t>26</w:t>
          </w:r>
          <w:r>
            <w:rPr>
              <w:sz w:val="28"/>
              <w:szCs w:val="28"/>
              <w:highlight w:val="none"/>
            </w:rPr>
            <w:fldChar w:fldCharType="end"/>
          </w:r>
          <w:r>
            <w:rPr>
              <w:rFonts w:ascii="宋体" w:hAnsi="宋体" w:cs="宋体"/>
              <w:sz w:val="28"/>
              <w:szCs w:val="28"/>
              <w:highlight w:val="none"/>
              <w:lang w:val="zh-CN"/>
            </w:rPr>
            <w:fldChar w:fldCharType="end"/>
          </w:r>
        </w:p>
        <w:p w14:paraId="6DC57E1B">
          <w:pPr>
            <w:pStyle w:val="169"/>
            <w:keepNext w:val="0"/>
            <w:keepLines w:val="0"/>
            <w:pageBreakBefore w:val="0"/>
            <w:tabs>
              <w:tab w:val="right" w:leader="dot" w:pos="9638"/>
            </w:tabs>
            <w:kinsoku/>
            <w:wordWrap/>
            <w:overflowPunct/>
            <w:topLinePunct w:val="0"/>
            <w:bidi w:val="0"/>
            <w:snapToGrid/>
            <w:spacing w:line="240" w:lineRule="auto"/>
            <w:textAlignment w:val="auto"/>
            <w:rPr>
              <w:sz w:val="28"/>
              <w:szCs w:val="28"/>
              <w:highlight w:val="none"/>
            </w:rPr>
          </w:pPr>
          <w:r>
            <w:rPr>
              <w:rFonts w:ascii="宋体" w:hAnsi="宋体" w:cs="宋体"/>
              <w:sz w:val="28"/>
              <w:szCs w:val="28"/>
              <w:highlight w:val="none"/>
              <w:lang w:val="zh-CN"/>
            </w:rPr>
            <w:fldChar w:fldCharType="begin"/>
          </w:r>
          <w:r>
            <w:rPr>
              <w:rFonts w:ascii="宋体" w:hAnsi="宋体" w:cs="宋体"/>
              <w:sz w:val="28"/>
              <w:szCs w:val="28"/>
              <w:highlight w:val="none"/>
              <w:lang w:val="zh-CN"/>
            </w:rPr>
            <w:instrText xml:space="preserve"> HYPERLINK \l _Toc19023 </w:instrText>
          </w:r>
          <w:r>
            <w:rPr>
              <w:rFonts w:ascii="宋体" w:hAnsi="宋体" w:cs="宋体"/>
              <w:sz w:val="28"/>
              <w:szCs w:val="28"/>
              <w:highlight w:val="none"/>
              <w:lang w:val="zh-CN"/>
            </w:rPr>
            <w:fldChar w:fldCharType="separate"/>
          </w:r>
          <w:r>
            <w:rPr>
              <w:rFonts w:hint="eastAsia" w:ascii="宋体" w:hAnsi="宋体" w:cs="宋体"/>
              <w:sz w:val="28"/>
              <w:szCs w:val="28"/>
              <w:highlight w:val="none"/>
            </w:rPr>
            <w:t>第四章  合同条款及格式（范本）</w:t>
          </w:r>
          <w:r>
            <w:rPr>
              <w:sz w:val="28"/>
              <w:szCs w:val="28"/>
              <w:highlight w:val="none"/>
            </w:rPr>
            <w:tab/>
          </w:r>
          <w:r>
            <w:rPr>
              <w:sz w:val="28"/>
              <w:szCs w:val="28"/>
              <w:highlight w:val="none"/>
            </w:rPr>
            <w:fldChar w:fldCharType="begin"/>
          </w:r>
          <w:r>
            <w:rPr>
              <w:sz w:val="28"/>
              <w:szCs w:val="28"/>
              <w:highlight w:val="none"/>
            </w:rPr>
            <w:instrText xml:space="preserve"> PAGEREF _Toc19023 \h </w:instrText>
          </w:r>
          <w:r>
            <w:rPr>
              <w:sz w:val="28"/>
              <w:szCs w:val="28"/>
              <w:highlight w:val="none"/>
            </w:rPr>
            <w:fldChar w:fldCharType="separate"/>
          </w:r>
          <w:r>
            <w:rPr>
              <w:sz w:val="28"/>
              <w:szCs w:val="28"/>
              <w:highlight w:val="none"/>
            </w:rPr>
            <w:t>41</w:t>
          </w:r>
          <w:r>
            <w:rPr>
              <w:sz w:val="28"/>
              <w:szCs w:val="28"/>
              <w:highlight w:val="none"/>
            </w:rPr>
            <w:fldChar w:fldCharType="end"/>
          </w:r>
          <w:r>
            <w:rPr>
              <w:rFonts w:ascii="宋体" w:hAnsi="宋体" w:cs="宋体"/>
              <w:sz w:val="28"/>
              <w:szCs w:val="28"/>
              <w:highlight w:val="none"/>
              <w:lang w:val="zh-CN"/>
            </w:rPr>
            <w:fldChar w:fldCharType="end"/>
          </w:r>
        </w:p>
        <w:p w14:paraId="705CBE3F">
          <w:pPr>
            <w:pStyle w:val="169"/>
            <w:keepNext w:val="0"/>
            <w:keepLines w:val="0"/>
            <w:pageBreakBefore w:val="0"/>
            <w:tabs>
              <w:tab w:val="right" w:leader="dot" w:pos="9638"/>
            </w:tabs>
            <w:kinsoku/>
            <w:wordWrap/>
            <w:overflowPunct/>
            <w:topLinePunct w:val="0"/>
            <w:bidi w:val="0"/>
            <w:snapToGrid/>
            <w:spacing w:line="240" w:lineRule="auto"/>
            <w:textAlignment w:val="auto"/>
            <w:rPr>
              <w:sz w:val="28"/>
              <w:szCs w:val="28"/>
              <w:highlight w:val="none"/>
            </w:rPr>
          </w:pPr>
          <w:r>
            <w:rPr>
              <w:rFonts w:ascii="宋体" w:hAnsi="宋体" w:cs="宋体"/>
              <w:sz w:val="28"/>
              <w:szCs w:val="28"/>
              <w:highlight w:val="none"/>
              <w:lang w:val="zh-CN"/>
            </w:rPr>
            <w:fldChar w:fldCharType="begin"/>
          </w:r>
          <w:r>
            <w:rPr>
              <w:rFonts w:ascii="宋体" w:hAnsi="宋体" w:cs="宋体"/>
              <w:sz w:val="28"/>
              <w:szCs w:val="28"/>
              <w:highlight w:val="none"/>
              <w:lang w:val="zh-CN"/>
            </w:rPr>
            <w:instrText xml:space="preserve"> HYPERLINK \l _Toc11697 </w:instrText>
          </w:r>
          <w:r>
            <w:rPr>
              <w:rFonts w:ascii="宋体" w:hAnsi="宋体" w:cs="宋体"/>
              <w:sz w:val="28"/>
              <w:szCs w:val="28"/>
              <w:highlight w:val="none"/>
              <w:lang w:val="zh-CN"/>
            </w:rPr>
            <w:fldChar w:fldCharType="separate"/>
          </w:r>
          <w:r>
            <w:rPr>
              <w:rFonts w:hint="eastAsia" w:ascii="宋体" w:hAnsi="宋体" w:cs="宋体"/>
              <w:sz w:val="28"/>
              <w:szCs w:val="28"/>
              <w:highlight w:val="none"/>
            </w:rPr>
            <w:t xml:space="preserve">第五章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工程量清单</w:t>
          </w:r>
          <w:r>
            <w:rPr>
              <w:rFonts w:hint="eastAsia" w:ascii="宋体" w:hAnsi="宋体" w:cs="宋体"/>
              <w:sz w:val="28"/>
              <w:szCs w:val="28"/>
              <w:highlight w:val="none"/>
              <w:lang w:val="en-US" w:eastAsia="zh-CN"/>
            </w:rPr>
            <w:t>及图纸</w:t>
          </w:r>
          <w:r>
            <w:rPr>
              <w:sz w:val="28"/>
              <w:szCs w:val="28"/>
              <w:highlight w:val="none"/>
            </w:rPr>
            <w:tab/>
          </w:r>
          <w:r>
            <w:rPr>
              <w:sz w:val="28"/>
              <w:szCs w:val="28"/>
              <w:highlight w:val="none"/>
            </w:rPr>
            <w:fldChar w:fldCharType="begin"/>
          </w:r>
          <w:r>
            <w:rPr>
              <w:sz w:val="28"/>
              <w:szCs w:val="28"/>
              <w:highlight w:val="none"/>
            </w:rPr>
            <w:instrText xml:space="preserve"> PAGEREF _Toc11697 \h </w:instrText>
          </w:r>
          <w:r>
            <w:rPr>
              <w:sz w:val="28"/>
              <w:szCs w:val="28"/>
              <w:highlight w:val="none"/>
            </w:rPr>
            <w:fldChar w:fldCharType="separate"/>
          </w:r>
          <w:r>
            <w:rPr>
              <w:sz w:val="28"/>
              <w:szCs w:val="28"/>
              <w:highlight w:val="none"/>
            </w:rPr>
            <w:t>134</w:t>
          </w:r>
          <w:r>
            <w:rPr>
              <w:sz w:val="28"/>
              <w:szCs w:val="28"/>
              <w:highlight w:val="none"/>
            </w:rPr>
            <w:fldChar w:fldCharType="end"/>
          </w:r>
          <w:r>
            <w:rPr>
              <w:rFonts w:ascii="宋体" w:hAnsi="宋体" w:cs="宋体"/>
              <w:sz w:val="28"/>
              <w:szCs w:val="28"/>
              <w:highlight w:val="none"/>
              <w:lang w:val="zh-CN"/>
            </w:rPr>
            <w:fldChar w:fldCharType="end"/>
          </w:r>
        </w:p>
        <w:p w14:paraId="3CC101B4">
          <w:pPr>
            <w:pStyle w:val="169"/>
            <w:keepNext w:val="0"/>
            <w:keepLines w:val="0"/>
            <w:pageBreakBefore w:val="0"/>
            <w:tabs>
              <w:tab w:val="right" w:leader="dot" w:pos="9638"/>
            </w:tabs>
            <w:kinsoku/>
            <w:wordWrap/>
            <w:overflowPunct/>
            <w:topLinePunct w:val="0"/>
            <w:bidi w:val="0"/>
            <w:snapToGrid/>
            <w:spacing w:line="240" w:lineRule="auto"/>
            <w:textAlignment w:val="auto"/>
            <w:rPr>
              <w:sz w:val="28"/>
              <w:szCs w:val="28"/>
              <w:highlight w:val="none"/>
            </w:rPr>
          </w:pPr>
          <w:r>
            <w:rPr>
              <w:rFonts w:ascii="宋体" w:hAnsi="宋体" w:cs="宋体"/>
              <w:sz w:val="28"/>
              <w:szCs w:val="28"/>
              <w:highlight w:val="none"/>
              <w:lang w:val="zh-CN"/>
            </w:rPr>
            <w:fldChar w:fldCharType="begin"/>
          </w:r>
          <w:r>
            <w:rPr>
              <w:rFonts w:ascii="宋体" w:hAnsi="宋体" w:cs="宋体"/>
              <w:sz w:val="28"/>
              <w:szCs w:val="28"/>
              <w:highlight w:val="none"/>
              <w:lang w:val="zh-CN"/>
            </w:rPr>
            <w:instrText xml:space="preserve"> HYPERLINK \l _Toc11836 </w:instrText>
          </w:r>
          <w:r>
            <w:rPr>
              <w:rFonts w:ascii="宋体" w:hAnsi="宋体" w:cs="宋体"/>
              <w:sz w:val="28"/>
              <w:szCs w:val="28"/>
              <w:highlight w:val="none"/>
              <w:lang w:val="zh-CN"/>
            </w:rPr>
            <w:fldChar w:fldCharType="separate"/>
          </w:r>
          <w:r>
            <w:rPr>
              <w:rFonts w:hint="eastAsia" w:ascii="宋体" w:hAnsi="宋体" w:cs="宋体"/>
              <w:sz w:val="28"/>
              <w:szCs w:val="28"/>
              <w:highlight w:val="none"/>
            </w:rPr>
            <w:t>第六章  响应文件构成、要求及格式</w:t>
          </w:r>
          <w:r>
            <w:rPr>
              <w:sz w:val="28"/>
              <w:szCs w:val="28"/>
              <w:highlight w:val="none"/>
            </w:rPr>
            <w:tab/>
          </w:r>
          <w:r>
            <w:rPr>
              <w:sz w:val="28"/>
              <w:szCs w:val="28"/>
              <w:highlight w:val="none"/>
            </w:rPr>
            <w:fldChar w:fldCharType="begin"/>
          </w:r>
          <w:r>
            <w:rPr>
              <w:sz w:val="28"/>
              <w:szCs w:val="28"/>
              <w:highlight w:val="none"/>
            </w:rPr>
            <w:instrText xml:space="preserve"> PAGEREF _Toc11836 \h </w:instrText>
          </w:r>
          <w:r>
            <w:rPr>
              <w:sz w:val="28"/>
              <w:szCs w:val="28"/>
              <w:highlight w:val="none"/>
            </w:rPr>
            <w:fldChar w:fldCharType="separate"/>
          </w:r>
          <w:r>
            <w:rPr>
              <w:sz w:val="28"/>
              <w:szCs w:val="28"/>
              <w:highlight w:val="none"/>
            </w:rPr>
            <w:t>135</w:t>
          </w:r>
          <w:r>
            <w:rPr>
              <w:sz w:val="28"/>
              <w:szCs w:val="28"/>
              <w:highlight w:val="none"/>
            </w:rPr>
            <w:fldChar w:fldCharType="end"/>
          </w:r>
          <w:r>
            <w:rPr>
              <w:rFonts w:ascii="宋体" w:hAnsi="宋体" w:cs="宋体"/>
              <w:sz w:val="28"/>
              <w:szCs w:val="28"/>
              <w:highlight w:val="none"/>
              <w:lang w:val="zh-CN"/>
            </w:rPr>
            <w:fldChar w:fldCharType="end"/>
          </w:r>
        </w:p>
        <w:p w14:paraId="143503C6">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宋体" w:cs="宋体"/>
              <w:b/>
              <w:szCs w:val="21"/>
              <w:highlight w:val="none"/>
              <w:lang w:val="zh-CN"/>
            </w:rPr>
          </w:pPr>
          <w:r>
            <w:rPr>
              <w:rFonts w:ascii="宋体" w:hAnsi="宋体" w:cs="宋体"/>
              <w:sz w:val="28"/>
              <w:szCs w:val="28"/>
              <w:highlight w:val="none"/>
              <w:lang w:val="zh-CN"/>
            </w:rPr>
            <w:fldChar w:fldCharType="end"/>
          </w:r>
        </w:p>
      </w:sdtContent>
    </w:sdt>
    <w:p w14:paraId="7E990F03">
      <w:pPr>
        <w:rPr>
          <w:rFonts w:ascii="宋体" w:hAnsi="宋体" w:cs="宋体"/>
          <w:highlight w:val="none"/>
        </w:rPr>
      </w:pPr>
    </w:p>
    <w:p w14:paraId="13983D7C">
      <w:pPr>
        <w:tabs>
          <w:tab w:val="left" w:pos="6969"/>
        </w:tabs>
        <w:rPr>
          <w:rFonts w:ascii="宋体" w:hAnsi="宋体" w:cs="宋体"/>
          <w:highlight w:val="none"/>
        </w:rPr>
      </w:pPr>
      <w:r>
        <w:rPr>
          <w:rFonts w:hint="eastAsia" w:ascii="宋体" w:hAnsi="宋体" w:cs="宋体"/>
          <w:highlight w:val="none"/>
        </w:rPr>
        <w:tab/>
      </w:r>
    </w:p>
    <w:p w14:paraId="14C5814C">
      <w:pPr>
        <w:rPr>
          <w:rFonts w:ascii="宋体" w:hAnsi="宋体" w:cs="宋体"/>
          <w:highlight w:val="none"/>
        </w:rPr>
      </w:pPr>
    </w:p>
    <w:p w14:paraId="7E1AEB71">
      <w:pPr>
        <w:rPr>
          <w:rFonts w:ascii="宋体" w:hAnsi="宋体" w:cs="宋体"/>
          <w:highlight w:val="none"/>
        </w:rPr>
        <w:sectPr>
          <w:footerReference r:id="rId9" w:type="first"/>
          <w:footerReference r:id="rId8" w:type="default"/>
          <w:pgSz w:w="11906" w:h="16838"/>
          <w:pgMar w:top="1134" w:right="1134" w:bottom="1134" w:left="1134" w:header="567" w:footer="737" w:gutter="0"/>
          <w:pgNumType w:start="1"/>
          <w:cols w:space="720" w:num="1"/>
          <w:titlePg/>
          <w:docGrid w:type="lines" w:linePitch="490" w:charSpace="0"/>
        </w:sectPr>
      </w:pPr>
      <w:bookmarkStart w:id="1572" w:name="_GoBack"/>
      <w:bookmarkEnd w:id="1572"/>
    </w:p>
    <w:p w14:paraId="61057D1A">
      <w:pPr>
        <w:pStyle w:val="2"/>
        <w:spacing w:line="360" w:lineRule="exact"/>
        <w:jc w:val="center"/>
        <w:rPr>
          <w:rFonts w:ascii="宋体" w:hAnsi="宋体" w:cs="宋体"/>
          <w:highlight w:val="none"/>
        </w:rPr>
      </w:pPr>
      <w:bookmarkStart w:id="4" w:name="_Toc29547239"/>
      <w:bookmarkStart w:id="5" w:name="_Toc12786"/>
      <w:bookmarkStart w:id="6" w:name="_Toc23340"/>
      <w:bookmarkStart w:id="7" w:name="_Toc23568"/>
      <w:bookmarkStart w:id="8" w:name="_Toc16875"/>
      <w:r>
        <w:rPr>
          <w:rFonts w:hint="eastAsia" w:ascii="宋体" w:hAnsi="宋体" w:cs="宋体"/>
          <w:highlight w:val="none"/>
        </w:rPr>
        <w:t xml:space="preserve">第一章 </w:t>
      </w:r>
      <w:bookmarkEnd w:id="4"/>
      <w:bookmarkStart w:id="9" w:name="_Toc12966013"/>
      <w:r>
        <w:rPr>
          <w:rFonts w:hint="eastAsia" w:ascii="宋体" w:hAnsi="宋体" w:cs="宋体"/>
          <w:highlight w:val="none"/>
          <w:lang w:val="en-US" w:eastAsia="zh-CN"/>
        </w:rPr>
        <w:t xml:space="preserve"> </w:t>
      </w:r>
      <w:r>
        <w:rPr>
          <w:rFonts w:hint="eastAsia" w:ascii="宋体" w:hAnsi="宋体" w:cs="宋体"/>
          <w:bCs/>
          <w:sz w:val="40"/>
          <w:szCs w:val="40"/>
          <w:highlight w:val="none"/>
        </w:rPr>
        <w:t>竞争性磋商公告</w:t>
      </w:r>
      <w:bookmarkEnd w:id="5"/>
      <w:bookmarkEnd w:id="6"/>
      <w:bookmarkEnd w:id="7"/>
      <w:bookmarkEnd w:id="8"/>
      <w:bookmarkEnd w:id="9"/>
    </w:p>
    <w:p w14:paraId="00716B76">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u w:val="none"/>
          <w:lang w:eastAsia="zh-CN"/>
        </w:rPr>
      </w:pPr>
      <w:bookmarkStart w:id="10" w:name="_Toc359494608"/>
      <w:r>
        <w:rPr>
          <w:rFonts w:hint="eastAsia" w:ascii="宋体" w:hAnsi="宋体" w:eastAsia="宋体" w:cs="宋体"/>
          <w:color w:val="auto"/>
          <w:sz w:val="24"/>
          <w:szCs w:val="24"/>
          <w:highlight w:val="none"/>
          <w:u w:val="none"/>
          <w:lang w:eastAsia="zh-CN"/>
        </w:rPr>
        <w:t>改善训练比赛场地设施条件维修改造运动员村、运动员之家公寓及附属设施</w:t>
      </w:r>
      <w:r>
        <w:rPr>
          <w:rFonts w:hint="eastAsia" w:ascii="宋体" w:hAnsi="宋体" w:eastAsia="宋体" w:cs="宋体"/>
          <w:color w:val="auto"/>
          <w:sz w:val="24"/>
          <w:szCs w:val="24"/>
          <w:highlight w:val="none"/>
          <w:u w:val="none"/>
          <w:lang w:val="en-US" w:eastAsia="zh-CN"/>
        </w:rPr>
        <w:t>二次</w:t>
      </w:r>
    </w:p>
    <w:p w14:paraId="7C0D24E6">
      <w:pPr>
        <w:keepNext w:val="0"/>
        <w:keepLines w:val="0"/>
        <w:pageBreakBefore w:val="0"/>
        <w:widowControl/>
        <w:kinsoku/>
        <w:wordWrap/>
        <w:overflowPunct/>
        <w:topLinePunct w:val="0"/>
        <w:bidi w:val="0"/>
        <w:spacing w:line="360" w:lineRule="auto"/>
        <w:jc w:val="left"/>
        <w:rPr>
          <w:rFonts w:ascii="宋体" w:hAnsi="宋体" w:cs="宋体"/>
          <w:b/>
          <w:bCs/>
          <w:kern w:val="0"/>
          <w:szCs w:val="21"/>
          <w:highlight w:val="none"/>
          <w:lang w:bidi="ar"/>
        </w:rPr>
      </w:pPr>
      <w:r>
        <w:rPr>
          <w:rFonts w:hint="eastAsia" w:ascii="宋体" w:hAnsi="宋体" w:cs="宋体"/>
          <w:b/>
          <w:bCs/>
          <w:kern w:val="0"/>
          <w:szCs w:val="21"/>
          <w:highlight w:val="none"/>
          <w:lang w:bidi="ar"/>
        </w:rPr>
        <w:t>项目概况</w:t>
      </w:r>
    </w:p>
    <w:p w14:paraId="46171959">
      <w:pPr>
        <w:shd w:val="clear" w:color="auto" w:fill="FFFFFF"/>
        <w:spacing w:after="0" w:line="440" w:lineRule="exact"/>
        <w:ind w:firstLine="426"/>
        <w:jc w:val="left"/>
        <w:rPr>
          <w:rFonts w:ascii="宋体" w:hAnsi="宋体" w:cs="宋体"/>
          <w:spacing w:val="6"/>
          <w:szCs w:val="21"/>
          <w:highlight w:val="none"/>
        </w:rPr>
      </w:pPr>
      <w:r>
        <w:rPr>
          <w:rFonts w:hint="eastAsia" w:ascii="宋体" w:hAnsi="宋体" w:cs="宋体"/>
          <w:color w:val="auto"/>
          <w:szCs w:val="21"/>
          <w:u w:val="single"/>
          <w:lang w:eastAsia="zh-CN"/>
        </w:rPr>
        <w:t>改善训练比赛场地设施条件维修改造运动员村、运动员之家公寓及附属设施</w:t>
      </w:r>
      <w:r>
        <w:rPr>
          <w:rFonts w:hint="eastAsia" w:ascii="宋体" w:hAnsi="宋体" w:cs="宋体"/>
          <w:color w:val="auto"/>
          <w:szCs w:val="21"/>
          <w:u w:val="single"/>
          <w:lang w:val="en-US" w:eastAsia="zh-CN"/>
        </w:rPr>
        <w:t>二次</w:t>
      </w:r>
      <w:r>
        <w:rPr>
          <w:rFonts w:hint="eastAsia" w:ascii="宋体" w:hAnsi="宋体" w:cs="宋体"/>
          <w:color w:val="auto"/>
          <w:szCs w:val="21"/>
        </w:rPr>
        <w:t>采购项目</w:t>
      </w:r>
      <w:r>
        <w:rPr>
          <w:rFonts w:hint="eastAsia" w:ascii="宋体" w:hAnsi="宋体" w:cs="宋体"/>
          <w:spacing w:val="6"/>
          <w:szCs w:val="21"/>
          <w:highlight w:val="none"/>
        </w:rPr>
        <w:t>的潜在供应商应在</w:t>
      </w:r>
      <w:r>
        <w:rPr>
          <w:rFonts w:hint="eastAsia" w:ascii="宋体" w:hAnsi="宋体" w:eastAsia="宋体" w:cs="宋体"/>
          <w:i w:val="0"/>
          <w:iCs w:val="0"/>
          <w:color w:val="auto"/>
          <w:spacing w:val="6"/>
          <w:sz w:val="21"/>
          <w:szCs w:val="21"/>
          <w:lang w:eastAsia="zh-CN" w:bidi="ar-SA"/>
        </w:rPr>
        <w:t>“政采云”平台（https://www.zcygov.cn/）获取采购文件，并于</w:t>
      </w:r>
      <w:r>
        <w:rPr>
          <w:rFonts w:hint="eastAsia" w:ascii="宋体" w:hAnsi="宋体" w:eastAsia="宋体" w:cs="宋体"/>
          <w:i w:val="0"/>
          <w:iCs w:val="0"/>
          <w:color w:val="auto"/>
          <w:spacing w:val="6"/>
          <w:sz w:val="21"/>
          <w:szCs w:val="21"/>
          <w:highlight w:val="none"/>
          <w:u w:val="single"/>
          <w:lang w:val="en-US" w:eastAsia="zh-CN" w:bidi="ar-SA"/>
        </w:rPr>
        <w:t>20</w:t>
      </w:r>
      <w:r>
        <w:rPr>
          <w:rFonts w:hint="eastAsia" w:ascii="宋体" w:hAnsi="宋体" w:cs="宋体"/>
          <w:i w:val="0"/>
          <w:iCs w:val="0"/>
          <w:color w:val="auto"/>
          <w:spacing w:val="6"/>
          <w:sz w:val="21"/>
          <w:szCs w:val="21"/>
          <w:highlight w:val="none"/>
          <w:u w:val="single"/>
          <w:lang w:val="en-US" w:eastAsia="zh-CN" w:bidi="ar-SA"/>
        </w:rPr>
        <w:t>25</w:t>
      </w:r>
      <w:r>
        <w:rPr>
          <w:rFonts w:hint="eastAsia" w:ascii="宋体" w:hAnsi="宋体" w:eastAsia="宋体" w:cs="宋体"/>
          <w:i w:val="0"/>
          <w:iCs w:val="0"/>
          <w:color w:val="auto"/>
          <w:spacing w:val="6"/>
          <w:sz w:val="21"/>
          <w:szCs w:val="21"/>
          <w:highlight w:val="none"/>
          <w:u w:val="single"/>
          <w:lang w:eastAsia="zh-CN" w:bidi="ar-SA"/>
        </w:rPr>
        <w:t>年</w:t>
      </w:r>
      <w:r>
        <w:rPr>
          <w:rFonts w:hint="eastAsia" w:ascii="宋体" w:hAnsi="宋体" w:cs="宋体"/>
          <w:i w:val="0"/>
          <w:iCs w:val="0"/>
          <w:color w:val="auto"/>
          <w:spacing w:val="6"/>
          <w:sz w:val="21"/>
          <w:szCs w:val="21"/>
          <w:highlight w:val="none"/>
          <w:u w:val="single"/>
          <w:lang w:val="en-US" w:eastAsia="zh-CN" w:bidi="ar-SA"/>
        </w:rPr>
        <w:t>7</w:t>
      </w:r>
      <w:r>
        <w:rPr>
          <w:rFonts w:hint="eastAsia" w:ascii="宋体" w:hAnsi="宋体" w:eastAsia="宋体" w:cs="宋体"/>
          <w:i w:val="0"/>
          <w:iCs w:val="0"/>
          <w:color w:val="auto"/>
          <w:spacing w:val="6"/>
          <w:sz w:val="21"/>
          <w:szCs w:val="21"/>
          <w:highlight w:val="none"/>
          <w:u w:val="single"/>
          <w:lang w:eastAsia="zh-CN" w:bidi="ar-SA"/>
        </w:rPr>
        <w:t>月</w:t>
      </w:r>
      <w:r>
        <w:rPr>
          <w:rFonts w:hint="eastAsia" w:ascii="宋体" w:hAnsi="宋体" w:cs="宋体"/>
          <w:i w:val="0"/>
          <w:iCs w:val="0"/>
          <w:color w:val="auto"/>
          <w:spacing w:val="6"/>
          <w:sz w:val="21"/>
          <w:szCs w:val="21"/>
          <w:highlight w:val="none"/>
          <w:u w:val="single"/>
          <w:lang w:val="en-US" w:eastAsia="zh-CN" w:bidi="ar-SA"/>
        </w:rPr>
        <w:t>24</w:t>
      </w:r>
      <w:r>
        <w:rPr>
          <w:rFonts w:hint="eastAsia" w:ascii="宋体" w:hAnsi="宋体" w:eastAsia="宋体" w:cs="宋体"/>
          <w:i w:val="0"/>
          <w:iCs w:val="0"/>
          <w:color w:val="auto"/>
          <w:spacing w:val="6"/>
          <w:sz w:val="21"/>
          <w:szCs w:val="21"/>
          <w:highlight w:val="none"/>
          <w:u w:val="single"/>
          <w:lang w:eastAsia="zh-CN" w:bidi="ar-SA"/>
        </w:rPr>
        <w:t>日</w:t>
      </w:r>
      <w:r>
        <w:rPr>
          <w:rFonts w:hint="eastAsia" w:ascii="宋体" w:hAnsi="宋体" w:cs="宋体"/>
          <w:i w:val="0"/>
          <w:iCs w:val="0"/>
          <w:color w:val="auto"/>
          <w:spacing w:val="6"/>
          <w:sz w:val="21"/>
          <w:szCs w:val="21"/>
          <w:highlight w:val="none"/>
          <w:u w:val="single"/>
          <w:lang w:val="en-US" w:eastAsia="zh-CN" w:bidi="ar-SA"/>
        </w:rPr>
        <w:t>14</w:t>
      </w:r>
      <w:r>
        <w:rPr>
          <w:rFonts w:hint="eastAsia" w:ascii="宋体" w:hAnsi="宋体" w:eastAsia="宋体" w:cs="宋体"/>
          <w:i w:val="0"/>
          <w:iCs w:val="0"/>
          <w:color w:val="auto"/>
          <w:spacing w:val="6"/>
          <w:sz w:val="21"/>
          <w:szCs w:val="21"/>
          <w:highlight w:val="none"/>
          <w:u w:val="single"/>
          <w:lang w:eastAsia="zh-CN" w:bidi="ar-SA"/>
        </w:rPr>
        <w:t>点</w:t>
      </w:r>
      <w:r>
        <w:rPr>
          <w:rFonts w:hint="eastAsia" w:ascii="宋体" w:hAnsi="宋体" w:cs="宋体"/>
          <w:i w:val="0"/>
          <w:iCs w:val="0"/>
          <w:color w:val="auto"/>
          <w:spacing w:val="6"/>
          <w:sz w:val="21"/>
          <w:szCs w:val="21"/>
          <w:highlight w:val="none"/>
          <w:u w:val="single"/>
          <w:lang w:val="en-US" w:eastAsia="zh-CN" w:bidi="ar-SA"/>
        </w:rPr>
        <w:t>30</w:t>
      </w:r>
      <w:r>
        <w:rPr>
          <w:rFonts w:hint="eastAsia" w:ascii="宋体" w:hAnsi="宋体" w:eastAsia="宋体" w:cs="宋体"/>
          <w:i w:val="0"/>
          <w:iCs w:val="0"/>
          <w:color w:val="auto"/>
          <w:spacing w:val="6"/>
          <w:sz w:val="21"/>
          <w:szCs w:val="21"/>
          <w:highlight w:val="none"/>
          <w:u w:val="single"/>
          <w:lang w:eastAsia="zh-CN" w:bidi="ar-SA"/>
        </w:rPr>
        <w:t>分</w:t>
      </w:r>
      <w:r>
        <w:rPr>
          <w:rFonts w:hint="eastAsia" w:ascii="宋体" w:hAnsi="宋体" w:eastAsia="宋体" w:cs="宋体"/>
          <w:i w:val="0"/>
          <w:iCs w:val="0"/>
          <w:color w:val="auto"/>
          <w:spacing w:val="6"/>
          <w:sz w:val="21"/>
          <w:szCs w:val="21"/>
          <w:highlight w:val="none"/>
          <w:lang w:eastAsia="zh-CN" w:bidi="ar-SA"/>
        </w:rPr>
        <w:t>（北京时</w:t>
      </w:r>
      <w:r>
        <w:rPr>
          <w:rFonts w:hint="eastAsia" w:ascii="宋体" w:hAnsi="宋体" w:eastAsia="宋体" w:cs="宋体"/>
          <w:i w:val="0"/>
          <w:iCs w:val="0"/>
          <w:color w:val="auto"/>
          <w:spacing w:val="6"/>
          <w:sz w:val="21"/>
          <w:szCs w:val="21"/>
          <w:lang w:eastAsia="zh-CN" w:bidi="ar-SA"/>
        </w:rPr>
        <w:t>间）前提交响应文件。</w:t>
      </w:r>
    </w:p>
    <w:p w14:paraId="47D38DC9">
      <w:pPr>
        <w:keepNext w:val="0"/>
        <w:keepLines w:val="0"/>
        <w:pageBreakBefore w:val="0"/>
        <w:widowControl/>
        <w:kinsoku/>
        <w:wordWrap/>
        <w:overflowPunct/>
        <w:topLinePunct w:val="0"/>
        <w:bidi w:val="0"/>
        <w:spacing w:line="520" w:lineRule="exact"/>
        <w:jc w:val="left"/>
        <w:rPr>
          <w:rFonts w:ascii="宋体" w:hAnsi="宋体" w:cs="宋体"/>
          <w:b/>
          <w:bCs/>
          <w:highlight w:val="none"/>
        </w:rPr>
      </w:pPr>
      <w:r>
        <w:rPr>
          <w:rFonts w:hint="eastAsia" w:ascii="宋体" w:hAnsi="宋体" w:cs="宋体"/>
          <w:b/>
          <w:bCs/>
          <w:kern w:val="0"/>
          <w:szCs w:val="21"/>
          <w:highlight w:val="none"/>
          <w:lang w:bidi="ar"/>
        </w:rPr>
        <w:t>一、项目基本情况</w:t>
      </w:r>
    </w:p>
    <w:p w14:paraId="7C0BF939">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eastAsia="宋体" w:cs="宋体"/>
          <w:b w:val="0"/>
          <w:bCs w:val="0"/>
          <w:color w:val="auto"/>
          <w:kern w:val="0"/>
          <w:szCs w:val="21"/>
          <w:highlight w:val="none"/>
        </w:rPr>
        <w:t>项目编号</w:t>
      </w:r>
      <w:r>
        <w:rPr>
          <w:rFonts w:hint="eastAsia" w:ascii="宋体" w:hAnsi="宋体" w:cs="宋体"/>
          <w:kern w:val="0"/>
          <w:szCs w:val="21"/>
          <w:highlight w:val="none"/>
          <w:lang w:bidi="ar"/>
        </w:rPr>
        <w:t>：采购计划-[2025]-06077号-HCKJ-2025-GC003</w:t>
      </w:r>
    </w:p>
    <w:p w14:paraId="3F6C511D">
      <w:pPr>
        <w:keepNext w:val="0"/>
        <w:keepLines w:val="0"/>
        <w:pageBreakBefore w:val="0"/>
        <w:widowControl/>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val="en-US" w:eastAsia="zh-CN" w:bidi="ar"/>
        </w:rPr>
        <w:t>2.</w:t>
      </w:r>
      <w:r>
        <w:rPr>
          <w:rFonts w:hint="eastAsia" w:ascii="宋体" w:hAnsi="宋体" w:eastAsia="宋体" w:cs="宋体"/>
          <w:color w:val="auto"/>
          <w:sz w:val="21"/>
          <w:szCs w:val="21"/>
          <w:highlight w:val="none"/>
          <w:lang w:eastAsia="zh-CN"/>
        </w:rPr>
        <w:t>采购计划编号</w:t>
      </w:r>
      <w:r>
        <w:rPr>
          <w:rFonts w:hint="eastAsia" w:ascii="宋体" w:hAnsi="宋体" w:cs="宋体"/>
          <w:color w:val="auto"/>
          <w:sz w:val="21"/>
          <w:szCs w:val="21"/>
          <w:highlight w:val="none"/>
          <w:lang w:eastAsia="zh-CN"/>
        </w:rPr>
        <w:t>：</w:t>
      </w:r>
      <w:r>
        <w:rPr>
          <w:rFonts w:hint="eastAsia" w:ascii="宋体" w:hAnsi="宋体" w:cs="宋体"/>
          <w:kern w:val="0"/>
          <w:szCs w:val="21"/>
          <w:highlight w:val="none"/>
          <w:lang w:eastAsia="zh-CN" w:bidi="ar"/>
        </w:rPr>
        <w:t>采购计划-[2025]-06077号</w:t>
      </w:r>
    </w:p>
    <w:p w14:paraId="5808D0F5">
      <w:pPr>
        <w:keepNext w:val="0"/>
        <w:keepLines w:val="0"/>
        <w:pageBreakBefore w:val="0"/>
        <w:kinsoku/>
        <w:wordWrap/>
        <w:overflowPunct/>
        <w:topLinePunct w:val="0"/>
        <w:bidi w:val="0"/>
        <w:spacing w:line="520" w:lineRule="exact"/>
        <w:ind w:firstLine="420" w:firstLineChars="200"/>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w:t>
      </w:r>
      <w:r>
        <w:rPr>
          <w:rFonts w:hint="eastAsia" w:ascii="宋体" w:hAnsi="宋体" w:cs="宋体"/>
          <w:kern w:val="0"/>
          <w:szCs w:val="21"/>
          <w:highlight w:val="none"/>
          <w:lang w:bidi="ar"/>
        </w:rPr>
        <w:t>项目名称：</w:t>
      </w:r>
      <w:r>
        <w:rPr>
          <w:rFonts w:hint="eastAsia" w:ascii="宋体" w:hAnsi="宋体" w:cs="宋体"/>
          <w:kern w:val="0"/>
          <w:szCs w:val="21"/>
          <w:highlight w:val="none"/>
          <w:lang w:eastAsia="zh-CN" w:bidi="ar"/>
        </w:rPr>
        <w:t>改善训练比赛场地设施条件维修改造运动员村、运动员之家公寓及附属设施</w:t>
      </w:r>
      <w:r>
        <w:rPr>
          <w:rFonts w:hint="eastAsia" w:ascii="宋体" w:hAnsi="宋体" w:cs="宋体"/>
          <w:kern w:val="0"/>
          <w:szCs w:val="21"/>
          <w:highlight w:val="none"/>
          <w:lang w:val="en-US" w:eastAsia="zh-CN" w:bidi="ar"/>
        </w:rPr>
        <w:t>二次</w:t>
      </w:r>
    </w:p>
    <w:p w14:paraId="7EACEDED">
      <w:pPr>
        <w:keepNext w:val="0"/>
        <w:keepLines w:val="0"/>
        <w:pageBreakBefore w:val="0"/>
        <w:widowControl/>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bidi="ar"/>
        </w:rPr>
        <w:t>.采购方式：竞争性磋商</w:t>
      </w:r>
    </w:p>
    <w:p w14:paraId="050542E6">
      <w:pPr>
        <w:keepNext w:val="0"/>
        <w:keepLines w:val="0"/>
        <w:pageBreakBefore w:val="0"/>
        <w:widowControl/>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val="en-US" w:eastAsia="zh-CN" w:bidi="ar"/>
        </w:rPr>
        <w:t>5</w:t>
      </w:r>
      <w:r>
        <w:rPr>
          <w:rFonts w:hint="eastAsia" w:ascii="宋体" w:hAnsi="宋体" w:cs="宋体"/>
          <w:kern w:val="0"/>
          <w:szCs w:val="21"/>
          <w:highlight w:val="none"/>
          <w:lang w:bidi="ar"/>
        </w:rPr>
        <w:t>.预算金额：</w:t>
      </w:r>
      <w:r>
        <w:rPr>
          <w:rFonts w:hint="eastAsia" w:ascii="宋体" w:hAnsi="宋体" w:cs="宋体"/>
          <w:kern w:val="0"/>
          <w:szCs w:val="21"/>
          <w:highlight w:val="none"/>
          <w:lang w:val="en-US" w:eastAsia="zh-CN" w:bidi="ar"/>
        </w:rPr>
        <w:t>2360000.00</w:t>
      </w:r>
      <w:r>
        <w:rPr>
          <w:rFonts w:hint="eastAsia" w:ascii="宋体" w:hAnsi="宋体" w:cs="宋体"/>
          <w:kern w:val="0"/>
          <w:szCs w:val="21"/>
          <w:highlight w:val="none"/>
          <w:lang w:bidi="ar"/>
        </w:rPr>
        <w:t>元</w:t>
      </w:r>
    </w:p>
    <w:p w14:paraId="20184C65">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eastAsia="宋体" w:cs="宋体"/>
          <w:kern w:val="0"/>
          <w:szCs w:val="21"/>
          <w:highlight w:val="none"/>
          <w:lang w:bidi="ar"/>
        </w:rPr>
      </w:pPr>
      <w:r>
        <w:rPr>
          <w:rFonts w:hint="eastAsia" w:ascii="宋体" w:hAnsi="宋体" w:cs="宋体"/>
          <w:kern w:val="0"/>
          <w:szCs w:val="21"/>
          <w:highlight w:val="none"/>
          <w:lang w:val="en-US" w:eastAsia="zh-CN" w:bidi="ar"/>
        </w:rPr>
        <w:t>6</w:t>
      </w:r>
      <w:r>
        <w:rPr>
          <w:rFonts w:hint="eastAsia" w:ascii="宋体" w:hAnsi="宋体" w:cs="宋体"/>
          <w:kern w:val="0"/>
          <w:szCs w:val="21"/>
          <w:highlight w:val="none"/>
          <w:lang w:bidi="ar"/>
        </w:rPr>
        <w:t>.最高限价：</w:t>
      </w:r>
      <w:r>
        <w:rPr>
          <w:rFonts w:hint="eastAsia" w:ascii="宋体" w:hAnsi="宋体" w:cs="宋体"/>
          <w:kern w:val="0"/>
          <w:szCs w:val="21"/>
          <w:highlight w:val="none"/>
          <w:lang w:val="en-US" w:eastAsia="zh-CN" w:bidi="ar"/>
        </w:rPr>
        <w:t>2360000.00元</w:t>
      </w:r>
    </w:p>
    <w:p w14:paraId="4EABD682">
      <w:pPr>
        <w:keepNext w:val="0"/>
        <w:keepLines w:val="0"/>
        <w:pageBreakBefore w:val="0"/>
        <w:widowControl/>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bidi="ar"/>
        </w:rPr>
        <w:t>.采购需求：</w:t>
      </w:r>
      <w:r>
        <w:rPr>
          <w:rFonts w:hint="eastAsia" w:ascii="宋体" w:hAnsi="宋体" w:cs="宋体"/>
          <w:kern w:val="0"/>
          <w:szCs w:val="21"/>
          <w:highlight w:val="none"/>
          <w:lang w:val="en-US" w:eastAsia="zh-CN" w:bidi="ar"/>
        </w:rPr>
        <w:t>附属设施项目（</w:t>
      </w:r>
      <w:r>
        <w:rPr>
          <w:rFonts w:hint="eastAsia" w:ascii="宋体" w:hAnsi="宋体" w:cs="宋体"/>
          <w:kern w:val="0"/>
          <w:szCs w:val="21"/>
          <w:highlight w:val="none"/>
          <w:lang w:eastAsia="zh-CN" w:bidi="ar"/>
        </w:rPr>
        <w:t>工程量清单及图纸所含全部内容）</w:t>
      </w:r>
      <w:r>
        <w:rPr>
          <w:rFonts w:hint="eastAsia" w:ascii="宋体" w:hAnsi="宋体" w:cs="宋体"/>
          <w:kern w:val="0"/>
          <w:szCs w:val="21"/>
          <w:highlight w:val="none"/>
          <w:lang w:bidi="ar"/>
        </w:rPr>
        <w:t>；</w:t>
      </w:r>
    </w:p>
    <w:p w14:paraId="5CC97454">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8.建设地点：吉林省长白山保护开发区</w:t>
      </w:r>
      <w:r>
        <w:rPr>
          <w:rFonts w:hint="eastAsia" w:ascii="宋体" w:hAnsi="宋体" w:cs="宋体"/>
          <w:b w:val="0"/>
          <w:bCs w:val="0"/>
          <w:color w:val="auto"/>
          <w:kern w:val="0"/>
          <w:szCs w:val="21"/>
          <w:lang w:val="en-US" w:eastAsia="zh-CN"/>
        </w:rPr>
        <w:t>；</w:t>
      </w:r>
    </w:p>
    <w:p w14:paraId="67424CD2">
      <w:pPr>
        <w:keepNext w:val="0"/>
        <w:keepLines w:val="0"/>
        <w:pageBreakBefore w:val="0"/>
        <w:widowControl/>
        <w:kinsoku/>
        <w:wordWrap/>
        <w:overflowPunct/>
        <w:topLinePunct w:val="0"/>
        <w:bidi w:val="0"/>
        <w:spacing w:line="520" w:lineRule="exact"/>
        <w:ind w:firstLine="420" w:firstLineChars="200"/>
        <w:jc w:val="left"/>
        <w:rPr>
          <w:rFonts w:hint="default"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9</w:t>
      </w:r>
      <w:r>
        <w:rPr>
          <w:rFonts w:hint="eastAsia" w:ascii="宋体" w:hAnsi="宋体" w:eastAsia="宋体" w:cs="宋体"/>
          <w:b w:val="0"/>
          <w:bCs w:val="0"/>
          <w:kern w:val="0"/>
          <w:sz w:val="21"/>
          <w:szCs w:val="21"/>
          <w:highlight w:val="none"/>
          <w:lang w:val="en-US" w:eastAsia="zh-CN" w:bidi="ar"/>
        </w:rPr>
        <w:t>.</w:t>
      </w:r>
      <w:r>
        <w:rPr>
          <w:rFonts w:hint="eastAsia" w:ascii="宋体" w:hAnsi="宋体" w:cs="宋体"/>
          <w:b w:val="0"/>
          <w:bCs w:val="0"/>
          <w:kern w:val="0"/>
          <w:sz w:val="21"/>
          <w:szCs w:val="21"/>
          <w:highlight w:val="none"/>
          <w:lang w:val="en-US" w:eastAsia="zh-CN" w:bidi="ar"/>
        </w:rPr>
        <w:t>质量要求：符合国家现行工程施工质量验收规范标准的合格工程</w:t>
      </w:r>
      <w:r>
        <w:rPr>
          <w:rFonts w:hint="eastAsia" w:ascii="宋体" w:hAnsi="宋体" w:cs="宋体"/>
          <w:b w:val="0"/>
          <w:bCs w:val="0"/>
          <w:color w:val="auto"/>
          <w:kern w:val="0"/>
          <w:szCs w:val="21"/>
          <w:lang w:val="en-US" w:eastAsia="zh-CN"/>
        </w:rPr>
        <w:t>；</w:t>
      </w:r>
    </w:p>
    <w:p w14:paraId="7363AF90">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10</w:t>
      </w:r>
      <w:r>
        <w:rPr>
          <w:rFonts w:hint="eastAsia" w:ascii="宋体" w:hAnsi="宋体" w:cs="宋体"/>
          <w:kern w:val="0"/>
          <w:szCs w:val="21"/>
          <w:highlight w:val="none"/>
          <w:lang w:bidi="ar"/>
        </w:rPr>
        <w:t>.</w:t>
      </w:r>
      <w:r>
        <w:rPr>
          <w:rFonts w:hint="eastAsia" w:ascii="宋体" w:hAnsi="宋体" w:eastAsia="宋体" w:cs="宋体"/>
          <w:b w:val="0"/>
          <w:bCs w:val="0"/>
          <w:color w:val="auto"/>
          <w:kern w:val="0"/>
          <w:szCs w:val="21"/>
        </w:rPr>
        <w:t>合同履行期限</w:t>
      </w:r>
      <w:r>
        <w:rPr>
          <w:rFonts w:hint="eastAsia" w:ascii="宋体" w:hAnsi="宋体" w:cs="宋体"/>
          <w:kern w:val="0"/>
          <w:szCs w:val="21"/>
          <w:highlight w:val="none"/>
          <w:lang w:bidi="ar"/>
        </w:rPr>
        <w:t>：</w:t>
      </w:r>
      <w:r>
        <w:rPr>
          <w:rFonts w:hint="eastAsia" w:ascii="宋体" w:hAnsi="宋体" w:cs="宋体"/>
          <w:kern w:val="0"/>
          <w:szCs w:val="21"/>
          <w:highlight w:val="none"/>
          <w:lang w:val="zh-CN" w:eastAsia="zh-CN" w:bidi="ar"/>
        </w:rPr>
        <w:t>自合同签订之日起一个月内</w:t>
      </w:r>
      <w:r>
        <w:rPr>
          <w:rFonts w:hint="eastAsia" w:ascii="宋体" w:hAnsi="宋体" w:cs="宋体"/>
          <w:kern w:val="0"/>
          <w:szCs w:val="21"/>
          <w:highlight w:val="none"/>
          <w:lang w:bidi="ar"/>
        </w:rPr>
        <w:t>；</w:t>
      </w:r>
    </w:p>
    <w:p w14:paraId="6AB871AA">
      <w:pPr>
        <w:keepNext w:val="0"/>
        <w:keepLines w:val="0"/>
        <w:pageBreakBefore w:val="0"/>
        <w:widowControl/>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b w:val="0"/>
          <w:bCs w:val="0"/>
          <w:color w:val="auto"/>
          <w:kern w:val="0"/>
          <w:szCs w:val="21"/>
          <w:lang w:val="en-US" w:eastAsia="zh-CN"/>
        </w:rPr>
        <w:t>11.</w:t>
      </w:r>
      <w:r>
        <w:rPr>
          <w:rFonts w:hint="eastAsia" w:ascii="宋体" w:hAnsi="宋体" w:cs="宋体"/>
          <w:kern w:val="0"/>
          <w:szCs w:val="21"/>
          <w:highlight w:val="none"/>
          <w:lang w:bidi="ar"/>
        </w:rPr>
        <w:t>本项目不接受联合体。</w:t>
      </w:r>
    </w:p>
    <w:p w14:paraId="479701CA">
      <w:pPr>
        <w:keepNext w:val="0"/>
        <w:keepLines w:val="0"/>
        <w:pageBreakBefore w:val="0"/>
        <w:widowControl/>
        <w:kinsoku/>
        <w:wordWrap/>
        <w:overflowPunct/>
        <w:topLinePunct w:val="0"/>
        <w:bidi w:val="0"/>
        <w:spacing w:line="520" w:lineRule="exact"/>
        <w:jc w:val="left"/>
        <w:rPr>
          <w:rFonts w:ascii="宋体" w:hAnsi="宋体" w:cs="宋体"/>
          <w:highlight w:val="none"/>
        </w:rPr>
      </w:pPr>
      <w:r>
        <w:rPr>
          <w:rFonts w:hint="eastAsia" w:ascii="宋体" w:hAnsi="宋体" w:cs="宋体"/>
          <w:b/>
          <w:bCs/>
          <w:kern w:val="0"/>
          <w:szCs w:val="21"/>
          <w:highlight w:val="none"/>
          <w:lang w:bidi="ar"/>
        </w:rPr>
        <w:t>二、申请人的资格要求</w:t>
      </w:r>
      <w:r>
        <w:rPr>
          <w:rFonts w:hint="eastAsia" w:ascii="宋体" w:hAnsi="宋体" w:cs="宋体"/>
          <w:kern w:val="0"/>
          <w:szCs w:val="21"/>
          <w:highlight w:val="none"/>
          <w:lang w:bidi="ar"/>
        </w:rPr>
        <w:t>：</w:t>
      </w:r>
    </w:p>
    <w:p w14:paraId="1DEF1DCF">
      <w:pPr>
        <w:keepNext w:val="0"/>
        <w:keepLines w:val="0"/>
        <w:pageBreakBefore w:val="0"/>
        <w:widowControl/>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1.满足《中华人民共和国政府采购法》第二十二条规定；</w:t>
      </w:r>
    </w:p>
    <w:p w14:paraId="274BD2AA">
      <w:pPr>
        <w:keepNext w:val="0"/>
        <w:keepLines w:val="0"/>
        <w:pageBreakBefore w:val="0"/>
        <w:kinsoku/>
        <w:wordWrap/>
        <w:overflowPunct/>
        <w:topLinePunct w:val="0"/>
        <w:bidi w:val="0"/>
        <w:spacing w:line="520" w:lineRule="exact"/>
        <w:ind w:firstLine="630" w:firstLineChars="300"/>
        <w:rPr>
          <w:rFonts w:ascii="宋体" w:hAnsi="宋体" w:cs="宋体"/>
          <w:highlight w:val="none"/>
        </w:rPr>
      </w:pPr>
      <w:r>
        <w:rPr>
          <w:rFonts w:hint="eastAsia" w:ascii="宋体" w:hAnsi="宋体" w:cs="宋体"/>
          <w:highlight w:val="none"/>
        </w:rPr>
        <w:t>(1)具有独立承担民事责任的能力；</w:t>
      </w:r>
    </w:p>
    <w:p w14:paraId="7CAB7F9C">
      <w:pPr>
        <w:keepNext w:val="0"/>
        <w:keepLines w:val="0"/>
        <w:pageBreakBefore w:val="0"/>
        <w:kinsoku/>
        <w:wordWrap/>
        <w:overflowPunct/>
        <w:topLinePunct w:val="0"/>
        <w:bidi w:val="0"/>
        <w:spacing w:line="520" w:lineRule="exact"/>
        <w:ind w:firstLine="630" w:firstLineChars="300"/>
        <w:rPr>
          <w:rFonts w:ascii="宋体" w:hAnsi="宋体" w:cs="宋体"/>
          <w:highlight w:val="none"/>
        </w:rPr>
      </w:pPr>
      <w:r>
        <w:rPr>
          <w:rFonts w:hint="eastAsia" w:ascii="宋体" w:hAnsi="宋体" w:cs="宋体"/>
          <w:highlight w:val="none"/>
        </w:rPr>
        <w:t>(2)具有良好的商业信誉和健全的财务会计制度；</w:t>
      </w:r>
    </w:p>
    <w:p w14:paraId="1A72165B">
      <w:pPr>
        <w:keepNext w:val="0"/>
        <w:keepLines w:val="0"/>
        <w:pageBreakBefore w:val="0"/>
        <w:kinsoku/>
        <w:wordWrap/>
        <w:overflowPunct/>
        <w:topLinePunct w:val="0"/>
        <w:bidi w:val="0"/>
        <w:spacing w:line="520" w:lineRule="exact"/>
        <w:ind w:firstLine="630" w:firstLineChars="300"/>
        <w:rPr>
          <w:rFonts w:ascii="宋体" w:hAnsi="宋体" w:cs="宋体"/>
          <w:highlight w:val="none"/>
        </w:rPr>
      </w:pPr>
      <w:r>
        <w:rPr>
          <w:rFonts w:hint="eastAsia" w:ascii="宋体" w:hAnsi="宋体" w:cs="宋体"/>
          <w:highlight w:val="none"/>
        </w:rPr>
        <w:t>(3)具有履行合同所必需的设备和专业技术能力；</w:t>
      </w:r>
    </w:p>
    <w:p w14:paraId="27A2AC79">
      <w:pPr>
        <w:keepNext w:val="0"/>
        <w:keepLines w:val="0"/>
        <w:pageBreakBefore w:val="0"/>
        <w:kinsoku/>
        <w:wordWrap/>
        <w:overflowPunct/>
        <w:topLinePunct w:val="0"/>
        <w:bidi w:val="0"/>
        <w:spacing w:line="520" w:lineRule="exact"/>
        <w:ind w:firstLine="630" w:firstLineChars="300"/>
        <w:rPr>
          <w:rFonts w:ascii="宋体" w:hAnsi="宋体" w:cs="宋体"/>
          <w:highlight w:val="none"/>
        </w:rPr>
      </w:pPr>
      <w:r>
        <w:rPr>
          <w:rFonts w:hint="eastAsia" w:ascii="宋体" w:hAnsi="宋体" w:cs="宋体"/>
          <w:highlight w:val="none"/>
        </w:rPr>
        <w:t>(4)有依法缴纳税收和社会保障资金的良好记录；</w:t>
      </w:r>
    </w:p>
    <w:p w14:paraId="01E8D7A9">
      <w:pPr>
        <w:keepNext w:val="0"/>
        <w:keepLines w:val="0"/>
        <w:pageBreakBefore w:val="0"/>
        <w:kinsoku/>
        <w:wordWrap/>
        <w:overflowPunct/>
        <w:topLinePunct w:val="0"/>
        <w:bidi w:val="0"/>
        <w:spacing w:line="520" w:lineRule="exact"/>
        <w:ind w:firstLine="630" w:firstLineChars="300"/>
        <w:rPr>
          <w:rFonts w:ascii="宋体" w:hAnsi="宋体" w:cs="宋体"/>
          <w:highlight w:val="none"/>
        </w:rPr>
      </w:pPr>
      <w:r>
        <w:rPr>
          <w:rFonts w:hint="eastAsia" w:ascii="宋体" w:hAnsi="宋体" w:cs="宋体"/>
          <w:highlight w:val="none"/>
        </w:rPr>
        <w:t>(5)参加政府采购活动前三年内，在经营活动中没有重大违法记录；</w:t>
      </w:r>
    </w:p>
    <w:p w14:paraId="154F0686">
      <w:pPr>
        <w:keepNext w:val="0"/>
        <w:keepLines w:val="0"/>
        <w:pageBreakBefore w:val="0"/>
        <w:kinsoku/>
        <w:wordWrap/>
        <w:overflowPunct/>
        <w:topLinePunct w:val="0"/>
        <w:bidi w:val="0"/>
        <w:spacing w:line="520" w:lineRule="exact"/>
        <w:ind w:firstLine="630" w:firstLineChars="300"/>
        <w:rPr>
          <w:rFonts w:ascii="宋体" w:hAnsi="宋体" w:cs="宋体"/>
          <w:highlight w:val="none"/>
        </w:rPr>
      </w:pPr>
      <w:r>
        <w:rPr>
          <w:rFonts w:hint="eastAsia" w:ascii="宋体" w:hAnsi="宋体" w:cs="宋体"/>
          <w:highlight w:val="none"/>
        </w:rPr>
        <w:t>(6)法律、行政法规规定的其他条件。</w:t>
      </w:r>
    </w:p>
    <w:p w14:paraId="6D419998">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highlight w:val="none"/>
        </w:rPr>
      </w:pPr>
      <w:r>
        <w:rPr>
          <w:rFonts w:hint="eastAsia" w:ascii="宋体" w:hAnsi="宋体" w:cs="宋体"/>
          <w:kern w:val="0"/>
          <w:szCs w:val="21"/>
          <w:highlight w:val="none"/>
          <w:lang w:bidi="ar"/>
        </w:rPr>
        <w:t>2.落实政府采购政策需满足的资格要求</w:t>
      </w:r>
      <w:r>
        <w:rPr>
          <w:rFonts w:hint="eastAsia" w:ascii="宋体" w:hAnsi="宋体" w:cs="宋体"/>
          <w:highlight w:val="none"/>
        </w:rPr>
        <w:t>：本项目专门面向中小企业。</w:t>
      </w:r>
    </w:p>
    <w:p w14:paraId="289FABC0">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eastAsia="宋体" w:cs="宋体"/>
          <w:b w:val="0"/>
          <w:bCs w:val="0"/>
          <w:color w:val="auto"/>
          <w:kern w:val="0"/>
          <w:sz w:val="21"/>
          <w:szCs w:val="21"/>
          <w:lang w:val="en-US" w:eastAsia="zh-CN"/>
        </w:rPr>
        <w:t>需要落实的政府采购政策：《政府采购促进中小企业发展管理办法》（财库〔2020〕46号）；《关于进一步加大政府采购支持中小企业力度的通知》财库〔2022〕19号；《关于政府采购支持监狱企业发展有关问题的通</w:t>
      </w:r>
      <w:r>
        <w:rPr>
          <w:rFonts w:hint="eastAsia" w:ascii="宋体" w:hAnsi="宋体" w:eastAsia="宋体" w:cs="宋体"/>
          <w:b w:val="0"/>
          <w:bCs w:val="0"/>
          <w:color w:val="auto"/>
          <w:kern w:val="0"/>
          <w:sz w:val="21"/>
          <w:szCs w:val="21"/>
          <w:highlight w:val="none"/>
          <w:lang w:val="en-US" w:eastAsia="zh-CN"/>
        </w:rPr>
        <w:t>知》（财库〔2014〕68号）；《关于促进残疾人就业政府采购政策的通知》（财库〔2017〕141号）；《关于调整优化节能产品、环境标志产品政府采购执行机制的通知》（财库〔2019〕9号）等国家最新政策。专门面向中小企业采购的项目或者采购包，不再执行价格评审优惠的扶持政策。</w:t>
      </w:r>
    </w:p>
    <w:p w14:paraId="1071DDC1">
      <w:pPr>
        <w:keepNext w:val="0"/>
        <w:keepLines w:val="0"/>
        <w:pageBreakBefore w:val="0"/>
        <w:widowControl/>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3.本项目的特定资格要求：</w:t>
      </w:r>
    </w:p>
    <w:p w14:paraId="07023B30">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rPr>
        <w:t>3.1</w:t>
      </w:r>
      <w:r>
        <w:rPr>
          <w:rFonts w:hint="eastAsia" w:ascii="宋体" w:hAnsi="宋体" w:eastAsia="宋体" w:cs="宋体"/>
          <w:color w:val="auto"/>
          <w:kern w:val="0"/>
          <w:sz w:val="21"/>
          <w:szCs w:val="21"/>
          <w:highlight w:val="none"/>
          <w:lang w:val="en-US" w:eastAsia="zh-CN"/>
        </w:rPr>
        <w:t>申请人须具备独立承担民事行为能力的法人或其他组织，</w:t>
      </w:r>
      <w:r>
        <w:rPr>
          <w:rFonts w:hint="eastAsia" w:ascii="宋体" w:hAnsi="宋体" w:eastAsia="宋体" w:cs="宋体"/>
          <w:color w:val="auto"/>
          <w:kern w:val="0"/>
          <w:szCs w:val="21"/>
          <w:highlight w:val="none"/>
        </w:rPr>
        <w:t>具备有效的营业执照</w:t>
      </w:r>
      <w:r>
        <w:rPr>
          <w:rFonts w:hint="eastAsia" w:ascii="宋体" w:hAnsi="宋体" w:cs="宋体"/>
          <w:kern w:val="0"/>
          <w:szCs w:val="21"/>
          <w:highlight w:val="none"/>
          <w:lang w:bidi="ar"/>
        </w:rPr>
        <w:t>；</w:t>
      </w:r>
    </w:p>
    <w:p w14:paraId="3524BE0D">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3.2申请人须具备建设行政主管部门核发的</w:t>
      </w:r>
      <w:r>
        <w:rPr>
          <w:rFonts w:hint="eastAsia" w:ascii="宋体" w:hAnsi="宋体" w:cs="宋体"/>
          <w:kern w:val="0"/>
          <w:szCs w:val="21"/>
          <w:highlight w:val="none"/>
          <w:lang w:eastAsia="zh-CN" w:bidi="ar"/>
        </w:rPr>
        <w:t>建筑工程施工总承包叁级</w:t>
      </w:r>
      <w:r>
        <w:rPr>
          <w:rFonts w:hint="eastAsia" w:ascii="宋体" w:hAnsi="宋体" w:cs="宋体"/>
          <w:kern w:val="0"/>
          <w:szCs w:val="21"/>
          <w:highlight w:val="none"/>
          <w:lang w:bidi="ar"/>
        </w:rPr>
        <w:t>及以上资质，具备有效的安全生产许可证；</w:t>
      </w:r>
    </w:p>
    <w:p w14:paraId="17DF5303">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注：①根据《吉林省住房和城乡建设厅关于建筑业企业资质延续有关事宜的通知》（吉建管[2023]23号)文件要求，吉林省建筑业企业总承包</w:t>
      </w:r>
      <w:r>
        <w:rPr>
          <w:rFonts w:hint="eastAsia" w:ascii="宋体" w:hAnsi="宋体" w:cs="宋体"/>
          <w:kern w:val="0"/>
          <w:szCs w:val="21"/>
          <w:highlight w:val="none"/>
          <w:lang w:eastAsia="zh-CN" w:bidi="ar"/>
        </w:rPr>
        <w:t>叁</w:t>
      </w:r>
      <w:r>
        <w:rPr>
          <w:rFonts w:hint="eastAsia" w:ascii="宋体" w:hAnsi="宋体" w:cs="宋体"/>
          <w:kern w:val="0"/>
          <w:szCs w:val="21"/>
          <w:highlight w:val="none"/>
          <w:lang w:bidi="ar"/>
        </w:rPr>
        <w:t>级、专业承包</w:t>
      </w:r>
      <w:r>
        <w:rPr>
          <w:rFonts w:hint="eastAsia" w:ascii="宋体" w:hAnsi="宋体" w:cs="宋体"/>
          <w:kern w:val="0"/>
          <w:szCs w:val="21"/>
          <w:highlight w:val="none"/>
          <w:lang w:eastAsia="zh-CN" w:bidi="ar"/>
        </w:rPr>
        <w:t>叁</w:t>
      </w:r>
      <w:r>
        <w:rPr>
          <w:rFonts w:hint="eastAsia" w:ascii="宋体" w:hAnsi="宋体" w:cs="宋体"/>
          <w:kern w:val="0"/>
          <w:szCs w:val="21"/>
          <w:highlight w:val="none"/>
          <w:lang w:bidi="ar"/>
        </w:rPr>
        <w:t>级资质，自2024年7月1日起，原资质许可机关不再受理资质换证申请，相应证书逾期自动作废。②其他省（市）核发的资质涉及有效期延续、换证问题的，按照当地建设行政主管部门文件执行。响应文件内须提供当地住房和城乡建设部门官方网站发布的有关有效期延期、换证的文件截图及网址，否则不予认定。</w:t>
      </w:r>
    </w:p>
    <w:p w14:paraId="586748CA">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rPr>
        <w:t>3.3供应商</w:t>
      </w:r>
      <w:r>
        <w:rPr>
          <w:rFonts w:hint="eastAsia" w:ascii="宋体" w:hAnsi="宋体" w:cs="宋体"/>
          <w:bCs/>
          <w:szCs w:val="21"/>
          <w:highlight w:val="none"/>
          <w:lang w:val="zh-CN"/>
        </w:rPr>
        <w:t>拟派项目经理须具备</w:t>
      </w:r>
      <w:r>
        <w:rPr>
          <w:rFonts w:hint="eastAsia" w:ascii="宋体" w:hAnsi="宋体" w:cs="宋体"/>
          <w:bCs/>
          <w:szCs w:val="21"/>
          <w:highlight w:val="none"/>
          <w:lang w:val="zh-CN" w:eastAsia="zh-CN"/>
        </w:rPr>
        <w:t>建筑工程专业二级</w:t>
      </w:r>
      <w:r>
        <w:rPr>
          <w:rFonts w:hint="eastAsia" w:ascii="宋体" w:hAnsi="宋体" w:cs="宋体"/>
          <w:color w:val="000000"/>
          <w:kern w:val="0"/>
          <w:szCs w:val="21"/>
          <w:highlight w:val="none"/>
          <w:lang w:bidi="ar"/>
        </w:rPr>
        <w:t>及以上注册建造师资格</w:t>
      </w:r>
      <w:r>
        <w:rPr>
          <w:rFonts w:hint="eastAsia" w:ascii="宋体" w:hAnsi="宋体" w:cs="宋体"/>
          <w:bCs/>
          <w:szCs w:val="21"/>
          <w:highlight w:val="none"/>
          <w:lang w:val="zh-CN"/>
        </w:rPr>
        <w:t>，具备有效的安全生产考核合格证（B类），</w:t>
      </w:r>
      <w:r>
        <w:rPr>
          <w:rFonts w:hint="eastAsia" w:ascii="宋体" w:hAnsi="宋体" w:cs="宋体"/>
          <w:bCs/>
          <w:color w:val="auto"/>
          <w:szCs w:val="21"/>
          <w:highlight w:val="none"/>
        </w:rPr>
        <w:t>须为本单位在职职工，</w:t>
      </w:r>
      <w:r>
        <w:rPr>
          <w:rFonts w:hint="eastAsia" w:ascii="宋体" w:hAnsi="宋体" w:cs="宋体"/>
          <w:bCs/>
          <w:szCs w:val="21"/>
          <w:highlight w:val="none"/>
          <w:lang w:val="zh-CN"/>
        </w:rPr>
        <w:t>且无在建工程；</w:t>
      </w:r>
    </w:p>
    <w:p w14:paraId="2173AF3D">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3.4</w:t>
      </w:r>
      <w:r>
        <w:rPr>
          <w:rFonts w:hint="eastAsia" w:ascii="宋体" w:hAnsi="宋体" w:cs="宋体"/>
          <w:color w:val="auto"/>
          <w:kern w:val="0"/>
          <w:szCs w:val="21"/>
          <w:highlight w:val="none"/>
          <w:lang w:val="en-US" w:eastAsia="zh-CN"/>
        </w:rPr>
        <w:t>提供2024年度经会计师事务所或审计机构审计的财务审计报告及2025年1月1日至今财务状况良好的承诺。（2024年12月31日以后新成立的公司无财务审计报告的，仅需提供一份财务状况良好承诺）；</w:t>
      </w:r>
    </w:p>
    <w:p w14:paraId="5CFE2127">
      <w:pPr>
        <w:keepNext w:val="0"/>
        <w:keepLines w:val="0"/>
        <w:pageBreakBefore w:val="0"/>
        <w:widowControl/>
        <w:kinsoku/>
        <w:wordWrap/>
        <w:overflowPunct/>
        <w:topLinePunct w:val="0"/>
        <w:bidi w:val="0"/>
        <w:spacing w:line="520" w:lineRule="exact"/>
        <w:ind w:firstLine="420" w:firstLineChars="200"/>
        <w:jc w:val="left"/>
        <w:rPr>
          <w:rFonts w:ascii="宋体" w:hAnsi="宋体" w:cs="宋体"/>
          <w:highlight w:val="none"/>
        </w:rPr>
      </w:pPr>
      <w:r>
        <w:rPr>
          <w:rFonts w:hint="eastAsia" w:ascii="宋体" w:hAnsi="宋体" w:cs="宋体"/>
          <w:kern w:val="0"/>
          <w:szCs w:val="21"/>
          <w:highlight w:val="none"/>
          <w:lang w:bidi="ar"/>
        </w:rPr>
        <w:t>3.5</w:t>
      </w:r>
      <w:r>
        <w:rPr>
          <w:rFonts w:hint="eastAsia" w:ascii="宋体" w:hAnsi="宋体" w:cs="宋体"/>
          <w:kern w:val="0"/>
          <w:szCs w:val="21"/>
          <w:highlight w:val="none"/>
          <w:lang w:val="en-US" w:eastAsia="zh-CN" w:bidi="ar"/>
        </w:rPr>
        <w:t>提供近半年内（递交响应文件截止时间前）任意一个月依法缴纳税收和社会保障资金良好记录的证明文件，依法免税的提供相关证明材料</w:t>
      </w:r>
      <w:r>
        <w:rPr>
          <w:rFonts w:hint="eastAsia" w:ascii="宋体" w:hAnsi="宋体" w:cs="宋体"/>
          <w:kern w:val="0"/>
          <w:szCs w:val="21"/>
          <w:highlight w:val="none"/>
          <w:lang w:bidi="ar"/>
        </w:rPr>
        <w:t>；</w:t>
      </w:r>
    </w:p>
    <w:p w14:paraId="28672ADA">
      <w:pPr>
        <w:keepNext w:val="0"/>
        <w:keepLines w:val="0"/>
        <w:pageBreakBefore w:val="0"/>
        <w:widowControl/>
        <w:tabs>
          <w:tab w:val="left" w:pos="654"/>
          <w:tab w:val="left" w:pos="684"/>
          <w:tab w:val="left" w:pos="714"/>
        </w:tabs>
        <w:kinsoku/>
        <w:wordWrap/>
        <w:overflowPunct/>
        <w:topLinePunct w:val="0"/>
        <w:bidi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val="en-US" w:eastAsia="zh-CN" w:bidi="ar"/>
        </w:rPr>
        <w:t>6</w:t>
      </w:r>
      <w:r>
        <w:rPr>
          <w:rFonts w:hint="eastAsia" w:ascii="宋体" w:hAnsi="宋体" w:cs="宋体"/>
          <w:kern w:val="0"/>
          <w:szCs w:val="21"/>
          <w:highlight w:val="none"/>
          <w:lang w:bidi="ar"/>
        </w:rPr>
        <w:t>信誉要求：</w:t>
      </w:r>
    </w:p>
    <w:p w14:paraId="78DA489C">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ascii="宋体" w:hAnsi="宋体" w:cs="宋体"/>
          <w:kern w:val="0"/>
          <w:szCs w:val="21"/>
          <w:highlight w:val="none"/>
          <w:lang w:bidi="ar"/>
        </w:rPr>
      </w:pPr>
      <w:r>
        <w:rPr>
          <w:rFonts w:hint="eastAsia" w:ascii="宋体" w:hAnsi="宋体" w:cs="宋体"/>
          <w:kern w:val="0"/>
          <w:szCs w:val="21"/>
          <w:highlight w:val="none"/>
          <w:lang w:bidi="ar"/>
        </w:rPr>
        <w:t>①拒绝列入政府取消投标资格记录期间的企业或个人投标；</w:t>
      </w:r>
    </w:p>
    <w:p w14:paraId="51BF939B">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ascii="宋体" w:hAnsi="宋体" w:cs="宋体"/>
          <w:kern w:val="0"/>
          <w:szCs w:val="21"/>
          <w:highlight w:val="none"/>
          <w:lang w:bidi="ar"/>
        </w:rPr>
      </w:pPr>
      <w:r>
        <w:rPr>
          <w:rFonts w:hint="eastAsia" w:ascii="宋体" w:hAnsi="宋体" w:cs="宋体"/>
          <w:kern w:val="0"/>
          <w:szCs w:val="21"/>
          <w:highlight w:val="none"/>
          <w:lang w:bidi="ar"/>
        </w:rPr>
        <w:t>②未被“中国政府采购网”列入政府采购严重违法失信行为记录名单；</w:t>
      </w:r>
    </w:p>
    <w:p w14:paraId="1EAE270F">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ascii="宋体" w:hAnsi="宋体" w:cs="宋体"/>
          <w:kern w:val="0"/>
          <w:szCs w:val="21"/>
          <w:highlight w:val="none"/>
          <w:lang w:bidi="ar"/>
        </w:rPr>
      </w:pPr>
      <w:r>
        <w:rPr>
          <w:rFonts w:hint="eastAsia" w:ascii="宋体" w:hAnsi="宋体" w:cs="宋体"/>
          <w:kern w:val="0"/>
          <w:szCs w:val="21"/>
          <w:highlight w:val="none"/>
          <w:lang w:bidi="ar"/>
        </w:rPr>
        <w:t>③未被“信用中国”网站中列入失信被执行人或重大税收违法失信主体</w:t>
      </w:r>
      <w:r>
        <w:rPr>
          <w:rFonts w:hint="eastAsia" w:ascii="宋体" w:hAnsi="宋体" w:cs="宋体"/>
          <w:kern w:val="0"/>
          <w:szCs w:val="21"/>
          <w:highlight w:val="none"/>
          <w:lang w:val="en-US" w:eastAsia="zh-CN" w:bidi="ar"/>
        </w:rPr>
        <w:t>或</w:t>
      </w:r>
      <w:r>
        <w:rPr>
          <w:rFonts w:hint="eastAsia" w:ascii="宋体" w:hAnsi="宋体" w:cs="宋体"/>
          <w:kern w:val="0"/>
          <w:szCs w:val="21"/>
          <w:highlight w:val="none"/>
          <w:lang w:bidi="ar"/>
        </w:rPr>
        <w:t>政府采购严重违法失信行为记录名单；</w:t>
      </w:r>
    </w:p>
    <w:p w14:paraId="7C382C71">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kern w:val="0"/>
          <w:szCs w:val="21"/>
          <w:highlight w:val="none"/>
          <w:lang w:bidi="ar"/>
        </w:rPr>
        <w:t>④</w:t>
      </w:r>
      <w:r>
        <w:rPr>
          <w:rFonts w:hint="eastAsia" w:ascii="宋体" w:hAnsi="宋体" w:eastAsia="宋体" w:cs="宋体"/>
          <w:bCs/>
          <w:color w:val="auto"/>
          <w:szCs w:val="21"/>
          <w:highlight w:val="none"/>
        </w:rPr>
        <w:t>近三年(202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年至今）投标人或其法定代表人、拟委任的项目经理未在“中国裁判文书网”上有行贿犯罪行为</w:t>
      </w:r>
      <w:r>
        <w:rPr>
          <w:rFonts w:hint="eastAsia" w:ascii="宋体" w:hAnsi="宋体" w:eastAsia="宋体" w:cs="宋体"/>
          <w:bCs/>
          <w:color w:val="auto"/>
          <w:szCs w:val="21"/>
          <w:highlight w:val="none"/>
          <w:lang w:eastAsia="zh-CN"/>
        </w:rPr>
        <w:t>；</w:t>
      </w:r>
    </w:p>
    <w:p w14:paraId="792B43E4">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highlight w:val="none"/>
        </w:rPr>
      </w:pPr>
      <w:r>
        <w:rPr>
          <w:rFonts w:hint="eastAsia" w:ascii="宋体" w:hAnsi="宋体" w:eastAsia="宋体" w:cs="宋体"/>
          <w:kern w:val="0"/>
          <w:szCs w:val="21"/>
          <w:highlight w:val="none"/>
          <w:lang w:bidi="ar"/>
        </w:rPr>
        <w:t>⑤</w:t>
      </w:r>
      <w:r>
        <w:rPr>
          <w:rFonts w:hint="eastAsia" w:ascii="宋体" w:hAnsi="宋体"/>
          <w:highlight w:val="none"/>
        </w:rPr>
        <w:t>参加政府采购活动前三年内，在经营活动中没有重大违法记录（重大违法记录是指供应商因违法经营受到刑事处罚或者责令停产停业、吊销许可证或者执照、较大数额罚款等行政处罚）；</w:t>
      </w:r>
    </w:p>
    <w:p w14:paraId="58B4217B">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3.</w:t>
      </w: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bidi="ar"/>
        </w:rPr>
        <w:t>本项目不允许分包</w:t>
      </w:r>
      <w:r>
        <w:rPr>
          <w:rFonts w:hint="eastAsia" w:ascii="宋体" w:hAnsi="宋体" w:cs="宋体"/>
          <w:kern w:val="0"/>
          <w:szCs w:val="21"/>
          <w:highlight w:val="none"/>
          <w:lang w:eastAsia="zh-CN" w:bidi="ar"/>
        </w:rPr>
        <w:t>。</w:t>
      </w:r>
    </w:p>
    <w:p w14:paraId="03AAEE4A">
      <w:pPr>
        <w:keepNext w:val="0"/>
        <w:keepLines w:val="0"/>
        <w:pageBreakBefore w:val="0"/>
        <w:widowControl/>
        <w:kinsoku/>
        <w:wordWrap/>
        <w:overflowPunct/>
        <w:topLinePunct w:val="0"/>
        <w:bidi w:val="0"/>
        <w:spacing w:line="520" w:lineRule="exact"/>
        <w:ind w:firstLine="420" w:firstLineChars="200"/>
        <w:jc w:val="left"/>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3.8其他要求</w:t>
      </w:r>
    </w:p>
    <w:p w14:paraId="6E409BEF">
      <w:pPr>
        <w:keepNext w:val="0"/>
        <w:keepLines w:val="0"/>
        <w:pageBreakBefore w:val="0"/>
        <w:widowControl/>
        <w:kinsoku/>
        <w:wordWrap/>
        <w:overflowPunct/>
        <w:topLinePunct w:val="0"/>
        <w:bidi w:val="0"/>
        <w:spacing w:line="52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①单位负责人为同一人或者存在直接控股、管理关系的不同供应商，不得参加同一合同项下的政府采购活动。违反上述规定的，相关投标无效。</w:t>
      </w:r>
    </w:p>
    <w:p w14:paraId="78738B8A">
      <w:pPr>
        <w:keepNext w:val="0"/>
        <w:keepLines w:val="0"/>
        <w:pageBreakBefore w:val="0"/>
        <w:widowControl/>
        <w:kinsoku/>
        <w:wordWrap/>
        <w:overflowPunct/>
        <w:topLinePunct w:val="0"/>
        <w:bidi w:val="0"/>
        <w:spacing w:line="520" w:lineRule="exact"/>
        <w:ind w:firstLine="420" w:firstLineChars="200"/>
        <w:jc w:val="left"/>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bidi="ar"/>
        </w:rPr>
        <w:t>②</w:t>
      </w:r>
      <w:r>
        <w:rPr>
          <w:rFonts w:hint="eastAsia" w:ascii="宋体" w:hAnsi="宋体" w:cs="宋体"/>
          <w:kern w:val="0"/>
          <w:szCs w:val="21"/>
          <w:highlight w:val="none"/>
          <w:lang w:val="en-US" w:eastAsia="zh-CN" w:bidi="ar"/>
        </w:rPr>
        <w:t>除单一来源采购项目外，为采购项目提供整体设计、规范编制或者项目管理、监理、检测等服务的供应商，不得再参加该采购项目的其他采购活动。</w:t>
      </w:r>
    </w:p>
    <w:p w14:paraId="03279CED">
      <w:pPr>
        <w:keepNext w:val="0"/>
        <w:keepLines w:val="0"/>
        <w:pageBreakBefore w:val="0"/>
        <w:widowControl/>
        <w:kinsoku/>
        <w:wordWrap/>
        <w:overflowPunct/>
        <w:topLinePunct w:val="0"/>
        <w:bidi w:val="0"/>
        <w:spacing w:line="520" w:lineRule="exact"/>
        <w:jc w:val="left"/>
        <w:rPr>
          <w:rFonts w:ascii="宋体" w:hAnsi="宋体" w:cs="宋体"/>
          <w:b/>
          <w:bCs/>
          <w:highlight w:val="none"/>
        </w:rPr>
      </w:pPr>
      <w:r>
        <w:rPr>
          <w:rFonts w:hint="eastAsia" w:ascii="宋体" w:hAnsi="宋体" w:cs="宋体"/>
          <w:b/>
          <w:bCs/>
          <w:kern w:val="0"/>
          <w:szCs w:val="21"/>
          <w:highlight w:val="none"/>
          <w:lang w:bidi="ar"/>
        </w:rPr>
        <w:t>三、获取采购文件</w:t>
      </w:r>
    </w:p>
    <w:p w14:paraId="1A5F0EEA">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1.时间</w:t>
      </w:r>
      <w:r>
        <w:rPr>
          <w:rFonts w:hint="eastAsia" w:ascii="宋体" w:hAnsi="宋体" w:eastAsia="宋体" w:cs="宋体"/>
          <w:color w:val="auto"/>
          <w:kern w:val="0"/>
          <w:sz w:val="21"/>
          <w:szCs w:val="21"/>
          <w:highlight w:val="none"/>
          <w:u w:val="none"/>
          <w:lang w:val="en-US" w:eastAsia="zh-CN"/>
        </w:rPr>
        <w:t>：202</w:t>
      </w:r>
      <w:r>
        <w:rPr>
          <w:rFonts w:hint="eastAsia"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lang w:val="en-US" w:eastAsia="zh-CN"/>
        </w:rPr>
        <w:t>年</w:t>
      </w:r>
      <w:r>
        <w:rPr>
          <w:rFonts w:hint="eastAsia" w:cs="宋体"/>
          <w:color w:val="auto"/>
          <w:kern w:val="0"/>
          <w:sz w:val="21"/>
          <w:szCs w:val="21"/>
          <w:highlight w:val="none"/>
          <w:u w:val="none"/>
          <w:lang w:val="en-US" w:eastAsia="zh-CN"/>
        </w:rPr>
        <w:t>7</w:t>
      </w:r>
      <w:r>
        <w:rPr>
          <w:rFonts w:hint="eastAsia" w:ascii="宋体" w:hAnsi="宋体" w:eastAsia="宋体" w:cs="宋体"/>
          <w:color w:val="auto"/>
          <w:kern w:val="0"/>
          <w:sz w:val="21"/>
          <w:szCs w:val="21"/>
          <w:highlight w:val="none"/>
          <w:u w:val="none"/>
          <w:lang w:val="en-US" w:eastAsia="zh-CN"/>
        </w:rPr>
        <w:t>月</w:t>
      </w:r>
      <w:r>
        <w:rPr>
          <w:rFonts w:hint="eastAsia" w:cs="宋体"/>
          <w:color w:val="auto"/>
          <w:kern w:val="0"/>
          <w:sz w:val="21"/>
          <w:szCs w:val="21"/>
          <w:highlight w:val="none"/>
          <w:u w:val="none"/>
          <w:lang w:val="en-US" w:eastAsia="zh-CN"/>
        </w:rPr>
        <w:t>7</w:t>
      </w:r>
      <w:r>
        <w:rPr>
          <w:rFonts w:hint="eastAsia" w:ascii="宋体" w:hAnsi="宋体" w:eastAsia="宋体" w:cs="宋体"/>
          <w:color w:val="auto"/>
          <w:kern w:val="0"/>
          <w:sz w:val="21"/>
          <w:szCs w:val="21"/>
          <w:highlight w:val="none"/>
          <w:u w:val="none"/>
          <w:lang w:val="en-US" w:eastAsia="zh-CN"/>
        </w:rPr>
        <w:t>日</w:t>
      </w:r>
      <w:r>
        <w:rPr>
          <w:rFonts w:hint="eastAsia" w:cs="宋体"/>
          <w:color w:val="auto"/>
          <w:kern w:val="0"/>
          <w:sz w:val="21"/>
          <w:szCs w:val="21"/>
          <w:highlight w:val="none"/>
          <w:u w:val="none"/>
          <w:lang w:val="en-US" w:eastAsia="zh-CN"/>
        </w:rPr>
        <w:t>上午08时30分</w:t>
      </w:r>
      <w:r>
        <w:rPr>
          <w:rFonts w:hint="eastAsia" w:ascii="宋体" w:hAnsi="宋体" w:eastAsia="宋体" w:cs="宋体"/>
          <w:color w:val="auto"/>
          <w:kern w:val="0"/>
          <w:sz w:val="21"/>
          <w:szCs w:val="21"/>
          <w:highlight w:val="none"/>
          <w:u w:val="none"/>
          <w:lang w:val="en-US" w:eastAsia="zh-CN"/>
        </w:rPr>
        <w:t>至202</w:t>
      </w:r>
      <w:r>
        <w:rPr>
          <w:rFonts w:hint="eastAsia"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lang w:val="en-US" w:eastAsia="zh-CN"/>
        </w:rPr>
        <w:t>年</w:t>
      </w:r>
      <w:r>
        <w:rPr>
          <w:rFonts w:hint="eastAsia" w:cs="宋体"/>
          <w:color w:val="auto"/>
          <w:kern w:val="0"/>
          <w:sz w:val="21"/>
          <w:szCs w:val="21"/>
          <w:highlight w:val="none"/>
          <w:u w:val="none"/>
          <w:lang w:val="en-US" w:eastAsia="zh-CN"/>
        </w:rPr>
        <w:t>7</w:t>
      </w:r>
      <w:r>
        <w:rPr>
          <w:rFonts w:hint="eastAsia" w:ascii="宋体" w:hAnsi="宋体" w:eastAsia="宋体" w:cs="宋体"/>
          <w:color w:val="auto"/>
          <w:kern w:val="0"/>
          <w:sz w:val="21"/>
          <w:szCs w:val="21"/>
          <w:highlight w:val="none"/>
          <w:u w:val="none"/>
          <w:lang w:val="en-US" w:eastAsia="zh-CN"/>
        </w:rPr>
        <w:t>月</w:t>
      </w:r>
      <w:r>
        <w:rPr>
          <w:rFonts w:hint="eastAsia" w:cs="宋体"/>
          <w:color w:val="auto"/>
          <w:kern w:val="0"/>
          <w:sz w:val="21"/>
          <w:szCs w:val="21"/>
          <w:highlight w:val="none"/>
          <w:u w:val="none"/>
          <w:lang w:val="en-US" w:eastAsia="zh-CN"/>
        </w:rPr>
        <w:t>14</w:t>
      </w:r>
      <w:r>
        <w:rPr>
          <w:rFonts w:hint="eastAsia" w:ascii="宋体" w:hAnsi="宋体" w:eastAsia="宋体" w:cs="宋体"/>
          <w:color w:val="auto"/>
          <w:kern w:val="0"/>
          <w:sz w:val="21"/>
          <w:szCs w:val="21"/>
          <w:highlight w:val="none"/>
          <w:u w:val="none"/>
          <w:lang w:val="en-US" w:eastAsia="zh-CN"/>
        </w:rPr>
        <w:t>日</w:t>
      </w:r>
      <w:r>
        <w:rPr>
          <w:rFonts w:hint="eastAsia" w:cs="宋体"/>
          <w:color w:val="auto"/>
          <w:kern w:val="0"/>
          <w:sz w:val="21"/>
          <w:szCs w:val="21"/>
          <w:highlight w:val="none"/>
          <w:u w:val="none"/>
          <w:lang w:val="en-US" w:eastAsia="zh-CN"/>
        </w:rPr>
        <w:t>下午</w:t>
      </w:r>
      <w:r>
        <w:rPr>
          <w:rFonts w:hint="eastAsia" w:ascii="宋体" w:hAnsi="宋体"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none"/>
          <w:lang w:val="en-US" w:eastAsia="zh-CN"/>
        </w:rPr>
        <w:t>6</w:t>
      </w:r>
      <w:r>
        <w:rPr>
          <w:rFonts w:hint="eastAsia" w:ascii="宋体" w:hAnsi="宋体" w:eastAsia="宋体" w:cs="宋体"/>
          <w:color w:val="auto"/>
          <w:kern w:val="0"/>
          <w:sz w:val="21"/>
          <w:szCs w:val="21"/>
          <w:highlight w:val="none"/>
          <w:u w:val="none"/>
        </w:rPr>
        <w:t>时</w:t>
      </w:r>
      <w:r>
        <w:rPr>
          <w:rFonts w:hint="eastAsia" w:cs="宋体"/>
          <w:color w:val="auto"/>
          <w:kern w:val="0"/>
          <w:sz w:val="21"/>
          <w:szCs w:val="21"/>
          <w:highlight w:val="none"/>
          <w:u w:val="none"/>
          <w:lang w:val="en-US" w:eastAsia="zh-CN"/>
        </w:rPr>
        <w:t>00</w:t>
      </w:r>
      <w:r>
        <w:rPr>
          <w:rFonts w:hint="eastAsia" w:ascii="宋体" w:hAnsi="宋体" w:eastAsia="宋体" w:cs="宋体"/>
          <w:color w:val="auto"/>
          <w:kern w:val="0"/>
          <w:sz w:val="21"/>
          <w:szCs w:val="21"/>
          <w:highlight w:val="none"/>
          <w:u w:val="none"/>
        </w:rPr>
        <w:t>分</w:t>
      </w:r>
      <w:r>
        <w:rPr>
          <w:rFonts w:hint="eastAsia" w:cs="宋体"/>
          <w:color w:val="auto"/>
          <w:kern w:val="0"/>
          <w:sz w:val="21"/>
          <w:szCs w:val="21"/>
          <w:highlight w:val="none"/>
          <w:u w:val="none"/>
          <w:lang w:val="en-US" w:eastAsia="zh-CN"/>
        </w:rPr>
        <w:t>止</w:t>
      </w:r>
      <w:r>
        <w:rPr>
          <w:rFonts w:hint="eastAsia" w:ascii="宋体" w:hAnsi="宋体" w:eastAsia="宋体" w:cs="宋体"/>
          <w:color w:val="auto"/>
          <w:kern w:val="0"/>
          <w:sz w:val="21"/>
          <w:szCs w:val="21"/>
          <w:highlight w:val="none"/>
          <w:lang w:val="en-US" w:eastAsia="zh-CN"/>
        </w:rPr>
        <w:t>。</w:t>
      </w:r>
    </w:p>
    <w:p w14:paraId="11D089AD">
      <w:pPr>
        <w:pStyle w:val="26"/>
        <w:widowControl w:val="0"/>
        <w:spacing w:before="0" w:beforeAutospacing="0" w:after="0" w:afterAutospacing="0" w:line="40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2.获取方式：供应商登录政采云平台https://www.zcygov.cn/在线申请获取采购文件（进入“项目采购”应用，在获取采购文件菜单中选择项目，申请获取采购文件）。</w:t>
      </w:r>
    </w:p>
    <w:p w14:paraId="26CAA0F4">
      <w:pPr>
        <w:pStyle w:val="26"/>
        <w:keepNext w:val="0"/>
        <w:keepLines w:val="0"/>
        <w:pageBreakBefore w:val="0"/>
        <w:widowControl w:val="0"/>
        <w:kinsoku/>
        <w:wordWrap/>
        <w:overflowPunct/>
        <w:topLinePunct w:val="0"/>
        <w:bidi w:val="0"/>
        <w:snapToGrid w:val="0"/>
        <w:spacing w:before="0" w:beforeAutospacing="0" w:after="0" w:afterAutospacing="0" w:line="520" w:lineRule="exact"/>
        <w:rPr>
          <w:rFonts w:hint="default" w:cs="宋体"/>
          <w:highlight w:val="none"/>
        </w:rPr>
      </w:pPr>
      <w:r>
        <w:rPr>
          <w:rFonts w:cs="宋体"/>
          <w:b/>
          <w:bCs/>
          <w:sz w:val="21"/>
          <w:szCs w:val="21"/>
          <w:highlight w:val="none"/>
        </w:rPr>
        <w:t>四、响应文件提交</w:t>
      </w:r>
    </w:p>
    <w:p w14:paraId="43CBF154">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bidi="ar"/>
        </w:rPr>
        <w:t>截止时间：</w:t>
      </w:r>
      <w:r>
        <w:rPr>
          <w:rFonts w:hint="eastAsia" w:ascii="宋体" w:hAnsi="宋体" w:cs="宋体"/>
          <w:kern w:val="0"/>
          <w:szCs w:val="21"/>
          <w:highlight w:val="none"/>
          <w:lang w:val="en-US" w:eastAsia="zh-CN" w:bidi="ar"/>
        </w:rPr>
        <w:t>2025</w:t>
      </w:r>
      <w:r>
        <w:rPr>
          <w:rFonts w:hint="eastAsia" w:ascii="宋体" w:hAnsi="宋体" w:cs="宋体"/>
          <w:kern w:val="0"/>
          <w:szCs w:val="21"/>
          <w:highlight w:val="none"/>
          <w:lang w:eastAsia="zh-CN" w:bidi="ar"/>
        </w:rPr>
        <w:t>年</w:t>
      </w: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eastAsia="zh-CN" w:bidi="ar"/>
        </w:rPr>
        <w:t>月</w:t>
      </w:r>
      <w:r>
        <w:rPr>
          <w:rFonts w:hint="eastAsia" w:ascii="宋体" w:hAnsi="宋体" w:cs="宋体"/>
          <w:kern w:val="0"/>
          <w:szCs w:val="21"/>
          <w:highlight w:val="none"/>
          <w:lang w:val="en-US" w:eastAsia="zh-CN" w:bidi="ar"/>
        </w:rPr>
        <w:t>24</w:t>
      </w:r>
      <w:r>
        <w:rPr>
          <w:rFonts w:hint="eastAsia" w:ascii="宋体" w:hAnsi="宋体" w:cs="宋体"/>
          <w:kern w:val="0"/>
          <w:szCs w:val="21"/>
          <w:highlight w:val="none"/>
          <w:lang w:eastAsia="zh-CN" w:bidi="ar"/>
        </w:rPr>
        <w:t>日</w:t>
      </w:r>
      <w:r>
        <w:rPr>
          <w:rFonts w:hint="eastAsia" w:ascii="宋体" w:hAnsi="宋体" w:cs="宋体"/>
          <w:kern w:val="0"/>
          <w:szCs w:val="21"/>
          <w:highlight w:val="none"/>
          <w:lang w:val="en-US" w:eastAsia="zh-CN" w:bidi="ar"/>
        </w:rPr>
        <w:t>14</w:t>
      </w:r>
      <w:r>
        <w:rPr>
          <w:rFonts w:hint="eastAsia" w:ascii="宋体" w:hAnsi="宋体" w:cs="宋体"/>
          <w:kern w:val="0"/>
          <w:szCs w:val="21"/>
          <w:highlight w:val="none"/>
          <w:lang w:eastAsia="zh-CN" w:bidi="ar"/>
        </w:rPr>
        <w:t>点</w:t>
      </w:r>
      <w:r>
        <w:rPr>
          <w:rFonts w:hint="eastAsia" w:ascii="宋体" w:hAnsi="宋体" w:cs="宋体"/>
          <w:kern w:val="0"/>
          <w:szCs w:val="21"/>
          <w:highlight w:val="none"/>
          <w:lang w:val="en-US" w:eastAsia="zh-CN" w:bidi="ar"/>
        </w:rPr>
        <w:t>30</w:t>
      </w:r>
      <w:r>
        <w:rPr>
          <w:rFonts w:hint="eastAsia" w:ascii="宋体" w:hAnsi="宋体" w:cs="宋体"/>
          <w:kern w:val="0"/>
          <w:szCs w:val="21"/>
          <w:highlight w:val="none"/>
          <w:lang w:eastAsia="zh-CN" w:bidi="ar"/>
        </w:rPr>
        <w:t>分</w:t>
      </w:r>
      <w:r>
        <w:rPr>
          <w:rFonts w:hint="eastAsia" w:ascii="宋体" w:hAnsi="宋体" w:cs="宋体"/>
          <w:kern w:val="0"/>
          <w:szCs w:val="21"/>
          <w:highlight w:val="none"/>
          <w:lang w:bidi="ar"/>
        </w:rPr>
        <w:t>（北京时间）</w:t>
      </w:r>
    </w:p>
    <w:p w14:paraId="4C082775">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地点：长春市二道区洋浦大街6999号凯利中心AB栋101</w:t>
      </w:r>
      <w:r>
        <w:rPr>
          <w:rFonts w:hint="eastAsia" w:ascii="宋体" w:hAnsi="宋体" w:cs="宋体"/>
          <w:kern w:val="0"/>
          <w:szCs w:val="21"/>
          <w:highlight w:val="none"/>
          <w:lang w:eastAsia="zh-CN" w:bidi="ar"/>
        </w:rPr>
        <w:t>室开标</w:t>
      </w:r>
      <w:r>
        <w:rPr>
          <w:rFonts w:hint="eastAsia" w:ascii="宋体" w:hAnsi="宋体" w:cs="宋体"/>
          <w:kern w:val="0"/>
          <w:szCs w:val="21"/>
          <w:highlight w:val="none"/>
          <w:lang w:val="en-US" w:eastAsia="zh-CN" w:bidi="ar"/>
        </w:rPr>
        <w:t>二</w:t>
      </w:r>
      <w:r>
        <w:rPr>
          <w:rFonts w:hint="eastAsia" w:ascii="宋体" w:hAnsi="宋体" w:cs="宋体"/>
          <w:kern w:val="0"/>
          <w:szCs w:val="21"/>
          <w:highlight w:val="none"/>
          <w:lang w:eastAsia="zh-CN" w:bidi="ar"/>
        </w:rPr>
        <w:t>室</w:t>
      </w:r>
    </w:p>
    <w:p w14:paraId="5E501EEF">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eastAsia="zh-CN" w:bidi="ar"/>
        </w:rPr>
        <w:t>本项目采用全流程电子化采购，需通过政府采购云平台（https://www.zcygov.cn/）递交电子版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4E4F6DA9">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eastAsia="zh-CN" w:bidi="ar"/>
        </w:rPr>
        <w:t>电子响应文件解密期限及方式：开启时间后30分钟内，由供应商持制作该电子响应文件的同一数字证书（CA锁）及电脑自行进行远程解密。</w:t>
      </w:r>
    </w:p>
    <w:p w14:paraId="67BC55E0">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5.CA锁办理网址：请供应商自行办理CA锁，网址链接http://www.anxinca.com/kehu/zcy/kh-zcy-zsshenqing.html；办理联系方式：95763。</w:t>
      </w:r>
    </w:p>
    <w:p w14:paraId="08AC87A2">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6.收到 CA锁以后在“政采云”登陆界面，点击 CA 登录-CA 驱动下载-下载并安装政采云投标客户端和安信CA驱动，账号绑定CA后才能进行报价文件制作。</w:t>
      </w:r>
    </w:p>
    <w:p w14:paraId="79AE232A">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7.未进行网上注册并办理 CA 认证的响应人将无法参与本次采购活动。数字证书办理时限为3-5个工作日，响应人须自行考虑办理时间，由于响应人自身原因在开启前无法完成办理，后果自负。</w:t>
      </w:r>
    </w:p>
    <w:p w14:paraId="31BDD873">
      <w:pPr>
        <w:keepNext w:val="0"/>
        <w:keepLines w:val="0"/>
        <w:pageBreakBefore w:val="0"/>
        <w:widowControl/>
        <w:kinsoku/>
        <w:wordWrap/>
        <w:overflowPunct/>
        <w:topLinePunct w:val="0"/>
        <w:bidi w:val="0"/>
        <w:snapToGrid w:val="0"/>
        <w:spacing w:line="520" w:lineRule="exact"/>
        <w:jc w:val="left"/>
        <w:rPr>
          <w:rFonts w:ascii="宋体" w:hAnsi="宋体" w:cs="宋体"/>
          <w:kern w:val="0"/>
          <w:szCs w:val="21"/>
          <w:highlight w:val="none"/>
          <w:lang w:bidi="ar"/>
        </w:rPr>
      </w:pPr>
      <w:r>
        <w:rPr>
          <w:rFonts w:hint="eastAsia" w:ascii="宋体" w:hAnsi="宋体" w:cs="宋体"/>
          <w:b/>
          <w:bCs/>
          <w:kern w:val="0"/>
          <w:szCs w:val="21"/>
          <w:highlight w:val="none"/>
          <w:lang w:bidi="ar"/>
        </w:rPr>
        <w:t>五、开启</w:t>
      </w:r>
    </w:p>
    <w:p w14:paraId="6A69E610">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1.时间：2025</w:t>
      </w:r>
      <w:r>
        <w:rPr>
          <w:rFonts w:hint="eastAsia" w:ascii="宋体" w:hAnsi="宋体" w:cs="宋体"/>
          <w:kern w:val="0"/>
          <w:szCs w:val="21"/>
          <w:highlight w:val="none"/>
          <w:lang w:eastAsia="zh-CN" w:bidi="ar"/>
        </w:rPr>
        <w:t>年</w:t>
      </w: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eastAsia="zh-CN" w:bidi="ar"/>
        </w:rPr>
        <w:t>月</w:t>
      </w:r>
      <w:r>
        <w:rPr>
          <w:rFonts w:hint="eastAsia" w:ascii="宋体" w:hAnsi="宋体" w:cs="宋体"/>
          <w:kern w:val="0"/>
          <w:szCs w:val="21"/>
          <w:highlight w:val="none"/>
          <w:lang w:val="en-US" w:eastAsia="zh-CN" w:bidi="ar"/>
        </w:rPr>
        <w:t>24</w:t>
      </w:r>
      <w:r>
        <w:rPr>
          <w:rFonts w:hint="eastAsia" w:ascii="宋体" w:hAnsi="宋体" w:cs="宋体"/>
          <w:kern w:val="0"/>
          <w:szCs w:val="21"/>
          <w:highlight w:val="none"/>
          <w:lang w:eastAsia="zh-CN" w:bidi="ar"/>
        </w:rPr>
        <w:t>日</w:t>
      </w:r>
      <w:r>
        <w:rPr>
          <w:rFonts w:hint="eastAsia" w:ascii="宋体" w:hAnsi="宋体" w:cs="宋体"/>
          <w:kern w:val="0"/>
          <w:szCs w:val="21"/>
          <w:highlight w:val="none"/>
          <w:lang w:val="en-US" w:eastAsia="zh-CN" w:bidi="ar"/>
        </w:rPr>
        <w:t>14</w:t>
      </w:r>
      <w:r>
        <w:rPr>
          <w:rFonts w:hint="eastAsia" w:ascii="宋体" w:hAnsi="宋体" w:cs="宋体"/>
          <w:kern w:val="0"/>
          <w:szCs w:val="21"/>
          <w:highlight w:val="none"/>
          <w:lang w:eastAsia="zh-CN" w:bidi="ar"/>
        </w:rPr>
        <w:t>点</w:t>
      </w:r>
      <w:r>
        <w:rPr>
          <w:rFonts w:hint="eastAsia" w:ascii="宋体" w:hAnsi="宋体" w:cs="宋体"/>
          <w:kern w:val="0"/>
          <w:szCs w:val="21"/>
          <w:highlight w:val="none"/>
          <w:lang w:val="en-US" w:eastAsia="zh-CN" w:bidi="ar"/>
        </w:rPr>
        <w:t>30</w:t>
      </w:r>
      <w:r>
        <w:rPr>
          <w:rFonts w:hint="eastAsia" w:ascii="宋体" w:hAnsi="宋体" w:cs="宋体"/>
          <w:kern w:val="0"/>
          <w:szCs w:val="21"/>
          <w:highlight w:val="none"/>
          <w:lang w:eastAsia="zh-CN" w:bidi="ar"/>
        </w:rPr>
        <w:t>分</w:t>
      </w:r>
      <w:r>
        <w:rPr>
          <w:rFonts w:hint="eastAsia" w:ascii="宋体" w:hAnsi="宋体" w:cs="宋体"/>
          <w:kern w:val="0"/>
          <w:szCs w:val="21"/>
          <w:highlight w:val="none"/>
          <w:lang w:val="en-US" w:eastAsia="zh-CN" w:bidi="ar"/>
        </w:rPr>
        <w:t>（北京时间）</w:t>
      </w:r>
    </w:p>
    <w:p w14:paraId="4B363EE9">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2.地点：长春市二道区洋浦大街6999号凯利中心AB栋101室开标二室</w:t>
      </w:r>
    </w:p>
    <w:p w14:paraId="37435555">
      <w:pPr>
        <w:keepNext w:val="0"/>
        <w:keepLines w:val="0"/>
        <w:pageBreakBefore w:val="0"/>
        <w:widowControl/>
        <w:kinsoku/>
        <w:wordWrap/>
        <w:overflowPunct/>
        <w:topLinePunct w:val="0"/>
        <w:bidi w:val="0"/>
        <w:snapToGrid w:val="0"/>
        <w:spacing w:line="520" w:lineRule="exact"/>
        <w:jc w:val="left"/>
        <w:rPr>
          <w:rFonts w:ascii="宋体" w:hAnsi="宋体" w:cs="宋体"/>
          <w:b/>
          <w:bCs/>
          <w:kern w:val="0"/>
          <w:szCs w:val="21"/>
          <w:highlight w:val="none"/>
          <w:lang w:bidi="ar"/>
        </w:rPr>
      </w:pPr>
      <w:r>
        <w:rPr>
          <w:rFonts w:hint="eastAsia" w:ascii="宋体" w:hAnsi="宋体" w:cs="宋体"/>
          <w:b/>
          <w:bCs/>
          <w:kern w:val="0"/>
          <w:szCs w:val="21"/>
          <w:highlight w:val="none"/>
          <w:lang w:bidi="ar"/>
        </w:rPr>
        <w:t>六、公告期限</w:t>
      </w:r>
    </w:p>
    <w:p w14:paraId="2CC89526">
      <w:pPr>
        <w:keepNext w:val="0"/>
        <w:keepLines w:val="0"/>
        <w:pageBreakBefore w:val="0"/>
        <w:widowControl/>
        <w:kinsoku/>
        <w:wordWrap/>
        <w:overflowPunct/>
        <w:topLinePunct w:val="0"/>
        <w:bidi w:val="0"/>
        <w:snapToGrid w:val="0"/>
        <w:spacing w:line="52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自本公告发布之日起5个工作日。</w:t>
      </w:r>
    </w:p>
    <w:p w14:paraId="37B60E53">
      <w:pPr>
        <w:keepNext w:val="0"/>
        <w:keepLines w:val="0"/>
        <w:pageBreakBefore w:val="0"/>
        <w:widowControl/>
        <w:kinsoku/>
        <w:wordWrap/>
        <w:overflowPunct/>
        <w:topLinePunct w:val="0"/>
        <w:bidi w:val="0"/>
        <w:spacing w:line="520" w:lineRule="exact"/>
        <w:jc w:val="left"/>
        <w:rPr>
          <w:rFonts w:ascii="宋体" w:hAnsi="宋体" w:cs="宋体"/>
          <w:b/>
          <w:bCs/>
          <w:kern w:val="0"/>
          <w:szCs w:val="21"/>
          <w:highlight w:val="none"/>
          <w:lang w:bidi="ar"/>
        </w:rPr>
      </w:pPr>
      <w:r>
        <w:rPr>
          <w:rFonts w:hint="eastAsia" w:ascii="宋体" w:hAnsi="宋体" w:cs="宋体"/>
          <w:b/>
          <w:bCs/>
          <w:kern w:val="0"/>
          <w:szCs w:val="21"/>
          <w:highlight w:val="none"/>
          <w:lang w:bidi="ar"/>
        </w:rPr>
        <w:t>七、其他补充事宜</w:t>
      </w:r>
    </w:p>
    <w:p w14:paraId="2116457D">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1.本次磋商公告同时在《政府采购云平台》、《中国招标投标公共服务平台》上发布。</w:t>
      </w:r>
    </w:p>
    <w:p w14:paraId="51205BA5">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2.有效供应商不足三家时，采购人另行组织招标。</w:t>
      </w:r>
    </w:p>
    <w:p w14:paraId="5532036C">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3.若对项目采购电子交易系统操作有疑问，可登录“政采云”平台（https://www.zcygov.cn/），点击右侧咨询小采，获取采小蜜智能服务管家帮助，或拨打政采云服务热线400-881-7190获取热线服务帮助。</w:t>
      </w:r>
    </w:p>
    <w:p w14:paraId="50F54F0E">
      <w:pPr>
        <w:keepNext w:val="0"/>
        <w:keepLines w:val="0"/>
        <w:pageBreakBefore w:val="0"/>
        <w:widowControl/>
        <w:kinsoku/>
        <w:wordWrap/>
        <w:overflowPunct/>
        <w:topLinePunct w:val="0"/>
        <w:bidi w:val="0"/>
        <w:spacing w:line="520" w:lineRule="exact"/>
        <w:jc w:val="left"/>
        <w:rPr>
          <w:rFonts w:ascii="宋体" w:hAnsi="宋体" w:cs="宋体"/>
          <w:b/>
          <w:bCs/>
          <w:highlight w:val="none"/>
        </w:rPr>
      </w:pPr>
      <w:r>
        <w:rPr>
          <w:rFonts w:hint="eastAsia" w:ascii="宋体" w:hAnsi="宋体" w:cs="宋体"/>
          <w:b/>
          <w:bCs/>
          <w:kern w:val="0"/>
          <w:szCs w:val="21"/>
          <w:highlight w:val="none"/>
          <w:lang w:bidi="ar"/>
        </w:rPr>
        <w:t>八、凡对本次采购提出询问，请按以下方式联系</w:t>
      </w:r>
    </w:p>
    <w:p w14:paraId="5D752E00">
      <w:pPr>
        <w:keepNext w:val="0"/>
        <w:keepLines w:val="0"/>
        <w:pageBreakBefore w:val="0"/>
        <w:tabs>
          <w:tab w:val="left" w:pos="709"/>
        </w:tabs>
        <w:kinsoku/>
        <w:wordWrap/>
        <w:overflowPunct/>
        <w:topLinePunct w:val="0"/>
        <w:autoSpaceDE w:val="0"/>
        <w:autoSpaceDN w:val="0"/>
        <w:bidi w:val="0"/>
        <w:adjustRightInd w:val="0"/>
        <w:snapToGrid w:val="0"/>
        <w:spacing w:line="520" w:lineRule="exact"/>
        <w:ind w:firstLine="420" w:firstLineChars="200"/>
        <w:rPr>
          <w:rFonts w:ascii="宋体" w:hAnsi="宋体" w:cs="宋体"/>
          <w:szCs w:val="21"/>
          <w:highlight w:val="none"/>
        </w:rPr>
      </w:pPr>
      <w:r>
        <w:rPr>
          <w:rFonts w:hint="eastAsia" w:ascii="宋体" w:hAnsi="宋体" w:cs="宋体"/>
          <w:szCs w:val="21"/>
          <w:highlight w:val="none"/>
        </w:rPr>
        <w:t>1.采购人信息</w:t>
      </w:r>
    </w:p>
    <w:p w14:paraId="2649C613">
      <w:pPr>
        <w:keepNext w:val="0"/>
        <w:keepLines w:val="0"/>
        <w:pageBreakBefore w:val="0"/>
        <w:tabs>
          <w:tab w:val="left" w:pos="709"/>
        </w:tabs>
        <w:kinsoku/>
        <w:wordWrap/>
        <w:overflowPunct/>
        <w:topLinePunct w:val="0"/>
        <w:autoSpaceDE w:val="0"/>
        <w:autoSpaceDN w:val="0"/>
        <w:bidi w:val="0"/>
        <w:adjustRightInd w:val="0"/>
        <w:snapToGrid w:val="0"/>
        <w:spacing w:line="520" w:lineRule="exact"/>
        <w:ind w:left="630" w:leftChars="300"/>
        <w:rPr>
          <w:rFonts w:hint="eastAsia" w:ascii="宋体" w:hAnsi="宋体" w:eastAsia="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val="zh-CN" w:eastAsia="zh-CN"/>
        </w:rPr>
        <w:t>长白山高原冰雪训练基地</w:t>
      </w:r>
    </w:p>
    <w:p w14:paraId="1A1A7493">
      <w:pPr>
        <w:keepNext w:val="0"/>
        <w:keepLines w:val="0"/>
        <w:pageBreakBefore w:val="0"/>
        <w:tabs>
          <w:tab w:val="left" w:pos="709"/>
        </w:tabs>
        <w:kinsoku/>
        <w:wordWrap/>
        <w:overflowPunct/>
        <w:topLinePunct w:val="0"/>
        <w:autoSpaceDE w:val="0"/>
        <w:autoSpaceDN w:val="0"/>
        <w:bidi w:val="0"/>
        <w:adjustRightInd w:val="0"/>
        <w:snapToGrid w:val="0"/>
        <w:spacing w:line="520" w:lineRule="exact"/>
        <w:ind w:left="630" w:left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    址：</w:t>
      </w:r>
      <w:r>
        <w:rPr>
          <w:rFonts w:hint="eastAsia" w:ascii="宋体" w:hAnsi="宋体" w:eastAsia="宋体" w:cs="宋体"/>
          <w:szCs w:val="21"/>
          <w:highlight w:val="none"/>
          <w:lang w:val="zh-CN" w:eastAsia="zh-CN"/>
        </w:rPr>
        <w:t>吉林省长白山保护开发区管理委员会池北区（景区内）</w:t>
      </w:r>
    </w:p>
    <w:p w14:paraId="35997881">
      <w:pPr>
        <w:keepNext w:val="0"/>
        <w:keepLines w:val="0"/>
        <w:pageBreakBefore w:val="0"/>
        <w:tabs>
          <w:tab w:val="left" w:pos="709"/>
        </w:tabs>
        <w:kinsoku/>
        <w:wordWrap/>
        <w:overflowPunct/>
        <w:topLinePunct w:val="0"/>
        <w:autoSpaceDE w:val="0"/>
        <w:autoSpaceDN w:val="0"/>
        <w:bidi w:val="0"/>
        <w:adjustRightInd w:val="0"/>
        <w:snapToGrid w:val="0"/>
        <w:spacing w:line="520" w:lineRule="exact"/>
        <w:ind w:left="630" w:leftChars="300"/>
        <w:rPr>
          <w:rFonts w:hint="eastAsia" w:ascii="宋体" w:hAnsi="宋体" w:cs="宋体"/>
          <w:szCs w:val="21"/>
          <w:highlight w:val="none"/>
          <w:lang w:val="en-US" w:eastAsia="zh-CN"/>
        </w:rPr>
      </w:pPr>
      <w:r>
        <w:rPr>
          <w:rFonts w:hint="eastAsia" w:ascii="宋体" w:hAnsi="宋体" w:cs="宋体"/>
          <w:szCs w:val="21"/>
          <w:highlight w:val="none"/>
        </w:rPr>
        <w:t>联系</w:t>
      </w:r>
      <w:r>
        <w:rPr>
          <w:rFonts w:hint="eastAsia" w:ascii="宋体" w:hAnsi="宋体" w:cs="宋体"/>
          <w:szCs w:val="21"/>
          <w:highlight w:val="none"/>
          <w:lang w:val="en-US" w:eastAsia="zh-CN"/>
        </w:rPr>
        <w:t>人</w:t>
      </w:r>
      <w:r>
        <w:rPr>
          <w:rFonts w:hint="eastAsia" w:ascii="宋体" w:hAnsi="宋体" w:cs="宋体"/>
          <w:szCs w:val="21"/>
          <w:highlight w:val="none"/>
        </w:rPr>
        <w:t>：</w:t>
      </w:r>
      <w:r>
        <w:rPr>
          <w:rFonts w:hint="eastAsia" w:ascii="宋体" w:hAnsi="宋体" w:cs="宋体"/>
          <w:szCs w:val="21"/>
          <w:highlight w:val="none"/>
          <w:lang w:val="en-US" w:eastAsia="zh-CN"/>
        </w:rPr>
        <w:t>王超</w:t>
      </w:r>
    </w:p>
    <w:p w14:paraId="7C1A1786">
      <w:pPr>
        <w:keepNext w:val="0"/>
        <w:keepLines w:val="0"/>
        <w:pageBreakBefore w:val="0"/>
        <w:tabs>
          <w:tab w:val="left" w:pos="709"/>
        </w:tabs>
        <w:kinsoku/>
        <w:wordWrap/>
        <w:overflowPunct/>
        <w:topLinePunct w:val="0"/>
        <w:autoSpaceDE w:val="0"/>
        <w:autoSpaceDN w:val="0"/>
        <w:bidi w:val="0"/>
        <w:adjustRightInd w:val="0"/>
        <w:snapToGrid w:val="0"/>
        <w:spacing w:line="520" w:lineRule="exact"/>
        <w:ind w:left="630" w:leftChars="300"/>
        <w:rPr>
          <w:rFonts w:hint="default" w:ascii="宋体" w:hAnsi="宋体" w:cs="宋体"/>
          <w:szCs w:val="21"/>
          <w:highlight w:val="none"/>
          <w:lang w:val="en-US" w:eastAsia="zh-CN"/>
        </w:rPr>
      </w:pPr>
      <w:r>
        <w:rPr>
          <w:rFonts w:hint="eastAsia" w:ascii="宋体" w:hAnsi="宋体" w:eastAsia="宋体" w:cs="宋体"/>
          <w:b w:val="0"/>
          <w:kern w:val="2"/>
          <w:sz w:val="21"/>
          <w:szCs w:val="21"/>
          <w:highlight w:val="none"/>
          <w:lang w:val="en-US" w:eastAsia="zh-CN" w:bidi="ar-SA"/>
        </w:rPr>
        <w:t>联系方式：</w:t>
      </w:r>
      <w:r>
        <w:rPr>
          <w:rFonts w:hint="eastAsia" w:ascii="宋体" w:hAnsi="宋体" w:cs="宋体"/>
          <w:szCs w:val="21"/>
          <w:highlight w:val="none"/>
          <w:lang w:val="en-US" w:eastAsia="zh-CN"/>
        </w:rPr>
        <w:t>17604317333</w:t>
      </w:r>
    </w:p>
    <w:p w14:paraId="113FA868">
      <w:pPr>
        <w:keepNext w:val="0"/>
        <w:keepLines w:val="0"/>
        <w:pageBreakBefore w:val="0"/>
        <w:tabs>
          <w:tab w:val="left" w:pos="709"/>
        </w:tabs>
        <w:kinsoku/>
        <w:wordWrap/>
        <w:overflowPunct/>
        <w:topLinePunct w:val="0"/>
        <w:autoSpaceDE w:val="0"/>
        <w:autoSpaceDN w:val="0"/>
        <w:bidi w:val="0"/>
        <w:adjustRightInd w:val="0"/>
        <w:snapToGrid w:val="0"/>
        <w:spacing w:line="520" w:lineRule="exact"/>
        <w:ind w:firstLine="420" w:firstLineChars="200"/>
        <w:rPr>
          <w:rFonts w:ascii="宋体" w:hAnsi="宋体" w:cs="宋体"/>
          <w:szCs w:val="21"/>
          <w:highlight w:val="none"/>
          <w:lang w:val="zh-CN"/>
        </w:rPr>
      </w:pPr>
      <w:r>
        <w:rPr>
          <w:rFonts w:hint="eastAsia" w:ascii="宋体" w:hAnsi="宋体" w:cs="宋体"/>
          <w:szCs w:val="21"/>
          <w:highlight w:val="none"/>
          <w:lang w:val="zh-CN"/>
        </w:rPr>
        <w:t>2.采购代理机构信息</w:t>
      </w:r>
    </w:p>
    <w:p w14:paraId="1571CDE9">
      <w:pPr>
        <w:keepNext w:val="0"/>
        <w:keepLines w:val="0"/>
        <w:pageBreakBefore w:val="0"/>
        <w:tabs>
          <w:tab w:val="left" w:pos="709"/>
        </w:tabs>
        <w:kinsoku/>
        <w:wordWrap/>
        <w:overflowPunct/>
        <w:topLinePunct w:val="0"/>
        <w:autoSpaceDE w:val="0"/>
        <w:autoSpaceDN w:val="0"/>
        <w:bidi w:val="0"/>
        <w:adjustRightInd w:val="0"/>
        <w:snapToGrid w:val="0"/>
        <w:spacing w:line="520" w:lineRule="exact"/>
        <w:ind w:left="630" w:leftChars="300"/>
        <w:rPr>
          <w:rFonts w:ascii="宋体" w:hAnsi="宋体" w:cs="宋体"/>
          <w:szCs w:val="21"/>
          <w:highlight w:val="none"/>
          <w:lang w:val="zh-CN"/>
        </w:rPr>
      </w:pPr>
      <w:r>
        <w:rPr>
          <w:rFonts w:hint="eastAsia" w:ascii="宋体" w:hAnsi="宋体" w:cs="宋体"/>
          <w:szCs w:val="21"/>
          <w:highlight w:val="none"/>
          <w:lang w:val="zh-CN"/>
        </w:rPr>
        <w:t>名</w:t>
      </w:r>
      <w:r>
        <w:rPr>
          <w:rFonts w:hint="eastAsia" w:ascii="宋体" w:hAnsi="宋体" w:cs="宋体"/>
          <w:szCs w:val="21"/>
          <w:highlight w:val="none"/>
        </w:rPr>
        <w:t xml:space="preserve">    </w:t>
      </w:r>
      <w:r>
        <w:rPr>
          <w:rFonts w:hint="eastAsia" w:ascii="宋体" w:hAnsi="宋体" w:cs="宋体"/>
          <w:szCs w:val="21"/>
          <w:highlight w:val="none"/>
          <w:lang w:val="zh-CN"/>
        </w:rPr>
        <w:t>称：</w:t>
      </w:r>
      <w:r>
        <w:rPr>
          <w:rFonts w:hint="eastAsia" w:ascii="宋体" w:hAnsi="宋体" w:cs="宋体"/>
          <w:szCs w:val="21"/>
          <w:highlight w:val="none"/>
          <w:lang w:val="zh-CN" w:eastAsia="zh-CN"/>
        </w:rPr>
        <w:t>吉林省海创科建工程咨询有限公司</w:t>
      </w:r>
    </w:p>
    <w:p w14:paraId="5A346AD0">
      <w:pPr>
        <w:keepNext w:val="0"/>
        <w:keepLines w:val="0"/>
        <w:pageBreakBefore w:val="0"/>
        <w:tabs>
          <w:tab w:val="left" w:pos="709"/>
        </w:tabs>
        <w:kinsoku/>
        <w:wordWrap/>
        <w:overflowPunct/>
        <w:topLinePunct w:val="0"/>
        <w:autoSpaceDE w:val="0"/>
        <w:autoSpaceDN w:val="0"/>
        <w:bidi w:val="0"/>
        <w:adjustRightInd w:val="0"/>
        <w:snapToGrid w:val="0"/>
        <w:spacing w:line="520" w:lineRule="exact"/>
        <w:ind w:firstLine="630" w:firstLineChars="300"/>
        <w:rPr>
          <w:rFonts w:hint="eastAsia" w:ascii="宋体" w:hAnsi="宋体" w:eastAsia="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val="zh-CN" w:eastAsia="zh-CN"/>
        </w:rPr>
        <w:t>长春市经济开发区世纪大街与营口路交汇新大石油4楼401号房</w:t>
      </w:r>
    </w:p>
    <w:p w14:paraId="66122DF2">
      <w:pPr>
        <w:keepNext w:val="0"/>
        <w:keepLines w:val="0"/>
        <w:pageBreakBefore w:val="0"/>
        <w:tabs>
          <w:tab w:val="left" w:pos="709"/>
        </w:tabs>
        <w:kinsoku/>
        <w:wordWrap/>
        <w:overflowPunct/>
        <w:topLinePunct w:val="0"/>
        <w:autoSpaceDE w:val="0"/>
        <w:autoSpaceDN w:val="0"/>
        <w:bidi w:val="0"/>
        <w:adjustRightInd w:val="0"/>
        <w:snapToGrid w:val="0"/>
        <w:spacing w:line="520" w:lineRule="exact"/>
        <w:ind w:firstLine="630" w:firstLineChars="3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联系人：李红丽</w:t>
      </w:r>
    </w:p>
    <w:p w14:paraId="686BF873">
      <w:pPr>
        <w:keepNext w:val="0"/>
        <w:keepLines w:val="0"/>
        <w:pageBreakBefore w:val="0"/>
        <w:tabs>
          <w:tab w:val="left" w:pos="709"/>
        </w:tabs>
        <w:kinsoku/>
        <w:wordWrap/>
        <w:overflowPunct/>
        <w:topLinePunct w:val="0"/>
        <w:autoSpaceDE w:val="0"/>
        <w:autoSpaceDN w:val="0"/>
        <w:bidi w:val="0"/>
        <w:adjustRightInd w:val="0"/>
        <w:snapToGrid w:val="0"/>
        <w:spacing w:line="520" w:lineRule="exact"/>
        <w:ind w:firstLine="630" w:firstLineChars="3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联系方式：0431-80603668</w:t>
      </w:r>
    </w:p>
    <w:p w14:paraId="1BD5256E">
      <w:pPr>
        <w:pStyle w:val="27"/>
        <w:keepNext w:val="0"/>
        <w:keepLines w:val="0"/>
        <w:pageBreakBefore w:val="0"/>
        <w:kinsoku/>
        <w:wordWrap/>
        <w:overflowPunct/>
        <w:topLinePunct w:val="0"/>
        <w:bidi w:val="0"/>
        <w:snapToGrid w:val="0"/>
        <w:spacing w:before="0" w:after="0" w:line="520" w:lineRule="exact"/>
        <w:ind w:firstLine="420" w:firstLineChars="200"/>
        <w:jc w:val="both"/>
        <w:rPr>
          <w:rFonts w:hint="eastAsia" w:ascii="宋体" w:hAnsi="宋体" w:eastAsia="宋体" w:cs="宋体"/>
          <w:b w:val="0"/>
          <w:kern w:val="2"/>
          <w:sz w:val="21"/>
          <w:szCs w:val="21"/>
          <w:highlight w:val="none"/>
          <w:lang w:val="en-US" w:eastAsia="zh-CN" w:bidi="ar-SA"/>
        </w:rPr>
      </w:pPr>
      <w:bookmarkStart w:id="11" w:name="_Toc4467"/>
      <w:bookmarkStart w:id="12" w:name="_Toc24773"/>
      <w:bookmarkStart w:id="13" w:name="_Toc19115"/>
      <w:bookmarkStart w:id="14" w:name="_Toc12476"/>
      <w:bookmarkStart w:id="15" w:name="_Toc4457"/>
      <w:bookmarkStart w:id="16" w:name="_Toc18106"/>
      <w:bookmarkStart w:id="17" w:name="_Toc7118"/>
      <w:bookmarkStart w:id="18" w:name="_Toc9546"/>
      <w:bookmarkStart w:id="19" w:name="_Toc25910"/>
      <w:bookmarkStart w:id="20" w:name="_Toc5532"/>
      <w:bookmarkStart w:id="21" w:name="_Toc23354"/>
      <w:bookmarkStart w:id="22" w:name="_Toc11856"/>
      <w:r>
        <w:rPr>
          <w:rFonts w:hint="eastAsia" w:ascii="宋体" w:hAnsi="宋体" w:eastAsia="宋体" w:cs="宋体"/>
          <w:b w:val="0"/>
          <w:kern w:val="2"/>
          <w:sz w:val="21"/>
          <w:szCs w:val="21"/>
          <w:highlight w:val="none"/>
          <w:lang w:val="en-US" w:eastAsia="zh-CN" w:bidi="ar-SA"/>
        </w:rPr>
        <w:t>3.项目联系方式</w:t>
      </w:r>
      <w:bookmarkEnd w:id="11"/>
      <w:bookmarkEnd w:id="12"/>
      <w:bookmarkEnd w:id="13"/>
      <w:bookmarkEnd w:id="14"/>
      <w:bookmarkEnd w:id="15"/>
      <w:bookmarkEnd w:id="16"/>
      <w:bookmarkEnd w:id="17"/>
      <w:bookmarkEnd w:id="18"/>
      <w:bookmarkEnd w:id="19"/>
      <w:bookmarkEnd w:id="20"/>
      <w:bookmarkEnd w:id="21"/>
      <w:bookmarkEnd w:id="22"/>
    </w:p>
    <w:p w14:paraId="76259D49">
      <w:pPr>
        <w:pStyle w:val="27"/>
        <w:keepNext w:val="0"/>
        <w:keepLines w:val="0"/>
        <w:pageBreakBefore w:val="0"/>
        <w:kinsoku/>
        <w:wordWrap/>
        <w:overflowPunct/>
        <w:topLinePunct w:val="0"/>
        <w:bidi w:val="0"/>
        <w:snapToGrid w:val="0"/>
        <w:spacing w:before="0" w:after="0" w:line="520" w:lineRule="exact"/>
        <w:ind w:firstLine="630" w:firstLineChars="300"/>
        <w:jc w:val="both"/>
        <w:rPr>
          <w:rFonts w:hint="eastAsia" w:ascii="宋体" w:hAnsi="宋体" w:eastAsia="宋体" w:cs="宋体"/>
          <w:b w:val="0"/>
          <w:kern w:val="2"/>
          <w:sz w:val="21"/>
          <w:szCs w:val="21"/>
          <w:highlight w:val="none"/>
          <w:lang w:val="en-US" w:eastAsia="zh-CN" w:bidi="ar-SA"/>
        </w:rPr>
      </w:pPr>
      <w:bookmarkStart w:id="23" w:name="_Toc25247"/>
      <w:bookmarkStart w:id="24" w:name="_Toc23404"/>
      <w:bookmarkStart w:id="25" w:name="_Toc6110"/>
      <w:bookmarkStart w:id="26" w:name="_Toc31981"/>
      <w:bookmarkStart w:id="27" w:name="_Toc6004"/>
      <w:bookmarkStart w:id="28" w:name="_Toc21324"/>
      <w:bookmarkStart w:id="29" w:name="_Toc6133"/>
      <w:bookmarkStart w:id="30" w:name="_Toc14375"/>
      <w:bookmarkStart w:id="31" w:name="_Toc9909"/>
      <w:bookmarkStart w:id="32" w:name="_Toc23102"/>
      <w:bookmarkStart w:id="33" w:name="_Toc15343"/>
      <w:bookmarkStart w:id="34" w:name="_Toc19551"/>
      <w:r>
        <w:rPr>
          <w:rFonts w:hint="eastAsia" w:ascii="宋体" w:hAnsi="宋体" w:eastAsia="宋体" w:cs="宋体"/>
          <w:b w:val="0"/>
          <w:kern w:val="2"/>
          <w:sz w:val="21"/>
          <w:szCs w:val="21"/>
          <w:highlight w:val="none"/>
          <w:lang w:val="en-US" w:eastAsia="zh-CN" w:bidi="ar-SA"/>
        </w:rPr>
        <w:t>项目联系人：</w:t>
      </w:r>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eastAsia="宋体" w:cs="宋体"/>
          <w:b w:val="0"/>
          <w:kern w:val="2"/>
          <w:sz w:val="21"/>
          <w:szCs w:val="21"/>
          <w:highlight w:val="none"/>
          <w:lang w:val="en-US" w:eastAsia="zh-CN" w:bidi="ar-SA"/>
        </w:rPr>
        <w:t>李红丽</w:t>
      </w:r>
    </w:p>
    <w:p w14:paraId="3B231F24">
      <w:pPr>
        <w:pStyle w:val="27"/>
        <w:keepNext w:val="0"/>
        <w:keepLines w:val="0"/>
        <w:pageBreakBefore w:val="0"/>
        <w:kinsoku/>
        <w:wordWrap/>
        <w:overflowPunct/>
        <w:topLinePunct w:val="0"/>
        <w:bidi w:val="0"/>
        <w:snapToGrid w:val="0"/>
        <w:spacing w:before="0" w:after="0" w:line="520" w:lineRule="exact"/>
        <w:ind w:firstLine="630" w:firstLineChars="300"/>
        <w:jc w:val="both"/>
        <w:rPr>
          <w:rFonts w:hint="eastAsia" w:ascii="宋体" w:hAnsi="宋体" w:eastAsia="宋体" w:cs="宋体"/>
          <w:b w:val="0"/>
          <w:kern w:val="2"/>
          <w:sz w:val="21"/>
          <w:szCs w:val="21"/>
          <w:highlight w:val="none"/>
          <w:lang w:val="en-US" w:eastAsia="zh-CN" w:bidi="ar-SA"/>
        </w:rPr>
      </w:pPr>
      <w:bookmarkStart w:id="35" w:name="_Toc31802"/>
      <w:r>
        <w:rPr>
          <w:rFonts w:hint="eastAsia" w:ascii="宋体" w:hAnsi="宋体" w:eastAsia="宋体" w:cs="宋体"/>
          <w:b w:val="0"/>
          <w:kern w:val="2"/>
          <w:sz w:val="21"/>
          <w:szCs w:val="21"/>
          <w:highlight w:val="none"/>
          <w:lang w:val="en-US" w:eastAsia="zh-CN" w:bidi="ar-SA"/>
        </w:rPr>
        <w:t>电      话：</w:t>
      </w:r>
      <w:bookmarkEnd w:id="35"/>
      <w:r>
        <w:rPr>
          <w:rFonts w:hint="eastAsia" w:ascii="宋体" w:hAnsi="宋体" w:eastAsia="宋体" w:cs="宋体"/>
          <w:b w:val="0"/>
          <w:kern w:val="2"/>
          <w:sz w:val="21"/>
          <w:szCs w:val="21"/>
          <w:highlight w:val="none"/>
          <w:lang w:val="en-US" w:eastAsia="zh-CN" w:bidi="ar-SA"/>
        </w:rPr>
        <w:t>0431-80603668</w:t>
      </w:r>
    </w:p>
    <w:p w14:paraId="56C737B9">
      <w:pPr>
        <w:rPr>
          <w:rFonts w:ascii="宋体" w:hAnsi="宋体" w:cs="宋体"/>
          <w:highlight w:val="none"/>
        </w:rPr>
      </w:pPr>
      <w:r>
        <w:rPr>
          <w:rFonts w:hint="eastAsia" w:ascii="宋体" w:hAnsi="宋体" w:cs="宋体"/>
          <w:highlight w:val="none"/>
        </w:rPr>
        <w:br w:type="page"/>
      </w:r>
    </w:p>
    <w:p w14:paraId="63369AC7">
      <w:pPr>
        <w:pStyle w:val="2"/>
        <w:spacing w:before="0" w:after="0" w:line="360" w:lineRule="auto"/>
        <w:jc w:val="center"/>
        <w:rPr>
          <w:rFonts w:ascii="宋体" w:hAnsi="宋体" w:cs="宋体"/>
          <w:highlight w:val="none"/>
        </w:rPr>
      </w:pPr>
      <w:bookmarkStart w:id="36" w:name="_Toc268"/>
      <w:bookmarkStart w:id="37" w:name="_Toc13601"/>
      <w:bookmarkStart w:id="38" w:name="_Toc10415"/>
      <w:bookmarkStart w:id="39" w:name="_Toc15490"/>
      <w:r>
        <w:rPr>
          <w:rFonts w:hint="eastAsia" w:ascii="宋体" w:hAnsi="宋体" w:cs="宋体"/>
          <w:highlight w:val="none"/>
        </w:rPr>
        <w:t>第二章  供应商须知</w:t>
      </w:r>
      <w:bookmarkEnd w:id="36"/>
      <w:bookmarkEnd w:id="37"/>
      <w:bookmarkEnd w:id="38"/>
      <w:bookmarkEnd w:id="39"/>
    </w:p>
    <w:p w14:paraId="61D92254">
      <w:pPr>
        <w:autoSpaceDE w:val="0"/>
        <w:autoSpaceDN w:val="0"/>
        <w:adjustRightInd w:val="0"/>
        <w:jc w:val="center"/>
        <w:rPr>
          <w:rFonts w:ascii="宋体" w:hAnsi="宋体" w:cs="宋体"/>
          <w:bCs/>
          <w:sz w:val="28"/>
          <w:szCs w:val="28"/>
          <w:highlight w:val="none"/>
          <w:lang w:val="zh-CN"/>
        </w:rPr>
      </w:pPr>
      <w:r>
        <w:rPr>
          <w:rFonts w:hint="eastAsia" w:ascii="宋体" w:hAnsi="宋体" w:cs="宋体"/>
          <w:bCs/>
          <w:sz w:val="28"/>
          <w:szCs w:val="28"/>
          <w:highlight w:val="none"/>
          <w:lang w:val="zh-CN"/>
        </w:rPr>
        <w:t>（一）供应商须知前附表</w:t>
      </w:r>
    </w:p>
    <w:tbl>
      <w:tblPr>
        <w:tblStyle w:val="31"/>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51"/>
        <w:gridCol w:w="6302"/>
      </w:tblGrid>
      <w:tr w14:paraId="4A07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38" w:type="dxa"/>
            <w:vAlign w:val="center"/>
          </w:tcPr>
          <w:p w14:paraId="6700F44C">
            <w:pPr>
              <w:autoSpaceDE w:val="0"/>
              <w:autoSpaceDN w:val="0"/>
              <w:adjustRightIn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2351" w:type="dxa"/>
            <w:vAlign w:val="center"/>
          </w:tcPr>
          <w:p w14:paraId="412263C5">
            <w:pPr>
              <w:pStyle w:val="20"/>
              <w:pBdr>
                <w:bottom w:val="none" w:color="auto" w:sz="0" w:space="0"/>
              </w:pBdr>
              <w:tabs>
                <w:tab w:val="clear" w:pos="4153"/>
                <w:tab w:val="clear" w:pos="8306"/>
              </w:tabs>
              <w:autoSpaceDE w:val="0"/>
              <w:autoSpaceDN w:val="0"/>
              <w:adjustRightInd w:val="0"/>
              <w:snapToGrid/>
              <w:spacing w:line="320" w:lineRule="exact"/>
              <w:rPr>
                <w:rFonts w:ascii="宋体" w:hAnsi="宋体" w:cs="宋体"/>
                <w:b/>
                <w:kern w:val="2"/>
                <w:sz w:val="21"/>
                <w:szCs w:val="21"/>
                <w:highlight w:val="none"/>
                <w:lang w:val="zh-CN"/>
              </w:rPr>
            </w:pPr>
            <w:r>
              <w:rPr>
                <w:rFonts w:hint="eastAsia" w:ascii="宋体" w:hAnsi="宋体" w:cs="宋体"/>
                <w:b/>
                <w:kern w:val="2"/>
                <w:sz w:val="21"/>
                <w:szCs w:val="21"/>
                <w:highlight w:val="none"/>
                <w:lang w:val="zh-CN"/>
              </w:rPr>
              <w:t>名  称</w:t>
            </w:r>
          </w:p>
        </w:tc>
        <w:tc>
          <w:tcPr>
            <w:tcW w:w="6302" w:type="dxa"/>
            <w:vAlign w:val="center"/>
          </w:tcPr>
          <w:p w14:paraId="10063E84">
            <w:pPr>
              <w:pStyle w:val="20"/>
              <w:pBdr>
                <w:bottom w:val="none" w:color="auto" w:sz="0" w:space="0"/>
              </w:pBdr>
              <w:tabs>
                <w:tab w:val="clear" w:pos="4153"/>
                <w:tab w:val="clear" w:pos="8306"/>
              </w:tabs>
              <w:autoSpaceDE w:val="0"/>
              <w:autoSpaceDN w:val="0"/>
              <w:adjustRightInd w:val="0"/>
              <w:snapToGrid/>
              <w:spacing w:line="320" w:lineRule="exact"/>
              <w:rPr>
                <w:rFonts w:ascii="宋体" w:hAnsi="宋体" w:cs="宋体"/>
                <w:b/>
                <w:kern w:val="2"/>
                <w:sz w:val="21"/>
                <w:szCs w:val="21"/>
                <w:highlight w:val="none"/>
                <w:lang w:val="zh-CN"/>
              </w:rPr>
            </w:pPr>
            <w:r>
              <w:rPr>
                <w:rFonts w:hint="eastAsia" w:ascii="宋体" w:hAnsi="宋体" w:cs="宋体"/>
                <w:b/>
                <w:kern w:val="2"/>
                <w:sz w:val="21"/>
                <w:szCs w:val="21"/>
                <w:highlight w:val="none"/>
                <w:lang w:val="zh-CN"/>
              </w:rPr>
              <w:t>编列内容</w:t>
            </w:r>
          </w:p>
        </w:tc>
      </w:tr>
      <w:tr w14:paraId="37EF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4FEF98D6">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1.1.2</w:t>
            </w:r>
          </w:p>
        </w:tc>
        <w:tc>
          <w:tcPr>
            <w:tcW w:w="2351" w:type="dxa"/>
            <w:vAlign w:val="center"/>
          </w:tcPr>
          <w:p w14:paraId="2E1355BA">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采购人</w:t>
            </w:r>
          </w:p>
        </w:tc>
        <w:tc>
          <w:tcPr>
            <w:tcW w:w="6302" w:type="dxa"/>
            <w:vAlign w:val="center"/>
          </w:tcPr>
          <w:p w14:paraId="0C95E1BA">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val="zh-CN" w:eastAsia="zh-CN"/>
              </w:rPr>
              <w:t>长白山高原冰雪训练基地</w:t>
            </w:r>
          </w:p>
          <w:p w14:paraId="75F36ADA">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地    址：</w:t>
            </w:r>
            <w:r>
              <w:rPr>
                <w:rFonts w:hint="eastAsia" w:ascii="宋体" w:hAnsi="宋体" w:cs="宋体"/>
                <w:szCs w:val="21"/>
                <w:highlight w:val="none"/>
                <w:lang w:val="zh-CN" w:eastAsia="zh-CN"/>
              </w:rPr>
              <w:t>吉林省长白山保护开发区管理委员会池北区（景区内）</w:t>
            </w:r>
          </w:p>
          <w:p w14:paraId="64FFA560">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hint="eastAsia" w:ascii="宋体" w:hAnsi="宋体" w:cs="宋体"/>
                <w:szCs w:val="21"/>
                <w:highlight w:val="none"/>
                <w:lang w:val="en-US" w:eastAsia="zh-CN"/>
              </w:rPr>
            </w:pPr>
            <w:r>
              <w:rPr>
                <w:rFonts w:hint="eastAsia" w:ascii="宋体" w:hAnsi="宋体" w:cs="宋体"/>
                <w:szCs w:val="21"/>
                <w:highlight w:val="none"/>
              </w:rPr>
              <w:t>联系</w:t>
            </w:r>
            <w:r>
              <w:rPr>
                <w:rFonts w:hint="eastAsia" w:ascii="宋体" w:hAnsi="宋体" w:cs="宋体"/>
                <w:szCs w:val="21"/>
                <w:highlight w:val="none"/>
                <w:lang w:val="en-US" w:eastAsia="zh-CN"/>
              </w:rPr>
              <w:t>人</w:t>
            </w:r>
            <w:r>
              <w:rPr>
                <w:rFonts w:hint="eastAsia" w:ascii="宋体" w:hAnsi="宋体" w:cs="宋体"/>
                <w:szCs w:val="21"/>
                <w:highlight w:val="none"/>
              </w:rPr>
              <w:t>：</w:t>
            </w:r>
            <w:r>
              <w:rPr>
                <w:rFonts w:hint="eastAsia" w:ascii="宋体" w:hAnsi="宋体" w:cs="宋体"/>
                <w:szCs w:val="21"/>
                <w:highlight w:val="none"/>
                <w:lang w:val="en-US" w:eastAsia="zh-CN"/>
              </w:rPr>
              <w:t>王超</w:t>
            </w:r>
          </w:p>
          <w:p w14:paraId="2F45A8C3">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ascii="宋体" w:hAnsi="宋体" w:cs="宋体"/>
                <w:szCs w:val="21"/>
                <w:highlight w:val="none"/>
              </w:rPr>
            </w:pPr>
            <w:r>
              <w:rPr>
                <w:rFonts w:hint="eastAsia" w:ascii="宋体" w:hAnsi="宋体" w:cs="宋体"/>
                <w:szCs w:val="21"/>
                <w:highlight w:val="none"/>
                <w:lang w:val="en-US" w:eastAsia="zh-CN"/>
              </w:rPr>
              <w:t>联系方式：17604317333</w:t>
            </w:r>
          </w:p>
        </w:tc>
      </w:tr>
      <w:tr w14:paraId="123F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77812C43">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1.1.3</w:t>
            </w:r>
          </w:p>
        </w:tc>
        <w:tc>
          <w:tcPr>
            <w:tcW w:w="2351" w:type="dxa"/>
            <w:vAlign w:val="center"/>
          </w:tcPr>
          <w:p w14:paraId="7C919204">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采购代理机构</w:t>
            </w:r>
          </w:p>
        </w:tc>
        <w:tc>
          <w:tcPr>
            <w:tcW w:w="6302" w:type="dxa"/>
            <w:vAlign w:val="center"/>
          </w:tcPr>
          <w:p w14:paraId="701372DC">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lang w:val="zh-CN"/>
              </w:rPr>
              <w:t>名    称：</w:t>
            </w:r>
            <w:r>
              <w:rPr>
                <w:rFonts w:hint="eastAsia" w:ascii="宋体" w:hAnsi="宋体" w:cs="宋体"/>
                <w:bCs/>
                <w:szCs w:val="21"/>
                <w:highlight w:val="none"/>
                <w:lang w:val="zh-CN" w:eastAsia="zh-CN"/>
              </w:rPr>
              <w:t>吉林省海创科建工程咨询有限公司</w:t>
            </w:r>
          </w:p>
          <w:p w14:paraId="7F0358D5">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hint="eastAsia" w:ascii="宋体" w:hAnsi="宋体" w:cs="宋体"/>
                <w:bCs/>
                <w:szCs w:val="21"/>
                <w:highlight w:val="none"/>
                <w:lang w:val="zh-CN" w:eastAsia="zh-CN"/>
              </w:rPr>
            </w:pPr>
            <w:r>
              <w:rPr>
                <w:rFonts w:hint="eastAsia" w:ascii="宋体" w:hAnsi="宋体" w:cs="宋体"/>
                <w:bCs/>
                <w:szCs w:val="21"/>
                <w:highlight w:val="none"/>
                <w:lang w:val="zh-CN"/>
              </w:rPr>
              <w:t>地    址：</w:t>
            </w:r>
            <w:r>
              <w:rPr>
                <w:rFonts w:hint="eastAsia" w:ascii="宋体" w:hAnsi="宋体" w:cs="宋体"/>
                <w:bCs/>
                <w:szCs w:val="21"/>
                <w:highlight w:val="none"/>
                <w:lang w:val="zh-CN" w:eastAsia="zh-CN"/>
              </w:rPr>
              <w:t>长春市经济开发区世纪大街与营口路交汇新大石油4楼401号房</w:t>
            </w:r>
          </w:p>
          <w:p w14:paraId="1ABC666D">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hint="eastAsia" w:ascii="宋体" w:hAnsi="宋体" w:cs="宋体"/>
                <w:bCs/>
                <w:szCs w:val="21"/>
                <w:highlight w:val="none"/>
                <w:lang w:val="zh-CN" w:eastAsia="zh-CN"/>
              </w:rPr>
            </w:pPr>
            <w:r>
              <w:rPr>
                <w:rFonts w:hint="eastAsia" w:ascii="宋体" w:hAnsi="宋体" w:cs="宋体"/>
                <w:bCs/>
                <w:szCs w:val="21"/>
                <w:highlight w:val="none"/>
                <w:lang w:val="zh-CN" w:eastAsia="zh-CN"/>
              </w:rPr>
              <w:t>联系人：李红丽</w:t>
            </w:r>
          </w:p>
          <w:p w14:paraId="2EBD635C">
            <w:pPr>
              <w:keepNext w:val="0"/>
              <w:keepLines w:val="0"/>
              <w:pageBreakBefore w:val="0"/>
              <w:tabs>
                <w:tab w:val="left" w:pos="709"/>
              </w:tabs>
              <w:kinsoku/>
              <w:wordWrap/>
              <w:overflowPunct/>
              <w:topLinePunct w:val="0"/>
              <w:autoSpaceDE w:val="0"/>
              <w:autoSpaceDN w:val="0"/>
              <w:bidi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lang w:val="zh-CN" w:eastAsia="zh-CN"/>
              </w:rPr>
              <w:t>联系方式：0431-80603668</w:t>
            </w:r>
          </w:p>
        </w:tc>
      </w:tr>
      <w:tr w14:paraId="54FD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5F8DF925">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1.1.4</w:t>
            </w:r>
          </w:p>
        </w:tc>
        <w:tc>
          <w:tcPr>
            <w:tcW w:w="2351" w:type="dxa"/>
            <w:vAlign w:val="center"/>
          </w:tcPr>
          <w:p w14:paraId="01A7829E">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项目名称及编号</w:t>
            </w:r>
          </w:p>
        </w:tc>
        <w:tc>
          <w:tcPr>
            <w:tcW w:w="6302" w:type="dxa"/>
            <w:vAlign w:val="center"/>
          </w:tcPr>
          <w:p w14:paraId="00341D83">
            <w:pPr>
              <w:autoSpaceDE w:val="0"/>
              <w:autoSpaceDN w:val="0"/>
              <w:adjustRightInd w:val="0"/>
              <w:spacing w:line="320" w:lineRule="exact"/>
              <w:jc w:val="left"/>
              <w:rPr>
                <w:rFonts w:ascii="宋体" w:hAnsi="宋体" w:cs="宋体"/>
                <w:szCs w:val="21"/>
                <w:highlight w:val="none"/>
              </w:rPr>
            </w:pPr>
            <w:r>
              <w:rPr>
                <w:rFonts w:hint="eastAsia" w:ascii="宋体" w:hAnsi="宋体" w:cs="宋体"/>
                <w:bCs/>
                <w:szCs w:val="21"/>
                <w:highlight w:val="none"/>
                <w:lang w:val="zh-CN"/>
              </w:rPr>
              <w:t>项目名称：</w:t>
            </w:r>
            <w:r>
              <w:rPr>
                <w:rFonts w:hint="eastAsia" w:ascii="宋体" w:hAnsi="宋体" w:cs="宋体"/>
                <w:bCs/>
                <w:szCs w:val="21"/>
                <w:highlight w:val="none"/>
                <w:lang w:val="zh-CN" w:eastAsia="zh-CN"/>
              </w:rPr>
              <w:t>改善训练比赛场地设施条件维修改造运动员村、运动员之家公寓及附属设施二次</w:t>
            </w:r>
          </w:p>
          <w:p w14:paraId="2AC75B01">
            <w:pPr>
              <w:autoSpaceDE w:val="0"/>
              <w:autoSpaceDN w:val="0"/>
              <w:adjustRightInd w:val="0"/>
              <w:spacing w:line="320" w:lineRule="exact"/>
              <w:jc w:val="left"/>
              <w:rPr>
                <w:rFonts w:hint="default" w:ascii="宋体" w:hAnsi="宋体" w:cs="宋体"/>
                <w:bCs/>
                <w:szCs w:val="21"/>
                <w:highlight w:val="none"/>
                <w:lang w:val="en-US"/>
              </w:rPr>
            </w:pPr>
            <w:r>
              <w:rPr>
                <w:rFonts w:hint="eastAsia" w:ascii="宋体" w:hAnsi="宋体" w:cs="宋体"/>
                <w:szCs w:val="21"/>
                <w:highlight w:val="none"/>
              </w:rPr>
              <w:t>项目编号：采购计划-[2025]-06077号-HCKJ-2025-GC003</w:t>
            </w:r>
          </w:p>
        </w:tc>
      </w:tr>
      <w:tr w14:paraId="410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523C574A">
            <w:pPr>
              <w:autoSpaceDE w:val="0"/>
              <w:autoSpaceDN w:val="0"/>
              <w:adjustRightInd w:val="0"/>
              <w:spacing w:line="320" w:lineRule="exact"/>
              <w:jc w:val="center"/>
              <w:rPr>
                <w:rFonts w:ascii="宋体" w:hAnsi="宋体" w:cs="宋体"/>
                <w:bCs/>
                <w:szCs w:val="21"/>
                <w:highlight w:val="none"/>
              </w:rPr>
            </w:pPr>
            <w:r>
              <w:rPr>
                <w:rFonts w:hint="eastAsia" w:ascii="宋体" w:hAnsi="宋体" w:cs="宋体"/>
                <w:bCs/>
                <w:szCs w:val="21"/>
                <w:highlight w:val="none"/>
              </w:rPr>
              <w:t>1.2</w:t>
            </w:r>
          </w:p>
        </w:tc>
        <w:tc>
          <w:tcPr>
            <w:tcW w:w="2351" w:type="dxa"/>
            <w:vAlign w:val="center"/>
          </w:tcPr>
          <w:p w14:paraId="798B7799">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kern w:val="0"/>
                <w:szCs w:val="21"/>
                <w:highlight w:val="none"/>
                <w:lang w:bidi="ar"/>
              </w:rPr>
              <w:t>采购预算</w:t>
            </w:r>
          </w:p>
        </w:tc>
        <w:tc>
          <w:tcPr>
            <w:tcW w:w="6302" w:type="dxa"/>
            <w:vAlign w:val="center"/>
          </w:tcPr>
          <w:p w14:paraId="503F3B3D">
            <w:pPr>
              <w:autoSpaceDE w:val="0"/>
              <w:autoSpaceDN w:val="0"/>
              <w:adjustRightInd w:val="0"/>
              <w:spacing w:line="320" w:lineRule="exact"/>
              <w:jc w:val="left"/>
              <w:rPr>
                <w:rFonts w:ascii="宋体" w:hAnsi="宋体" w:cs="宋体"/>
                <w:szCs w:val="21"/>
                <w:highlight w:val="none"/>
              </w:rPr>
            </w:pPr>
            <w:r>
              <w:rPr>
                <w:rFonts w:hint="eastAsia" w:ascii="宋体" w:hAnsi="宋体" w:cs="宋体"/>
                <w:kern w:val="0"/>
                <w:szCs w:val="21"/>
                <w:highlight w:val="none"/>
                <w:lang w:val="en-US" w:eastAsia="zh-CN" w:bidi="ar"/>
              </w:rPr>
              <w:t>2360000.00</w:t>
            </w:r>
            <w:r>
              <w:rPr>
                <w:rFonts w:hint="eastAsia" w:ascii="宋体" w:hAnsi="宋体" w:cs="宋体"/>
                <w:kern w:val="0"/>
                <w:szCs w:val="21"/>
                <w:highlight w:val="none"/>
                <w:lang w:bidi="ar"/>
              </w:rPr>
              <w:t>元</w:t>
            </w:r>
          </w:p>
        </w:tc>
      </w:tr>
      <w:tr w14:paraId="5611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499E2329">
            <w:pPr>
              <w:autoSpaceDE w:val="0"/>
              <w:autoSpaceDN w:val="0"/>
              <w:adjustRightInd w:val="0"/>
              <w:spacing w:line="320" w:lineRule="exact"/>
              <w:jc w:val="center"/>
              <w:rPr>
                <w:rFonts w:ascii="宋体" w:hAnsi="宋体" w:cs="宋体"/>
                <w:bCs/>
                <w:szCs w:val="21"/>
                <w:highlight w:val="none"/>
              </w:rPr>
            </w:pPr>
            <w:r>
              <w:rPr>
                <w:rFonts w:hint="eastAsia" w:ascii="宋体" w:hAnsi="宋体" w:cs="宋体"/>
                <w:bCs/>
                <w:szCs w:val="21"/>
                <w:highlight w:val="none"/>
              </w:rPr>
              <w:t>1.3</w:t>
            </w:r>
          </w:p>
        </w:tc>
        <w:tc>
          <w:tcPr>
            <w:tcW w:w="2351" w:type="dxa"/>
            <w:vAlign w:val="center"/>
          </w:tcPr>
          <w:p w14:paraId="0202DAEC">
            <w:pPr>
              <w:autoSpaceDE w:val="0"/>
              <w:autoSpaceDN w:val="0"/>
              <w:adjustRightInd w:val="0"/>
              <w:spacing w:line="320" w:lineRule="exact"/>
              <w:jc w:val="left"/>
              <w:rPr>
                <w:rFonts w:ascii="宋体" w:hAnsi="宋体" w:cs="宋体"/>
                <w:kern w:val="0"/>
                <w:szCs w:val="21"/>
                <w:highlight w:val="none"/>
                <w:lang w:bidi="ar"/>
              </w:rPr>
            </w:pPr>
            <w:r>
              <w:rPr>
                <w:rFonts w:hint="eastAsia" w:ascii="宋体" w:hAnsi="宋体" w:cs="宋体"/>
                <w:kern w:val="0"/>
                <w:szCs w:val="21"/>
                <w:highlight w:val="none"/>
              </w:rPr>
              <w:t>最高限价</w:t>
            </w:r>
          </w:p>
        </w:tc>
        <w:tc>
          <w:tcPr>
            <w:tcW w:w="6302" w:type="dxa"/>
            <w:vAlign w:val="center"/>
          </w:tcPr>
          <w:p w14:paraId="113446B7">
            <w:pPr>
              <w:autoSpaceDE w:val="0"/>
              <w:autoSpaceDN w:val="0"/>
              <w:adjustRightInd w:val="0"/>
              <w:spacing w:line="320" w:lineRule="exact"/>
              <w:jc w:val="left"/>
              <w:rPr>
                <w:rFonts w:ascii="宋体" w:hAnsi="宋体" w:cs="宋体"/>
                <w:kern w:val="0"/>
                <w:szCs w:val="21"/>
                <w:highlight w:val="none"/>
                <w:lang w:bidi="ar"/>
              </w:rPr>
            </w:pPr>
            <w:r>
              <w:rPr>
                <w:rFonts w:hint="eastAsia" w:ascii="宋体" w:hAnsi="宋体" w:cs="宋体"/>
                <w:kern w:val="0"/>
                <w:szCs w:val="21"/>
                <w:highlight w:val="none"/>
                <w:lang w:val="en-US" w:eastAsia="zh-CN" w:bidi="ar"/>
              </w:rPr>
              <w:t>2360000.00</w:t>
            </w:r>
            <w:r>
              <w:rPr>
                <w:rFonts w:hint="eastAsia" w:ascii="宋体" w:hAnsi="宋体" w:cs="宋体"/>
                <w:kern w:val="0"/>
                <w:szCs w:val="21"/>
                <w:highlight w:val="none"/>
                <w:lang w:bidi="ar"/>
              </w:rPr>
              <w:t>元</w:t>
            </w:r>
          </w:p>
        </w:tc>
      </w:tr>
      <w:tr w14:paraId="1C8D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8" w:type="dxa"/>
            <w:vMerge w:val="restart"/>
            <w:vAlign w:val="center"/>
          </w:tcPr>
          <w:p w14:paraId="0A4F1AA8">
            <w:pPr>
              <w:autoSpaceDE w:val="0"/>
              <w:autoSpaceDN w:val="0"/>
              <w:adjustRightInd w:val="0"/>
              <w:spacing w:line="320" w:lineRule="exact"/>
              <w:jc w:val="center"/>
              <w:rPr>
                <w:rFonts w:hint="eastAsia" w:ascii="宋体" w:hAnsi="宋体" w:cs="宋体"/>
                <w:bCs/>
                <w:szCs w:val="21"/>
                <w:highlight w:val="none"/>
                <w:lang w:val="zh-CN"/>
              </w:rPr>
            </w:pPr>
          </w:p>
          <w:p w14:paraId="7275E967">
            <w:pPr>
              <w:autoSpaceDE w:val="0"/>
              <w:autoSpaceDN w:val="0"/>
              <w:adjustRightInd w:val="0"/>
              <w:spacing w:line="320" w:lineRule="exact"/>
              <w:jc w:val="center"/>
              <w:rPr>
                <w:rFonts w:hint="eastAsia" w:ascii="宋体" w:hAnsi="宋体" w:cs="宋体"/>
                <w:bCs/>
                <w:szCs w:val="21"/>
                <w:highlight w:val="none"/>
                <w:lang w:val="zh-CN"/>
              </w:rPr>
            </w:pPr>
          </w:p>
          <w:p w14:paraId="1FF13440">
            <w:pPr>
              <w:autoSpaceDE w:val="0"/>
              <w:autoSpaceDN w:val="0"/>
              <w:adjustRightInd w:val="0"/>
              <w:spacing w:line="320" w:lineRule="exact"/>
              <w:jc w:val="center"/>
              <w:rPr>
                <w:rFonts w:hint="eastAsia" w:ascii="宋体" w:hAnsi="宋体" w:cs="宋体"/>
                <w:bCs/>
                <w:szCs w:val="21"/>
                <w:highlight w:val="none"/>
                <w:lang w:val="zh-CN"/>
              </w:rPr>
            </w:pPr>
          </w:p>
          <w:p w14:paraId="47BB3BE0">
            <w:pPr>
              <w:autoSpaceDE w:val="0"/>
              <w:autoSpaceDN w:val="0"/>
              <w:adjustRightInd w:val="0"/>
              <w:spacing w:line="320" w:lineRule="exact"/>
              <w:jc w:val="center"/>
              <w:rPr>
                <w:rFonts w:hint="eastAsia" w:ascii="宋体" w:hAnsi="宋体" w:cs="宋体"/>
                <w:bCs/>
                <w:szCs w:val="21"/>
                <w:highlight w:val="none"/>
                <w:lang w:val="zh-CN"/>
              </w:rPr>
            </w:pPr>
          </w:p>
          <w:p w14:paraId="510D09E5">
            <w:pPr>
              <w:autoSpaceDE w:val="0"/>
              <w:autoSpaceDN w:val="0"/>
              <w:adjustRightInd w:val="0"/>
              <w:spacing w:line="32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1.4</w:t>
            </w:r>
          </w:p>
          <w:p w14:paraId="60365294">
            <w:pPr>
              <w:autoSpaceDE w:val="0"/>
              <w:autoSpaceDN w:val="0"/>
              <w:adjustRightInd w:val="0"/>
              <w:spacing w:line="320" w:lineRule="exact"/>
              <w:jc w:val="center"/>
              <w:rPr>
                <w:highlight w:val="none"/>
                <w:lang w:val="zh-CN"/>
              </w:rPr>
            </w:pPr>
          </w:p>
          <w:p w14:paraId="68D71C75">
            <w:pPr>
              <w:pStyle w:val="3"/>
              <w:outlineLvl w:val="9"/>
              <w:rPr>
                <w:highlight w:val="none"/>
                <w:lang w:val="zh-CN"/>
              </w:rPr>
            </w:pPr>
          </w:p>
        </w:tc>
        <w:tc>
          <w:tcPr>
            <w:tcW w:w="2351" w:type="dxa"/>
            <w:vAlign w:val="center"/>
          </w:tcPr>
          <w:p w14:paraId="24C57436">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采购需求</w:t>
            </w:r>
          </w:p>
        </w:tc>
        <w:tc>
          <w:tcPr>
            <w:tcW w:w="6302" w:type="dxa"/>
            <w:vAlign w:val="center"/>
          </w:tcPr>
          <w:p w14:paraId="758F3C2F">
            <w:pPr>
              <w:autoSpaceDE w:val="0"/>
              <w:autoSpaceDN w:val="0"/>
              <w:adjustRightInd w:val="0"/>
              <w:spacing w:line="320" w:lineRule="exact"/>
              <w:jc w:val="left"/>
              <w:rPr>
                <w:rFonts w:ascii="宋体" w:hAnsi="宋体" w:cs="宋体"/>
                <w:szCs w:val="21"/>
                <w:highlight w:val="none"/>
              </w:rPr>
            </w:pPr>
            <w:r>
              <w:rPr>
                <w:rFonts w:hint="eastAsia" w:ascii="宋体" w:hAnsi="宋体" w:cs="宋体"/>
                <w:szCs w:val="21"/>
                <w:highlight w:val="none"/>
                <w:lang w:val="en-US" w:eastAsia="zh-CN"/>
              </w:rPr>
              <w:t>附属设施项目（</w:t>
            </w:r>
            <w:r>
              <w:rPr>
                <w:rFonts w:hint="eastAsia" w:ascii="宋体" w:hAnsi="宋体" w:cs="宋体"/>
                <w:szCs w:val="21"/>
                <w:highlight w:val="none"/>
                <w:lang w:eastAsia="zh-CN"/>
              </w:rPr>
              <w:t>工程量清单及图纸所含全部内容）</w:t>
            </w:r>
          </w:p>
        </w:tc>
      </w:tr>
      <w:tr w14:paraId="720A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Merge w:val="continue"/>
            <w:vAlign w:val="center"/>
          </w:tcPr>
          <w:p w14:paraId="4EDB2B25">
            <w:pPr>
              <w:autoSpaceDE w:val="0"/>
              <w:autoSpaceDN w:val="0"/>
              <w:adjustRightInd w:val="0"/>
              <w:spacing w:line="320" w:lineRule="exact"/>
              <w:jc w:val="center"/>
              <w:rPr>
                <w:rFonts w:ascii="宋体" w:hAnsi="宋体" w:cs="宋体"/>
                <w:bCs/>
                <w:szCs w:val="21"/>
                <w:highlight w:val="none"/>
                <w:lang w:val="zh-CN"/>
              </w:rPr>
            </w:pPr>
          </w:p>
        </w:tc>
        <w:tc>
          <w:tcPr>
            <w:tcW w:w="2351" w:type="dxa"/>
            <w:vAlign w:val="center"/>
          </w:tcPr>
          <w:p w14:paraId="7B99C24A">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eastAsia="宋体" w:cs="宋体"/>
                <w:b w:val="0"/>
                <w:bCs w:val="0"/>
                <w:color w:val="auto"/>
                <w:kern w:val="0"/>
                <w:szCs w:val="21"/>
                <w:highlight w:val="none"/>
              </w:rPr>
              <w:t>合同履行期限</w:t>
            </w:r>
          </w:p>
        </w:tc>
        <w:tc>
          <w:tcPr>
            <w:tcW w:w="6302" w:type="dxa"/>
            <w:vAlign w:val="center"/>
          </w:tcPr>
          <w:p w14:paraId="63DA6D5D">
            <w:pPr>
              <w:autoSpaceDE w:val="0"/>
              <w:autoSpaceDN w:val="0"/>
              <w:adjustRightInd w:val="0"/>
              <w:spacing w:line="320" w:lineRule="exact"/>
              <w:jc w:val="left"/>
              <w:rPr>
                <w:rFonts w:ascii="宋体" w:hAnsi="宋体" w:cs="宋体"/>
                <w:szCs w:val="21"/>
                <w:highlight w:val="none"/>
              </w:rPr>
            </w:pPr>
            <w:r>
              <w:rPr>
                <w:rFonts w:hint="eastAsia" w:ascii="宋体" w:hAnsi="宋体" w:cs="宋体"/>
                <w:szCs w:val="21"/>
                <w:highlight w:val="none"/>
                <w:lang w:val="zh-CN" w:eastAsia="zh-CN"/>
              </w:rPr>
              <w:t>自合同签订之日起一个月内</w:t>
            </w:r>
          </w:p>
        </w:tc>
      </w:tr>
      <w:tr w14:paraId="14E2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Merge w:val="continue"/>
            <w:vAlign w:val="center"/>
          </w:tcPr>
          <w:p w14:paraId="3BED79DA">
            <w:pPr>
              <w:autoSpaceDE w:val="0"/>
              <w:autoSpaceDN w:val="0"/>
              <w:adjustRightInd w:val="0"/>
              <w:spacing w:line="320" w:lineRule="exact"/>
              <w:jc w:val="center"/>
              <w:rPr>
                <w:rFonts w:ascii="宋体" w:hAnsi="宋体" w:cs="宋体"/>
                <w:bCs/>
                <w:szCs w:val="21"/>
                <w:highlight w:val="none"/>
                <w:lang w:val="zh-CN"/>
              </w:rPr>
            </w:pPr>
          </w:p>
        </w:tc>
        <w:tc>
          <w:tcPr>
            <w:tcW w:w="2351" w:type="dxa"/>
            <w:vAlign w:val="center"/>
          </w:tcPr>
          <w:p w14:paraId="096EBF6C">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资金来源及出资比例</w:t>
            </w:r>
          </w:p>
        </w:tc>
        <w:tc>
          <w:tcPr>
            <w:tcW w:w="6302" w:type="dxa"/>
            <w:vAlign w:val="center"/>
          </w:tcPr>
          <w:p w14:paraId="0132A552">
            <w:pPr>
              <w:autoSpaceDE w:val="0"/>
              <w:autoSpaceDN w:val="0"/>
              <w:adjustRightInd w:val="0"/>
              <w:spacing w:line="320" w:lineRule="exact"/>
              <w:jc w:val="left"/>
              <w:rPr>
                <w:rFonts w:hint="default" w:ascii="宋体" w:hAnsi="宋体" w:eastAsia="宋体" w:cs="宋体"/>
                <w:kern w:val="0"/>
                <w:szCs w:val="21"/>
                <w:highlight w:val="none"/>
                <w:lang w:val="en-US" w:eastAsia="zh-CN" w:bidi="ar"/>
              </w:rPr>
            </w:pPr>
            <w:r>
              <w:rPr>
                <w:rFonts w:hint="default" w:ascii="宋体" w:hAnsi="宋体" w:eastAsia="宋体" w:cs="宋体"/>
                <w:kern w:val="0"/>
                <w:szCs w:val="21"/>
                <w:highlight w:val="none"/>
                <w:lang w:val="en-US" w:eastAsia="zh-CN" w:bidi="ar"/>
              </w:rPr>
              <w:t>财政资金100%</w:t>
            </w:r>
          </w:p>
        </w:tc>
      </w:tr>
      <w:tr w14:paraId="33C1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Merge w:val="continue"/>
            <w:vAlign w:val="center"/>
          </w:tcPr>
          <w:p w14:paraId="35A03213">
            <w:pPr>
              <w:pStyle w:val="3"/>
              <w:outlineLvl w:val="9"/>
              <w:rPr>
                <w:highlight w:val="none"/>
                <w:lang w:val="zh-CN"/>
              </w:rPr>
            </w:pPr>
          </w:p>
        </w:tc>
        <w:tc>
          <w:tcPr>
            <w:tcW w:w="2351" w:type="dxa"/>
            <w:vAlign w:val="center"/>
          </w:tcPr>
          <w:p w14:paraId="77D0839F">
            <w:pPr>
              <w:autoSpaceDE w:val="0"/>
              <w:autoSpaceDN w:val="0"/>
              <w:adjustRightInd w:val="0"/>
              <w:spacing w:line="320" w:lineRule="exact"/>
              <w:jc w:val="left"/>
              <w:rPr>
                <w:rFonts w:hint="eastAsia" w:ascii="宋体" w:hAnsi="宋体" w:eastAsia="宋体" w:cs="宋体"/>
                <w:kern w:val="0"/>
                <w:szCs w:val="21"/>
                <w:highlight w:val="none"/>
                <w:lang w:val="zh-CN" w:eastAsia="zh-CN" w:bidi="ar"/>
              </w:rPr>
            </w:pPr>
            <w:r>
              <w:rPr>
                <w:rFonts w:hint="eastAsia" w:ascii="宋体" w:hAnsi="宋体" w:eastAsia="宋体" w:cs="宋体"/>
                <w:kern w:val="0"/>
                <w:szCs w:val="21"/>
                <w:highlight w:val="none"/>
                <w:lang w:eastAsia="zh-CN" w:bidi="ar"/>
              </w:rPr>
              <w:t>建设地点</w:t>
            </w:r>
          </w:p>
        </w:tc>
        <w:tc>
          <w:tcPr>
            <w:tcW w:w="6302" w:type="dxa"/>
            <w:vAlign w:val="center"/>
          </w:tcPr>
          <w:p w14:paraId="736549CA">
            <w:pPr>
              <w:autoSpaceDE w:val="0"/>
              <w:autoSpaceDN w:val="0"/>
              <w:adjustRightInd w:val="0"/>
              <w:spacing w:line="320" w:lineRule="exact"/>
              <w:jc w:val="left"/>
              <w:rPr>
                <w:rFonts w:hint="default" w:ascii="宋体" w:hAnsi="宋体" w:eastAsia="宋体" w:cs="宋体"/>
                <w:kern w:val="0"/>
                <w:szCs w:val="21"/>
                <w:highlight w:val="none"/>
                <w:lang w:val="en-US" w:eastAsia="zh-CN" w:bidi="ar"/>
              </w:rPr>
            </w:pPr>
            <w:r>
              <w:rPr>
                <w:rFonts w:hint="default" w:ascii="宋体" w:hAnsi="宋体" w:eastAsia="宋体" w:cs="宋体"/>
                <w:kern w:val="0"/>
                <w:szCs w:val="21"/>
                <w:highlight w:val="none"/>
                <w:lang w:val="en-US" w:eastAsia="zh-CN" w:bidi="ar"/>
              </w:rPr>
              <w:t>吉林省长白山保护开发区</w:t>
            </w:r>
          </w:p>
        </w:tc>
      </w:tr>
      <w:tr w14:paraId="6EC1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38" w:type="dxa"/>
            <w:vMerge w:val="continue"/>
            <w:vAlign w:val="center"/>
          </w:tcPr>
          <w:p w14:paraId="28DFD556">
            <w:pPr>
              <w:autoSpaceDE w:val="0"/>
              <w:autoSpaceDN w:val="0"/>
              <w:adjustRightInd w:val="0"/>
              <w:spacing w:line="320" w:lineRule="exact"/>
              <w:jc w:val="center"/>
              <w:rPr>
                <w:rFonts w:ascii="宋体" w:hAnsi="宋体" w:cs="宋体"/>
                <w:bCs/>
                <w:szCs w:val="21"/>
                <w:highlight w:val="none"/>
                <w:lang w:val="zh-CN"/>
              </w:rPr>
            </w:pPr>
          </w:p>
        </w:tc>
        <w:tc>
          <w:tcPr>
            <w:tcW w:w="2351" w:type="dxa"/>
            <w:vAlign w:val="center"/>
          </w:tcPr>
          <w:p w14:paraId="00C32175">
            <w:pPr>
              <w:autoSpaceDE w:val="0"/>
              <w:autoSpaceDN w:val="0"/>
              <w:adjustRightInd w:val="0"/>
              <w:spacing w:line="320" w:lineRule="exact"/>
              <w:jc w:val="left"/>
              <w:rPr>
                <w:rFonts w:hint="eastAsia" w:ascii="宋体" w:hAnsi="宋体" w:cs="宋体"/>
                <w:highlight w:val="none"/>
              </w:rPr>
            </w:pPr>
            <w:r>
              <w:rPr>
                <w:rFonts w:hint="eastAsia" w:ascii="宋体" w:hAnsi="宋体" w:cs="宋体"/>
                <w:highlight w:val="none"/>
              </w:rPr>
              <w:t>质量要求</w:t>
            </w:r>
          </w:p>
        </w:tc>
        <w:tc>
          <w:tcPr>
            <w:tcW w:w="6302" w:type="dxa"/>
            <w:vAlign w:val="center"/>
          </w:tcPr>
          <w:p w14:paraId="505EE86E">
            <w:pPr>
              <w:autoSpaceDE w:val="0"/>
              <w:autoSpaceDN w:val="0"/>
              <w:adjustRightInd w:val="0"/>
              <w:spacing w:line="320" w:lineRule="exact"/>
              <w:jc w:val="left"/>
              <w:rPr>
                <w:rFonts w:hint="eastAsia" w:ascii="宋体" w:hAnsi="宋体" w:cs="宋体"/>
                <w:highlight w:val="none"/>
              </w:rPr>
            </w:pPr>
            <w:r>
              <w:rPr>
                <w:rFonts w:hint="eastAsia" w:ascii="宋体" w:hAnsi="宋体" w:cs="宋体"/>
                <w:highlight w:val="none"/>
              </w:rPr>
              <w:t>符合国家现行工程施工质量验收规范标准的合格工程</w:t>
            </w:r>
          </w:p>
        </w:tc>
      </w:tr>
      <w:tr w14:paraId="3C6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38" w:type="dxa"/>
            <w:vMerge w:val="continue"/>
            <w:vAlign w:val="center"/>
          </w:tcPr>
          <w:p w14:paraId="35156C9A">
            <w:pPr>
              <w:autoSpaceDE w:val="0"/>
              <w:autoSpaceDN w:val="0"/>
              <w:adjustRightInd w:val="0"/>
              <w:spacing w:line="320" w:lineRule="exact"/>
              <w:jc w:val="center"/>
              <w:rPr>
                <w:rFonts w:ascii="宋体" w:hAnsi="宋体" w:cs="宋体"/>
                <w:bCs/>
                <w:szCs w:val="21"/>
                <w:highlight w:val="none"/>
                <w:lang w:val="zh-CN"/>
              </w:rPr>
            </w:pPr>
          </w:p>
        </w:tc>
        <w:tc>
          <w:tcPr>
            <w:tcW w:w="2351" w:type="dxa"/>
            <w:vAlign w:val="center"/>
          </w:tcPr>
          <w:p w14:paraId="54DEBFFE">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保修期</w:t>
            </w:r>
          </w:p>
        </w:tc>
        <w:tc>
          <w:tcPr>
            <w:tcW w:w="6302" w:type="dxa"/>
            <w:vAlign w:val="center"/>
          </w:tcPr>
          <w:p w14:paraId="672ED1B2">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按照建设工程质量管理条例执行</w:t>
            </w:r>
          </w:p>
        </w:tc>
      </w:tr>
      <w:tr w14:paraId="422A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8" w:type="dxa"/>
            <w:vAlign w:val="center"/>
          </w:tcPr>
          <w:p w14:paraId="37D73CA2">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1.5.1</w:t>
            </w:r>
          </w:p>
        </w:tc>
        <w:tc>
          <w:tcPr>
            <w:tcW w:w="2351" w:type="dxa"/>
            <w:vAlign w:val="center"/>
          </w:tcPr>
          <w:p w14:paraId="143AAFDF">
            <w:pPr>
              <w:autoSpaceDE w:val="0"/>
              <w:autoSpaceDN w:val="0"/>
              <w:adjustRightInd w:val="0"/>
              <w:spacing w:line="32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shd w:val="clear"/>
                <w:lang w:val="zh-CN"/>
              </w:rPr>
              <w:t>合格的供应商应具备以下条件</w:t>
            </w:r>
          </w:p>
        </w:tc>
        <w:tc>
          <w:tcPr>
            <w:tcW w:w="6302" w:type="dxa"/>
          </w:tcPr>
          <w:p w14:paraId="33AFD749">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1.满足《中华人民共和国政府采购法》第二十二条规定；</w:t>
            </w:r>
          </w:p>
          <w:p w14:paraId="614FBA42">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(1)具有独立承担民事责任的能力；</w:t>
            </w:r>
          </w:p>
          <w:p w14:paraId="30DDA778">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(2)具有良好的商业信誉和健全的财务会计制度；</w:t>
            </w:r>
          </w:p>
          <w:p w14:paraId="139D4524">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(3)具有履行合同所必需的设备和专业技术能力；</w:t>
            </w:r>
          </w:p>
          <w:p w14:paraId="4E535BE7">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(4)有依法缴纳税收和社会保障资金的良好记录；</w:t>
            </w:r>
          </w:p>
          <w:p w14:paraId="021C2AD4">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(5)参加政府采购活动前三年内，在经营活动中没有重大违法记录；</w:t>
            </w:r>
          </w:p>
          <w:p w14:paraId="1CE5C165">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(6)法律、行政法规规定的其他条件。</w:t>
            </w:r>
          </w:p>
          <w:p w14:paraId="326D1BFB">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2.落实政府采购政策需满足的资格要求：本项目专门面向中小企业。</w:t>
            </w:r>
          </w:p>
          <w:p w14:paraId="4142F883">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国家最新政策。专门面向中小企业采购的项目或者采购包，不再执行价格评审优惠的扶持政策。</w:t>
            </w:r>
          </w:p>
          <w:p w14:paraId="7710A8FB">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3.本项目的特定资格要求：</w:t>
            </w:r>
          </w:p>
          <w:p w14:paraId="30449F3E">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3.1申请人须具备独立承担民事行为能力的法人或其他组织，具备有效的营业执照；</w:t>
            </w:r>
          </w:p>
          <w:p w14:paraId="0618C1CF">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3.2申请人须具备建设行政主管部门核发的建筑工程施工总承包叁级及以上资质，具备有效的安全生产许可证；</w:t>
            </w:r>
          </w:p>
          <w:p w14:paraId="1220BA42">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注：①根据《吉林省住房和城乡建设厅关于建筑业企业资质延续有关事宜的通知》（吉建管[2023]23号)文件要求，吉林省建筑业企业总承包叁级、专业承包叁级资质，自2024年7月1日起，原资质许可机关不再受理资质换证申请，相应证书逾期自动作废。②其他省（市）核发的资质涉及有效期延续、换证问题的，按照当地建设行政主管部门文件执行。响应文件内须提供当地住房和城乡建设部门官方网站发布的有关有效期延期、换证的文件截图及网址，否则不予认定。</w:t>
            </w:r>
          </w:p>
          <w:p w14:paraId="29D54CED">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3.3供应商拟派项目经理须具备建筑工程专业二级及以上注册建造师资格，具备有效的安全生产考核合格证（B类），须为本单位在职职工，且无在建工程；</w:t>
            </w:r>
          </w:p>
          <w:p w14:paraId="448AE221">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3.4提供2024年度经会计师事务所或审计机构审计的财务审计报告及2025年1月1日至今财务状况良好的承诺。（2024年12月31日以后新成立的公司无财务审计报告的，仅需提供一份财务状况良好承诺）；</w:t>
            </w:r>
          </w:p>
          <w:p w14:paraId="316960A2">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3.5提供近半年内（递交响应文件截止时间前）任意一个月依法缴纳税收和社会保障资金良好记录的证明文件，依法免税的提供相关证明材料；</w:t>
            </w:r>
          </w:p>
          <w:p w14:paraId="61480C24">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3.6信誉要求：</w:t>
            </w:r>
          </w:p>
          <w:p w14:paraId="4F52EFBF">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①拒绝列入政府取消投标资格记录期间的企业或个人投标；</w:t>
            </w:r>
          </w:p>
          <w:p w14:paraId="1B80C5FB">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②未被“中国政府采购网”列入政府采购严重违法失信行为记录名单；</w:t>
            </w:r>
          </w:p>
          <w:p w14:paraId="4B500C9E">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③未被“信用中国”网站中列入失信被执行人或重大税收违法失信主体或政府采购严重违法失信行为记录名单；</w:t>
            </w:r>
          </w:p>
          <w:p w14:paraId="7BE729D2">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④近三年(2022年至今）投标人或其法定代表人、拟委任的项目经理未在“中国裁判文书网”上有行贿犯罪行为；</w:t>
            </w:r>
          </w:p>
          <w:p w14:paraId="73753507">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⑤参加政府采购活动前三年内，在经营活动中没有重大违法记录（重大违法记录是指供应商因违法经营受到刑事处罚或者责令停产停业、吊销许可证或者执照、较大数额罚款等行政处罚）；</w:t>
            </w:r>
          </w:p>
          <w:p w14:paraId="08980500">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3.7本项目不允许分包。</w:t>
            </w:r>
          </w:p>
          <w:p w14:paraId="003DCFA5">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3.8其他要求</w:t>
            </w:r>
          </w:p>
          <w:p w14:paraId="25472DF9">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①单位负责人为同一人或者存在直接控股、管理关系的不同供应商，不得参加同一合同项下的政府采购活动。违反上述规定的，相关投标无效。</w:t>
            </w:r>
          </w:p>
          <w:p w14:paraId="72E36193">
            <w:pPr>
              <w:keepNext w:val="0"/>
              <w:keepLines w:val="0"/>
              <w:pageBreakBefore w:val="0"/>
              <w:widowControl/>
              <w:kinsoku/>
              <w:wordWrap/>
              <w:overflowPunct/>
              <w:topLinePunct w:val="0"/>
              <w:bidi w:val="0"/>
              <w:spacing w:line="360" w:lineRule="auto"/>
              <w:jc w:val="left"/>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②除单一来源采购项目外，为采购项目提供整体设计、规范编制或者项目管理、监理、检测等服务的供应商，不得再参加该采购项目的其他采购活动。</w:t>
            </w:r>
          </w:p>
        </w:tc>
      </w:tr>
      <w:tr w14:paraId="70CD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5036ADC">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1.5.2</w:t>
            </w:r>
          </w:p>
        </w:tc>
        <w:tc>
          <w:tcPr>
            <w:tcW w:w="2351" w:type="dxa"/>
            <w:vAlign w:val="center"/>
          </w:tcPr>
          <w:p w14:paraId="6F09C7F7">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rPr>
              <w:t>本项目是否专门面向中小企业或小型、微型企业采购</w:t>
            </w:r>
          </w:p>
        </w:tc>
        <w:tc>
          <w:tcPr>
            <w:tcW w:w="6302" w:type="dxa"/>
            <w:vAlign w:val="center"/>
          </w:tcPr>
          <w:p w14:paraId="5D8C1C29">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sym w:font="Wingdings 2" w:char="00A3"/>
            </w:r>
            <w:r>
              <w:rPr>
                <w:rFonts w:hint="eastAsia" w:ascii="宋体" w:hAnsi="宋体" w:cs="宋体"/>
                <w:bCs/>
                <w:szCs w:val="21"/>
                <w:highlight w:val="none"/>
                <w:lang w:val="zh-CN"/>
              </w:rPr>
              <w:t>否</w:t>
            </w:r>
          </w:p>
          <w:p w14:paraId="59914E1B">
            <w:pPr>
              <w:spacing w:line="320" w:lineRule="exact"/>
              <w:jc w:val="left"/>
              <w:rPr>
                <w:rFonts w:ascii="宋体" w:hAnsi="宋体" w:cs="宋体"/>
                <w:szCs w:val="21"/>
                <w:highlight w:val="none"/>
                <w:shd w:val="clear" w:color="auto" w:fill="FFFFFF"/>
              </w:rPr>
            </w:pPr>
            <w:r>
              <w:rPr>
                <w:rFonts w:hint="eastAsia" w:ascii="宋体" w:hAnsi="宋体" w:cs="宋体"/>
                <w:bCs/>
                <w:szCs w:val="21"/>
                <w:highlight w:val="none"/>
                <w:lang w:val="zh-CN"/>
              </w:rPr>
              <w:sym w:font="Wingdings 2" w:char="0052"/>
            </w:r>
            <w:r>
              <w:rPr>
                <w:rFonts w:hint="eastAsia" w:ascii="宋体" w:hAnsi="宋体" w:cs="宋体"/>
                <w:bCs/>
                <w:szCs w:val="21"/>
                <w:highlight w:val="none"/>
                <w:lang w:val="zh-CN"/>
              </w:rPr>
              <w:t>是</w:t>
            </w:r>
          </w:p>
        </w:tc>
      </w:tr>
      <w:tr w14:paraId="2B40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6B0C931">
            <w:pPr>
              <w:autoSpaceDE w:val="0"/>
              <w:autoSpaceDN w:val="0"/>
              <w:adjustRightInd w:val="0"/>
              <w:spacing w:line="320" w:lineRule="exact"/>
              <w:jc w:val="center"/>
              <w:rPr>
                <w:rFonts w:hint="eastAsia" w:ascii="宋体" w:hAnsi="宋体" w:eastAsia="宋体" w:cs="宋体"/>
                <w:bCs/>
                <w:szCs w:val="21"/>
                <w:highlight w:val="none"/>
                <w:lang w:val="zh-CN" w:eastAsia="zh-CN"/>
              </w:rPr>
            </w:pPr>
            <w:r>
              <w:rPr>
                <w:rFonts w:hint="eastAsia" w:ascii="宋体" w:hAnsi="宋体" w:eastAsia="宋体" w:cs="宋体"/>
                <w:bCs/>
                <w:color w:val="auto"/>
                <w:szCs w:val="21"/>
                <w:lang w:val="zh-CN"/>
              </w:rPr>
              <w:t>1.5.6</w:t>
            </w:r>
          </w:p>
        </w:tc>
        <w:tc>
          <w:tcPr>
            <w:tcW w:w="2351" w:type="dxa"/>
            <w:vAlign w:val="center"/>
          </w:tcPr>
          <w:p w14:paraId="1E359A44">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是否接受联合体投标</w:t>
            </w:r>
          </w:p>
        </w:tc>
        <w:tc>
          <w:tcPr>
            <w:tcW w:w="6302" w:type="dxa"/>
            <w:vAlign w:val="center"/>
          </w:tcPr>
          <w:p w14:paraId="60F09666">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sym w:font="Wingdings 2" w:char="0052"/>
            </w:r>
            <w:r>
              <w:rPr>
                <w:rFonts w:hint="eastAsia" w:ascii="宋体" w:hAnsi="宋体" w:cs="宋体"/>
                <w:bCs/>
                <w:szCs w:val="21"/>
                <w:highlight w:val="none"/>
                <w:lang w:val="zh-CN"/>
              </w:rPr>
              <w:t>不接受</w:t>
            </w:r>
          </w:p>
          <w:p w14:paraId="3F50C50A">
            <w:pPr>
              <w:widowControl/>
              <w:adjustRightInd w:val="0"/>
              <w:spacing w:line="320" w:lineRule="exact"/>
              <w:jc w:val="left"/>
              <w:rPr>
                <w:rFonts w:ascii="宋体" w:hAnsi="宋体" w:cs="宋体"/>
                <w:kern w:val="0"/>
                <w:szCs w:val="21"/>
                <w:highlight w:val="none"/>
              </w:rPr>
            </w:pPr>
            <w:r>
              <w:rPr>
                <w:rFonts w:hint="eastAsia" w:ascii="宋体" w:hAnsi="宋体" w:cs="宋体"/>
                <w:bCs/>
                <w:szCs w:val="21"/>
                <w:highlight w:val="none"/>
                <w:lang w:val="zh-CN"/>
              </w:rPr>
              <w:t>□接受</w:t>
            </w:r>
          </w:p>
        </w:tc>
      </w:tr>
      <w:tr w14:paraId="4890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2E201AC8">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1.6</w:t>
            </w:r>
          </w:p>
        </w:tc>
        <w:tc>
          <w:tcPr>
            <w:tcW w:w="2351" w:type="dxa"/>
            <w:vAlign w:val="center"/>
          </w:tcPr>
          <w:p w14:paraId="4443F265">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分包</w:t>
            </w:r>
          </w:p>
        </w:tc>
        <w:tc>
          <w:tcPr>
            <w:tcW w:w="6302" w:type="dxa"/>
            <w:vAlign w:val="center"/>
          </w:tcPr>
          <w:p w14:paraId="5BA58FBD">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sym w:font="Wingdings 2" w:char="0052"/>
            </w:r>
            <w:r>
              <w:rPr>
                <w:rFonts w:hint="eastAsia" w:ascii="宋体" w:hAnsi="宋体" w:cs="宋体"/>
                <w:bCs/>
                <w:szCs w:val="21"/>
                <w:highlight w:val="none"/>
                <w:lang w:val="zh-CN"/>
              </w:rPr>
              <w:t>不允许</w:t>
            </w:r>
          </w:p>
          <w:p w14:paraId="33A9AE58">
            <w:pPr>
              <w:widowControl/>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□允许</w:t>
            </w:r>
          </w:p>
        </w:tc>
      </w:tr>
      <w:tr w14:paraId="47C3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775D556F">
            <w:pPr>
              <w:autoSpaceDE w:val="0"/>
              <w:autoSpaceDN w:val="0"/>
              <w:adjustRightInd w:val="0"/>
              <w:spacing w:line="320" w:lineRule="exact"/>
              <w:jc w:val="center"/>
              <w:rPr>
                <w:rFonts w:ascii="宋体" w:hAnsi="宋体" w:cs="宋体"/>
                <w:bCs/>
                <w:szCs w:val="21"/>
                <w:highlight w:val="none"/>
              </w:rPr>
            </w:pPr>
            <w:r>
              <w:rPr>
                <w:rFonts w:hint="eastAsia" w:ascii="宋体" w:hAnsi="宋体" w:cs="宋体"/>
                <w:bCs/>
                <w:szCs w:val="21"/>
                <w:highlight w:val="none"/>
              </w:rPr>
              <w:t>1.10.1</w:t>
            </w:r>
          </w:p>
        </w:tc>
        <w:tc>
          <w:tcPr>
            <w:tcW w:w="2351" w:type="dxa"/>
            <w:vAlign w:val="center"/>
          </w:tcPr>
          <w:p w14:paraId="37939AB8">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现场踏勘</w:t>
            </w:r>
          </w:p>
        </w:tc>
        <w:tc>
          <w:tcPr>
            <w:tcW w:w="6302" w:type="dxa"/>
            <w:vAlign w:val="center"/>
          </w:tcPr>
          <w:p w14:paraId="73922088">
            <w:pPr>
              <w:widowControl/>
              <w:adjustRightInd w:val="0"/>
              <w:spacing w:line="320" w:lineRule="exact"/>
              <w:jc w:val="left"/>
              <w:rPr>
                <w:rFonts w:hint="default" w:ascii="宋体" w:hAnsi="宋体" w:eastAsia="宋体" w:cs="宋体"/>
                <w:bCs/>
                <w:szCs w:val="21"/>
                <w:highlight w:val="none"/>
                <w:lang w:val="en-US" w:eastAsia="zh-CN"/>
              </w:rPr>
            </w:pPr>
            <w:r>
              <w:rPr>
                <w:rFonts w:hint="eastAsia" w:ascii="宋体" w:hAnsi="宋体" w:cs="宋体"/>
                <w:bCs/>
                <w:szCs w:val="21"/>
                <w:highlight w:val="none"/>
                <w:lang w:val="zh-CN"/>
              </w:rPr>
              <w:sym w:font="Wingdings 2" w:char="0052"/>
            </w:r>
            <w:r>
              <w:rPr>
                <w:rFonts w:hint="eastAsia" w:ascii="宋体" w:hAnsi="宋体" w:cs="宋体"/>
                <w:bCs/>
                <w:szCs w:val="21"/>
                <w:highlight w:val="none"/>
                <w:lang w:val="zh-CN"/>
              </w:rPr>
              <w:t>不组织，</w:t>
            </w:r>
            <w:r>
              <w:rPr>
                <w:rFonts w:hint="eastAsia" w:ascii="宋体" w:hAnsi="宋体" w:cs="宋体"/>
                <w:bCs/>
                <w:szCs w:val="21"/>
                <w:highlight w:val="none"/>
                <w:lang w:val="en-US" w:eastAsia="zh-CN"/>
              </w:rPr>
              <w:t>供应商可自行踏勘。</w:t>
            </w:r>
          </w:p>
          <w:p w14:paraId="7FA77305">
            <w:pPr>
              <w:widowControl/>
              <w:adjustRightInd w:val="0"/>
              <w:spacing w:line="320" w:lineRule="exact"/>
              <w:jc w:val="left"/>
              <w:rPr>
                <w:rFonts w:ascii="宋体" w:hAnsi="宋体" w:cs="宋体"/>
                <w:bCs/>
                <w:szCs w:val="21"/>
                <w:highlight w:val="none"/>
              </w:rPr>
            </w:pPr>
            <w:r>
              <w:rPr>
                <w:rFonts w:hint="eastAsia" w:ascii="宋体" w:hAnsi="宋体" w:cs="宋体"/>
                <w:bCs/>
                <w:szCs w:val="21"/>
                <w:highlight w:val="none"/>
                <w:lang w:val="zh-CN"/>
              </w:rPr>
              <w:sym w:font="Wingdings 2" w:char="00A3"/>
            </w:r>
            <w:r>
              <w:rPr>
                <w:rFonts w:hint="eastAsia" w:ascii="宋体" w:hAnsi="宋体" w:cs="宋体"/>
                <w:bCs/>
                <w:szCs w:val="21"/>
                <w:highlight w:val="none"/>
                <w:lang w:val="zh-CN"/>
              </w:rPr>
              <w:t>组  织</w:t>
            </w:r>
          </w:p>
        </w:tc>
      </w:tr>
      <w:tr w14:paraId="56D0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1D07687">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2.1</w:t>
            </w:r>
          </w:p>
        </w:tc>
        <w:tc>
          <w:tcPr>
            <w:tcW w:w="2351" w:type="dxa"/>
            <w:vAlign w:val="center"/>
          </w:tcPr>
          <w:p w14:paraId="712DB7A4">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构成竞争性磋商文件的其他材料</w:t>
            </w:r>
          </w:p>
        </w:tc>
        <w:tc>
          <w:tcPr>
            <w:tcW w:w="6302" w:type="dxa"/>
            <w:vAlign w:val="center"/>
          </w:tcPr>
          <w:p w14:paraId="29856BFD">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kern w:val="0"/>
                <w:szCs w:val="21"/>
                <w:highlight w:val="none"/>
              </w:rPr>
              <w:t>竞争性磋商文件的澄清、修改、补充文件等</w:t>
            </w:r>
          </w:p>
        </w:tc>
      </w:tr>
      <w:tr w14:paraId="207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A55DDDF">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2.3.2</w:t>
            </w:r>
          </w:p>
        </w:tc>
        <w:tc>
          <w:tcPr>
            <w:tcW w:w="2351" w:type="dxa"/>
            <w:vAlign w:val="center"/>
          </w:tcPr>
          <w:p w14:paraId="30BEBAFA">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供应商提出问题的截止时间</w:t>
            </w:r>
          </w:p>
        </w:tc>
        <w:tc>
          <w:tcPr>
            <w:tcW w:w="6302" w:type="dxa"/>
            <w:vAlign w:val="center"/>
          </w:tcPr>
          <w:p w14:paraId="7781110F">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时  间：供应商如对竞争性磋商文件不清楚或有异议需要澄清，请在</w:t>
            </w:r>
            <w:bookmarkStart w:id="40" w:name="OLE_LINK1"/>
            <w:r>
              <w:rPr>
                <w:rFonts w:hint="eastAsia" w:ascii="宋体" w:hAnsi="宋体" w:eastAsia="宋体" w:cs="宋体"/>
                <w:bCs/>
                <w:color w:val="auto"/>
                <w:szCs w:val="21"/>
                <w:highlight w:val="none"/>
                <w:lang w:val="zh-CN"/>
              </w:rPr>
              <w:t>磋商截止日期</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zh-CN"/>
              </w:rPr>
              <w:t>日前</w:t>
            </w:r>
            <w:bookmarkEnd w:id="40"/>
            <w:r>
              <w:rPr>
                <w:rFonts w:hint="eastAsia" w:ascii="宋体" w:hAnsi="宋体" w:eastAsia="宋体" w:cs="宋体"/>
                <w:bCs/>
                <w:color w:val="auto"/>
                <w:szCs w:val="21"/>
                <w:highlight w:val="none"/>
                <w:lang w:val="zh-CN"/>
              </w:rPr>
              <w:t>将问题提交给采购代理机构。</w:t>
            </w:r>
          </w:p>
          <w:p w14:paraId="6A705460">
            <w:pPr>
              <w:autoSpaceDE w:val="0"/>
              <w:autoSpaceDN w:val="0"/>
              <w:adjustRightInd w:val="0"/>
              <w:spacing w:line="320" w:lineRule="exact"/>
              <w:jc w:val="left"/>
              <w:rPr>
                <w:rFonts w:hint="eastAsia" w:ascii="宋体" w:hAnsi="宋体" w:eastAsia="宋体" w:cs="宋体"/>
                <w:bCs/>
                <w:szCs w:val="21"/>
                <w:highlight w:val="none"/>
                <w:lang w:val="zh-CN" w:eastAsia="zh-CN"/>
              </w:rPr>
            </w:pPr>
            <w:r>
              <w:rPr>
                <w:rFonts w:hint="eastAsia" w:ascii="宋体" w:hAnsi="宋体" w:eastAsia="宋体" w:cs="宋体"/>
                <w:bCs/>
                <w:color w:val="auto"/>
                <w:szCs w:val="21"/>
                <w:highlight w:val="none"/>
                <w:lang w:val="zh-CN" w:eastAsia="zh-CN"/>
              </w:rPr>
              <w:t>形式：网上提交，在“政采云”平台（https://www.zcygov.cn/）上提交</w:t>
            </w:r>
          </w:p>
        </w:tc>
      </w:tr>
      <w:tr w14:paraId="577E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27ED2701">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2.3.3</w:t>
            </w:r>
          </w:p>
        </w:tc>
        <w:tc>
          <w:tcPr>
            <w:tcW w:w="2351" w:type="dxa"/>
            <w:vAlign w:val="center"/>
          </w:tcPr>
          <w:p w14:paraId="0AAE9C9F">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采购人发出澄清文件的时间</w:t>
            </w:r>
          </w:p>
        </w:tc>
        <w:tc>
          <w:tcPr>
            <w:tcW w:w="6302" w:type="dxa"/>
            <w:vAlign w:val="center"/>
          </w:tcPr>
          <w:p w14:paraId="423A1D9B">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szCs w:val="21"/>
                <w:highlight w:val="none"/>
              </w:rPr>
              <w:t>磋商截止时间5日前</w:t>
            </w:r>
          </w:p>
        </w:tc>
      </w:tr>
      <w:tr w14:paraId="52B8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224F1433">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2.3.4</w:t>
            </w:r>
          </w:p>
        </w:tc>
        <w:tc>
          <w:tcPr>
            <w:tcW w:w="2351" w:type="dxa"/>
            <w:vAlign w:val="center"/>
          </w:tcPr>
          <w:p w14:paraId="1FF214AF">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供应商确认收到竞争性磋商文件澄清的时间</w:t>
            </w:r>
          </w:p>
        </w:tc>
        <w:tc>
          <w:tcPr>
            <w:tcW w:w="6302" w:type="dxa"/>
            <w:vAlign w:val="center"/>
          </w:tcPr>
          <w:p w14:paraId="4F11425A">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eastAsia="宋体" w:cs="宋体"/>
                <w:bCs/>
                <w:color w:val="auto"/>
                <w:szCs w:val="21"/>
                <w:highlight w:val="none"/>
                <w:lang w:val="zh-CN"/>
              </w:rPr>
              <w:t>请潜在供应商在参与本项目活动期间关注网站信息，所有有投标意愿的供应商有义务在网上自行查询，无需书面回复。</w:t>
            </w:r>
          </w:p>
        </w:tc>
      </w:tr>
      <w:tr w14:paraId="52BE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7859794E">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2.4.1</w:t>
            </w:r>
          </w:p>
        </w:tc>
        <w:tc>
          <w:tcPr>
            <w:tcW w:w="2351" w:type="dxa"/>
            <w:vAlign w:val="center"/>
          </w:tcPr>
          <w:p w14:paraId="25D3B96E">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采购人发出修改文件的时间</w:t>
            </w:r>
          </w:p>
        </w:tc>
        <w:tc>
          <w:tcPr>
            <w:tcW w:w="6302" w:type="dxa"/>
            <w:vAlign w:val="center"/>
          </w:tcPr>
          <w:p w14:paraId="0F6D2F53">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szCs w:val="21"/>
                <w:highlight w:val="none"/>
              </w:rPr>
              <w:t>磋商截止时间5日前</w:t>
            </w:r>
          </w:p>
        </w:tc>
      </w:tr>
      <w:tr w14:paraId="2A26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47C69B59">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2.4.2</w:t>
            </w:r>
          </w:p>
        </w:tc>
        <w:tc>
          <w:tcPr>
            <w:tcW w:w="2351" w:type="dxa"/>
            <w:vAlign w:val="center"/>
          </w:tcPr>
          <w:p w14:paraId="7022F629">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供应商确认收到竞争性磋商文件修改的时间</w:t>
            </w:r>
          </w:p>
        </w:tc>
        <w:tc>
          <w:tcPr>
            <w:tcW w:w="6302" w:type="dxa"/>
            <w:vAlign w:val="center"/>
          </w:tcPr>
          <w:p w14:paraId="6FC6F455">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eastAsia="宋体" w:cs="宋体"/>
                <w:bCs/>
                <w:color w:val="auto"/>
                <w:szCs w:val="21"/>
                <w:lang w:val="zh-CN"/>
              </w:rPr>
              <w:t>请潜在供应商在参与本项目活动期间关注网站信息，所有有投标意愿的供应商有义务在网上自行查询，无需书面回复。</w:t>
            </w:r>
          </w:p>
        </w:tc>
      </w:tr>
      <w:tr w14:paraId="6E0C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vAlign w:val="center"/>
          </w:tcPr>
          <w:p w14:paraId="40844E01">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2.5</w:t>
            </w:r>
          </w:p>
        </w:tc>
        <w:tc>
          <w:tcPr>
            <w:tcW w:w="2351" w:type="dxa"/>
            <w:vAlign w:val="center"/>
          </w:tcPr>
          <w:p w14:paraId="5E33A2CB">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rPr>
              <w:t>接收质疑函的方式和联系方式</w:t>
            </w:r>
          </w:p>
        </w:tc>
        <w:tc>
          <w:tcPr>
            <w:tcW w:w="6302" w:type="dxa"/>
            <w:vAlign w:val="center"/>
          </w:tcPr>
          <w:p w14:paraId="68C039C0">
            <w:pPr>
              <w:autoSpaceDE w:val="0"/>
              <w:autoSpaceDN w:val="0"/>
              <w:adjustRightInd w:val="0"/>
              <w:spacing w:line="320" w:lineRule="exact"/>
              <w:jc w:val="left"/>
              <w:rPr>
                <w:rFonts w:ascii="宋体" w:hAnsi="宋体" w:cs="宋体"/>
                <w:bCs/>
                <w:szCs w:val="21"/>
                <w:highlight w:val="none"/>
              </w:rPr>
            </w:pPr>
            <w:r>
              <w:rPr>
                <w:rFonts w:hint="eastAsia" w:ascii="宋体" w:hAnsi="宋体" w:cs="宋体"/>
                <w:szCs w:val="21"/>
                <w:highlight w:val="none"/>
              </w:rPr>
              <w:t>供应商认为采购文件、采购过程和中标、成交结果使自己的权益受到损害的，可以在知道或者应知其权益受到损害之日起七个工作日内，在法定质疑期内以书面形式向采购代理机构一次性提出针对同一采购程序环节的质疑，</w:t>
            </w:r>
            <w:r>
              <w:rPr>
                <w:rFonts w:hint="eastAsia" w:ascii="宋体" w:hAnsi="宋体" w:cs="宋体"/>
                <w:kern w:val="0"/>
                <w:szCs w:val="21"/>
                <w:highlight w:val="none"/>
              </w:rPr>
              <w:t>质疑</w:t>
            </w:r>
            <w:r>
              <w:rPr>
                <w:rFonts w:hint="eastAsia" w:ascii="宋体" w:hAnsi="宋体" w:cs="宋体"/>
                <w:bCs/>
                <w:szCs w:val="21"/>
                <w:highlight w:val="none"/>
              </w:rPr>
              <w:t>以书面形式送达（仅接收派人送达原件</w:t>
            </w:r>
            <w:r>
              <w:rPr>
                <w:rFonts w:hint="eastAsia" w:ascii="宋体" w:hAnsi="宋体" w:cs="宋体"/>
                <w:bCs/>
                <w:szCs w:val="21"/>
                <w:highlight w:val="none"/>
                <w:lang w:val="en-US" w:eastAsia="zh-CN"/>
              </w:rPr>
              <w:t>或电子邮箱</w:t>
            </w:r>
            <w:r>
              <w:rPr>
                <w:rFonts w:hint="eastAsia" w:ascii="宋体" w:hAnsi="宋体" w:cs="宋体"/>
                <w:bCs/>
                <w:szCs w:val="21"/>
                <w:highlight w:val="none"/>
              </w:rPr>
              <w:t>送达质疑函两种方式），质疑函的格式和内容应当符合《政府采购质疑和投诉办法》（财政部令第94号）的要求。</w:t>
            </w:r>
          </w:p>
          <w:p w14:paraId="01A73919">
            <w:pPr>
              <w:autoSpaceDE w:val="0"/>
              <w:autoSpaceDN w:val="0"/>
              <w:adjustRightInd w:val="0"/>
              <w:spacing w:line="320" w:lineRule="exact"/>
              <w:jc w:val="left"/>
              <w:rPr>
                <w:rFonts w:ascii="宋体" w:hAnsi="宋体" w:cs="宋体"/>
                <w:bCs/>
                <w:szCs w:val="21"/>
                <w:highlight w:val="none"/>
              </w:rPr>
            </w:pPr>
            <w:r>
              <w:rPr>
                <w:rFonts w:hint="eastAsia" w:ascii="宋体" w:hAnsi="宋体" w:cs="宋体"/>
                <w:bCs/>
                <w:szCs w:val="21"/>
                <w:highlight w:val="none"/>
              </w:rPr>
              <w:t>联系部门：招标部</w:t>
            </w:r>
          </w:p>
          <w:p w14:paraId="29CDA8D8">
            <w:pPr>
              <w:autoSpaceDE w:val="0"/>
              <w:autoSpaceDN w:val="0"/>
              <w:adjustRightInd w:val="0"/>
              <w:spacing w:line="320" w:lineRule="exact"/>
              <w:jc w:val="left"/>
              <w:rPr>
                <w:rFonts w:hint="eastAsia" w:ascii="宋体" w:hAnsi="宋体" w:eastAsia="宋体" w:cs="宋体"/>
                <w:bCs/>
                <w:szCs w:val="21"/>
                <w:highlight w:val="none"/>
                <w:lang w:eastAsia="zh-CN"/>
              </w:rPr>
            </w:pPr>
            <w:r>
              <w:rPr>
                <w:rFonts w:hint="eastAsia" w:ascii="宋体" w:hAnsi="宋体" w:cs="宋体"/>
                <w:bCs/>
                <w:szCs w:val="21"/>
                <w:highlight w:val="none"/>
              </w:rPr>
              <w:t>联系人：</w:t>
            </w:r>
            <w:r>
              <w:rPr>
                <w:rFonts w:hint="eastAsia" w:ascii="宋体" w:hAnsi="宋体" w:cs="宋体"/>
                <w:bCs/>
                <w:szCs w:val="21"/>
                <w:highlight w:val="none"/>
                <w:lang w:val="zh-CN" w:eastAsia="zh-CN"/>
              </w:rPr>
              <w:t>李红丽</w:t>
            </w:r>
          </w:p>
          <w:p w14:paraId="084D0458">
            <w:pPr>
              <w:autoSpaceDE w:val="0"/>
              <w:autoSpaceDN w:val="0"/>
              <w:adjustRightInd w:val="0"/>
              <w:spacing w:line="320" w:lineRule="exact"/>
              <w:jc w:val="left"/>
              <w:rPr>
                <w:rFonts w:hint="eastAsia" w:ascii="宋体" w:hAnsi="宋体" w:cs="宋体"/>
                <w:bCs/>
                <w:szCs w:val="21"/>
                <w:highlight w:val="none"/>
                <w:lang w:val="zh-CN" w:eastAsia="zh-CN"/>
              </w:rPr>
            </w:pPr>
            <w:r>
              <w:rPr>
                <w:rFonts w:hint="eastAsia" w:ascii="宋体" w:hAnsi="宋体" w:cs="宋体"/>
                <w:bCs/>
                <w:szCs w:val="21"/>
                <w:highlight w:val="none"/>
              </w:rPr>
              <w:t>联系电话：</w:t>
            </w:r>
            <w:r>
              <w:rPr>
                <w:rFonts w:hint="eastAsia" w:ascii="宋体" w:hAnsi="宋体" w:cs="宋体"/>
                <w:bCs/>
                <w:szCs w:val="21"/>
                <w:highlight w:val="none"/>
                <w:lang w:val="zh-CN" w:eastAsia="zh-CN"/>
              </w:rPr>
              <w:t>0431-80603668</w:t>
            </w:r>
          </w:p>
          <w:p w14:paraId="3C4155E3">
            <w:pPr>
              <w:autoSpaceDE w:val="0"/>
              <w:autoSpaceDN w:val="0"/>
              <w:adjustRightInd w:val="0"/>
              <w:spacing w:line="320" w:lineRule="exact"/>
              <w:jc w:val="left"/>
              <w:rPr>
                <w:rFonts w:ascii="宋体" w:hAnsi="宋体" w:cs="宋体"/>
                <w:bCs/>
                <w:szCs w:val="21"/>
                <w:highlight w:val="none"/>
              </w:rPr>
            </w:pPr>
            <w:r>
              <w:rPr>
                <w:rFonts w:hint="eastAsia" w:ascii="宋体" w:hAnsi="宋体" w:cs="宋体"/>
                <w:bCs/>
                <w:szCs w:val="21"/>
                <w:highlight w:val="none"/>
                <w:lang w:val="zh-CN" w:eastAsia="zh-CN"/>
              </w:rPr>
              <w:t>电子邮箱：</w:t>
            </w:r>
            <w:r>
              <w:rPr>
                <w:rFonts w:hint="eastAsia" w:ascii="宋体" w:hAnsi="宋体" w:cs="宋体"/>
                <w:bCs/>
                <w:szCs w:val="21"/>
                <w:highlight w:val="none"/>
                <w:lang w:val="en-US" w:eastAsia="zh-CN"/>
              </w:rPr>
              <w:t>hckj1117@163.com</w:t>
            </w:r>
          </w:p>
        </w:tc>
      </w:tr>
      <w:tr w14:paraId="10FF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55505D2">
            <w:pPr>
              <w:autoSpaceDE w:val="0"/>
              <w:autoSpaceDN w:val="0"/>
              <w:adjustRightInd w:val="0"/>
              <w:spacing w:line="320" w:lineRule="exact"/>
              <w:jc w:val="center"/>
              <w:rPr>
                <w:rFonts w:ascii="宋体" w:hAnsi="宋体" w:cs="宋体"/>
                <w:bCs/>
                <w:szCs w:val="21"/>
                <w:highlight w:val="none"/>
              </w:rPr>
            </w:pPr>
            <w:r>
              <w:rPr>
                <w:rFonts w:hint="eastAsia" w:ascii="宋体" w:hAnsi="宋体" w:eastAsia="宋体" w:cs="宋体"/>
                <w:bCs/>
                <w:color w:val="auto"/>
                <w:szCs w:val="21"/>
                <w:lang w:val="en-US" w:eastAsia="zh-CN"/>
              </w:rPr>
              <w:t>3.2</w:t>
            </w:r>
          </w:p>
        </w:tc>
        <w:tc>
          <w:tcPr>
            <w:tcW w:w="2351" w:type="dxa"/>
            <w:vAlign w:val="center"/>
          </w:tcPr>
          <w:p w14:paraId="133B35B6">
            <w:pPr>
              <w:rPr>
                <w:rFonts w:ascii="宋体" w:hAnsi="宋体" w:cs="宋体"/>
                <w:bCs/>
                <w:szCs w:val="21"/>
                <w:highlight w:val="none"/>
                <w:lang w:val="zh-CN"/>
              </w:rPr>
            </w:pPr>
            <w:r>
              <w:rPr>
                <w:rFonts w:hint="eastAsia" w:ascii="宋体" w:hAnsi="宋体" w:cs="宋体"/>
                <w:highlight w:val="none"/>
              </w:rPr>
              <w:t>投标报价</w:t>
            </w:r>
          </w:p>
        </w:tc>
        <w:tc>
          <w:tcPr>
            <w:tcW w:w="6302" w:type="dxa"/>
            <w:vAlign w:val="center"/>
          </w:tcPr>
          <w:p w14:paraId="4B4B5A56">
            <w:pPr>
              <w:autoSpaceDE w:val="0"/>
              <w:autoSpaceDN w:val="0"/>
              <w:adjustRightInd w:val="0"/>
              <w:spacing w:line="320" w:lineRule="exact"/>
              <w:jc w:val="left"/>
              <w:rPr>
                <w:rFonts w:ascii="宋体" w:hAnsi="宋体" w:cs="宋体"/>
                <w:bCs/>
                <w:szCs w:val="21"/>
                <w:highlight w:val="none"/>
              </w:rPr>
            </w:pPr>
            <w:r>
              <w:rPr>
                <w:rFonts w:hint="eastAsia" w:ascii="宋体" w:hAnsi="宋体" w:eastAsia="宋体" w:cs="宋体"/>
                <w:bCs/>
                <w:color w:val="auto"/>
                <w:szCs w:val="21"/>
                <w:lang w:val="zh-CN"/>
              </w:rPr>
              <w:t>投标报价不得超过最高投标限价</w:t>
            </w:r>
            <w:r>
              <w:rPr>
                <w:rFonts w:hint="eastAsia" w:ascii="宋体" w:hAnsi="宋体" w:cs="宋体"/>
                <w:bCs/>
                <w:color w:val="auto"/>
                <w:szCs w:val="21"/>
                <w:lang w:val="zh-CN"/>
              </w:rPr>
              <w:t>，</w:t>
            </w:r>
            <w:r>
              <w:rPr>
                <w:rFonts w:hint="eastAsia" w:ascii="宋体" w:hAnsi="宋体" w:cs="宋体"/>
                <w:bCs/>
                <w:color w:val="auto"/>
                <w:szCs w:val="21"/>
                <w:lang w:val="en-US" w:eastAsia="zh-CN"/>
              </w:rPr>
              <w:t>否则按否决投标处理。</w:t>
            </w:r>
          </w:p>
        </w:tc>
      </w:tr>
      <w:tr w14:paraId="387D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6020D63E">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3.6</w:t>
            </w:r>
          </w:p>
        </w:tc>
        <w:tc>
          <w:tcPr>
            <w:tcW w:w="2351" w:type="dxa"/>
            <w:vAlign w:val="center"/>
          </w:tcPr>
          <w:p w14:paraId="143795C0">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磋商有效期</w:t>
            </w:r>
          </w:p>
        </w:tc>
        <w:tc>
          <w:tcPr>
            <w:tcW w:w="6302" w:type="dxa"/>
            <w:vAlign w:val="center"/>
          </w:tcPr>
          <w:p w14:paraId="5F4D3988">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投标截止之日</w:t>
            </w:r>
            <w:r>
              <w:rPr>
                <w:rFonts w:hint="eastAsia" w:ascii="宋体" w:hAnsi="宋体" w:cs="宋体"/>
                <w:bCs/>
                <w:szCs w:val="21"/>
                <w:highlight w:val="none"/>
              </w:rPr>
              <w:t>起</w:t>
            </w:r>
            <w:r>
              <w:rPr>
                <w:rFonts w:hint="eastAsia" w:ascii="宋体" w:hAnsi="宋体" w:cs="宋体"/>
                <w:bCs/>
                <w:szCs w:val="21"/>
                <w:highlight w:val="none"/>
                <w:lang w:val="zh-CN"/>
              </w:rPr>
              <w:t>90天（日历天）</w:t>
            </w:r>
          </w:p>
        </w:tc>
      </w:tr>
      <w:tr w14:paraId="10F7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7A6B19C0">
            <w:pPr>
              <w:autoSpaceDE w:val="0"/>
              <w:autoSpaceDN w:val="0"/>
              <w:adjustRightInd w:val="0"/>
              <w:spacing w:line="320" w:lineRule="exact"/>
              <w:jc w:val="center"/>
              <w:rPr>
                <w:rFonts w:hint="eastAsia" w:ascii="宋体" w:hAnsi="宋体" w:eastAsia="宋体" w:cs="宋体"/>
                <w:bCs/>
                <w:szCs w:val="21"/>
                <w:highlight w:val="none"/>
                <w:lang w:val="zh-CN" w:eastAsia="zh-CN"/>
              </w:rPr>
            </w:pPr>
            <w:r>
              <w:rPr>
                <w:rFonts w:hint="eastAsia" w:ascii="宋体" w:hAnsi="宋体" w:eastAsia="宋体" w:cs="宋体"/>
                <w:bCs/>
                <w:color w:val="auto"/>
                <w:szCs w:val="21"/>
                <w:lang w:val="zh-CN"/>
              </w:rPr>
              <w:t>3.7</w:t>
            </w:r>
          </w:p>
        </w:tc>
        <w:tc>
          <w:tcPr>
            <w:tcW w:w="2351" w:type="dxa"/>
            <w:vAlign w:val="center"/>
          </w:tcPr>
          <w:p w14:paraId="0C603528">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磋商保证金</w:t>
            </w:r>
          </w:p>
        </w:tc>
        <w:tc>
          <w:tcPr>
            <w:tcW w:w="6302" w:type="dxa"/>
            <w:vAlign w:val="center"/>
          </w:tcPr>
          <w:p w14:paraId="6EED80FC">
            <w:pPr>
              <w:pStyle w:val="125"/>
              <w:adjustRightInd w:val="0"/>
              <w:snapToGrid w:val="0"/>
              <w:rPr>
                <w:rFonts w:asciiTheme="minorEastAsia" w:hAnsiTheme="minorEastAsia" w:eastAsiaTheme="minorEastAsia"/>
                <w:bCs/>
                <w:highlight w:val="none"/>
              </w:rPr>
            </w:pPr>
            <w:r>
              <w:rPr>
                <w:rFonts w:hint="eastAsia" w:asciiTheme="minorEastAsia" w:hAnsiTheme="minorEastAsia" w:eastAsiaTheme="minorEastAsia"/>
                <w:bCs/>
                <w:highlight w:val="none"/>
                <w:lang w:val="zh-CN"/>
              </w:rPr>
              <w:t>磋商保证金</w:t>
            </w:r>
            <w:r>
              <w:rPr>
                <w:rFonts w:hint="eastAsia" w:asciiTheme="minorEastAsia" w:hAnsiTheme="minorEastAsia" w:eastAsiaTheme="minorEastAsia"/>
                <w:bCs/>
                <w:highlight w:val="none"/>
              </w:rPr>
              <w:t>的形式：现金、银行出具的现金支票、保兑支票、银行汇票、银行或专业担保公司或保险公司出具的保函、转账、电汇等形式提交；以现金或支票形式提交的</w:t>
            </w:r>
            <w:r>
              <w:rPr>
                <w:rFonts w:hint="eastAsia" w:asciiTheme="minorEastAsia" w:hAnsiTheme="minorEastAsia" w:eastAsiaTheme="minorEastAsia"/>
                <w:bCs/>
                <w:highlight w:val="none"/>
                <w:lang w:val="zh-CN"/>
              </w:rPr>
              <w:t>磋商保证金</w:t>
            </w:r>
            <w:r>
              <w:rPr>
                <w:rFonts w:hint="eastAsia" w:asciiTheme="minorEastAsia" w:hAnsiTheme="minorEastAsia" w:eastAsiaTheme="minorEastAsia"/>
                <w:bCs/>
                <w:highlight w:val="none"/>
              </w:rPr>
              <w:t>须从供应商的基本账户转出。</w:t>
            </w:r>
          </w:p>
          <w:p w14:paraId="2174D76A">
            <w:pPr>
              <w:pStyle w:val="125"/>
              <w:adjustRightInd w:val="0"/>
              <w:snapToGrid w:val="0"/>
              <w:rPr>
                <w:rFonts w:asciiTheme="minorEastAsia" w:hAnsiTheme="minorEastAsia" w:eastAsiaTheme="minorEastAsia"/>
                <w:bCs/>
                <w:highlight w:val="none"/>
              </w:rPr>
            </w:pPr>
            <w:r>
              <w:rPr>
                <w:rFonts w:hint="eastAsia" w:ascii="宋体" w:hAnsi="宋体" w:cs="宋体"/>
                <w:bCs/>
                <w:szCs w:val="21"/>
                <w:highlight w:val="none"/>
                <w:lang w:val="zh-CN"/>
              </w:rPr>
              <w:t>磋商保证金</w:t>
            </w:r>
            <w:r>
              <w:rPr>
                <w:rFonts w:hint="eastAsia" w:asciiTheme="minorEastAsia" w:hAnsiTheme="minorEastAsia" w:eastAsiaTheme="minorEastAsia"/>
                <w:bCs/>
                <w:highlight w:val="none"/>
              </w:rPr>
              <w:t>的金额：</w:t>
            </w:r>
            <w:r>
              <w:rPr>
                <w:rFonts w:hint="eastAsia" w:asciiTheme="minorEastAsia" w:hAnsiTheme="minorEastAsia" w:eastAsiaTheme="minorEastAsia"/>
                <w:bCs/>
                <w:highlight w:val="none"/>
                <w:lang w:val="en-US" w:eastAsia="zh-CN"/>
              </w:rPr>
              <w:t>23000.00元</w:t>
            </w:r>
            <w:r>
              <w:rPr>
                <w:rFonts w:hint="eastAsia" w:ascii="宋体" w:hAnsi="宋体" w:eastAsia="宋体"/>
                <w:bCs/>
                <w:color w:val="auto"/>
                <w:highlight w:val="none"/>
                <w:lang w:eastAsia="zh-CN"/>
              </w:rPr>
              <w:t>；</w:t>
            </w:r>
          </w:p>
          <w:p w14:paraId="1AAF21E9">
            <w:pPr>
              <w:adjustRightInd w:val="0"/>
              <w:snapToGrid w:val="0"/>
              <w:rPr>
                <w:rFonts w:asciiTheme="minorEastAsia" w:hAnsiTheme="minorEastAsia" w:eastAsiaTheme="minorEastAsia"/>
                <w:b/>
                <w:bCs/>
                <w:spacing w:val="-8"/>
                <w:kern w:val="15"/>
                <w:szCs w:val="21"/>
                <w:highlight w:val="none"/>
              </w:rPr>
            </w:pPr>
            <w:r>
              <w:rPr>
                <w:rFonts w:hint="eastAsia" w:asciiTheme="minorEastAsia" w:hAnsiTheme="minorEastAsia" w:eastAsiaTheme="minorEastAsia"/>
                <w:b/>
                <w:bCs/>
                <w:spacing w:val="-8"/>
                <w:kern w:val="15"/>
                <w:szCs w:val="21"/>
                <w:highlight w:val="none"/>
              </w:rPr>
              <w:t>递交方式：</w:t>
            </w:r>
          </w:p>
          <w:p w14:paraId="0828FEBE">
            <w:pPr>
              <w:keepNext w:val="0"/>
              <w:keepLines w:val="0"/>
              <w:pageBreakBefore w:val="0"/>
              <w:kinsoku/>
              <w:wordWrap/>
              <w:overflowPunct/>
              <w:topLinePunct w:val="0"/>
              <w:bidi w:val="0"/>
              <w:adjustRightInd w:val="0"/>
              <w:snapToGrid w:val="0"/>
              <w:spacing w:line="240" w:lineRule="auto"/>
              <w:textAlignment w:val="auto"/>
              <w:rPr>
                <w:rFonts w:asciiTheme="minorEastAsia" w:hAnsiTheme="minorEastAsia" w:eastAsiaTheme="minorEastAsia"/>
                <w:bCs/>
                <w:kern w:val="15"/>
                <w:szCs w:val="21"/>
                <w:highlight w:val="none"/>
              </w:rPr>
            </w:pPr>
            <w:r>
              <w:rPr>
                <w:rFonts w:hint="eastAsia" w:asciiTheme="minorEastAsia" w:hAnsiTheme="minorEastAsia" w:eastAsiaTheme="minorEastAsia"/>
                <w:bCs/>
                <w:kern w:val="15"/>
                <w:szCs w:val="21"/>
                <w:highlight w:val="none"/>
              </w:rPr>
              <w:t>供应商须在</w:t>
            </w:r>
            <w:r>
              <w:rPr>
                <w:rFonts w:hint="eastAsia" w:asciiTheme="minorEastAsia" w:hAnsiTheme="minorEastAsia" w:eastAsiaTheme="minorEastAsia"/>
                <w:b/>
                <w:bCs w:val="0"/>
                <w:kern w:val="15"/>
                <w:szCs w:val="21"/>
                <w:highlight w:val="none"/>
                <w:lang w:val="en-US" w:eastAsia="zh-CN"/>
              </w:rPr>
              <w:t>递交响应文件</w:t>
            </w:r>
            <w:r>
              <w:rPr>
                <w:rFonts w:hint="eastAsia" w:asciiTheme="minorEastAsia" w:hAnsiTheme="minorEastAsia" w:eastAsiaTheme="minorEastAsia"/>
                <w:b/>
                <w:bCs w:val="0"/>
                <w:kern w:val="15"/>
                <w:szCs w:val="21"/>
                <w:highlight w:val="none"/>
              </w:rPr>
              <w:t>时间</w:t>
            </w:r>
            <w:r>
              <w:rPr>
                <w:rFonts w:hint="eastAsia" w:asciiTheme="minorEastAsia" w:hAnsiTheme="minorEastAsia" w:eastAsiaTheme="minorEastAsia"/>
                <w:b/>
                <w:bCs/>
                <w:kern w:val="15"/>
                <w:szCs w:val="21"/>
                <w:highlight w:val="none"/>
                <w:lang w:val="en-US" w:eastAsia="zh-CN"/>
              </w:rPr>
              <w:t>截止</w:t>
            </w:r>
            <w:r>
              <w:rPr>
                <w:rFonts w:hint="eastAsia" w:asciiTheme="minorEastAsia" w:hAnsiTheme="minorEastAsia" w:eastAsiaTheme="minorEastAsia"/>
                <w:b/>
                <w:bCs/>
                <w:kern w:val="15"/>
                <w:szCs w:val="21"/>
                <w:highlight w:val="none"/>
              </w:rPr>
              <w:t>前</w:t>
            </w:r>
            <w:r>
              <w:rPr>
                <w:rFonts w:hint="eastAsia" w:asciiTheme="minorEastAsia" w:hAnsiTheme="minorEastAsia" w:eastAsiaTheme="minorEastAsia"/>
                <w:bCs/>
                <w:kern w:val="15"/>
                <w:szCs w:val="21"/>
                <w:highlight w:val="none"/>
              </w:rPr>
              <w:t>，以转账、电汇形式递交的</w:t>
            </w:r>
            <w:r>
              <w:rPr>
                <w:rFonts w:hint="eastAsia" w:ascii="宋体" w:hAnsi="宋体" w:cs="宋体"/>
                <w:bCs/>
                <w:szCs w:val="21"/>
                <w:highlight w:val="none"/>
                <w:lang w:val="zh-CN"/>
              </w:rPr>
              <w:t>磋商保证金</w:t>
            </w:r>
            <w:r>
              <w:rPr>
                <w:rFonts w:hint="eastAsia" w:asciiTheme="minorEastAsia" w:hAnsiTheme="minorEastAsia" w:eastAsiaTheme="minorEastAsia"/>
                <w:bCs/>
                <w:kern w:val="15"/>
                <w:szCs w:val="21"/>
                <w:highlight w:val="none"/>
              </w:rPr>
              <w:t>应当从供应商的基本账户转出将</w:t>
            </w:r>
            <w:r>
              <w:rPr>
                <w:rFonts w:hint="eastAsia" w:ascii="宋体" w:hAnsi="宋体" w:cs="宋体"/>
                <w:bCs/>
                <w:szCs w:val="21"/>
                <w:highlight w:val="none"/>
                <w:lang w:val="zh-CN"/>
              </w:rPr>
              <w:t>磋商保证金</w:t>
            </w:r>
            <w:r>
              <w:rPr>
                <w:rFonts w:hint="eastAsia" w:asciiTheme="minorEastAsia" w:hAnsiTheme="minorEastAsia" w:eastAsiaTheme="minorEastAsia"/>
                <w:bCs/>
                <w:kern w:val="15"/>
                <w:szCs w:val="21"/>
                <w:highlight w:val="none"/>
              </w:rPr>
              <w:t>存入采购代理机构指定账户，银行进帐单或电汇凭证等凭证上应明确用途为【★</w:t>
            </w:r>
            <w:r>
              <w:rPr>
                <w:rFonts w:hint="eastAsia" w:asciiTheme="minorEastAsia" w:hAnsiTheme="minorEastAsia" w:eastAsiaTheme="minorEastAsia"/>
                <w:b/>
                <w:bCs w:val="0"/>
                <w:kern w:val="15"/>
                <w:szCs w:val="21"/>
                <w:highlight w:val="none"/>
                <w:lang w:val="zh-CN"/>
              </w:rPr>
              <w:t>磋商保证金</w:t>
            </w:r>
            <w:r>
              <w:rPr>
                <w:rFonts w:hint="eastAsia" w:asciiTheme="minorEastAsia" w:hAnsiTheme="minorEastAsia" w:eastAsiaTheme="minorEastAsia"/>
                <w:bCs/>
                <w:kern w:val="15"/>
                <w:szCs w:val="21"/>
                <w:highlight w:val="none"/>
              </w:rPr>
              <w:t>★】，以便核对查实</w:t>
            </w:r>
            <w:r>
              <w:rPr>
                <w:rFonts w:asciiTheme="minorEastAsia" w:hAnsiTheme="minorEastAsia" w:eastAsiaTheme="minorEastAsia"/>
                <w:bCs/>
                <w:kern w:val="15"/>
                <w:szCs w:val="21"/>
                <w:highlight w:val="none"/>
              </w:rPr>
              <w:t>。</w:t>
            </w:r>
            <w:r>
              <w:rPr>
                <w:rFonts w:hint="eastAsia" w:asciiTheme="minorEastAsia" w:hAnsiTheme="minorEastAsia" w:eastAsiaTheme="minorEastAsia"/>
                <w:bCs/>
                <w:kern w:val="15"/>
                <w:szCs w:val="21"/>
                <w:highlight w:val="none"/>
                <w:lang w:val="zh-CN"/>
              </w:rPr>
              <w:t>磋商保证金</w:t>
            </w:r>
            <w:r>
              <w:rPr>
                <w:rFonts w:hint="eastAsia" w:asciiTheme="minorEastAsia" w:hAnsiTheme="minorEastAsia" w:eastAsiaTheme="minorEastAsia"/>
                <w:bCs/>
                <w:kern w:val="15"/>
                <w:szCs w:val="21"/>
                <w:highlight w:val="none"/>
              </w:rPr>
              <w:t>的确认以最终到帐日期为准。以“保函”形式递交</w:t>
            </w:r>
            <w:r>
              <w:rPr>
                <w:rFonts w:hint="eastAsia" w:ascii="宋体" w:hAnsi="宋体" w:cs="宋体"/>
                <w:bCs/>
                <w:szCs w:val="21"/>
                <w:highlight w:val="none"/>
                <w:lang w:val="zh-CN"/>
              </w:rPr>
              <w:t>磋商保证金</w:t>
            </w:r>
            <w:r>
              <w:rPr>
                <w:rFonts w:hint="eastAsia" w:asciiTheme="minorEastAsia" w:hAnsiTheme="minorEastAsia" w:eastAsiaTheme="minorEastAsia"/>
                <w:bCs/>
                <w:kern w:val="15"/>
                <w:szCs w:val="21"/>
                <w:highlight w:val="none"/>
              </w:rPr>
              <w:t>的，应</w:t>
            </w:r>
            <w:r>
              <w:rPr>
                <w:rFonts w:hint="eastAsia" w:asciiTheme="minorEastAsia" w:hAnsiTheme="minorEastAsia" w:eastAsiaTheme="minorEastAsia"/>
                <w:kern w:val="15"/>
                <w:szCs w:val="21"/>
                <w:highlight w:val="none"/>
              </w:rPr>
              <w:t>在</w:t>
            </w:r>
            <w:r>
              <w:rPr>
                <w:rFonts w:hint="eastAsia" w:asciiTheme="minorEastAsia" w:hAnsiTheme="minorEastAsia" w:eastAsiaTheme="minorEastAsia"/>
                <w:b/>
                <w:bCs w:val="0"/>
                <w:kern w:val="15"/>
                <w:szCs w:val="21"/>
                <w:highlight w:val="none"/>
                <w:lang w:val="en-US" w:eastAsia="zh-CN"/>
              </w:rPr>
              <w:t>递交响应文件</w:t>
            </w:r>
            <w:r>
              <w:rPr>
                <w:rFonts w:hint="eastAsia" w:asciiTheme="minorEastAsia" w:hAnsiTheme="minorEastAsia" w:eastAsiaTheme="minorEastAsia"/>
                <w:b/>
                <w:bCs w:val="0"/>
                <w:kern w:val="15"/>
                <w:szCs w:val="21"/>
                <w:highlight w:val="none"/>
              </w:rPr>
              <w:t>时间</w:t>
            </w:r>
            <w:r>
              <w:rPr>
                <w:rFonts w:hint="eastAsia" w:asciiTheme="minorEastAsia" w:hAnsiTheme="minorEastAsia" w:eastAsiaTheme="minorEastAsia"/>
                <w:b/>
                <w:bCs/>
                <w:kern w:val="15"/>
                <w:szCs w:val="21"/>
                <w:highlight w:val="none"/>
                <w:lang w:val="en-US" w:eastAsia="zh-CN"/>
              </w:rPr>
              <w:t>截止</w:t>
            </w:r>
            <w:r>
              <w:rPr>
                <w:rFonts w:hint="eastAsia" w:asciiTheme="minorEastAsia" w:hAnsiTheme="minorEastAsia" w:eastAsiaTheme="minorEastAsia"/>
                <w:b/>
                <w:bCs/>
                <w:kern w:val="15"/>
                <w:szCs w:val="21"/>
                <w:highlight w:val="none"/>
              </w:rPr>
              <w:t>前，</w:t>
            </w:r>
            <w:r>
              <w:rPr>
                <w:rFonts w:hint="eastAsia" w:asciiTheme="minorEastAsia" w:hAnsiTheme="minorEastAsia" w:eastAsiaTheme="minorEastAsia"/>
                <w:bCs/>
                <w:kern w:val="15"/>
                <w:szCs w:val="21"/>
                <w:highlight w:val="none"/>
              </w:rPr>
              <w:t>将“保函”</w:t>
            </w:r>
            <w:r>
              <w:rPr>
                <w:rFonts w:hint="eastAsia" w:ascii="宋体" w:hAnsi="宋体" w:eastAsia="宋体"/>
                <w:bCs/>
                <w:color w:val="auto"/>
                <w:kern w:val="15"/>
                <w:szCs w:val="21"/>
                <w:highlight w:val="none"/>
              </w:rPr>
              <w:t>原件递到代理机构项目负责人处</w:t>
            </w:r>
            <w:r>
              <w:rPr>
                <w:rFonts w:hint="eastAsia" w:asciiTheme="minorEastAsia" w:hAnsiTheme="minorEastAsia" w:eastAsiaTheme="minorEastAsia"/>
                <w:bCs/>
                <w:kern w:val="15"/>
                <w:szCs w:val="21"/>
                <w:highlight w:val="none"/>
              </w:rPr>
              <w:t>，并自留一份复印件附在响应文件。未按规定时间办理，投标将被拒绝。</w:t>
            </w:r>
            <w:r>
              <w:rPr>
                <w:highlight w:val="none"/>
              </w:rPr>
              <w:t>（</w:t>
            </w:r>
            <w:r>
              <w:rPr>
                <w:b/>
                <w:bCs/>
                <w:highlight w:val="none"/>
              </w:rPr>
              <w:t>未从基本账户汇出或未到帐均视为无效</w:t>
            </w:r>
            <w:r>
              <w:rPr>
                <w:highlight w:val="none"/>
              </w:rPr>
              <w:t>），</w:t>
            </w:r>
            <w:r>
              <w:rPr>
                <w:rFonts w:hint="eastAsia"/>
                <w:highlight w:val="none"/>
              </w:rPr>
              <w:t>供应商</w:t>
            </w:r>
            <w:r>
              <w:rPr>
                <w:highlight w:val="none"/>
              </w:rPr>
              <w:t>若未按此要求办理产生的一切后果由</w:t>
            </w:r>
            <w:r>
              <w:rPr>
                <w:rFonts w:hint="eastAsia"/>
                <w:highlight w:val="none"/>
              </w:rPr>
              <w:t>供应商</w:t>
            </w:r>
            <w:r>
              <w:rPr>
                <w:highlight w:val="none"/>
              </w:rPr>
              <w:t>自行承担。</w:t>
            </w:r>
            <w:r>
              <w:rPr>
                <w:rFonts w:hint="eastAsia"/>
                <w:highlight w:val="none"/>
              </w:rPr>
              <w:t>磋商保证金有效期与磋商有效期一致。</w:t>
            </w:r>
          </w:p>
          <w:p w14:paraId="4D6F7068">
            <w:pPr>
              <w:keepNext w:val="0"/>
              <w:keepLines w:val="0"/>
              <w:pageBreakBefore w:val="0"/>
              <w:widowControl w:val="0"/>
              <w:kinsoku/>
              <w:wordWrap/>
              <w:overflowPunct/>
              <w:topLinePunct w:val="0"/>
              <w:bidi w:val="0"/>
              <w:adjustRightInd w:val="0"/>
              <w:snapToGrid w:val="0"/>
              <w:spacing w:line="240" w:lineRule="auto"/>
              <w:textAlignment w:val="auto"/>
              <w:rPr>
                <w:rFonts w:asciiTheme="minorEastAsia" w:hAnsiTheme="minorEastAsia" w:eastAsiaTheme="minorEastAsia"/>
                <w:b/>
                <w:bCs/>
                <w:color w:val="auto"/>
                <w:kern w:val="15"/>
                <w:szCs w:val="21"/>
                <w:highlight w:val="none"/>
              </w:rPr>
            </w:pPr>
            <w:r>
              <w:rPr>
                <w:rFonts w:hint="eastAsia" w:asciiTheme="minorEastAsia" w:hAnsiTheme="minorEastAsia" w:eastAsiaTheme="minorEastAsia"/>
                <w:b/>
                <w:bCs/>
                <w:color w:val="auto"/>
                <w:kern w:val="15"/>
                <w:szCs w:val="21"/>
                <w:highlight w:val="none"/>
              </w:rPr>
              <w:t>收款单位：</w:t>
            </w:r>
            <w:r>
              <w:rPr>
                <w:rFonts w:hint="eastAsia" w:asciiTheme="minorEastAsia" w:hAnsiTheme="minorEastAsia" w:eastAsiaTheme="minorEastAsia"/>
                <w:b/>
                <w:bCs/>
                <w:color w:val="auto"/>
                <w:kern w:val="15"/>
                <w:szCs w:val="21"/>
                <w:highlight w:val="none"/>
                <w:lang w:val="zh-CN" w:eastAsia="zh-CN"/>
              </w:rPr>
              <w:t>吉林省海创科建工程咨询有限公司</w:t>
            </w:r>
          </w:p>
          <w:p w14:paraId="48B91F28">
            <w:pPr>
              <w:keepNext w:val="0"/>
              <w:keepLines w:val="0"/>
              <w:pageBreakBefore w:val="0"/>
              <w:widowControl w:val="0"/>
              <w:kinsoku/>
              <w:wordWrap/>
              <w:overflowPunct/>
              <w:topLinePunct w:val="0"/>
              <w:bidi w:val="0"/>
              <w:adjustRightInd w:val="0"/>
              <w:snapToGrid w:val="0"/>
              <w:spacing w:line="240" w:lineRule="auto"/>
              <w:textAlignment w:val="auto"/>
              <w:rPr>
                <w:rFonts w:asciiTheme="minorEastAsia" w:hAnsiTheme="minorEastAsia" w:eastAsiaTheme="minorEastAsia"/>
                <w:b/>
                <w:bCs/>
                <w:color w:val="auto"/>
                <w:kern w:val="15"/>
                <w:szCs w:val="21"/>
                <w:highlight w:val="none"/>
              </w:rPr>
            </w:pPr>
            <w:r>
              <w:rPr>
                <w:rFonts w:hint="eastAsia" w:asciiTheme="minorEastAsia" w:hAnsiTheme="minorEastAsia" w:eastAsiaTheme="minorEastAsia"/>
                <w:b/>
                <w:bCs/>
                <w:color w:val="auto"/>
                <w:kern w:val="15"/>
                <w:szCs w:val="21"/>
                <w:highlight w:val="none"/>
              </w:rPr>
              <w:t>开户行名称：</w:t>
            </w:r>
            <w:r>
              <w:rPr>
                <w:rFonts w:hint="eastAsia" w:asciiTheme="minorEastAsia" w:hAnsiTheme="minorEastAsia" w:eastAsiaTheme="minorEastAsia"/>
                <w:b/>
                <w:bCs/>
                <w:color w:val="auto"/>
                <w:kern w:val="15"/>
                <w:szCs w:val="21"/>
                <w:highlight w:val="none"/>
                <w:lang w:val="en-US" w:eastAsia="zh-CN"/>
              </w:rPr>
              <w:t>上海浦东发展银行长春临河街支行</w:t>
            </w:r>
          </w:p>
          <w:p w14:paraId="2FC8ABD0">
            <w:pPr>
              <w:keepNext w:val="0"/>
              <w:keepLines w:val="0"/>
              <w:pageBreakBefore w:val="0"/>
              <w:widowControl w:val="0"/>
              <w:kinsoku/>
              <w:wordWrap/>
              <w:overflowPunct/>
              <w:topLinePunct w:val="0"/>
              <w:bidi w:val="0"/>
              <w:adjustRightInd w:val="0"/>
              <w:snapToGrid w:val="0"/>
              <w:spacing w:line="240" w:lineRule="auto"/>
              <w:textAlignment w:val="auto"/>
              <w:rPr>
                <w:rFonts w:asciiTheme="minorEastAsia" w:hAnsiTheme="minorEastAsia" w:eastAsiaTheme="minorEastAsia"/>
                <w:b/>
                <w:bCs/>
                <w:color w:val="auto"/>
                <w:kern w:val="15"/>
                <w:szCs w:val="21"/>
                <w:highlight w:val="none"/>
                <w:lang w:val="zh-CN"/>
              </w:rPr>
            </w:pPr>
            <w:r>
              <w:rPr>
                <w:rFonts w:hint="eastAsia" w:asciiTheme="minorEastAsia" w:hAnsiTheme="minorEastAsia" w:eastAsiaTheme="minorEastAsia"/>
                <w:b/>
                <w:bCs/>
                <w:color w:val="auto"/>
                <w:kern w:val="15"/>
                <w:szCs w:val="21"/>
                <w:highlight w:val="none"/>
              </w:rPr>
              <w:t>保证金接受账号：</w:t>
            </w:r>
            <w:r>
              <w:rPr>
                <w:rFonts w:hint="eastAsia" w:asciiTheme="minorEastAsia" w:hAnsiTheme="minorEastAsia" w:eastAsiaTheme="minorEastAsia"/>
                <w:b/>
                <w:bCs/>
                <w:color w:val="auto"/>
                <w:kern w:val="15"/>
                <w:szCs w:val="21"/>
                <w:highlight w:val="none"/>
                <w:lang w:val="en-US" w:eastAsia="zh-CN"/>
              </w:rPr>
              <w:t>61060078801000000940</w:t>
            </w:r>
          </w:p>
          <w:p w14:paraId="65D32CAF">
            <w:pPr>
              <w:keepNext w:val="0"/>
              <w:keepLines w:val="0"/>
              <w:pageBreakBefore w:val="0"/>
              <w:widowControl w:val="0"/>
              <w:kinsoku/>
              <w:wordWrap/>
              <w:overflowPunct/>
              <w:topLinePunct w:val="0"/>
              <w:bidi w:val="0"/>
              <w:adjustRightInd w:val="0"/>
              <w:snapToGrid w:val="0"/>
              <w:spacing w:line="240" w:lineRule="auto"/>
              <w:textAlignment w:val="auto"/>
              <w:rPr>
                <w:rFonts w:asciiTheme="minorEastAsia" w:hAnsiTheme="minorEastAsia" w:eastAsiaTheme="minorEastAsia"/>
                <w:b/>
                <w:bCs/>
                <w:color w:val="auto"/>
                <w:kern w:val="15"/>
                <w:szCs w:val="21"/>
                <w:highlight w:val="none"/>
              </w:rPr>
            </w:pPr>
            <w:r>
              <w:rPr>
                <w:rFonts w:hint="eastAsia" w:asciiTheme="minorEastAsia" w:hAnsiTheme="minorEastAsia" w:eastAsiaTheme="minorEastAsia"/>
                <w:b/>
                <w:bCs/>
                <w:color w:val="auto"/>
                <w:kern w:val="15"/>
                <w:szCs w:val="21"/>
                <w:highlight w:val="none"/>
              </w:rPr>
              <w:t>联系人：</w:t>
            </w:r>
            <w:r>
              <w:rPr>
                <w:rFonts w:hint="eastAsia" w:ascii="宋体" w:hAnsi="宋体" w:eastAsia="宋体" w:cs="宋体"/>
                <w:b/>
                <w:bCs/>
                <w:color w:val="auto"/>
                <w:sz w:val="21"/>
                <w:szCs w:val="21"/>
                <w:highlight w:val="none"/>
                <w:lang w:val="en-US" w:eastAsia="zh-CN"/>
              </w:rPr>
              <w:t>李</w:t>
            </w:r>
            <w:r>
              <w:rPr>
                <w:rFonts w:hint="eastAsia" w:asciiTheme="minorEastAsia" w:hAnsiTheme="minorEastAsia" w:eastAsiaTheme="minorEastAsia"/>
                <w:b/>
                <w:bCs/>
                <w:color w:val="auto"/>
                <w:kern w:val="15"/>
                <w:szCs w:val="21"/>
                <w:highlight w:val="none"/>
              </w:rPr>
              <w:t>女士</w:t>
            </w:r>
          </w:p>
          <w:p w14:paraId="7B29A493">
            <w:pPr>
              <w:adjustRightInd w:val="0"/>
              <w:snapToGrid w:val="0"/>
              <w:rPr>
                <w:rFonts w:hint="eastAsia" w:asciiTheme="minorEastAsia" w:hAnsiTheme="minorEastAsia" w:eastAsiaTheme="minorEastAsia"/>
                <w:b/>
                <w:bCs/>
                <w:color w:val="auto"/>
                <w:kern w:val="15"/>
                <w:szCs w:val="21"/>
                <w:highlight w:val="none"/>
                <w:lang w:val="en-US" w:eastAsia="zh-CN"/>
              </w:rPr>
            </w:pPr>
            <w:r>
              <w:rPr>
                <w:rFonts w:hint="eastAsia" w:asciiTheme="minorEastAsia" w:hAnsiTheme="minorEastAsia" w:eastAsiaTheme="minorEastAsia"/>
                <w:b/>
                <w:bCs/>
                <w:color w:val="auto"/>
                <w:kern w:val="15"/>
                <w:szCs w:val="21"/>
                <w:highlight w:val="none"/>
              </w:rPr>
              <w:t>联系电话：</w:t>
            </w:r>
            <w:r>
              <w:rPr>
                <w:rFonts w:hint="eastAsia" w:asciiTheme="minorEastAsia" w:hAnsiTheme="minorEastAsia" w:eastAsiaTheme="minorEastAsia"/>
                <w:b/>
                <w:bCs/>
                <w:color w:val="auto"/>
                <w:kern w:val="15"/>
                <w:szCs w:val="21"/>
                <w:highlight w:val="none"/>
                <w:lang w:val="en-US" w:eastAsia="zh-CN"/>
              </w:rPr>
              <w:t>0431-80603668</w:t>
            </w:r>
          </w:p>
          <w:p w14:paraId="24C12E8B">
            <w:pPr>
              <w:adjustRightInd w:val="0"/>
              <w:snapToGrid w:val="0"/>
              <w:rPr>
                <w:rFonts w:hint="eastAsia" w:asciiTheme="minorEastAsia" w:hAnsiTheme="minorEastAsia" w:eastAsiaTheme="minorEastAsia"/>
                <w:b/>
                <w:bCs/>
                <w:color w:val="auto"/>
                <w:kern w:val="15"/>
                <w:szCs w:val="21"/>
                <w:highlight w:val="none"/>
                <w:lang w:val="en-US" w:eastAsia="zh-CN"/>
              </w:rPr>
            </w:pPr>
            <w:r>
              <w:rPr>
                <w:rFonts w:hint="eastAsia" w:asciiTheme="minorEastAsia" w:hAnsiTheme="minorEastAsia" w:eastAsiaTheme="minorEastAsia"/>
                <w:b/>
                <w:bCs/>
                <w:color w:val="auto"/>
                <w:kern w:val="15"/>
                <w:szCs w:val="21"/>
                <w:highlight w:val="none"/>
                <w:lang w:val="en-US" w:eastAsia="zh-CN"/>
              </w:rPr>
              <w:t>电子邮箱：hckj1117@163.com</w:t>
            </w:r>
          </w:p>
          <w:p w14:paraId="35557CE5">
            <w:pPr>
              <w:adjustRightInd w:val="0"/>
              <w:snapToGrid w:val="0"/>
              <w:rPr>
                <w:rFonts w:asciiTheme="minorEastAsia" w:hAnsiTheme="minorEastAsia" w:eastAsiaTheme="minorEastAsia"/>
                <w:b/>
                <w:bCs/>
                <w:kern w:val="15"/>
                <w:szCs w:val="21"/>
                <w:highlight w:val="none"/>
              </w:rPr>
            </w:pPr>
            <w:r>
              <w:rPr>
                <w:rFonts w:hint="eastAsia" w:asciiTheme="minorEastAsia" w:hAnsiTheme="minorEastAsia" w:eastAsiaTheme="minorEastAsia"/>
                <w:b/>
                <w:bCs/>
                <w:kern w:val="15"/>
                <w:szCs w:val="21"/>
                <w:highlight w:val="none"/>
              </w:rPr>
              <w:t>注：各供应商应在汇款时认真核对收款单位、开户行名称、账号准确无误，确保保证金按时到账，否则后果自负。</w:t>
            </w:r>
          </w:p>
          <w:p w14:paraId="28D1407C">
            <w:pPr>
              <w:autoSpaceDE w:val="0"/>
              <w:autoSpaceDN w:val="0"/>
              <w:adjustRightInd w:val="0"/>
              <w:snapToGrid w:val="0"/>
              <w:jc w:val="left"/>
              <w:rPr>
                <w:rFonts w:ascii="宋体" w:hAnsi="宋体" w:cs="宋体"/>
                <w:bCs/>
                <w:szCs w:val="21"/>
                <w:highlight w:val="none"/>
                <w:lang w:val="zh-CN"/>
              </w:rPr>
            </w:pPr>
            <w:r>
              <w:rPr>
                <w:rFonts w:hint="eastAsia" w:asciiTheme="minorEastAsia" w:hAnsiTheme="minorEastAsia" w:eastAsiaTheme="minorEastAsia"/>
                <w:b/>
                <w:bCs/>
                <w:kern w:val="15"/>
                <w:highlight w:val="none"/>
                <w:lang w:val="zh-CN"/>
              </w:rPr>
              <w:t>磋商保证金</w:t>
            </w:r>
            <w:r>
              <w:rPr>
                <w:rFonts w:hint="eastAsia" w:asciiTheme="minorEastAsia" w:hAnsiTheme="minorEastAsia" w:eastAsiaTheme="minorEastAsia"/>
                <w:b/>
                <w:bCs/>
                <w:kern w:val="15"/>
                <w:highlight w:val="none"/>
              </w:rPr>
              <w:t>应写明项目编号(采购计划-[2025]-06077号-HCKJ-2025-GC003)，否则后果自负。</w:t>
            </w:r>
          </w:p>
        </w:tc>
      </w:tr>
      <w:tr w14:paraId="194F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38" w:type="dxa"/>
            <w:vAlign w:val="center"/>
          </w:tcPr>
          <w:p w14:paraId="1ABBB5A3">
            <w:pPr>
              <w:autoSpaceDE w:val="0"/>
              <w:autoSpaceDN w:val="0"/>
              <w:adjustRightInd w:val="0"/>
              <w:spacing w:line="320" w:lineRule="exact"/>
              <w:jc w:val="center"/>
              <w:rPr>
                <w:rFonts w:hint="eastAsia" w:ascii="宋体" w:hAnsi="宋体" w:eastAsia="宋体" w:cs="宋体"/>
                <w:bCs/>
                <w:szCs w:val="21"/>
                <w:highlight w:val="none"/>
                <w:lang w:val="zh-CN" w:eastAsia="zh-CN"/>
              </w:rPr>
            </w:pPr>
            <w:r>
              <w:rPr>
                <w:rFonts w:hint="eastAsia" w:ascii="宋体" w:hAnsi="宋体" w:eastAsia="宋体" w:cs="宋体"/>
                <w:bCs/>
                <w:color w:val="auto"/>
                <w:szCs w:val="21"/>
                <w:lang w:val="zh-CN"/>
              </w:rPr>
              <w:t>3.8.2</w:t>
            </w:r>
          </w:p>
        </w:tc>
        <w:tc>
          <w:tcPr>
            <w:tcW w:w="2351" w:type="dxa"/>
            <w:vAlign w:val="center"/>
          </w:tcPr>
          <w:p w14:paraId="706A9179">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签字或盖章要求</w:t>
            </w:r>
          </w:p>
        </w:tc>
        <w:tc>
          <w:tcPr>
            <w:tcW w:w="6302" w:type="dxa"/>
            <w:vAlign w:val="center"/>
          </w:tcPr>
          <w:p w14:paraId="6FFC3BFD">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响应文件需打印或用不褪色墨水书写。</w:t>
            </w:r>
            <w:r>
              <w:rPr>
                <w:rFonts w:hint="eastAsia" w:ascii="宋体" w:hAnsi="宋体" w:cs="宋体"/>
                <w:bCs/>
                <w:szCs w:val="21"/>
                <w:highlight w:val="none"/>
              </w:rPr>
              <w:t>第六章</w:t>
            </w:r>
            <w:r>
              <w:rPr>
                <w:rFonts w:hint="eastAsia" w:ascii="宋体" w:hAnsi="宋体" w:cs="宋体"/>
                <w:bCs/>
                <w:szCs w:val="21"/>
                <w:highlight w:val="none"/>
                <w:lang w:val="zh-CN"/>
              </w:rPr>
              <w:t>《响应文件构成、要求及格式》中凡要求签署和加盖公章的，均须由供应商的法定代表人或其授权代理人手书签字和加盖供应商公章。响应文件由法定代表人签署的，须与其企业法人营业执照相符；由授权代理人签署的，须提交以书面形式出具的《法定代表人授权书》（按竞争性磋商文件规定的格式提交）。</w:t>
            </w:r>
          </w:p>
          <w:p w14:paraId="5183AACC">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rPr>
              <w:t>2.投标截止时间前，如对响应文件进行了修改，包括对响应文件行间插字、涂改和增删，均应由供应商的法定代表人或经正式授权的代表在修改的每一页上签字，</w:t>
            </w:r>
            <w:r>
              <w:rPr>
                <w:rFonts w:hint="eastAsia" w:ascii="宋体" w:hAnsi="宋体" w:cs="宋体"/>
                <w:bCs/>
                <w:szCs w:val="21"/>
                <w:highlight w:val="none"/>
                <w:lang w:val="zh-CN"/>
              </w:rPr>
              <w:t>加盖供应商公章。</w:t>
            </w:r>
          </w:p>
        </w:tc>
      </w:tr>
      <w:tr w14:paraId="2F21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8" w:type="dxa"/>
            <w:vAlign w:val="center"/>
          </w:tcPr>
          <w:p w14:paraId="0DE069D5">
            <w:pPr>
              <w:autoSpaceDE w:val="0"/>
              <w:autoSpaceDN w:val="0"/>
              <w:adjustRightInd w:val="0"/>
              <w:spacing w:line="320" w:lineRule="exact"/>
              <w:jc w:val="center"/>
              <w:rPr>
                <w:rFonts w:hint="eastAsia" w:ascii="宋体" w:hAnsi="宋体" w:eastAsia="宋体" w:cs="宋体"/>
                <w:bCs/>
                <w:szCs w:val="21"/>
                <w:highlight w:val="none"/>
                <w:lang w:val="zh-CN" w:eastAsia="zh-CN"/>
              </w:rPr>
            </w:pPr>
            <w:r>
              <w:rPr>
                <w:rFonts w:hint="eastAsia" w:ascii="宋体" w:hAnsi="宋体" w:eastAsia="宋体" w:cs="宋体"/>
                <w:bCs/>
                <w:color w:val="auto"/>
                <w:szCs w:val="21"/>
                <w:lang w:val="zh-CN"/>
              </w:rPr>
              <w:t>3.8.3</w:t>
            </w:r>
          </w:p>
        </w:tc>
        <w:tc>
          <w:tcPr>
            <w:tcW w:w="2351" w:type="dxa"/>
            <w:vAlign w:val="center"/>
          </w:tcPr>
          <w:p w14:paraId="4A9D98CD">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响应文件份数</w:t>
            </w:r>
          </w:p>
        </w:tc>
        <w:tc>
          <w:tcPr>
            <w:tcW w:w="6302" w:type="dxa"/>
            <w:vAlign w:val="center"/>
          </w:tcPr>
          <w:p w14:paraId="2727D4EE">
            <w:pPr>
              <w:autoSpaceDE w:val="0"/>
              <w:autoSpaceDN w:val="0"/>
              <w:adjustRightInd w:val="0"/>
              <w:spacing w:line="320" w:lineRule="exact"/>
              <w:jc w:val="left"/>
              <w:rPr>
                <w:rFonts w:hint="default" w:eastAsia="宋体"/>
                <w:highlight w:val="none"/>
                <w:lang w:val="en-US" w:eastAsia="zh-CN"/>
              </w:rPr>
            </w:pPr>
            <w:r>
              <w:rPr>
                <w:rFonts w:hint="eastAsia" w:ascii="宋体" w:hAnsi="宋体" w:eastAsia="宋体" w:cs="宋体"/>
                <w:bCs/>
                <w:color w:val="auto"/>
                <w:szCs w:val="21"/>
                <w:lang w:val="zh-CN"/>
              </w:rPr>
              <w:t>供应商在“政采云”平台（https://www.zcygov.cn/）通过有效数字证书（CA认证）制作的响应文件1正（此响应文件须上传至“政采云”平台）。</w:t>
            </w:r>
          </w:p>
        </w:tc>
      </w:tr>
      <w:tr w14:paraId="0931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38" w:type="dxa"/>
            <w:vAlign w:val="center"/>
          </w:tcPr>
          <w:p w14:paraId="6D3D0205">
            <w:pPr>
              <w:autoSpaceDE w:val="0"/>
              <w:autoSpaceDN w:val="0"/>
              <w:adjustRightInd w:val="0"/>
              <w:spacing w:line="320" w:lineRule="exact"/>
              <w:jc w:val="center"/>
              <w:rPr>
                <w:rFonts w:hint="eastAsia" w:ascii="宋体" w:hAnsi="宋体" w:eastAsia="宋体" w:cs="宋体"/>
                <w:bCs/>
                <w:szCs w:val="21"/>
                <w:highlight w:val="none"/>
                <w:lang w:val="zh-CN" w:eastAsia="zh-CN"/>
              </w:rPr>
            </w:pPr>
            <w:r>
              <w:rPr>
                <w:rFonts w:hint="eastAsia" w:ascii="宋体" w:hAnsi="宋体" w:eastAsia="宋体" w:cs="宋体"/>
                <w:bCs/>
                <w:color w:val="auto"/>
                <w:szCs w:val="21"/>
                <w:lang w:val="zh-CN"/>
              </w:rPr>
              <w:t>3.8.4</w:t>
            </w:r>
          </w:p>
        </w:tc>
        <w:tc>
          <w:tcPr>
            <w:tcW w:w="2351" w:type="dxa"/>
            <w:vAlign w:val="center"/>
          </w:tcPr>
          <w:p w14:paraId="554301CD">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装订编制要求</w:t>
            </w:r>
          </w:p>
        </w:tc>
        <w:tc>
          <w:tcPr>
            <w:tcW w:w="6302" w:type="dxa"/>
            <w:vAlign w:val="center"/>
          </w:tcPr>
          <w:p w14:paraId="2BDEC9FE">
            <w:pPr>
              <w:autoSpaceDE w:val="0"/>
              <w:autoSpaceDN w:val="0"/>
              <w:adjustRightInd w:val="0"/>
              <w:spacing w:line="320" w:lineRule="exact"/>
              <w:jc w:val="left"/>
              <w:rPr>
                <w:rFonts w:hint="eastAsia" w:ascii="宋体" w:hAnsi="宋体" w:eastAsia="宋体" w:cs="宋体"/>
                <w:bCs/>
                <w:szCs w:val="21"/>
                <w:highlight w:val="none"/>
                <w:lang w:val="zh-CN" w:eastAsia="zh-CN"/>
              </w:rPr>
            </w:pPr>
            <w:r>
              <w:rPr>
                <w:rFonts w:hint="eastAsia" w:ascii="宋体" w:hAnsi="宋体" w:cs="宋体"/>
                <w:bCs/>
                <w:color w:val="auto"/>
                <w:szCs w:val="21"/>
                <w:lang w:val="en-US" w:eastAsia="zh-CN"/>
              </w:rPr>
              <w:t>电子标不适用</w:t>
            </w:r>
          </w:p>
        </w:tc>
      </w:tr>
      <w:tr w14:paraId="03AF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138" w:type="dxa"/>
            <w:vAlign w:val="center"/>
          </w:tcPr>
          <w:p w14:paraId="68C8521B">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4.1.1</w:t>
            </w:r>
          </w:p>
        </w:tc>
        <w:tc>
          <w:tcPr>
            <w:tcW w:w="2351" w:type="dxa"/>
            <w:vAlign w:val="center"/>
          </w:tcPr>
          <w:p w14:paraId="2DCD617F">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eastAsia="zh-CN"/>
              </w:rPr>
              <w:t>电子响应文件递交</w:t>
            </w:r>
          </w:p>
        </w:tc>
        <w:tc>
          <w:tcPr>
            <w:tcW w:w="6302" w:type="dxa"/>
            <w:vAlign w:val="center"/>
          </w:tcPr>
          <w:p w14:paraId="458A1FC1">
            <w:pPr>
              <w:autoSpaceDE w:val="0"/>
              <w:autoSpaceDN w:val="0"/>
              <w:adjustRightInd w:val="0"/>
              <w:spacing w:line="320" w:lineRule="exact"/>
              <w:jc w:val="left"/>
              <w:rPr>
                <w:rFonts w:ascii="宋体" w:hAnsi="宋体" w:cs="宋体"/>
                <w:bCs/>
                <w:szCs w:val="21"/>
                <w:highlight w:val="none"/>
              </w:rPr>
            </w:pPr>
            <w:r>
              <w:rPr>
                <w:rFonts w:hint="eastAsia" w:ascii="宋体" w:hAnsi="宋体" w:eastAsia="宋体" w:cs="宋体"/>
                <w:bCs/>
                <w:color w:val="auto"/>
                <w:szCs w:val="21"/>
                <w:highlight w:val="none"/>
                <w:lang w:val="zh-CN"/>
              </w:rPr>
              <w:t>供应商必须在</w:t>
            </w:r>
            <w:r>
              <w:rPr>
                <w:rFonts w:hint="eastAsia" w:ascii="宋体" w:hAnsi="宋体" w:eastAsia="宋体" w:cs="宋体"/>
                <w:b/>
                <w:bCs/>
                <w:color w:val="auto"/>
                <w:sz w:val="21"/>
                <w:szCs w:val="21"/>
                <w:highlight w:val="none"/>
                <w:lang w:eastAsia="zh-CN"/>
              </w:rPr>
              <w:t>响应文件提交</w:t>
            </w:r>
            <w:r>
              <w:rPr>
                <w:rFonts w:hint="eastAsia" w:ascii="宋体" w:hAnsi="宋体" w:cs="宋体"/>
                <w:b/>
                <w:bCs/>
                <w:color w:val="auto"/>
                <w:sz w:val="21"/>
                <w:szCs w:val="21"/>
                <w:highlight w:val="none"/>
                <w:lang w:val="en-US" w:eastAsia="zh-CN"/>
              </w:rPr>
              <w:t>截止时间</w:t>
            </w:r>
            <w:r>
              <w:rPr>
                <w:rFonts w:hint="eastAsia" w:ascii="宋体" w:hAnsi="宋体" w:eastAsia="宋体" w:cs="宋体"/>
                <w:bCs/>
                <w:color w:val="auto"/>
                <w:szCs w:val="21"/>
                <w:highlight w:val="none"/>
                <w:lang w:val="zh-CN"/>
              </w:rPr>
              <w:t>前提交电子版响应文件。电子响应文件应在制作完成后，在</w:t>
            </w:r>
            <w:r>
              <w:rPr>
                <w:rFonts w:hint="eastAsia" w:ascii="宋体" w:hAnsi="宋体" w:eastAsia="宋体" w:cs="宋体"/>
                <w:bCs/>
                <w:color w:val="auto"/>
                <w:szCs w:val="21"/>
                <w:highlight w:val="none"/>
                <w:lang w:val="zh-CN" w:eastAsia="zh-CN"/>
              </w:rPr>
              <w:t>响应文件提交截止时间</w:t>
            </w:r>
            <w:r>
              <w:rPr>
                <w:rFonts w:hint="eastAsia" w:ascii="宋体" w:hAnsi="宋体" w:eastAsia="宋体" w:cs="宋体"/>
                <w:bCs/>
                <w:color w:val="auto"/>
                <w:szCs w:val="21"/>
                <w:highlight w:val="none"/>
                <w:lang w:val="zh-CN"/>
              </w:rPr>
              <w:t>前通过有效数字证书（CA认证锁）进行电子签章、加密，然后通过网络将加密的电子响应文件递交至“政采云”平台。</w:t>
            </w:r>
          </w:p>
        </w:tc>
      </w:tr>
      <w:tr w14:paraId="5FC1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38" w:type="dxa"/>
            <w:vAlign w:val="center"/>
          </w:tcPr>
          <w:p w14:paraId="1CA5CE84">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4.1.2</w:t>
            </w:r>
          </w:p>
        </w:tc>
        <w:tc>
          <w:tcPr>
            <w:tcW w:w="2351" w:type="dxa"/>
            <w:vAlign w:val="center"/>
          </w:tcPr>
          <w:p w14:paraId="5767E5F7">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color w:val="auto"/>
                <w:szCs w:val="21"/>
                <w:highlight w:val="none"/>
                <w:lang w:val="en-US" w:eastAsia="zh-CN"/>
              </w:rPr>
              <w:t>纸质文件</w:t>
            </w:r>
            <w:r>
              <w:rPr>
                <w:rFonts w:hint="eastAsia" w:ascii="宋体" w:hAnsi="宋体" w:eastAsia="宋体" w:cs="宋体"/>
                <w:bCs/>
                <w:color w:val="auto"/>
                <w:szCs w:val="21"/>
                <w:highlight w:val="none"/>
                <w:lang w:val="zh-CN"/>
              </w:rPr>
              <w:t>封套上写明</w:t>
            </w:r>
          </w:p>
        </w:tc>
        <w:tc>
          <w:tcPr>
            <w:tcW w:w="6302" w:type="dxa"/>
            <w:vAlign w:val="center"/>
          </w:tcPr>
          <w:p w14:paraId="2931A9EA">
            <w:pPr>
              <w:autoSpaceDE w:val="0"/>
              <w:autoSpaceDN w:val="0"/>
              <w:adjustRightInd w:val="0"/>
              <w:spacing w:line="320" w:lineRule="exact"/>
              <w:jc w:val="left"/>
              <w:rPr>
                <w:rFonts w:hint="default" w:ascii="宋体" w:hAnsi="宋体" w:eastAsia="宋体" w:cs="宋体"/>
                <w:bCs/>
                <w:szCs w:val="21"/>
                <w:highlight w:val="none"/>
                <w:lang w:val="en-US" w:eastAsia="zh-CN"/>
              </w:rPr>
            </w:pPr>
            <w:bookmarkStart w:id="41" w:name="OLE_LINK4"/>
            <w:r>
              <w:rPr>
                <w:rFonts w:hint="eastAsia" w:ascii="宋体" w:hAnsi="宋体" w:cs="宋体"/>
                <w:bCs/>
                <w:color w:val="auto"/>
                <w:szCs w:val="21"/>
                <w:lang w:val="en-US" w:eastAsia="zh-CN"/>
              </w:rPr>
              <w:t>电子标不适用</w:t>
            </w:r>
            <w:bookmarkEnd w:id="41"/>
          </w:p>
        </w:tc>
      </w:tr>
      <w:tr w14:paraId="0283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FE58004">
            <w:pPr>
              <w:autoSpaceDE w:val="0"/>
              <w:autoSpaceDN w:val="0"/>
              <w:adjustRightInd w:val="0"/>
              <w:spacing w:line="32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zh-CN"/>
              </w:rPr>
              <w:t>4.</w:t>
            </w:r>
            <w:r>
              <w:rPr>
                <w:rFonts w:hint="eastAsia" w:ascii="宋体" w:hAnsi="宋体" w:cs="宋体"/>
                <w:bCs/>
                <w:szCs w:val="21"/>
                <w:highlight w:val="none"/>
                <w:lang w:val="en-US" w:eastAsia="zh-CN"/>
              </w:rPr>
              <w:t>1.3</w:t>
            </w:r>
          </w:p>
        </w:tc>
        <w:tc>
          <w:tcPr>
            <w:tcW w:w="2351" w:type="dxa"/>
            <w:vAlign w:val="center"/>
          </w:tcPr>
          <w:p w14:paraId="05D98972">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的封套上应标识的其他内容</w:t>
            </w:r>
          </w:p>
        </w:tc>
        <w:tc>
          <w:tcPr>
            <w:tcW w:w="6302" w:type="dxa"/>
            <w:vAlign w:val="center"/>
          </w:tcPr>
          <w:p w14:paraId="01AE6804">
            <w:pPr>
              <w:autoSpaceDE w:val="0"/>
              <w:autoSpaceDN w:val="0"/>
              <w:adjustRightInd w:val="0"/>
              <w:spacing w:line="320" w:lineRule="exact"/>
              <w:jc w:val="left"/>
              <w:rPr>
                <w:rFonts w:ascii="宋体" w:hAnsi="宋体" w:cs="宋体"/>
                <w:b/>
                <w:bCs/>
                <w:szCs w:val="21"/>
                <w:highlight w:val="red"/>
                <w:lang w:val="zh-CN"/>
              </w:rPr>
            </w:pPr>
            <w:r>
              <w:rPr>
                <w:rFonts w:hint="eastAsia" w:ascii="宋体" w:hAnsi="宋体" w:cs="宋体"/>
                <w:bCs/>
                <w:color w:val="auto"/>
                <w:szCs w:val="21"/>
                <w:lang w:val="en-US" w:eastAsia="zh-CN"/>
              </w:rPr>
              <w:t>电子标不适用</w:t>
            </w:r>
          </w:p>
        </w:tc>
      </w:tr>
      <w:tr w14:paraId="582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1EC6A697">
            <w:pPr>
              <w:autoSpaceDE w:val="0"/>
              <w:autoSpaceDN w:val="0"/>
              <w:adjustRightInd w:val="0"/>
              <w:spacing w:line="320" w:lineRule="exact"/>
              <w:jc w:val="center"/>
              <w:rPr>
                <w:rFonts w:hint="eastAsia" w:ascii="宋体" w:hAnsi="宋体" w:eastAsia="宋体" w:cs="宋体"/>
                <w:bCs/>
                <w:szCs w:val="21"/>
                <w:highlight w:val="none"/>
                <w:lang w:val="zh-CN" w:eastAsia="zh-CN"/>
              </w:rPr>
            </w:pPr>
            <w:r>
              <w:rPr>
                <w:rFonts w:hint="eastAsia" w:ascii="宋体" w:hAnsi="宋体" w:eastAsia="宋体" w:cs="宋体"/>
                <w:bCs/>
                <w:color w:val="auto"/>
                <w:szCs w:val="21"/>
                <w:lang w:val="zh-CN"/>
              </w:rPr>
              <w:t>4.</w:t>
            </w:r>
            <w:r>
              <w:rPr>
                <w:rFonts w:hint="eastAsia" w:ascii="宋体" w:hAnsi="宋体" w:cs="宋体"/>
                <w:bCs/>
                <w:color w:val="auto"/>
                <w:szCs w:val="21"/>
                <w:lang w:val="en-US" w:eastAsia="zh-CN"/>
              </w:rPr>
              <w:t>4</w:t>
            </w:r>
          </w:p>
        </w:tc>
        <w:tc>
          <w:tcPr>
            <w:tcW w:w="2351" w:type="dxa"/>
            <w:vAlign w:val="center"/>
          </w:tcPr>
          <w:p w14:paraId="1A424B7E">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构成响应文件的其他材料</w:t>
            </w:r>
          </w:p>
        </w:tc>
        <w:tc>
          <w:tcPr>
            <w:tcW w:w="6302" w:type="dxa"/>
            <w:vAlign w:val="center"/>
          </w:tcPr>
          <w:p w14:paraId="2BDE1D68">
            <w:pPr>
              <w:spacing w:line="320" w:lineRule="exact"/>
              <w:rPr>
                <w:rFonts w:ascii="宋体" w:hAnsi="宋体" w:cs="宋体"/>
                <w:b/>
                <w:szCs w:val="21"/>
                <w:highlight w:val="none"/>
              </w:rPr>
            </w:pPr>
            <w:r>
              <w:rPr>
                <w:rFonts w:hint="eastAsia" w:ascii="宋体" w:hAnsi="宋体" w:cs="宋体"/>
                <w:bCs/>
                <w:color w:val="auto"/>
                <w:szCs w:val="21"/>
                <w:lang w:val="en-US" w:eastAsia="zh-CN"/>
              </w:rPr>
              <w:t>无</w:t>
            </w:r>
          </w:p>
        </w:tc>
      </w:tr>
      <w:tr w14:paraId="3134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vAlign w:val="center"/>
          </w:tcPr>
          <w:p w14:paraId="4339EBE2">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5.1</w:t>
            </w:r>
          </w:p>
        </w:tc>
        <w:tc>
          <w:tcPr>
            <w:tcW w:w="2351" w:type="dxa"/>
            <w:vAlign w:val="center"/>
          </w:tcPr>
          <w:p w14:paraId="5FC38BFC">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开标时间和地点</w:t>
            </w:r>
          </w:p>
        </w:tc>
        <w:tc>
          <w:tcPr>
            <w:tcW w:w="6302" w:type="dxa"/>
            <w:vAlign w:val="center"/>
          </w:tcPr>
          <w:p w14:paraId="7291D667">
            <w:pPr>
              <w:autoSpaceDE w:val="0"/>
              <w:autoSpaceDN w:val="0"/>
              <w:adjustRightInd w:val="0"/>
              <w:spacing w:line="32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lang w:val="zh-CN"/>
              </w:rPr>
              <w:t>1.提交响应文件的截止时间</w:t>
            </w:r>
            <w:r>
              <w:rPr>
                <w:rFonts w:hint="eastAsia" w:ascii="宋体" w:hAnsi="宋体" w:eastAsia="宋体" w:cs="宋体"/>
                <w:bCs/>
                <w:color w:val="auto"/>
                <w:szCs w:val="21"/>
                <w:highlight w:val="none"/>
                <w:lang w:val="zh-CN"/>
              </w:rPr>
              <w:t>、开标时间：</w:t>
            </w:r>
            <w:r>
              <w:rPr>
                <w:rFonts w:hint="eastAsia" w:ascii="宋体" w:hAnsi="宋体" w:cs="宋体"/>
                <w:kern w:val="0"/>
                <w:szCs w:val="21"/>
                <w:highlight w:val="none"/>
                <w:lang w:val="en-US" w:eastAsia="zh-CN" w:bidi="ar"/>
              </w:rPr>
              <w:t>2025</w:t>
            </w:r>
            <w:r>
              <w:rPr>
                <w:rFonts w:hint="eastAsia" w:ascii="宋体" w:hAnsi="宋体" w:cs="宋体"/>
                <w:kern w:val="0"/>
                <w:szCs w:val="21"/>
                <w:highlight w:val="none"/>
                <w:lang w:eastAsia="zh-CN" w:bidi="ar"/>
              </w:rPr>
              <w:t>年</w:t>
            </w: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eastAsia="zh-CN" w:bidi="ar"/>
              </w:rPr>
              <w:t>月</w:t>
            </w:r>
            <w:r>
              <w:rPr>
                <w:rFonts w:hint="eastAsia" w:ascii="宋体" w:hAnsi="宋体" w:cs="宋体"/>
                <w:kern w:val="0"/>
                <w:szCs w:val="21"/>
                <w:highlight w:val="none"/>
                <w:lang w:val="en-US" w:eastAsia="zh-CN" w:bidi="ar"/>
              </w:rPr>
              <w:t>24</w:t>
            </w:r>
            <w:r>
              <w:rPr>
                <w:rFonts w:hint="eastAsia" w:ascii="宋体" w:hAnsi="宋体" w:cs="宋体"/>
                <w:kern w:val="0"/>
                <w:szCs w:val="21"/>
                <w:highlight w:val="none"/>
                <w:lang w:eastAsia="zh-CN" w:bidi="ar"/>
              </w:rPr>
              <w:t>日</w:t>
            </w:r>
            <w:r>
              <w:rPr>
                <w:rFonts w:hint="eastAsia" w:ascii="宋体" w:hAnsi="宋体" w:cs="宋体"/>
                <w:kern w:val="0"/>
                <w:szCs w:val="21"/>
                <w:highlight w:val="none"/>
                <w:lang w:val="en-US" w:eastAsia="zh-CN" w:bidi="ar"/>
              </w:rPr>
              <w:t>14</w:t>
            </w:r>
            <w:r>
              <w:rPr>
                <w:rFonts w:hint="eastAsia" w:ascii="宋体" w:hAnsi="宋体" w:cs="宋体"/>
                <w:kern w:val="0"/>
                <w:szCs w:val="21"/>
                <w:highlight w:val="none"/>
                <w:lang w:eastAsia="zh-CN" w:bidi="ar"/>
              </w:rPr>
              <w:t>点</w:t>
            </w:r>
            <w:r>
              <w:rPr>
                <w:rFonts w:hint="eastAsia" w:ascii="宋体" w:hAnsi="宋体" w:cs="宋体"/>
                <w:kern w:val="0"/>
                <w:szCs w:val="21"/>
                <w:highlight w:val="none"/>
                <w:lang w:val="en-US" w:eastAsia="zh-CN" w:bidi="ar"/>
              </w:rPr>
              <w:t>30</w:t>
            </w:r>
            <w:r>
              <w:rPr>
                <w:rFonts w:hint="eastAsia" w:ascii="宋体" w:hAnsi="宋体" w:cs="宋体"/>
                <w:kern w:val="0"/>
                <w:szCs w:val="21"/>
                <w:highlight w:val="none"/>
                <w:lang w:eastAsia="zh-CN" w:bidi="ar"/>
              </w:rPr>
              <w:t>分</w:t>
            </w:r>
            <w:r>
              <w:rPr>
                <w:rFonts w:hint="eastAsia" w:ascii="宋体" w:hAnsi="宋体" w:eastAsia="宋体" w:cs="宋体"/>
                <w:bCs/>
                <w:color w:val="auto"/>
                <w:szCs w:val="21"/>
                <w:highlight w:val="none"/>
                <w:lang w:val="zh-CN"/>
              </w:rPr>
              <w:t>（北京时间）</w:t>
            </w:r>
          </w:p>
          <w:p w14:paraId="44BCA87B">
            <w:pPr>
              <w:autoSpaceDE w:val="0"/>
              <w:autoSpaceDN w:val="0"/>
              <w:adjustRightInd w:val="0"/>
              <w:spacing w:line="320" w:lineRule="exact"/>
              <w:rPr>
                <w:rFonts w:hint="eastAsia" w:ascii="宋体" w:hAnsi="宋体" w:eastAsia="宋体" w:cs="宋体"/>
                <w:bCs/>
                <w:color w:val="auto"/>
                <w:szCs w:val="21"/>
                <w:lang w:val="zh-CN"/>
              </w:rPr>
            </w:pPr>
            <w:r>
              <w:rPr>
                <w:rFonts w:hint="eastAsia" w:ascii="宋体" w:hAnsi="宋体" w:eastAsia="宋体" w:cs="宋体"/>
                <w:bCs/>
                <w:color w:val="auto"/>
                <w:szCs w:val="21"/>
                <w:highlight w:val="none"/>
                <w:lang w:val="zh-CN"/>
              </w:rPr>
              <w:t>2.本项目采用远程开标。供应商在线参加远程开标，如无故离开远程开标会议室，后果自负。供应商对开标有</w:t>
            </w:r>
            <w:r>
              <w:rPr>
                <w:rFonts w:hint="eastAsia" w:ascii="宋体" w:hAnsi="宋体" w:eastAsia="宋体" w:cs="宋体"/>
                <w:bCs/>
                <w:color w:val="auto"/>
                <w:szCs w:val="21"/>
                <w:lang w:val="zh-CN"/>
              </w:rPr>
              <w:t>异议的，应当在远程开标时提出，非远程开标中提出的开标异议，采购人或者行政监督部门不予受理。</w:t>
            </w:r>
          </w:p>
          <w:p w14:paraId="23D2CB33">
            <w:pPr>
              <w:autoSpaceDE w:val="0"/>
              <w:autoSpaceDN w:val="0"/>
              <w:adjustRightInd w:val="0"/>
              <w:spacing w:line="320" w:lineRule="exact"/>
              <w:rPr>
                <w:rFonts w:ascii="宋体" w:hAnsi="宋体" w:cs="宋体"/>
                <w:bCs/>
                <w:szCs w:val="21"/>
                <w:highlight w:val="none"/>
                <w:lang w:val="zh-CN"/>
              </w:rPr>
            </w:pPr>
            <w:r>
              <w:rPr>
                <w:rFonts w:hint="eastAsia" w:ascii="宋体" w:hAnsi="宋体" w:eastAsia="宋体" w:cs="宋体"/>
                <w:bCs/>
                <w:color w:val="auto"/>
                <w:szCs w:val="21"/>
                <w:lang w:val="zh-CN"/>
              </w:rPr>
              <w:t>3.全流程电子招标项目交易平台系统支持响应文件远程解密；解密方式：响应文件递交截止时间后30分钟内完成解密工作，供应商投标时，需携带制作响应文件时用来加密的有效数字证书（CA认证）登录“政采云”平台电子开标大厅现场按规定时间对加密的响应文件进行解密。因供应商自身原因未能按时完成解密的，视为逾期未提交响应文件，其投标无效。</w:t>
            </w:r>
          </w:p>
        </w:tc>
      </w:tr>
      <w:tr w14:paraId="043F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42F4BD3B">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6.1</w:t>
            </w:r>
          </w:p>
        </w:tc>
        <w:tc>
          <w:tcPr>
            <w:tcW w:w="2351" w:type="dxa"/>
            <w:vAlign w:val="center"/>
          </w:tcPr>
          <w:p w14:paraId="7A4BA6BC">
            <w:pPr>
              <w:autoSpaceDE w:val="0"/>
              <w:autoSpaceDN w:val="0"/>
              <w:adjustRightInd w:val="0"/>
              <w:spacing w:line="320" w:lineRule="exact"/>
              <w:jc w:val="left"/>
              <w:rPr>
                <w:rFonts w:ascii="宋体" w:hAnsi="宋体" w:cs="宋体"/>
                <w:kern w:val="0"/>
                <w:sz w:val="24"/>
                <w:highlight w:val="none"/>
              </w:rPr>
            </w:pPr>
            <w:r>
              <w:rPr>
                <w:rFonts w:hint="eastAsia" w:ascii="宋体" w:hAnsi="宋体" w:cs="宋体"/>
                <w:bCs/>
                <w:szCs w:val="21"/>
                <w:highlight w:val="none"/>
                <w:lang w:val="zh-CN"/>
              </w:rPr>
              <w:t>资格审查主体</w:t>
            </w:r>
          </w:p>
        </w:tc>
        <w:tc>
          <w:tcPr>
            <w:tcW w:w="6302" w:type="dxa"/>
            <w:vAlign w:val="center"/>
          </w:tcPr>
          <w:p w14:paraId="6A2BFE53">
            <w:pPr>
              <w:autoSpaceDE w:val="0"/>
              <w:autoSpaceDN w:val="0"/>
              <w:adjustRightInd w:val="0"/>
              <w:spacing w:line="320" w:lineRule="exact"/>
              <w:rPr>
                <w:rFonts w:ascii="宋体" w:hAnsi="宋体" w:cs="宋体"/>
                <w:kern w:val="0"/>
                <w:sz w:val="24"/>
                <w:highlight w:val="none"/>
              </w:rPr>
            </w:pPr>
            <w:r>
              <w:rPr>
                <w:rFonts w:hint="eastAsia" w:ascii="宋体" w:hAnsi="宋体" w:cs="宋体"/>
                <w:bCs/>
                <w:szCs w:val="21"/>
                <w:highlight w:val="none"/>
                <w:lang w:val="zh-CN"/>
              </w:rPr>
              <w:t>竞争性磋商小组</w:t>
            </w:r>
          </w:p>
        </w:tc>
      </w:tr>
      <w:tr w14:paraId="283A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8" w:type="dxa"/>
            <w:vAlign w:val="center"/>
          </w:tcPr>
          <w:p w14:paraId="24161166">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7.1.1</w:t>
            </w:r>
          </w:p>
        </w:tc>
        <w:tc>
          <w:tcPr>
            <w:tcW w:w="2351" w:type="dxa"/>
            <w:vAlign w:val="center"/>
          </w:tcPr>
          <w:p w14:paraId="08C8B8CF">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磋商小组的组建</w:t>
            </w:r>
          </w:p>
        </w:tc>
        <w:tc>
          <w:tcPr>
            <w:tcW w:w="6302" w:type="dxa"/>
            <w:vAlign w:val="center"/>
          </w:tcPr>
          <w:p w14:paraId="71D8E28B">
            <w:pPr>
              <w:autoSpaceDE w:val="0"/>
              <w:autoSpaceDN w:val="0"/>
              <w:adjustRightInd w:val="0"/>
              <w:spacing w:line="320" w:lineRule="exact"/>
              <w:rPr>
                <w:rFonts w:ascii="宋体" w:hAnsi="宋体" w:cs="宋体"/>
                <w:bCs/>
                <w:szCs w:val="21"/>
                <w:highlight w:val="none"/>
              </w:rPr>
            </w:pPr>
            <w:r>
              <w:rPr>
                <w:rFonts w:hint="eastAsia" w:ascii="宋体" w:hAnsi="宋体" w:cs="宋体"/>
                <w:bCs/>
                <w:szCs w:val="21"/>
                <w:highlight w:val="none"/>
                <w:lang w:val="zh-CN"/>
              </w:rPr>
              <w:t>磋商小组构成：</w:t>
            </w:r>
            <w:r>
              <w:rPr>
                <w:rFonts w:hint="eastAsia" w:ascii="宋体" w:hAnsi="宋体" w:cs="宋体"/>
                <w:bCs/>
                <w:szCs w:val="21"/>
                <w:highlight w:val="none"/>
                <w:lang w:val="zh-CN" w:eastAsia="zh-CN"/>
              </w:rPr>
              <w:t>3人组成，由相关专业、经济类</w:t>
            </w:r>
            <w:r>
              <w:rPr>
                <w:rFonts w:hint="eastAsia" w:ascii="宋体" w:hAnsi="宋体" w:cs="宋体"/>
                <w:bCs/>
                <w:szCs w:val="21"/>
                <w:highlight w:val="none"/>
                <w:lang w:val="zh-CN"/>
              </w:rPr>
              <w:t>社会专家</w:t>
            </w:r>
            <w:r>
              <w:rPr>
                <w:rFonts w:hint="eastAsia" w:ascii="宋体" w:hAnsi="宋体" w:cs="宋体"/>
                <w:bCs/>
                <w:szCs w:val="21"/>
                <w:highlight w:val="none"/>
                <w:lang w:val="zh-CN" w:eastAsia="zh-CN"/>
              </w:rPr>
              <w:t>3</w:t>
            </w:r>
            <w:r>
              <w:rPr>
                <w:rFonts w:hint="eastAsia" w:ascii="宋体" w:hAnsi="宋体" w:cs="宋体"/>
                <w:bCs/>
                <w:szCs w:val="21"/>
                <w:highlight w:val="none"/>
                <w:lang w:val="zh-CN"/>
              </w:rPr>
              <w:t>人组成；评标专家确定方式：按专业配置要求，从依法设立的评标专家库中随机抽取。</w:t>
            </w:r>
          </w:p>
        </w:tc>
      </w:tr>
      <w:tr w14:paraId="730A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7188534F">
            <w:pPr>
              <w:autoSpaceDE w:val="0"/>
              <w:autoSpaceDN w:val="0"/>
              <w:adjustRightInd w:val="0"/>
              <w:spacing w:line="320" w:lineRule="exact"/>
              <w:jc w:val="center"/>
              <w:rPr>
                <w:rFonts w:ascii="宋体" w:hAnsi="宋体" w:cs="宋体"/>
                <w:bCs/>
                <w:szCs w:val="21"/>
                <w:highlight w:val="none"/>
              </w:rPr>
            </w:pPr>
            <w:r>
              <w:rPr>
                <w:rFonts w:hint="eastAsia" w:ascii="宋体" w:hAnsi="宋体" w:eastAsia="宋体" w:cs="宋体"/>
                <w:bCs/>
                <w:color w:val="auto"/>
                <w:szCs w:val="21"/>
                <w:lang w:val="en-US" w:eastAsia="zh-CN"/>
              </w:rPr>
              <w:t>7.4</w:t>
            </w:r>
          </w:p>
        </w:tc>
        <w:tc>
          <w:tcPr>
            <w:tcW w:w="2351" w:type="dxa"/>
            <w:vAlign w:val="center"/>
          </w:tcPr>
          <w:p w14:paraId="18C046C8">
            <w:pPr>
              <w:spacing w:line="320" w:lineRule="exact"/>
              <w:jc w:val="left"/>
              <w:rPr>
                <w:rFonts w:hint="default" w:ascii="宋体" w:hAnsi="宋体" w:eastAsia="宋体" w:cs="宋体"/>
                <w:bCs/>
                <w:kern w:val="15"/>
                <w:szCs w:val="21"/>
                <w:highlight w:val="none"/>
                <w:lang w:val="en-US" w:eastAsia="zh-CN"/>
              </w:rPr>
            </w:pPr>
            <w:r>
              <w:rPr>
                <w:rFonts w:hint="eastAsia" w:ascii="宋体" w:hAnsi="宋体" w:cs="宋体"/>
                <w:bCs/>
                <w:kern w:val="15"/>
                <w:szCs w:val="21"/>
                <w:highlight w:val="none"/>
                <w:lang w:val="en-US" w:eastAsia="zh-CN"/>
              </w:rPr>
              <w:t>评审方法</w:t>
            </w:r>
          </w:p>
        </w:tc>
        <w:tc>
          <w:tcPr>
            <w:tcW w:w="6302" w:type="dxa"/>
            <w:vAlign w:val="center"/>
          </w:tcPr>
          <w:p w14:paraId="6588A17B">
            <w:pPr>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综合评分法</w:t>
            </w:r>
          </w:p>
        </w:tc>
      </w:tr>
      <w:tr w14:paraId="74B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9275F71">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8.1</w:t>
            </w:r>
          </w:p>
        </w:tc>
        <w:tc>
          <w:tcPr>
            <w:tcW w:w="2351" w:type="dxa"/>
            <w:vAlign w:val="center"/>
          </w:tcPr>
          <w:p w14:paraId="1921DFEA">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是否授权磋商小组确定中标人</w:t>
            </w:r>
          </w:p>
        </w:tc>
        <w:tc>
          <w:tcPr>
            <w:tcW w:w="6302" w:type="dxa"/>
            <w:vAlign w:val="center"/>
          </w:tcPr>
          <w:p w14:paraId="3A0BC893">
            <w:pPr>
              <w:spacing w:line="320" w:lineRule="exact"/>
              <w:jc w:val="left"/>
              <w:rPr>
                <w:rFonts w:ascii="宋体" w:hAnsi="宋体" w:cs="宋体"/>
                <w:bCs/>
                <w:szCs w:val="21"/>
                <w:highlight w:val="none"/>
              </w:rPr>
            </w:pPr>
            <w:r>
              <w:rPr>
                <w:rFonts w:hint="eastAsia" w:ascii="宋体" w:hAnsi="宋体" w:cs="宋体"/>
                <w:bCs/>
                <w:szCs w:val="21"/>
                <w:highlight w:val="none"/>
              </w:rPr>
              <w:t>否，推荐的中标候选人数：</w:t>
            </w:r>
            <w:r>
              <w:rPr>
                <w:rFonts w:hint="eastAsia" w:ascii="宋体" w:hAnsi="宋体" w:cs="宋体"/>
                <w:bCs/>
                <w:szCs w:val="21"/>
                <w:highlight w:val="none"/>
                <w:u w:val="single"/>
              </w:rPr>
              <w:t>3</w:t>
            </w:r>
            <w:r>
              <w:rPr>
                <w:rFonts w:hint="eastAsia" w:ascii="宋体" w:hAnsi="宋体" w:cs="宋体"/>
                <w:bCs/>
                <w:szCs w:val="21"/>
                <w:highlight w:val="none"/>
              </w:rPr>
              <w:t>名</w:t>
            </w:r>
          </w:p>
        </w:tc>
      </w:tr>
      <w:tr w14:paraId="7163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2F53F494">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8.2</w:t>
            </w:r>
          </w:p>
        </w:tc>
        <w:tc>
          <w:tcPr>
            <w:tcW w:w="2351" w:type="dxa"/>
            <w:vAlign w:val="center"/>
          </w:tcPr>
          <w:p w14:paraId="41E44A13">
            <w:pPr>
              <w:autoSpaceDE w:val="0"/>
              <w:autoSpaceDN w:val="0"/>
              <w:adjustRightInd w:val="0"/>
              <w:spacing w:line="320" w:lineRule="exact"/>
              <w:jc w:val="left"/>
              <w:rPr>
                <w:rFonts w:ascii="宋体" w:hAnsi="宋体" w:cs="宋体"/>
                <w:bCs/>
                <w:szCs w:val="21"/>
                <w:highlight w:val="none"/>
                <w:lang w:val="zh-CN"/>
              </w:rPr>
            </w:pPr>
            <w:r>
              <w:rPr>
                <w:rFonts w:hint="eastAsia" w:ascii="宋体" w:hAnsi="宋体" w:cs="宋体"/>
                <w:bCs/>
                <w:szCs w:val="21"/>
                <w:highlight w:val="none"/>
              </w:rPr>
              <w:t>成交</w:t>
            </w:r>
            <w:r>
              <w:rPr>
                <w:rFonts w:hint="eastAsia" w:ascii="宋体" w:hAnsi="宋体" w:cs="宋体"/>
                <w:bCs/>
                <w:szCs w:val="21"/>
                <w:highlight w:val="none"/>
                <w:lang w:val="zh-CN"/>
              </w:rPr>
              <w:t>结果公告</w:t>
            </w:r>
          </w:p>
        </w:tc>
        <w:tc>
          <w:tcPr>
            <w:tcW w:w="6302" w:type="dxa"/>
            <w:vAlign w:val="center"/>
          </w:tcPr>
          <w:p w14:paraId="207350EB">
            <w:pPr>
              <w:spacing w:line="32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shd w:val="clear" w:color="auto" w:fill="FFFFFF"/>
              </w:rPr>
              <w:t>媒介：</w:t>
            </w:r>
            <w:r>
              <w:rPr>
                <w:rFonts w:hint="eastAsia" w:ascii="宋体" w:hAnsi="宋体" w:eastAsia="宋体" w:cs="宋体"/>
                <w:color w:val="auto"/>
                <w:kern w:val="0"/>
                <w:sz w:val="21"/>
                <w:szCs w:val="21"/>
              </w:rPr>
              <w:t>《政府采购云平台》</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《中国招标投标公共服务平台》</w:t>
            </w:r>
          </w:p>
          <w:p w14:paraId="4418D35C">
            <w:pPr>
              <w:spacing w:line="320" w:lineRule="exact"/>
              <w:jc w:val="left"/>
              <w:rPr>
                <w:rFonts w:ascii="宋体" w:hAnsi="宋体" w:cs="宋体"/>
                <w:bCs/>
                <w:szCs w:val="21"/>
                <w:highlight w:val="none"/>
              </w:rPr>
            </w:pPr>
            <w:r>
              <w:rPr>
                <w:rFonts w:hint="eastAsia" w:ascii="宋体" w:hAnsi="宋体" w:eastAsia="宋体" w:cs="宋体"/>
                <w:bCs/>
                <w:color w:val="auto"/>
                <w:szCs w:val="21"/>
              </w:rPr>
              <w:t>期限为1个工作日</w:t>
            </w:r>
          </w:p>
        </w:tc>
      </w:tr>
      <w:tr w14:paraId="26AB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138" w:type="dxa"/>
            <w:vAlign w:val="center"/>
          </w:tcPr>
          <w:p w14:paraId="1AB7193B">
            <w:pPr>
              <w:autoSpaceDE w:val="0"/>
              <w:autoSpaceDN w:val="0"/>
              <w:adjustRightInd w:val="0"/>
              <w:spacing w:line="320" w:lineRule="exact"/>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8.4.1</w:t>
            </w:r>
          </w:p>
        </w:tc>
        <w:tc>
          <w:tcPr>
            <w:tcW w:w="2351" w:type="dxa"/>
            <w:vAlign w:val="center"/>
          </w:tcPr>
          <w:p w14:paraId="4F8A29ED">
            <w:pPr>
              <w:spacing w:line="320" w:lineRule="exact"/>
              <w:jc w:val="left"/>
              <w:rPr>
                <w:rFonts w:hint="eastAsia" w:ascii="宋体" w:hAnsi="宋体" w:cs="宋体"/>
                <w:bCs/>
                <w:szCs w:val="21"/>
                <w:highlight w:val="none"/>
              </w:rPr>
            </w:pPr>
            <w:r>
              <w:rPr>
                <w:rFonts w:hint="eastAsia" w:ascii="宋体" w:hAnsi="宋体" w:cs="宋体"/>
                <w:bCs/>
                <w:szCs w:val="21"/>
                <w:highlight w:val="none"/>
              </w:rPr>
              <w:t>履约保证金</w:t>
            </w:r>
          </w:p>
        </w:tc>
        <w:tc>
          <w:tcPr>
            <w:tcW w:w="6302" w:type="dxa"/>
            <w:vAlign w:val="center"/>
          </w:tcPr>
          <w:p w14:paraId="3557FFC9">
            <w:pPr>
              <w:autoSpaceDE w:val="0"/>
              <w:autoSpaceDN w:val="0"/>
              <w:adjustRightInd w:val="0"/>
              <w:spacing w:line="320" w:lineRule="exact"/>
              <w:jc w:val="left"/>
              <w:rPr>
                <w:rFonts w:hint="eastAsia" w:ascii="宋体" w:hAnsi="宋体" w:cs="宋体"/>
                <w:highlight w:val="none"/>
                <w:lang w:val="en-US" w:eastAsia="zh-CN"/>
              </w:rPr>
            </w:pPr>
            <w:r>
              <w:rPr>
                <w:rFonts w:hint="eastAsia" w:ascii="宋体" w:hAnsi="宋体" w:cs="宋体"/>
                <w:highlight w:val="none"/>
                <w:lang w:val="en-US" w:eastAsia="zh-CN"/>
              </w:rPr>
              <w:t>金额：</w:t>
            </w:r>
            <w:r>
              <w:rPr>
                <w:rFonts w:hint="eastAsia" w:ascii="宋体" w:hAnsi="宋体" w:eastAsia="宋体" w:cs="宋体"/>
                <w:highlight w:val="none"/>
                <w:lang w:val="en-US" w:eastAsia="zh-CN"/>
              </w:rPr>
              <w:t>签约合同价的5%</w:t>
            </w:r>
            <w:r>
              <w:rPr>
                <w:rFonts w:hint="eastAsia" w:ascii="宋体" w:hAnsi="宋体" w:cs="宋体"/>
                <w:highlight w:val="none"/>
                <w:lang w:val="en-US" w:eastAsia="zh-CN"/>
              </w:rPr>
              <w:t>；</w:t>
            </w:r>
          </w:p>
          <w:p w14:paraId="0E9655EA">
            <w:pPr>
              <w:autoSpaceDE w:val="0"/>
              <w:autoSpaceDN w:val="0"/>
              <w:adjustRightInd w:val="0"/>
              <w:spacing w:line="320" w:lineRule="exact"/>
              <w:jc w:val="left"/>
              <w:rPr>
                <w:rFonts w:hint="eastAsia" w:asciiTheme="minorEastAsia" w:hAnsiTheme="minorEastAsia" w:eastAsiaTheme="minorEastAsia"/>
                <w:bCs/>
                <w:highlight w:val="none"/>
              </w:rPr>
            </w:pPr>
            <w:r>
              <w:rPr>
                <w:rFonts w:hint="eastAsia" w:ascii="宋体" w:hAnsi="宋体" w:cs="宋体"/>
                <w:highlight w:val="none"/>
                <w:lang w:val="en-US" w:eastAsia="zh-CN"/>
              </w:rPr>
              <w:t>方式：</w:t>
            </w:r>
            <w:r>
              <w:rPr>
                <w:rFonts w:hint="eastAsia" w:asciiTheme="minorEastAsia" w:hAnsiTheme="minorEastAsia" w:eastAsiaTheme="minorEastAsia"/>
                <w:bCs/>
                <w:highlight w:val="none"/>
              </w:rPr>
              <w:t>银行或专业担保公司或保险公司出具的保函、转账、电汇等形式提交；</w:t>
            </w:r>
          </w:p>
          <w:p w14:paraId="2ED890A6">
            <w:pPr>
              <w:autoSpaceDE w:val="0"/>
              <w:autoSpaceDN w:val="0"/>
              <w:adjustRightInd w:val="0"/>
              <w:spacing w:line="320" w:lineRule="exact"/>
              <w:jc w:val="left"/>
              <w:rPr>
                <w:rFonts w:hint="eastAsia" w:asciiTheme="minorEastAsia" w:hAnsiTheme="minorEastAsia" w:eastAsiaTheme="minorEastAsia"/>
                <w:bCs/>
                <w:highlight w:val="none"/>
                <w:lang w:val="en-US" w:eastAsia="zh-CN"/>
              </w:rPr>
            </w:pPr>
            <w:r>
              <w:rPr>
                <w:rFonts w:hint="eastAsia" w:asciiTheme="minorEastAsia" w:hAnsiTheme="minorEastAsia" w:eastAsiaTheme="minorEastAsia"/>
                <w:bCs/>
                <w:highlight w:val="none"/>
                <w:lang w:val="en-US" w:eastAsia="zh-CN"/>
              </w:rPr>
              <w:t>递交时间：</w:t>
            </w:r>
            <w:r>
              <w:rPr>
                <w:rFonts w:hint="eastAsia" w:ascii="宋体" w:hAnsi="宋体" w:eastAsia="宋体" w:cs="宋体"/>
                <w:highlight w:val="none"/>
                <w:lang w:val="en-US" w:eastAsia="zh-CN"/>
              </w:rPr>
              <w:t>中标人在合同签订</w:t>
            </w:r>
            <w:r>
              <w:rPr>
                <w:rFonts w:hint="eastAsia" w:ascii="宋体" w:hAnsi="宋体" w:cs="宋体"/>
                <w:highlight w:val="none"/>
                <w:lang w:val="en-US" w:eastAsia="zh-CN"/>
              </w:rPr>
              <w:t>时间</w:t>
            </w:r>
            <w:r>
              <w:rPr>
                <w:rFonts w:hint="eastAsia" w:ascii="宋体" w:hAnsi="宋体" w:eastAsia="宋体" w:cs="宋体"/>
                <w:highlight w:val="none"/>
                <w:lang w:val="en-US" w:eastAsia="zh-CN"/>
              </w:rPr>
              <w:t>前</w:t>
            </w:r>
            <w:r>
              <w:rPr>
                <w:rFonts w:hint="eastAsia" w:asciiTheme="minorEastAsia" w:hAnsiTheme="minorEastAsia" w:eastAsiaTheme="minorEastAsia"/>
                <w:bCs/>
                <w:highlight w:val="none"/>
                <w:lang w:val="en-US" w:eastAsia="zh-CN"/>
              </w:rPr>
              <w:t>；</w:t>
            </w:r>
          </w:p>
          <w:p w14:paraId="52E56429">
            <w:pPr>
              <w:autoSpaceDE w:val="0"/>
              <w:autoSpaceDN w:val="0"/>
              <w:adjustRightInd w:val="0"/>
              <w:spacing w:line="320" w:lineRule="exact"/>
              <w:jc w:val="left"/>
              <w:rPr>
                <w:rFonts w:hint="eastAsia" w:ascii="宋体" w:hAnsi="宋体" w:eastAsia="宋体" w:cs="宋体"/>
                <w:highlight w:val="none"/>
                <w:lang w:val="en-US" w:eastAsia="zh-CN"/>
              </w:rPr>
            </w:pPr>
            <w:r>
              <w:rPr>
                <w:rFonts w:hint="eastAsia" w:asciiTheme="minorEastAsia" w:hAnsiTheme="minorEastAsia" w:eastAsiaTheme="minorEastAsia"/>
                <w:bCs/>
                <w:highlight w:val="none"/>
                <w:lang w:val="en-US" w:eastAsia="zh-CN"/>
              </w:rPr>
              <w:t>返还时间：</w:t>
            </w:r>
            <w:r>
              <w:rPr>
                <w:rFonts w:hint="eastAsia" w:ascii="宋体" w:hAnsi="宋体" w:eastAsia="宋体" w:cs="宋体"/>
                <w:highlight w:val="none"/>
                <w:lang w:val="en-US" w:eastAsia="zh-CN"/>
              </w:rPr>
              <w:t>工程验收合格后10日返还</w:t>
            </w:r>
            <w:r>
              <w:rPr>
                <w:rFonts w:hint="eastAsia" w:ascii="宋体" w:hAnsi="宋体" w:cs="宋体"/>
                <w:highlight w:val="none"/>
                <w:lang w:val="en-US" w:eastAsia="zh-CN"/>
              </w:rPr>
              <w:t>。</w:t>
            </w:r>
          </w:p>
        </w:tc>
      </w:tr>
      <w:tr w14:paraId="2F20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8" w:type="dxa"/>
            <w:vAlign w:val="center"/>
          </w:tcPr>
          <w:p w14:paraId="44143413">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10</w:t>
            </w:r>
          </w:p>
        </w:tc>
        <w:tc>
          <w:tcPr>
            <w:tcW w:w="8653" w:type="dxa"/>
            <w:gridSpan w:val="2"/>
            <w:vAlign w:val="center"/>
          </w:tcPr>
          <w:p w14:paraId="27833310">
            <w:pPr>
              <w:autoSpaceDE w:val="0"/>
              <w:autoSpaceDN w:val="0"/>
              <w:adjustRightInd w:val="0"/>
              <w:spacing w:line="320" w:lineRule="exact"/>
              <w:jc w:val="left"/>
              <w:rPr>
                <w:rFonts w:ascii="宋体" w:hAnsi="宋体" w:cs="宋体"/>
                <w:szCs w:val="21"/>
                <w:highlight w:val="none"/>
                <w:shd w:val="clear" w:color="auto" w:fill="FFFFFF"/>
                <w:lang w:val="zh-CN"/>
              </w:rPr>
            </w:pPr>
            <w:r>
              <w:rPr>
                <w:rFonts w:hint="eastAsia" w:ascii="宋体" w:hAnsi="宋体" w:cs="宋体"/>
                <w:bCs/>
                <w:szCs w:val="21"/>
                <w:highlight w:val="none"/>
                <w:lang w:val="zh-CN"/>
              </w:rPr>
              <w:t>需要补充的其他内容</w:t>
            </w:r>
          </w:p>
        </w:tc>
      </w:tr>
      <w:tr w14:paraId="6511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138" w:type="dxa"/>
            <w:vAlign w:val="center"/>
          </w:tcPr>
          <w:p w14:paraId="11A47820">
            <w:pPr>
              <w:autoSpaceDE w:val="0"/>
              <w:autoSpaceDN w:val="0"/>
              <w:adjustRightInd w:val="0"/>
              <w:spacing w:line="320" w:lineRule="exact"/>
              <w:jc w:val="center"/>
              <w:rPr>
                <w:rFonts w:ascii="宋体" w:hAnsi="宋体" w:cs="宋体"/>
                <w:bCs/>
                <w:szCs w:val="21"/>
                <w:highlight w:val="none"/>
                <w:lang w:val="zh-CN"/>
              </w:rPr>
            </w:pPr>
            <w:r>
              <w:rPr>
                <w:rFonts w:hint="eastAsia" w:ascii="宋体" w:hAnsi="宋体" w:eastAsia="宋体" w:cs="宋体"/>
                <w:bCs/>
                <w:color w:val="auto"/>
                <w:szCs w:val="21"/>
                <w:lang w:val="zh-CN"/>
              </w:rPr>
              <w:t>10.1</w:t>
            </w:r>
          </w:p>
        </w:tc>
        <w:tc>
          <w:tcPr>
            <w:tcW w:w="2351" w:type="dxa"/>
            <w:vAlign w:val="center"/>
          </w:tcPr>
          <w:p w14:paraId="63FD859D">
            <w:pPr>
              <w:spacing w:line="320" w:lineRule="exact"/>
              <w:jc w:val="left"/>
              <w:rPr>
                <w:rFonts w:ascii="宋体" w:hAnsi="宋体" w:cs="宋体"/>
                <w:bCs/>
                <w:kern w:val="15"/>
                <w:szCs w:val="21"/>
                <w:highlight w:val="none"/>
              </w:rPr>
            </w:pPr>
            <w:r>
              <w:rPr>
                <w:rFonts w:hint="eastAsia" w:ascii="宋体" w:hAnsi="宋体" w:cs="宋体"/>
                <w:bCs/>
                <w:kern w:val="15"/>
                <w:szCs w:val="21"/>
                <w:highlight w:val="none"/>
              </w:rPr>
              <w:t>采购代理服务费</w:t>
            </w:r>
          </w:p>
        </w:tc>
        <w:tc>
          <w:tcPr>
            <w:tcW w:w="6302" w:type="dxa"/>
            <w:vAlign w:val="center"/>
          </w:tcPr>
          <w:p w14:paraId="056FD9D7">
            <w:pPr>
              <w:keepNext w:val="0"/>
              <w:keepLines w:val="0"/>
              <w:pageBreakBefore w:val="0"/>
              <w:widowControl w:val="0"/>
              <w:kinsoku/>
              <w:wordWrap/>
              <w:overflowPunct/>
              <w:topLinePunct w:val="0"/>
              <w:autoSpaceDE/>
              <w:autoSpaceDN/>
              <w:bidi w:val="0"/>
              <w:spacing w:line="320" w:lineRule="exact"/>
              <w:jc w:val="left"/>
              <w:textAlignment w:val="auto"/>
              <w:rPr>
                <w:rFonts w:ascii="宋体" w:hAnsi="宋体" w:cs="宋体"/>
                <w:bCs/>
                <w:szCs w:val="21"/>
                <w:highlight w:val="none"/>
                <w:lang w:val="zh-CN"/>
              </w:rPr>
            </w:pPr>
            <w:r>
              <w:rPr>
                <w:rFonts w:hint="eastAsia" w:ascii="宋体" w:hAnsi="宋体" w:cs="宋体"/>
                <w:bCs/>
                <w:szCs w:val="21"/>
                <w:highlight w:val="none"/>
                <w:lang w:val="zh-CN"/>
              </w:rPr>
              <w:t>采购代理机构按如下标准收取代理服务费：</w:t>
            </w:r>
          </w:p>
          <w:p w14:paraId="28EA9B6B">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eastAsia="宋体" w:cs="宋体"/>
                <w:bCs/>
                <w:color w:val="auto"/>
                <w:szCs w:val="21"/>
              </w:rPr>
            </w:pPr>
            <w:r>
              <w:rPr>
                <w:rFonts w:hint="eastAsia" w:ascii="宋体" w:hAnsi="宋体" w:cs="宋体"/>
                <w:bCs/>
                <w:szCs w:val="21"/>
                <w:highlight w:val="none"/>
              </w:rPr>
              <w:t>收费依据：</w:t>
            </w:r>
            <w:r>
              <w:rPr>
                <w:rFonts w:hint="eastAsia" w:ascii="宋体" w:hAnsi="宋体" w:cs="宋体"/>
                <w:bCs/>
                <w:szCs w:val="21"/>
                <w:highlight w:val="none"/>
                <w:lang w:val="en-US" w:eastAsia="zh-CN"/>
              </w:rPr>
              <w:t>按照国家发展改革委《关于进一步放开建设项目专业服务价格的通知》发改价格〔2015〕299号规定</w:t>
            </w:r>
            <w:r>
              <w:rPr>
                <w:rFonts w:hint="eastAsia" w:ascii="宋体" w:hAnsi="宋体" w:eastAsia="宋体" w:cs="宋体"/>
                <w:bCs/>
                <w:color w:val="auto"/>
                <w:szCs w:val="21"/>
              </w:rPr>
              <w:t>。</w:t>
            </w:r>
          </w:p>
          <w:p w14:paraId="3E56631C">
            <w:pPr>
              <w:keepNext w:val="0"/>
              <w:keepLines w:val="0"/>
              <w:pageBreakBefore w:val="0"/>
              <w:widowControl w:val="0"/>
              <w:kinsoku/>
              <w:wordWrap/>
              <w:overflowPunct/>
              <w:topLinePunct w:val="0"/>
              <w:autoSpaceDE/>
              <w:autoSpaceDN/>
              <w:bidi w:val="0"/>
              <w:spacing w:line="320" w:lineRule="exact"/>
              <w:jc w:val="left"/>
              <w:textAlignment w:val="auto"/>
              <w:rPr>
                <w:rFonts w:ascii="宋体" w:hAnsi="宋体" w:cs="宋体"/>
                <w:bCs/>
                <w:sz w:val="21"/>
                <w:szCs w:val="21"/>
                <w:highlight w:val="none"/>
              </w:rPr>
            </w:pPr>
            <w:r>
              <w:rPr>
                <w:rFonts w:hint="eastAsia" w:ascii="宋体" w:hAnsi="宋体" w:cs="宋体"/>
                <w:bCs/>
                <w:sz w:val="21"/>
                <w:szCs w:val="21"/>
                <w:highlight w:val="none"/>
              </w:rPr>
              <w:t>收取对象：</w:t>
            </w:r>
            <w:r>
              <w:rPr>
                <w:rFonts w:hint="eastAsia" w:ascii="宋体" w:hAnsi="宋体" w:cs="宋体"/>
                <w:bCs/>
                <w:sz w:val="21"/>
                <w:szCs w:val="21"/>
                <w:highlight w:val="none"/>
                <w:lang w:val="en-US" w:eastAsia="zh-CN"/>
              </w:rPr>
              <w:t>成交供应商</w:t>
            </w:r>
            <w:r>
              <w:rPr>
                <w:rFonts w:hint="eastAsia" w:ascii="宋体" w:hAnsi="宋体" w:cs="宋体"/>
                <w:bCs/>
                <w:sz w:val="21"/>
                <w:szCs w:val="21"/>
                <w:highlight w:val="none"/>
                <w:lang w:val="zh-CN"/>
              </w:rPr>
              <w:t>领取</w:t>
            </w:r>
            <w:r>
              <w:rPr>
                <w:rFonts w:hint="eastAsia" w:ascii="宋体" w:hAnsi="宋体" w:cs="宋体"/>
                <w:bCs/>
                <w:sz w:val="21"/>
                <w:szCs w:val="21"/>
                <w:highlight w:val="none"/>
                <w:lang w:val="en-US" w:eastAsia="zh-CN"/>
              </w:rPr>
              <w:t>成交</w:t>
            </w:r>
            <w:r>
              <w:rPr>
                <w:rFonts w:hint="eastAsia" w:ascii="宋体" w:hAnsi="宋体" w:cs="宋体"/>
                <w:bCs/>
                <w:sz w:val="21"/>
                <w:szCs w:val="21"/>
                <w:highlight w:val="none"/>
                <w:lang w:val="zh-CN"/>
              </w:rPr>
              <w:t>通知书时一次性支付</w:t>
            </w:r>
            <w:r>
              <w:rPr>
                <w:rFonts w:hint="eastAsia" w:ascii="宋体" w:hAnsi="宋体" w:cs="宋体"/>
                <w:bCs/>
                <w:sz w:val="21"/>
                <w:szCs w:val="21"/>
                <w:highlight w:val="none"/>
              </w:rPr>
              <w:t>。</w:t>
            </w:r>
          </w:p>
          <w:p w14:paraId="31F2CC35">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b w:val="0"/>
                <w:bCs/>
                <w:sz w:val="21"/>
                <w:szCs w:val="21"/>
                <w:highlight w:val="none"/>
                <w:lang w:val="en-US" w:eastAsia="zh-CN"/>
              </w:rPr>
            </w:pPr>
            <w:r>
              <w:rPr>
                <w:rFonts w:hint="eastAsia" w:ascii="宋体" w:hAnsi="宋体" w:cs="宋体"/>
                <w:bCs/>
                <w:sz w:val="21"/>
                <w:szCs w:val="21"/>
                <w:highlight w:val="none"/>
              </w:rPr>
              <w:t>收取</w:t>
            </w:r>
            <w:r>
              <w:rPr>
                <w:rFonts w:hint="eastAsia" w:ascii="宋体" w:hAnsi="宋体" w:cs="宋体"/>
                <w:b w:val="0"/>
                <w:bCs/>
                <w:sz w:val="21"/>
                <w:szCs w:val="21"/>
                <w:highlight w:val="none"/>
                <w:lang w:val="en-US" w:eastAsia="zh-CN"/>
              </w:rPr>
              <w:t>金额：35400元</w:t>
            </w:r>
          </w:p>
          <w:p w14:paraId="4E27A3A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b/>
                <w:sz w:val="21"/>
                <w:szCs w:val="21"/>
                <w:highlight w:val="none"/>
              </w:rPr>
            </w:pPr>
            <w:r>
              <w:rPr>
                <w:rFonts w:hint="eastAsia" w:ascii="宋体" w:hAnsi="宋体" w:eastAsia="宋体" w:cs="宋体"/>
                <w:b/>
                <w:bCs w:val="0"/>
                <w:color w:val="auto"/>
                <w:szCs w:val="21"/>
              </w:rPr>
              <w:t>账号名称</w:t>
            </w:r>
            <w:r>
              <w:rPr>
                <w:rFonts w:hint="eastAsia" w:ascii="宋体" w:hAnsi="宋体" w:cs="宋体"/>
                <w:b/>
                <w:sz w:val="21"/>
                <w:szCs w:val="21"/>
                <w:highlight w:val="none"/>
              </w:rPr>
              <w:t>：</w:t>
            </w:r>
            <w:r>
              <w:rPr>
                <w:rFonts w:hint="eastAsia" w:ascii="宋体" w:hAnsi="宋体" w:cs="宋体"/>
                <w:b/>
                <w:sz w:val="21"/>
                <w:szCs w:val="21"/>
                <w:highlight w:val="none"/>
                <w:lang w:val="zh-CN" w:eastAsia="zh-CN"/>
              </w:rPr>
              <w:t>吉林省海创科建工程咨询有限公司</w:t>
            </w:r>
          </w:p>
          <w:p w14:paraId="561BC1D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b/>
                <w:sz w:val="21"/>
                <w:szCs w:val="21"/>
                <w:highlight w:val="none"/>
              </w:rPr>
            </w:pPr>
            <w:r>
              <w:rPr>
                <w:rFonts w:hint="eastAsia" w:ascii="宋体" w:hAnsi="宋体" w:cs="宋体"/>
                <w:b/>
                <w:sz w:val="21"/>
                <w:szCs w:val="21"/>
                <w:highlight w:val="none"/>
              </w:rPr>
              <w:t>开户行名称：</w:t>
            </w:r>
            <w:r>
              <w:rPr>
                <w:rFonts w:hint="eastAsia" w:ascii="宋体" w:hAnsi="宋体" w:cs="宋体"/>
                <w:b/>
                <w:sz w:val="21"/>
                <w:szCs w:val="21"/>
                <w:highlight w:val="none"/>
                <w:lang w:val="en-US" w:eastAsia="zh-CN"/>
              </w:rPr>
              <w:t>上海浦东发展银行长春临河街支行</w:t>
            </w:r>
          </w:p>
          <w:p w14:paraId="5250B2C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sz w:val="21"/>
                <w:szCs w:val="21"/>
                <w:highlight w:val="none"/>
              </w:rPr>
            </w:pPr>
            <w:r>
              <w:rPr>
                <w:rFonts w:hint="eastAsia" w:ascii="宋体" w:hAnsi="宋体" w:cs="宋体"/>
                <w:b/>
                <w:sz w:val="21"/>
                <w:szCs w:val="21"/>
                <w:highlight w:val="none"/>
              </w:rPr>
              <w:t>账号：</w:t>
            </w:r>
            <w:r>
              <w:rPr>
                <w:rFonts w:hint="eastAsia" w:ascii="宋体" w:hAnsi="宋体" w:cs="宋体"/>
                <w:b/>
                <w:sz w:val="21"/>
                <w:szCs w:val="21"/>
                <w:highlight w:val="none"/>
                <w:lang w:val="en-US" w:eastAsia="zh-CN"/>
              </w:rPr>
              <w:t>61060078801000000940</w:t>
            </w:r>
          </w:p>
          <w:p w14:paraId="4E1A973D">
            <w:pPr>
              <w:keepNext w:val="0"/>
              <w:keepLines w:val="0"/>
              <w:pageBreakBefore w:val="0"/>
              <w:widowControl w:val="0"/>
              <w:kinsoku/>
              <w:wordWrap/>
              <w:overflowPunct/>
              <w:topLinePunct w:val="0"/>
              <w:autoSpaceDE/>
              <w:autoSpaceDN/>
              <w:bidi w:val="0"/>
              <w:spacing w:line="320" w:lineRule="exact"/>
              <w:jc w:val="left"/>
              <w:textAlignment w:val="auto"/>
              <w:rPr>
                <w:rFonts w:ascii="宋体" w:hAnsi="宋体" w:cs="宋体"/>
                <w:bCs/>
                <w:szCs w:val="21"/>
                <w:highlight w:val="none"/>
              </w:rPr>
            </w:pPr>
            <w:r>
              <w:rPr>
                <w:rFonts w:hint="eastAsia" w:ascii="宋体" w:hAnsi="宋体" w:cs="宋体"/>
                <w:bCs/>
                <w:szCs w:val="21"/>
                <w:highlight w:val="none"/>
              </w:rPr>
              <w:t>代理服务费以现金或公对公转账方式均可。</w:t>
            </w:r>
          </w:p>
        </w:tc>
      </w:tr>
      <w:tr w14:paraId="282C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138" w:type="dxa"/>
            <w:vAlign w:val="center"/>
          </w:tcPr>
          <w:p w14:paraId="623A1DE7">
            <w:pPr>
              <w:autoSpaceDE w:val="0"/>
              <w:autoSpaceDN w:val="0"/>
              <w:adjustRightInd w:val="0"/>
              <w:spacing w:line="320" w:lineRule="exact"/>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auto"/>
                <w:szCs w:val="21"/>
                <w:lang w:val="en-US" w:eastAsia="zh-CN"/>
              </w:rPr>
              <w:t>10.2</w:t>
            </w:r>
          </w:p>
        </w:tc>
        <w:tc>
          <w:tcPr>
            <w:tcW w:w="2351" w:type="dxa"/>
            <w:vAlign w:val="center"/>
          </w:tcPr>
          <w:p w14:paraId="6E417B2B">
            <w:pPr>
              <w:pageBreakBefore w:val="0"/>
              <w:widowControl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w:t>
            </w:r>
            <w:r>
              <w:rPr>
                <w:rFonts w:hint="eastAsia" w:ascii="宋体" w:hAnsi="宋体" w:eastAsia="宋体" w:cs="宋体"/>
                <w:color w:val="auto"/>
                <w:sz w:val="21"/>
                <w:szCs w:val="21"/>
                <w:lang w:eastAsia="zh-CN"/>
              </w:rPr>
              <w:t>响应文件</w:t>
            </w:r>
            <w:r>
              <w:rPr>
                <w:rFonts w:hint="eastAsia" w:ascii="宋体" w:hAnsi="宋体" w:eastAsia="宋体" w:cs="宋体"/>
              </w:rPr>
              <w:t>工程项目</w:t>
            </w:r>
            <w:r>
              <w:rPr>
                <w:rFonts w:hint="eastAsia" w:ascii="宋体" w:hAnsi="宋体" w:eastAsia="宋体" w:cs="宋体"/>
                <w:color w:val="auto"/>
                <w:sz w:val="21"/>
                <w:szCs w:val="21"/>
              </w:rPr>
              <w:t>编制及报送要求</w:t>
            </w:r>
          </w:p>
          <w:p w14:paraId="27F626B5">
            <w:pPr>
              <w:spacing w:line="320" w:lineRule="exact"/>
              <w:jc w:val="left"/>
              <w:rPr>
                <w:rFonts w:hint="eastAsia" w:ascii="宋体" w:hAnsi="宋体" w:cs="宋体"/>
                <w:bCs/>
                <w:kern w:val="15"/>
                <w:szCs w:val="21"/>
                <w:highlight w:val="none"/>
              </w:rPr>
            </w:pPr>
          </w:p>
        </w:tc>
        <w:tc>
          <w:tcPr>
            <w:tcW w:w="6302" w:type="dxa"/>
            <w:vAlign w:val="center"/>
          </w:tcPr>
          <w:p w14:paraId="2D558CB4">
            <w:pPr>
              <w:spacing w:line="320" w:lineRule="exact"/>
              <w:jc w:val="left"/>
              <w:rPr>
                <w:rFonts w:hint="eastAsia" w:ascii="宋体" w:hAnsi="宋体" w:eastAsia="宋体" w:cs="宋体"/>
                <w:bCs/>
                <w:color w:val="auto"/>
                <w:szCs w:val="21"/>
              </w:rPr>
            </w:pPr>
            <w:r>
              <w:rPr>
                <w:rFonts w:hint="eastAsia" w:ascii="宋体" w:hAnsi="宋体" w:eastAsia="宋体" w:cs="宋体"/>
                <w:bCs/>
                <w:color w:val="auto"/>
                <w:szCs w:val="21"/>
              </w:rPr>
              <w:t>一、</w:t>
            </w:r>
            <w:r>
              <w:rPr>
                <w:rFonts w:hint="eastAsia" w:ascii="宋体" w:hAnsi="宋体" w:eastAsia="宋体" w:cs="宋体"/>
                <w:bCs/>
                <w:color w:val="auto"/>
                <w:szCs w:val="21"/>
                <w:lang w:val="en-US" w:eastAsia="zh-CN"/>
              </w:rPr>
              <w:t>供应商</w:t>
            </w:r>
            <w:r>
              <w:rPr>
                <w:rFonts w:hint="eastAsia" w:ascii="宋体" w:hAnsi="宋体" w:eastAsia="宋体" w:cs="宋体"/>
                <w:bCs/>
                <w:color w:val="auto"/>
                <w:szCs w:val="21"/>
              </w:rPr>
              <w:t>应按</w:t>
            </w:r>
            <w:r>
              <w:rPr>
                <w:rFonts w:hint="eastAsia" w:ascii="宋体" w:hAnsi="宋体" w:eastAsia="宋体" w:cs="宋体"/>
                <w:bCs/>
                <w:color w:val="auto"/>
                <w:szCs w:val="21"/>
                <w:lang w:val="en-US" w:eastAsia="zh-CN"/>
              </w:rPr>
              <w:t>磋商文件</w:t>
            </w:r>
            <w:r>
              <w:rPr>
                <w:rFonts w:hint="eastAsia" w:ascii="宋体" w:hAnsi="宋体" w:eastAsia="宋体" w:cs="宋体"/>
                <w:bCs/>
                <w:color w:val="auto"/>
                <w:szCs w:val="21"/>
              </w:rPr>
              <w:t>要求编制</w:t>
            </w:r>
            <w:r>
              <w:rPr>
                <w:rFonts w:hint="eastAsia" w:ascii="宋体" w:hAnsi="宋体" w:eastAsia="宋体" w:cs="宋体"/>
                <w:bCs/>
                <w:color w:val="auto"/>
                <w:szCs w:val="21"/>
                <w:lang w:val="en-US" w:eastAsia="zh-CN"/>
              </w:rPr>
              <w:t>响应</w:t>
            </w:r>
            <w:r>
              <w:rPr>
                <w:rFonts w:hint="eastAsia" w:ascii="宋体" w:hAnsi="宋体" w:eastAsia="宋体" w:cs="宋体"/>
                <w:bCs/>
                <w:color w:val="auto"/>
                <w:szCs w:val="21"/>
              </w:rPr>
              <w:t>文件，将所有</w:t>
            </w:r>
            <w:r>
              <w:rPr>
                <w:rFonts w:hint="eastAsia" w:ascii="宋体" w:hAnsi="宋体" w:eastAsia="宋体" w:cs="宋体"/>
                <w:bCs/>
                <w:color w:val="auto"/>
                <w:szCs w:val="21"/>
                <w:lang w:val="en-US" w:eastAsia="zh-CN"/>
              </w:rPr>
              <w:t>响应</w:t>
            </w:r>
            <w:r>
              <w:rPr>
                <w:rFonts w:hint="eastAsia" w:ascii="宋体" w:hAnsi="宋体" w:eastAsia="宋体" w:cs="宋体"/>
                <w:bCs/>
                <w:color w:val="auto"/>
                <w:szCs w:val="21"/>
              </w:rPr>
              <w:t>文件内容上传至“政采云”平台。</w:t>
            </w:r>
          </w:p>
          <w:p w14:paraId="4803A3B7">
            <w:pPr>
              <w:spacing w:line="320" w:lineRule="exact"/>
              <w:jc w:val="left"/>
              <w:rPr>
                <w:rFonts w:hint="eastAsia" w:ascii="宋体" w:hAnsi="宋体" w:eastAsia="宋体" w:cs="宋体"/>
                <w:bCs/>
                <w:color w:val="auto"/>
                <w:szCs w:val="21"/>
              </w:rPr>
            </w:pPr>
            <w:r>
              <w:rPr>
                <w:rFonts w:hint="eastAsia" w:ascii="宋体" w:hAnsi="宋体" w:eastAsia="宋体" w:cs="宋体"/>
                <w:bCs/>
                <w:color w:val="auto"/>
                <w:szCs w:val="21"/>
              </w:rPr>
              <w:t>二、</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中反映</w:t>
            </w: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资格审查的图片、扫描件、文字描述等，必须清晰可见。其中所有证书和执照必须为原件扫描。</w:t>
            </w:r>
          </w:p>
          <w:p w14:paraId="47420722">
            <w:pPr>
              <w:spacing w:line="320" w:lineRule="exact"/>
              <w:jc w:val="left"/>
              <w:rPr>
                <w:rFonts w:hint="eastAsia" w:ascii="宋体" w:hAnsi="宋体" w:eastAsia="宋体" w:cs="宋体"/>
                <w:bCs/>
                <w:color w:val="auto"/>
                <w:szCs w:val="21"/>
              </w:rPr>
            </w:pPr>
            <w:r>
              <w:rPr>
                <w:rFonts w:hint="eastAsia" w:ascii="宋体" w:hAnsi="宋体" w:eastAsia="宋体" w:cs="宋体"/>
                <w:bCs/>
                <w:color w:val="auto"/>
                <w:szCs w:val="21"/>
              </w:rPr>
              <w:t>三、若</w:t>
            </w: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上传的电子</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因无法解密而对</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无法进行评价的，采购人可以拒绝该</w:t>
            </w: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投标。</w:t>
            </w:r>
          </w:p>
          <w:p w14:paraId="1A7E9582">
            <w:pPr>
              <w:spacing w:line="320" w:lineRule="exact"/>
              <w:jc w:val="left"/>
              <w:rPr>
                <w:rFonts w:hint="eastAsia" w:ascii="宋体" w:hAnsi="宋体" w:eastAsia="宋体" w:cs="宋体"/>
                <w:bCs/>
                <w:color w:val="auto"/>
                <w:szCs w:val="21"/>
              </w:rPr>
            </w:pPr>
            <w:r>
              <w:rPr>
                <w:rFonts w:hint="eastAsia" w:ascii="宋体" w:hAnsi="宋体" w:eastAsia="宋体" w:cs="宋体"/>
                <w:bCs/>
                <w:color w:val="auto"/>
                <w:szCs w:val="21"/>
              </w:rPr>
              <w:t>四、未进行网上注册并办理数字证书（CA认证）的</w:t>
            </w: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将无法参与本项目政府采购活动，潜在</w:t>
            </w: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应当在投标截止时间前，完成电子交易平台上的CA数字证书办理及</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的提交。</w:t>
            </w:r>
          </w:p>
          <w:p w14:paraId="691B9B25">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bCs/>
                <w:szCs w:val="21"/>
                <w:highlight w:val="none"/>
              </w:rPr>
            </w:pPr>
            <w:r>
              <w:rPr>
                <w:rFonts w:hint="eastAsia" w:ascii="宋体" w:hAnsi="宋体" w:eastAsia="宋体" w:cs="宋体"/>
                <w:bCs/>
                <w:color w:val="auto"/>
                <w:szCs w:val="21"/>
              </w:rPr>
              <w:t>五、</w:t>
            </w: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应当在投标截止时间前完成电子</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的上传、递交，投标截止时间前可以补充、修改或者撤回</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。补充或者修改</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的，应当先行撤回原文件，补充、修改后重新上传、递交。投标截止时间前未完成上传、递交的，视为撤回</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。投标截止时间以后上传递交的</w:t>
            </w:r>
            <w:r>
              <w:rPr>
                <w:rFonts w:hint="eastAsia" w:ascii="宋体" w:hAnsi="宋体" w:eastAsia="宋体" w:cs="宋体"/>
                <w:bCs/>
                <w:color w:val="auto"/>
                <w:szCs w:val="21"/>
                <w:lang w:eastAsia="zh-CN"/>
              </w:rPr>
              <w:t>响应文件</w:t>
            </w:r>
            <w:r>
              <w:rPr>
                <w:rFonts w:hint="eastAsia" w:ascii="宋体" w:hAnsi="宋体" w:eastAsia="宋体" w:cs="宋体"/>
                <w:bCs/>
                <w:color w:val="auto"/>
                <w:szCs w:val="21"/>
              </w:rPr>
              <w:t>“政采云”平台将予以拒收。</w:t>
            </w:r>
          </w:p>
        </w:tc>
      </w:tr>
      <w:tr w14:paraId="398F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38" w:type="dxa"/>
            <w:vAlign w:val="center"/>
          </w:tcPr>
          <w:p w14:paraId="4A2CB49D">
            <w:pPr>
              <w:autoSpaceDE w:val="0"/>
              <w:autoSpaceDN w:val="0"/>
              <w:adjustRightInd w:val="0"/>
              <w:spacing w:line="320" w:lineRule="exact"/>
              <w:jc w:val="center"/>
              <w:rPr>
                <w:rFonts w:hint="default" w:ascii="宋体" w:hAnsi="宋体" w:eastAsia="宋体" w:cs="宋体"/>
                <w:bCs/>
                <w:kern w:val="2"/>
                <w:sz w:val="21"/>
                <w:szCs w:val="21"/>
                <w:highlight w:val="none"/>
                <w:lang w:val="en-US" w:eastAsia="zh-CN" w:bidi="ar-SA"/>
              </w:rPr>
            </w:pPr>
            <w:r>
              <w:rPr>
                <w:rFonts w:hint="eastAsia" w:ascii="宋体" w:hAnsi="宋体" w:eastAsia="宋体" w:cs="宋体"/>
                <w:bCs/>
                <w:color w:val="auto"/>
                <w:szCs w:val="21"/>
                <w:lang w:val="en-US" w:eastAsia="zh-CN"/>
              </w:rPr>
              <w:t>10.</w:t>
            </w:r>
            <w:r>
              <w:rPr>
                <w:rFonts w:hint="eastAsia" w:ascii="宋体" w:hAnsi="宋体" w:cs="宋体"/>
                <w:bCs/>
                <w:color w:val="auto"/>
                <w:szCs w:val="21"/>
                <w:lang w:val="en-US" w:eastAsia="zh-CN"/>
              </w:rPr>
              <w:t>3</w:t>
            </w:r>
          </w:p>
        </w:tc>
        <w:tc>
          <w:tcPr>
            <w:tcW w:w="2351" w:type="dxa"/>
            <w:vAlign w:val="center"/>
          </w:tcPr>
          <w:p w14:paraId="6D1E93EF">
            <w:pPr>
              <w:adjustRightInd w:val="0"/>
              <w:snapToGrid w:val="0"/>
              <w:spacing w:before="98" w:beforeLines="20" w:after="98" w:afterLines="20"/>
              <w:jc w:val="left"/>
              <w:rPr>
                <w:rFonts w:ascii="宋体" w:hAnsi="宋体" w:cs="宋体"/>
                <w:bCs/>
                <w:kern w:val="15"/>
                <w:szCs w:val="21"/>
                <w:highlight w:val="none"/>
              </w:rPr>
            </w:pPr>
            <w:r>
              <w:rPr>
                <w:rFonts w:hint="eastAsia" w:ascii="宋体" w:hAnsi="宋体" w:cs="宋体"/>
                <w:bCs/>
                <w:kern w:val="15"/>
                <w:szCs w:val="21"/>
                <w:highlight w:val="none"/>
              </w:rPr>
              <w:t>合同类型</w:t>
            </w:r>
          </w:p>
        </w:tc>
        <w:tc>
          <w:tcPr>
            <w:tcW w:w="6302" w:type="dxa"/>
            <w:vAlign w:val="center"/>
          </w:tcPr>
          <w:p w14:paraId="1845AE52">
            <w:pPr>
              <w:adjustRightInd w:val="0"/>
              <w:snapToGrid w:val="0"/>
              <w:spacing w:before="98" w:beforeLines="20" w:after="98" w:afterLines="20"/>
              <w:jc w:val="left"/>
              <w:rPr>
                <w:rFonts w:ascii="宋体" w:hAnsi="宋体" w:cs="宋体"/>
                <w:bCs/>
                <w:szCs w:val="21"/>
                <w:highlight w:val="none"/>
              </w:rPr>
            </w:pPr>
            <w:r>
              <w:rPr>
                <w:rFonts w:hint="eastAsia" w:ascii="宋体" w:hAnsi="宋体" w:cs="宋体"/>
                <w:szCs w:val="21"/>
                <w:highlight w:val="none"/>
              </w:rPr>
              <w:t>固定综合单价合同</w:t>
            </w:r>
          </w:p>
        </w:tc>
      </w:tr>
      <w:tr w14:paraId="73B9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8" w:type="dxa"/>
            <w:vAlign w:val="center"/>
          </w:tcPr>
          <w:p w14:paraId="4F2CB48D">
            <w:pPr>
              <w:autoSpaceDE w:val="0"/>
              <w:autoSpaceDN w:val="0"/>
              <w:adjustRightInd w:val="0"/>
              <w:spacing w:line="32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auto"/>
                <w:szCs w:val="21"/>
                <w:lang w:val="en-US" w:eastAsia="zh-CN"/>
              </w:rPr>
              <w:t>10.4</w:t>
            </w:r>
          </w:p>
        </w:tc>
        <w:tc>
          <w:tcPr>
            <w:tcW w:w="2351" w:type="dxa"/>
            <w:vAlign w:val="center"/>
          </w:tcPr>
          <w:p w14:paraId="38961A36">
            <w:pPr>
              <w:adjustRightInd w:val="0"/>
              <w:snapToGrid w:val="0"/>
              <w:spacing w:before="98" w:beforeLines="20" w:after="98" w:afterLines="20"/>
              <w:jc w:val="left"/>
              <w:rPr>
                <w:rFonts w:hint="eastAsia" w:ascii="宋体" w:hAnsi="宋体" w:eastAsia="宋体" w:cs="宋体"/>
                <w:bCs/>
                <w:kern w:val="15"/>
                <w:szCs w:val="21"/>
                <w:highlight w:val="none"/>
              </w:rPr>
            </w:pPr>
            <w:r>
              <w:rPr>
                <w:rFonts w:hint="eastAsia" w:ascii="宋体" w:hAnsi="宋体" w:eastAsia="宋体" w:cs="宋体"/>
                <w:bCs/>
                <w:kern w:val="15"/>
                <w:szCs w:val="21"/>
                <w:highlight w:val="none"/>
              </w:rPr>
              <w:t>付款方式</w:t>
            </w:r>
          </w:p>
        </w:tc>
        <w:tc>
          <w:tcPr>
            <w:tcW w:w="6302" w:type="dxa"/>
            <w:vAlign w:val="center"/>
          </w:tcPr>
          <w:p w14:paraId="341D53E2">
            <w:pPr>
              <w:adjustRightInd w:val="0"/>
              <w:snapToGrid w:val="0"/>
              <w:spacing w:before="98" w:beforeLines="20" w:after="98" w:afterLines="20"/>
              <w:jc w:val="left"/>
              <w:rPr>
                <w:rFonts w:hint="eastAsia" w:ascii="宋体" w:hAnsi="宋体" w:eastAsia="宋体" w:cs="宋体"/>
                <w:bCs/>
                <w:kern w:val="15"/>
                <w:szCs w:val="21"/>
                <w:highlight w:val="none"/>
              </w:rPr>
            </w:pPr>
            <w:r>
              <w:rPr>
                <w:rFonts w:hint="eastAsia" w:ascii="宋体" w:hAnsi="宋体" w:eastAsia="宋体" w:cs="宋体"/>
                <w:bCs/>
                <w:kern w:val="15"/>
                <w:szCs w:val="21"/>
                <w:highlight w:val="none"/>
              </w:rPr>
              <w:t>分二次付款，一、合同签订后7日内支付合同价款的30%预付款（在支付预付款前，乙方应同时提供对应金额的预付款担保）二、工程验收合格后，经有资质的第三方公司出具结算报告，作为工程最终结算依据，并支付剩余全部工程款。</w:t>
            </w:r>
          </w:p>
        </w:tc>
      </w:tr>
      <w:tr w14:paraId="70D0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8" w:type="dxa"/>
            <w:vAlign w:val="center"/>
          </w:tcPr>
          <w:p w14:paraId="6527320B">
            <w:pPr>
              <w:autoSpaceDE w:val="0"/>
              <w:autoSpaceDN w:val="0"/>
              <w:adjustRightInd w:val="0"/>
              <w:spacing w:line="32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auto"/>
                <w:szCs w:val="21"/>
                <w:lang w:val="en-US" w:eastAsia="zh-CN"/>
              </w:rPr>
              <w:t>10.5</w:t>
            </w:r>
          </w:p>
        </w:tc>
        <w:tc>
          <w:tcPr>
            <w:tcW w:w="2351" w:type="dxa"/>
            <w:vAlign w:val="center"/>
          </w:tcPr>
          <w:p w14:paraId="112F4FB1">
            <w:pPr>
              <w:pStyle w:val="51"/>
              <w:widowControl/>
              <w:adjustRightInd w:val="0"/>
              <w:snapToGrid w:val="0"/>
              <w:spacing w:line="288" w:lineRule="auto"/>
              <w:jc w:val="left"/>
              <w:rPr>
                <w:rFonts w:ascii="宋体" w:hAnsi="宋体" w:cs="宋体"/>
                <w:bCs/>
                <w:szCs w:val="21"/>
                <w:highlight w:val="none"/>
              </w:rPr>
            </w:pPr>
            <w:r>
              <w:rPr>
                <w:rFonts w:hint="eastAsia" w:ascii="宋体" w:hAnsi="宋体" w:cs="宋体"/>
                <w:bCs/>
                <w:szCs w:val="21"/>
                <w:highlight w:val="none"/>
              </w:rPr>
              <w:t>质量保证金</w:t>
            </w:r>
          </w:p>
        </w:tc>
        <w:tc>
          <w:tcPr>
            <w:tcW w:w="6302" w:type="dxa"/>
            <w:vAlign w:val="center"/>
          </w:tcPr>
          <w:p w14:paraId="2C3071B9">
            <w:pPr>
              <w:pStyle w:val="51"/>
              <w:widowControl/>
              <w:adjustRightInd w:val="0"/>
              <w:snapToGrid w:val="0"/>
              <w:spacing w:line="288" w:lineRule="auto"/>
              <w:jc w:val="left"/>
              <w:rPr>
                <w:rFonts w:hint="eastAsia" w:ascii="宋体" w:hAnsi="宋体" w:eastAsia="宋体" w:cs="宋体"/>
                <w:bCs/>
                <w:kern w:val="15"/>
                <w:sz w:val="21"/>
                <w:szCs w:val="21"/>
                <w:highlight w:val="none"/>
                <w:lang w:val="en-US" w:eastAsia="zh-CN" w:bidi="ar-SA"/>
              </w:rPr>
            </w:pPr>
            <w:r>
              <w:rPr>
                <w:rFonts w:hint="eastAsia" w:ascii="宋体" w:hAnsi="宋体" w:eastAsia="宋体" w:cs="宋体"/>
                <w:bCs/>
                <w:kern w:val="15"/>
                <w:sz w:val="21"/>
                <w:szCs w:val="21"/>
                <w:highlight w:val="none"/>
                <w:lang w:val="en-US" w:eastAsia="zh-CN" w:bidi="ar-SA"/>
              </w:rPr>
              <w:t>在甲方支付剩余工程款前，乙方缴纳尾款的3%作为质保金。质保期满后一次性返还。</w:t>
            </w:r>
          </w:p>
        </w:tc>
      </w:tr>
      <w:tr w14:paraId="6348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8" w:type="dxa"/>
            <w:vAlign w:val="center"/>
          </w:tcPr>
          <w:p w14:paraId="5332FB1D">
            <w:pPr>
              <w:autoSpaceDE w:val="0"/>
              <w:autoSpaceDN w:val="0"/>
              <w:adjustRightInd w:val="0"/>
              <w:spacing w:line="32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auto"/>
                <w:szCs w:val="21"/>
                <w:lang w:val="en-US" w:eastAsia="zh-CN"/>
              </w:rPr>
              <w:t>10.6</w:t>
            </w:r>
          </w:p>
        </w:tc>
        <w:tc>
          <w:tcPr>
            <w:tcW w:w="2351" w:type="dxa"/>
            <w:vAlign w:val="center"/>
          </w:tcPr>
          <w:p w14:paraId="0CF99ED8">
            <w:pPr>
              <w:pStyle w:val="51"/>
              <w:widowControl/>
              <w:adjustRightInd w:val="0"/>
              <w:snapToGrid w:val="0"/>
              <w:spacing w:line="288" w:lineRule="auto"/>
              <w:jc w:val="left"/>
              <w:rPr>
                <w:rFonts w:ascii="宋体" w:hAnsi="宋体" w:cs="宋体"/>
                <w:bCs/>
                <w:szCs w:val="21"/>
                <w:highlight w:val="none"/>
              </w:rPr>
            </w:pPr>
            <w:r>
              <w:rPr>
                <w:rFonts w:hint="eastAsia" w:ascii="宋体" w:hAnsi="宋体" w:cs="宋体"/>
                <w:bCs/>
                <w:szCs w:val="21"/>
                <w:highlight w:val="none"/>
              </w:rPr>
              <w:t>中小企业行业划分类型</w:t>
            </w:r>
          </w:p>
        </w:tc>
        <w:tc>
          <w:tcPr>
            <w:tcW w:w="6302" w:type="dxa"/>
            <w:vAlign w:val="center"/>
          </w:tcPr>
          <w:p w14:paraId="1342D126">
            <w:pPr>
              <w:pStyle w:val="51"/>
              <w:widowControl/>
              <w:adjustRightInd w:val="0"/>
              <w:snapToGrid w:val="0"/>
              <w:spacing w:line="288" w:lineRule="auto"/>
              <w:jc w:val="left"/>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建筑业</w:t>
            </w:r>
          </w:p>
        </w:tc>
      </w:tr>
      <w:tr w14:paraId="5792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8" w:type="dxa"/>
            <w:vAlign w:val="center"/>
          </w:tcPr>
          <w:p w14:paraId="67FCF662">
            <w:pPr>
              <w:autoSpaceDE w:val="0"/>
              <w:autoSpaceDN w:val="0"/>
              <w:adjustRightInd w:val="0"/>
              <w:spacing w:line="32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10.7</w:t>
            </w:r>
          </w:p>
        </w:tc>
        <w:tc>
          <w:tcPr>
            <w:tcW w:w="2351" w:type="dxa"/>
            <w:vAlign w:val="center"/>
          </w:tcPr>
          <w:p w14:paraId="7A196A40">
            <w:pPr>
              <w:pStyle w:val="51"/>
              <w:widowControl/>
              <w:adjustRightInd w:val="0"/>
              <w:snapToGrid w:val="0"/>
              <w:spacing w:line="288" w:lineRule="auto"/>
              <w:jc w:val="left"/>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其他要求</w:t>
            </w:r>
          </w:p>
        </w:tc>
        <w:tc>
          <w:tcPr>
            <w:tcW w:w="6302" w:type="dxa"/>
            <w:vAlign w:val="center"/>
          </w:tcPr>
          <w:p w14:paraId="45115B4C">
            <w:pPr>
              <w:pStyle w:val="51"/>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cs="宋体"/>
                <w:bCs/>
                <w:kern w:val="0"/>
                <w:szCs w:val="21"/>
                <w:highlight w:val="none"/>
              </w:rPr>
            </w:pPr>
            <w:r>
              <w:rPr>
                <w:rFonts w:hint="eastAsia" w:ascii="宋体" w:hAnsi="宋体" w:eastAsia="宋体" w:cs="宋体"/>
                <w:b/>
                <w:color w:val="auto"/>
                <w:kern w:val="0"/>
                <w:szCs w:val="21"/>
              </w:rPr>
              <w:t>本项目采用两轮报价（包括首次报价），第二轮报价即最后报价。</w:t>
            </w:r>
          </w:p>
        </w:tc>
      </w:tr>
      <w:tr w14:paraId="11DA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8" w:type="dxa"/>
            <w:vAlign w:val="center"/>
          </w:tcPr>
          <w:p w14:paraId="76012753">
            <w:pPr>
              <w:autoSpaceDE w:val="0"/>
              <w:autoSpaceDN w:val="0"/>
              <w:adjustRightInd w:val="0"/>
              <w:spacing w:line="320" w:lineRule="exact"/>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10.8</w:t>
            </w:r>
          </w:p>
        </w:tc>
        <w:tc>
          <w:tcPr>
            <w:tcW w:w="2351" w:type="dxa"/>
            <w:vAlign w:val="center"/>
          </w:tcPr>
          <w:p w14:paraId="0D9D5DF3">
            <w:pPr>
              <w:autoSpaceDE w:val="0"/>
              <w:autoSpaceDN w:val="0"/>
              <w:adjustRightInd w:val="0"/>
              <w:spacing w:line="320" w:lineRule="exact"/>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类似业绩</w:t>
            </w:r>
          </w:p>
        </w:tc>
        <w:tc>
          <w:tcPr>
            <w:tcW w:w="6302" w:type="dxa"/>
            <w:vAlign w:val="center"/>
          </w:tcPr>
          <w:p w14:paraId="30F7AE09">
            <w:pPr>
              <w:pStyle w:val="51"/>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rPr>
              <w:t>类似业绩是指承担过与本招标项目结构</w:t>
            </w:r>
            <w:r>
              <w:rPr>
                <w:rFonts w:hint="eastAsia" w:ascii="宋体" w:hAnsi="宋体" w:cs="宋体"/>
                <w:b/>
                <w:color w:val="auto"/>
                <w:kern w:val="0"/>
                <w:szCs w:val="21"/>
                <w:lang w:val="en-US" w:eastAsia="zh-CN"/>
              </w:rPr>
              <w:t>或</w:t>
            </w:r>
            <w:r>
              <w:rPr>
                <w:rFonts w:hint="eastAsia" w:ascii="宋体" w:hAnsi="宋体" w:eastAsia="宋体" w:cs="宋体"/>
                <w:b/>
                <w:color w:val="auto"/>
                <w:kern w:val="0"/>
                <w:szCs w:val="21"/>
              </w:rPr>
              <w:t>用途类似</w:t>
            </w:r>
            <w:r>
              <w:rPr>
                <w:rFonts w:hint="eastAsia" w:ascii="宋体" w:hAnsi="宋体" w:cs="宋体"/>
                <w:b/>
                <w:color w:val="auto"/>
                <w:kern w:val="0"/>
                <w:szCs w:val="21"/>
                <w:lang w:val="en-US" w:eastAsia="zh-CN"/>
              </w:rPr>
              <w:t>的工程项目</w:t>
            </w:r>
            <w:r>
              <w:rPr>
                <w:rFonts w:hint="eastAsia" w:ascii="宋体" w:hAnsi="宋体" w:cs="宋体"/>
                <w:b/>
                <w:color w:val="auto"/>
                <w:kern w:val="0"/>
                <w:szCs w:val="21"/>
                <w:lang w:eastAsia="zh-CN"/>
              </w:rPr>
              <w:t>。</w:t>
            </w:r>
          </w:p>
        </w:tc>
      </w:tr>
      <w:tr w14:paraId="33C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1" w:type="dxa"/>
            <w:gridSpan w:val="3"/>
            <w:vAlign w:val="center"/>
          </w:tcPr>
          <w:p w14:paraId="7BDE1DB3">
            <w:pPr>
              <w:spacing w:line="320" w:lineRule="exact"/>
              <w:jc w:val="center"/>
              <w:rPr>
                <w:rFonts w:ascii="宋体" w:hAnsi="宋体" w:cs="宋体"/>
                <w:bCs/>
                <w:szCs w:val="21"/>
                <w:highlight w:val="none"/>
                <w:lang w:val="zh-CN"/>
              </w:rPr>
            </w:pPr>
            <w:r>
              <w:rPr>
                <w:rFonts w:hint="eastAsia" w:ascii="宋体" w:hAnsi="宋体" w:cs="宋体"/>
                <w:bCs/>
                <w:szCs w:val="21"/>
                <w:highlight w:val="none"/>
                <w:lang w:val="zh-CN"/>
              </w:rPr>
              <w:t>竞争性磋商公告与竞争性磋商文件有不一致处，以竞争性磋商文件为准。</w:t>
            </w:r>
          </w:p>
        </w:tc>
      </w:tr>
    </w:tbl>
    <w:p w14:paraId="22261365">
      <w:pPr>
        <w:autoSpaceDE w:val="0"/>
        <w:autoSpaceDN w:val="0"/>
        <w:adjustRightInd w:val="0"/>
        <w:snapToGrid w:val="0"/>
        <w:spacing w:after="245" w:afterLines="50"/>
        <w:jc w:val="center"/>
        <w:outlineLvl w:val="9"/>
        <w:rPr>
          <w:rFonts w:ascii="宋体" w:hAnsi="宋体" w:cs="宋体"/>
          <w:b/>
          <w:szCs w:val="21"/>
          <w:highlight w:val="none"/>
          <w:lang w:val="zh-CN"/>
        </w:rPr>
        <w:sectPr>
          <w:footerReference r:id="rId10" w:type="default"/>
          <w:pgSz w:w="11906" w:h="16838"/>
          <w:pgMar w:top="1417" w:right="1417" w:bottom="1417" w:left="1417" w:header="851" w:footer="850" w:gutter="0"/>
          <w:pgNumType w:fmt="decimal" w:start="1"/>
          <w:cols w:space="0" w:num="1"/>
          <w:rtlGutter w:val="0"/>
          <w:docGrid w:linePitch="490" w:charSpace="0"/>
        </w:sectPr>
      </w:pPr>
    </w:p>
    <w:p w14:paraId="0E23124F">
      <w:pPr>
        <w:autoSpaceDE w:val="0"/>
        <w:autoSpaceDN w:val="0"/>
        <w:adjustRightInd w:val="0"/>
        <w:snapToGrid w:val="0"/>
        <w:spacing w:after="245" w:afterLines="50"/>
        <w:jc w:val="center"/>
        <w:outlineLvl w:val="1"/>
        <w:rPr>
          <w:rFonts w:ascii="宋体" w:hAnsi="宋体" w:cs="宋体"/>
          <w:kern w:val="0"/>
          <w:sz w:val="28"/>
          <w:szCs w:val="28"/>
          <w:highlight w:val="none"/>
        </w:rPr>
      </w:pPr>
      <w:bookmarkStart w:id="42" w:name="_Toc26328"/>
      <w:bookmarkStart w:id="43" w:name="_Toc8496"/>
      <w:r>
        <w:rPr>
          <w:rFonts w:hint="eastAsia" w:ascii="宋体" w:hAnsi="宋体" w:cs="宋体"/>
          <w:kern w:val="0"/>
          <w:sz w:val="28"/>
          <w:szCs w:val="28"/>
          <w:highlight w:val="none"/>
        </w:rPr>
        <w:t>（二）供应商须知</w:t>
      </w:r>
      <w:bookmarkEnd w:id="42"/>
      <w:bookmarkEnd w:id="43"/>
    </w:p>
    <w:p w14:paraId="6C1ADE34">
      <w:pPr>
        <w:numPr>
          <w:ilvl w:val="0"/>
          <w:numId w:val="1"/>
        </w:numPr>
        <w:autoSpaceDE w:val="0"/>
        <w:autoSpaceDN w:val="0"/>
        <w:adjustRightInd w:val="0"/>
        <w:spacing w:line="360" w:lineRule="auto"/>
        <w:outlineLvl w:val="2"/>
        <w:rPr>
          <w:rFonts w:ascii="宋体" w:hAnsi="宋体" w:cs="宋体"/>
          <w:kern w:val="0"/>
          <w:szCs w:val="21"/>
          <w:highlight w:val="none"/>
        </w:rPr>
      </w:pPr>
      <w:bookmarkStart w:id="44" w:name="_Toc21866"/>
      <w:bookmarkStart w:id="45" w:name="_Toc23205"/>
      <w:bookmarkStart w:id="46" w:name="_Toc195921793"/>
      <w:r>
        <w:rPr>
          <w:rFonts w:hint="eastAsia" w:ascii="宋体" w:hAnsi="宋体" w:cs="宋体"/>
          <w:kern w:val="0"/>
          <w:szCs w:val="21"/>
          <w:highlight w:val="none"/>
        </w:rPr>
        <w:t>总则</w:t>
      </w:r>
      <w:bookmarkEnd w:id="44"/>
      <w:bookmarkEnd w:id="45"/>
      <w:bookmarkEnd w:id="46"/>
    </w:p>
    <w:p w14:paraId="4DE949A8">
      <w:pPr>
        <w:numPr>
          <w:ilvl w:val="1"/>
          <w:numId w:val="1"/>
        </w:numPr>
        <w:autoSpaceDE w:val="0"/>
        <w:autoSpaceDN w:val="0"/>
        <w:adjustRightInd w:val="0"/>
        <w:snapToGrid w:val="0"/>
        <w:spacing w:line="360" w:lineRule="auto"/>
        <w:rPr>
          <w:rFonts w:ascii="宋体" w:hAnsi="宋体" w:cs="宋体"/>
          <w:kern w:val="0"/>
          <w:szCs w:val="21"/>
          <w:highlight w:val="none"/>
        </w:rPr>
      </w:pPr>
      <w:bookmarkStart w:id="47" w:name="_Toc195921794"/>
      <w:r>
        <w:rPr>
          <w:rFonts w:hint="eastAsia" w:ascii="宋体" w:hAnsi="宋体" w:cs="宋体"/>
          <w:kern w:val="0"/>
          <w:szCs w:val="21"/>
          <w:highlight w:val="none"/>
        </w:rPr>
        <w:t>项目概况</w:t>
      </w:r>
      <w:bookmarkEnd w:id="47"/>
    </w:p>
    <w:p w14:paraId="2C9E67D0">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根据《中华人民共和国政府采购法》和《政府采购竞争性磋商采购方式管理暂行办法》等有关法律、法规和规章的规定，对本项目进行招标。</w:t>
      </w:r>
    </w:p>
    <w:p w14:paraId="15B1B003">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采购人：</w:t>
      </w:r>
      <w:r>
        <w:rPr>
          <w:rFonts w:hint="eastAsia" w:ascii="宋体" w:hAnsi="宋体" w:cs="宋体"/>
          <w:szCs w:val="21"/>
          <w:highlight w:val="none"/>
        </w:rPr>
        <w:t>指依法进行政府采购的国家机关、事业单位、团体组织。本项目采购人见</w:t>
      </w:r>
      <w:r>
        <w:rPr>
          <w:rFonts w:hint="eastAsia" w:ascii="宋体" w:hAnsi="宋体" w:cs="宋体"/>
          <w:szCs w:val="21"/>
          <w:highlight w:val="none"/>
          <w:lang w:val="zh-CN"/>
        </w:rPr>
        <w:t>供应商须知前附表</w:t>
      </w:r>
      <w:r>
        <w:rPr>
          <w:rFonts w:hint="eastAsia" w:ascii="宋体" w:hAnsi="宋体" w:cs="宋体"/>
          <w:kern w:val="0"/>
          <w:szCs w:val="21"/>
          <w:highlight w:val="none"/>
        </w:rPr>
        <w:t>。</w:t>
      </w:r>
    </w:p>
    <w:p w14:paraId="7E4C7ABC">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采购代理机构：</w:t>
      </w:r>
      <w:r>
        <w:rPr>
          <w:rFonts w:hint="eastAsia" w:ascii="宋体" w:hAnsi="宋体" w:cs="宋体"/>
          <w:szCs w:val="21"/>
          <w:highlight w:val="none"/>
        </w:rPr>
        <w:t>指采购人委托的采购代理机构。本项目采购代理机构见</w:t>
      </w:r>
      <w:r>
        <w:rPr>
          <w:rFonts w:hint="eastAsia" w:ascii="宋体" w:hAnsi="宋体" w:cs="宋体"/>
          <w:szCs w:val="21"/>
          <w:highlight w:val="none"/>
          <w:lang w:val="zh-CN"/>
        </w:rPr>
        <w:t>供应商须知前附表</w:t>
      </w:r>
      <w:r>
        <w:rPr>
          <w:rFonts w:hint="eastAsia" w:ascii="宋体" w:hAnsi="宋体" w:cs="宋体"/>
          <w:kern w:val="0"/>
          <w:szCs w:val="21"/>
          <w:highlight w:val="none"/>
        </w:rPr>
        <w:t>。</w:t>
      </w:r>
    </w:p>
    <w:p w14:paraId="776E8C47">
      <w:pPr>
        <w:numPr>
          <w:ilvl w:val="2"/>
          <w:numId w:val="1"/>
        </w:numPr>
        <w:tabs>
          <w:tab w:val="left" w:pos="1260"/>
        </w:tabs>
        <w:autoSpaceDE w:val="0"/>
        <w:autoSpaceDN w:val="0"/>
        <w:adjustRightInd w:val="0"/>
        <w:snapToGrid w:val="0"/>
        <w:spacing w:line="360" w:lineRule="auto"/>
        <w:rPr>
          <w:rFonts w:ascii="宋体" w:hAnsi="宋体" w:cs="宋体"/>
          <w:szCs w:val="21"/>
          <w:highlight w:val="none"/>
        </w:rPr>
      </w:pPr>
      <w:r>
        <w:rPr>
          <w:rFonts w:hint="eastAsia" w:ascii="宋体" w:hAnsi="宋体" w:cs="宋体"/>
          <w:kern w:val="0"/>
          <w:szCs w:val="21"/>
          <w:highlight w:val="none"/>
        </w:rPr>
        <w:t>采购项目名称及编号：</w:t>
      </w:r>
      <w:r>
        <w:rPr>
          <w:rFonts w:hint="eastAsia" w:ascii="宋体" w:hAnsi="宋体" w:cs="宋体"/>
          <w:szCs w:val="21"/>
          <w:highlight w:val="none"/>
        </w:rPr>
        <w:t>见</w:t>
      </w:r>
      <w:r>
        <w:rPr>
          <w:rFonts w:hint="eastAsia" w:ascii="宋体" w:hAnsi="宋体" w:cs="宋体"/>
          <w:szCs w:val="21"/>
          <w:highlight w:val="none"/>
          <w:lang w:val="zh-CN"/>
        </w:rPr>
        <w:t>供应商须知前附表</w:t>
      </w:r>
      <w:r>
        <w:rPr>
          <w:rFonts w:hint="eastAsia" w:ascii="宋体" w:hAnsi="宋体" w:cs="宋体"/>
          <w:szCs w:val="21"/>
          <w:highlight w:val="none"/>
        </w:rPr>
        <w:t>。</w:t>
      </w:r>
    </w:p>
    <w:p w14:paraId="5521A93A">
      <w:pPr>
        <w:numPr>
          <w:ilvl w:val="1"/>
          <w:numId w:val="1"/>
        </w:numPr>
        <w:autoSpaceDE w:val="0"/>
        <w:autoSpaceDN w:val="0"/>
        <w:adjustRightInd w:val="0"/>
        <w:snapToGrid w:val="0"/>
        <w:spacing w:line="360" w:lineRule="auto"/>
        <w:rPr>
          <w:rFonts w:ascii="宋体" w:hAnsi="宋体" w:cs="宋体"/>
          <w:kern w:val="0"/>
          <w:szCs w:val="21"/>
          <w:highlight w:val="none"/>
        </w:rPr>
      </w:pPr>
      <w:bookmarkStart w:id="48" w:name="_Toc195921795"/>
      <w:r>
        <w:rPr>
          <w:rFonts w:hint="eastAsia" w:ascii="宋体" w:hAnsi="宋体" w:cs="宋体"/>
          <w:kern w:val="0"/>
          <w:szCs w:val="21"/>
          <w:highlight w:val="none"/>
        </w:rPr>
        <w:t>采购预算</w:t>
      </w:r>
      <w:bookmarkEnd w:id="48"/>
      <w:r>
        <w:rPr>
          <w:rFonts w:hint="eastAsia" w:ascii="宋体" w:hAnsi="宋体" w:cs="宋体"/>
          <w:kern w:val="0"/>
          <w:szCs w:val="21"/>
          <w:highlight w:val="none"/>
        </w:rPr>
        <w:t>：</w:t>
      </w:r>
      <w:r>
        <w:rPr>
          <w:rFonts w:hint="eastAsia" w:ascii="宋体" w:hAnsi="宋体" w:cs="宋体"/>
          <w:szCs w:val="21"/>
          <w:highlight w:val="none"/>
        </w:rPr>
        <w:t>见</w:t>
      </w:r>
      <w:r>
        <w:rPr>
          <w:rFonts w:hint="eastAsia" w:ascii="宋体" w:hAnsi="宋体" w:cs="宋体"/>
          <w:szCs w:val="21"/>
          <w:highlight w:val="none"/>
          <w:lang w:val="zh-CN"/>
        </w:rPr>
        <w:t>供应商须知前附表</w:t>
      </w:r>
      <w:r>
        <w:rPr>
          <w:rFonts w:hint="eastAsia" w:ascii="宋体" w:hAnsi="宋体" w:cs="宋体"/>
          <w:szCs w:val="21"/>
          <w:highlight w:val="none"/>
        </w:rPr>
        <w:t>。</w:t>
      </w:r>
    </w:p>
    <w:p w14:paraId="4EFF4414">
      <w:pPr>
        <w:numPr>
          <w:ilvl w:val="1"/>
          <w:numId w:val="1"/>
        </w:numPr>
        <w:autoSpaceDE w:val="0"/>
        <w:autoSpaceDN w:val="0"/>
        <w:adjustRightInd w:val="0"/>
        <w:snapToGrid w:val="0"/>
        <w:spacing w:line="360" w:lineRule="auto"/>
        <w:rPr>
          <w:rFonts w:ascii="宋体" w:hAnsi="宋体" w:cs="宋体"/>
          <w:szCs w:val="21"/>
          <w:highlight w:val="none"/>
        </w:rPr>
      </w:pPr>
      <w:bookmarkStart w:id="49" w:name="_Toc195921796"/>
      <w:r>
        <w:rPr>
          <w:rFonts w:hint="eastAsia" w:ascii="宋体" w:hAnsi="宋体" w:cs="宋体"/>
          <w:kern w:val="0"/>
          <w:szCs w:val="21"/>
          <w:highlight w:val="none"/>
        </w:rPr>
        <w:t>最高限价（如有）：</w:t>
      </w:r>
      <w:r>
        <w:rPr>
          <w:rFonts w:hint="eastAsia" w:ascii="宋体" w:hAnsi="宋体" w:cs="宋体"/>
          <w:szCs w:val="21"/>
          <w:highlight w:val="none"/>
        </w:rPr>
        <w:t>见</w:t>
      </w:r>
      <w:r>
        <w:rPr>
          <w:rFonts w:hint="eastAsia" w:ascii="宋体" w:hAnsi="宋体" w:cs="宋体"/>
          <w:szCs w:val="21"/>
          <w:highlight w:val="none"/>
          <w:lang w:val="zh-CN"/>
        </w:rPr>
        <w:t>供应商须知前附表</w:t>
      </w:r>
      <w:r>
        <w:rPr>
          <w:rFonts w:hint="eastAsia" w:ascii="宋体" w:hAnsi="宋体" w:cs="宋体"/>
          <w:szCs w:val="21"/>
          <w:highlight w:val="none"/>
        </w:rPr>
        <w:t>。</w:t>
      </w:r>
    </w:p>
    <w:p w14:paraId="0B5D7A54">
      <w:pPr>
        <w:numPr>
          <w:ilvl w:val="1"/>
          <w:numId w:val="1"/>
        </w:numPr>
        <w:autoSpaceDE w:val="0"/>
        <w:autoSpaceDN w:val="0"/>
        <w:adjustRightInd w:val="0"/>
        <w:snapToGrid w:val="0"/>
        <w:spacing w:line="360" w:lineRule="auto"/>
        <w:rPr>
          <w:rFonts w:ascii="宋体" w:hAnsi="宋体" w:cs="宋体"/>
          <w:szCs w:val="21"/>
          <w:highlight w:val="none"/>
        </w:rPr>
      </w:pPr>
      <w:r>
        <w:rPr>
          <w:rFonts w:hint="eastAsia" w:ascii="宋体" w:hAnsi="宋体" w:cs="宋体"/>
          <w:kern w:val="0"/>
          <w:szCs w:val="21"/>
          <w:highlight w:val="none"/>
        </w:rPr>
        <w:t>采购需求、</w:t>
      </w:r>
      <w:r>
        <w:rPr>
          <w:rFonts w:hint="eastAsia" w:ascii="宋体" w:hAnsi="宋体" w:eastAsia="宋体" w:cs="宋体"/>
          <w:b w:val="0"/>
          <w:bCs w:val="0"/>
          <w:color w:val="auto"/>
          <w:kern w:val="0"/>
          <w:szCs w:val="21"/>
        </w:rPr>
        <w:t>合同履行期限</w:t>
      </w:r>
      <w:r>
        <w:rPr>
          <w:rFonts w:hint="eastAsia" w:ascii="宋体" w:hAnsi="宋体" w:cs="宋体"/>
          <w:kern w:val="0"/>
          <w:szCs w:val="21"/>
          <w:highlight w:val="none"/>
        </w:rPr>
        <w:t>、资金来源、</w:t>
      </w:r>
      <w:r>
        <w:rPr>
          <w:rFonts w:hint="eastAsia" w:ascii="宋体" w:hAnsi="宋体" w:cs="宋体"/>
          <w:kern w:val="0"/>
          <w:szCs w:val="21"/>
          <w:highlight w:val="none"/>
          <w:lang w:eastAsia="zh-CN"/>
        </w:rPr>
        <w:t>建设地点、</w:t>
      </w:r>
      <w:r>
        <w:rPr>
          <w:rFonts w:hint="eastAsia" w:ascii="宋体" w:hAnsi="宋体" w:cs="宋体"/>
          <w:kern w:val="0"/>
          <w:szCs w:val="21"/>
          <w:highlight w:val="none"/>
        </w:rPr>
        <w:t>质量</w:t>
      </w:r>
      <w:bookmarkEnd w:id="49"/>
      <w:r>
        <w:rPr>
          <w:rFonts w:hint="eastAsia" w:ascii="宋体" w:hAnsi="宋体" w:cs="宋体"/>
          <w:kern w:val="0"/>
          <w:szCs w:val="21"/>
          <w:highlight w:val="none"/>
        </w:rPr>
        <w:t>要求：</w:t>
      </w:r>
      <w:r>
        <w:rPr>
          <w:rFonts w:hint="eastAsia" w:ascii="宋体" w:hAnsi="宋体" w:cs="宋体"/>
          <w:szCs w:val="21"/>
          <w:highlight w:val="none"/>
        </w:rPr>
        <w:t>见供应商须知前附表。</w:t>
      </w:r>
    </w:p>
    <w:p w14:paraId="7E2D3248">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w:t>
      </w:r>
      <w:r>
        <w:rPr>
          <w:rFonts w:hint="eastAsia" w:ascii="宋体" w:hAnsi="宋体" w:cs="宋体"/>
          <w:szCs w:val="21"/>
          <w:highlight w:val="none"/>
        </w:rPr>
        <w:t>指响应招标、参加投标竞争的法人、其他组织或者自然人</w:t>
      </w:r>
      <w:r>
        <w:rPr>
          <w:rFonts w:hint="eastAsia" w:ascii="宋体" w:hAnsi="宋体" w:cs="宋体"/>
          <w:kern w:val="0"/>
          <w:szCs w:val="21"/>
          <w:highlight w:val="none"/>
        </w:rPr>
        <w:t>。</w:t>
      </w:r>
    </w:p>
    <w:p w14:paraId="55E1B6D9">
      <w:pPr>
        <w:numPr>
          <w:ilvl w:val="2"/>
          <w:numId w:val="1"/>
        </w:numPr>
        <w:tabs>
          <w:tab w:val="left" w:pos="1260"/>
        </w:tabs>
        <w:autoSpaceDE w:val="0"/>
        <w:autoSpaceDN w:val="0"/>
        <w:adjustRightInd w:val="0"/>
        <w:snapToGrid w:val="0"/>
        <w:spacing w:line="360" w:lineRule="auto"/>
        <w:rPr>
          <w:rFonts w:ascii="宋体" w:hAnsi="宋体" w:cs="宋体"/>
          <w:szCs w:val="21"/>
          <w:highlight w:val="none"/>
        </w:rPr>
      </w:pPr>
      <w:bookmarkStart w:id="50" w:name="_Ref426956497"/>
      <w:r>
        <w:rPr>
          <w:rFonts w:hint="eastAsia" w:ascii="宋体" w:hAnsi="宋体" w:cs="宋体"/>
          <w:kern w:val="0"/>
          <w:szCs w:val="21"/>
          <w:highlight w:val="none"/>
        </w:rPr>
        <w:t>合格的供应商应具备以下条件</w:t>
      </w:r>
      <w:bookmarkEnd w:id="50"/>
      <w:r>
        <w:rPr>
          <w:rFonts w:hint="eastAsia" w:ascii="宋体" w:hAnsi="宋体" w:cs="宋体"/>
          <w:kern w:val="0"/>
          <w:szCs w:val="21"/>
          <w:highlight w:val="none"/>
        </w:rPr>
        <w:t>：</w:t>
      </w:r>
      <w:r>
        <w:rPr>
          <w:rFonts w:hint="eastAsia" w:ascii="宋体" w:hAnsi="宋体" w:cs="宋体"/>
          <w:szCs w:val="21"/>
          <w:highlight w:val="none"/>
        </w:rPr>
        <w:t>见供应商须知前附表。</w:t>
      </w:r>
    </w:p>
    <w:p w14:paraId="3B0B2F2B">
      <w:pPr>
        <w:numPr>
          <w:ilvl w:val="255"/>
          <w:numId w:val="0"/>
        </w:numPr>
        <w:tabs>
          <w:tab w:val="left" w:pos="1260"/>
        </w:tabs>
        <w:autoSpaceDE w:val="0"/>
        <w:autoSpaceDN w:val="0"/>
        <w:adjustRightInd w:val="0"/>
        <w:snapToGrid w:val="0"/>
        <w:spacing w:line="360"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1.5.2      本项目是否专门面向中小企业或小型、微型企业采购：</w:t>
      </w:r>
      <w:r>
        <w:rPr>
          <w:rFonts w:hint="eastAsia" w:ascii="宋体" w:hAnsi="宋体" w:cs="宋体"/>
          <w:kern w:val="0"/>
          <w:szCs w:val="21"/>
          <w:highlight w:val="none"/>
          <w:lang w:val="en-US" w:eastAsia="zh-CN"/>
        </w:rPr>
        <w:t>是</w:t>
      </w:r>
    </w:p>
    <w:p w14:paraId="4BD2E9D4">
      <w:pPr>
        <w:numPr>
          <w:ilvl w:val="255"/>
          <w:numId w:val="0"/>
        </w:numPr>
        <w:tabs>
          <w:tab w:val="left" w:pos="1060"/>
        </w:tabs>
        <w:autoSpaceDE w:val="0"/>
        <w:autoSpaceDN w:val="0"/>
        <w:adjustRightInd w:val="0"/>
        <w:snapToGrid w:val="0"/>
        <w:spacing w:line="360" w:lineRule="auto"/>
        <w:ind w:left="926" w:hanging="926" w:hangingChars="441"/>
        <w:rPr>
          <w:rFonts w:ascii="宋体" w:hAnsi="宋体" w:cs="宋体"/>
          <w:kern w:val="0"/>
          <w:szCs w:val="21"/>
          <w:highlight w:val="none"/>
        </w:rPr>
      </w:pPr>
      <w:r>
        <w:rPr>
          <w:rFonts w:hint="eastAsia" w:ascii="宋体" w:hAnsi="宋体" w:cs="宋体"/>
          <w:kern w:val="0"/>
          <w:szCs w:val="21"/>
          <w:highlight w:val="none"/>
        </w:rPr>
        <w:t xml:space="preserve">1.5.3      </w:t>
      </w:r>
      <w:r>
        <w:rPr>
          <w:rFonts w:hint="eastAsia" w:ascii="宋体" w:hAnsi="宋体" w:cs="宋体"/>
          <w:szCs w:val="21"/>
          <w:highlight w:val="none"/>
        </w:rPr>
        <w:t>供应商应当遵循公平竞争的原则，不得恶意串通，不得妨碍其他供应商的竞争行为，不得损害采购人或者其他供应商的合法权益。</w:t>
      </w:r>
    </w:p>
    <w:p w14:paraId="1692446D">
      <w:pPr>
        <w:numPr>
          <w:ilvl w:val="255"/>
          <w:numId w:val="0"/>
        </w:numPr>
        <w:tabs>
          <w:tab w:val="left" w:pos="840"/>
        </w:tabs>
        <w:autoSpaceDE w:val="0"/>
        <w:autoSpaceDN w:val="0"/>
        <w:adjustRightInd w:val="0"/>
        <w:snapToGrid w:val="0"/>
        <w:spacing w:line="360" w:lineRule="auto"/>
        <w:ind w:left="924" w:hanging="924" w:hangingChars="440"/>
        <w:rPr>
          <w:rFonts w:ascii="宋体" w:hAnsi="宋体" w:cs="宋体"/>
          <w:kern w:val="0"/>
          <w:szCs w:val="21"/>
          <w:highlight w:val="none"/>
        </w:rPr>
      </w:pPr>
      <w:r>
        <w:rPr>
          <w:rFonts w:hint="eastAsia" w:ascii="宋体" w:hAnsi="宋体" w:cs="宋体"/>
          <w:kern w:val="0"/>
          <w:szCs w:val="21"/>
          <w:highlight w:val="none"/>
        </w:rPr>
        <w:t>1.5.4      供应商不得以向采购人、磋商小组成员行贿或者采取其他不正当手段谋取中标。</w:t>
      </w:r>
    </w:p>
    <w:p w14:paraId="6E40837D">
      <w:pPr>
        <w:numPr>
          <w:ilvl w:val="255"/>
          <w:numId w:val="0"/>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1.5.5      本项目将执行在政府采购活动中查询及使用信用记录的规定，具体要求为：</w:t>
      </w:r>
    </w:p>
    <w:p w14:paraId="61D695C9">
      <w:pPr>
        <w:numPr>
          <w:ilvl w:val="0"/>
          <w:numId w:val="2"/>
        </w:numPr>
        <w:tabs>
          <w:tab w:val="left" w:pos="1701"/>
        </w:tabs>
        <w:autoSpaceDE w:val="0"/>
        <w:autoSpaceDN w:val="0"/>
        <w:adjustRightInd w:val="0"/>
        <w:snapToGrid w:val="0"/>
        <w:spacing w:line="360" w:lineRule="auto"/>
        <w:ind w:left="1701" w:hanging="622"/>
        <w:rPr>
          <w:rFonts w:ascii="宋体" w:hAnsi="宋体" w:cs="宋体"/>
          <w:szCs w:val="21"/>
          <w:highlight w:val="none"/>
        </w:rPr>
      </w:pPr>
      <w:r>
        <w:rPr>
          <w:rFonts w:hint="eastAsia" w:ascii="宋体" w:hAnsi="宋体" w:cs="宋体"/>
          <w:szCs w:val="21"/>
          <w:highlight w:val="none"/>
        </w:rPr>
        <w:t>信用信息查询的截止时点：投标截止时间。</w:t>
      </w:r>
    </w:p>
    <w:p w14:paraId="207ED33D">
      <w:pPr>
        <w:numPr>
          <w:ilvl w:val="0"/>
          <w:numId w:val="2"/>
        </w:numPr>
        <w:tabs>
          <w:tab w:val="left" w:pos="1701"/>
        </w:tabs>
        <w:autoSpaceDE w:val="0"/>
        <w:autoSpaceDN w:val="0"/>
        <w:adjustRightInd w:val="0"/>
        <w:snapToGrid w:val="0"/>
        <w:spacing w:line="360" w:lineRule="auto"/>
        <w:ind w:left="1701" w:hanging="622"/>
        <w:rPr>
          <w:rFonts w:ascii="宋体" w:hAnsi="宋体" w:cs="宋体"/>
          <w:szCs w:val="21"/>
          <w:highlight w:val="none"/>
        </w:rPr>
      </w:pPr>
      <w:r>
        <w:rPr>
          <w:rFonts w:hint="eastAsia" w:ascii="宋体" w:hAnsi="宋体" w:cs="宋体"/>
          <w:szCs w:val="21"/>
          <w:highlight w:val="none"/>
        </w:rPr>
        <w:t>查询渠道：“信用中国”网站（www.creditchina.gov.cn）</w:t>
      </w:r>
      <w:r>
        <w:rPr>
          <w:rFonts w:hint="eastAsia" w:ascii="宋体" w:hAnsi="宋体" w:cs="宋体"/>
          <w:szCs w:val="21"/>
          <w:highlight w:val="none"/>
          <w:lang w:eastAsia="zh-CN"/>
        </w:rPr>
        <w:t>、</w:t>
      </w:r>
      <w:r>
        <w:rPr>
          <w:rFonts w:hint="eastAsia" w:ascii="宋体" w:hAnsi="宋体" w:cs="宋体"/>
          <w:szCs w:val="21"/>
          <w:highlight w:val="none"/>
        </w:rPr>
        <w:t>“中国政府采购网”（www.ccgp.gov.cn）</w:t>
      </w:r>
      <w:r>
        <w:rPr>
          <w:rFonts w:hint="eastAsia" w:ascii="宋体" w:hAnsi="宋体" w:cs="宋体"/>
          <w:szCs w:val="21"/>
          <w:highlight w:val="none"/>
          <w:lang w:eastAsia="zh-CN"/>
        </w:rPr>
        <w:t>、“中国裁判文书网”（https://wenshu.court.gov.cn/）</w:t>
      </w:r>
      <w:r>
        <w:rPr>
          <w:rFonts w:hint="eastAsia" w:ascii="宋体" w:hAnsi="宋体" w:cs="宋体"/>
          <w:szCs w:val="21"/>
          <w:highlight w:val="none"/>
        </w:rPr>
        <w:t xml:space="preserve">； </w:t>
      </w:r>
    </w:p>
    <w:p w14:paraId="057C9687">
      <w:pPr>
        <w:numPr>
          <w:ilvl w:val="0"/>
          <w:numId w:val="2"/>
        </w:numPr>
        <w:tabs>
          <w:tab w:val="left" w:pos="1701"/>
        </w:tabs>
        <w:autoSpaceDE w:val="0"/>
        <w:autoSpaceDN w:val="0"/>
        <w:adjustRightInd w:val="0"/>
        <w:snapToGrid w:val="0"/>
        <w:spacing w:line="360" w:lineRule="auto"/>
        <w:ind w:left="1701" w:hanging="622"/>
        <w:rPr>
          <w:rFonts w:ascii="宋体" w:hAnsi="宋体" w:cs="宋体"/>
          <w:szCs w:val="21"/>
          <w:highlight w:val="none"/>
        </w:rPr>
      </w:pPr>
      <w:r>
        <w:rPr>
          <w:rFonts w:hint="eastAsia" w:ascii="宋体" w:hAnsi="宋体" w:cs="宋体"/>
          <w:szCs w:val="21"/>
          <w:highlight w:val="none"/>
        </w:rPr>
        <w:t>信用信息查询记录和证据留存具体方式：将经查询存在不良信用记录的潜在供应商的查询结果网页截图作为查询记录和证据，与其他采购文件一并保存；</w:t>
      </w:r>
    </w:p>
    <w:p w14:paraId="15FFCB12">
      <w:pPr>
        <w:numPr>
          <w:ilvl w:val="255"/>
          <w:numId w:val="0"/>
        </w:numPr>
        <w:tabs>
          <w:tab w:val="left" w:pos="840"/>
        </w:tabs>
        <w:autoSpaceDE w:val="0"/>
        <w:autoSpaceDN w:val="0"/>
        <w:adjustRightInd w:val="0"/>
        <w:snapToGrid w:val="0"/>
        <w:spacing w:line="360" w:lineRule="auto"/>
        <w:ind w:left="924" w:hanging="924" w:hangingChars="440"/>
        <w:rPr>
          <w:rFonts w:ascii="宋体" w:hAnsi="宋体" w:cs="宋体"/>
          <w:kern w:val="0"/>
          <w:szCs w:val="21"/>
          <w:highlight w:val="none"/>
        </w:rPr>
      </w:pPr>
      <w:r>
        <w:rPr>
          <w:rFonts w:hint="eastAsia" w:ascii="宋体" w:hAnsi="宋体" w:cs="宋体"/>
          <w:kern w:val="0"/>
          <w:szCs w:val="21"/>
          <w:highlight w:val="none"/>
        </w:rPr>
        <w:t>1.5.6     磋商公告规定接受联合体投标的，除应符合本章第</w:t>
      </w:r>
      <w:r>
        <w:rPr>
          <w:rFonts w:hint="eastAsia" w:ascii="宋体" w:hAnsi="宋体" w:cs="宋体"/>
          <w:szCs w:val="21"/>
          <w:highlight w:val="none"/>
        </w:rPr>
        <w:fldChar w:fldCharType="begin"/>
      </w:r>
      <w:r>
        <w:rPr>
          <w:rFonts w:hint="eastAsia" w:ascii="宋体" w:hAnsi="宋体" w:cs="宋体"/>
          <w:szCs w:val="21"/>
          <w:highlight w:val="none"/>
        </w:rPr>
        <w:instrText xml:space="preserve">REF _Ref426956497 \r \h \* MERGEFORMAT </w:instrText>
      </w:r>
      <w:r>
        <w:rPr>
          <w:rFonts w:hint="eastAsia" w:ascii="宋体" w:hAnsi="宋体" w:cs="宋体"/>
          <w:szCs w:val="21"/>
          <w:highlight w:val="none"/>
        </w:rPr>
        <w:fldChar w:fldCharType="separate"/>
      </w:r>
      <w:r>
        <w:rPr>
          <w:rFonts w:hint="eastAsia" w:ascii="宋体" w:hAnsi="宋体" w:cs="宋体"/>
          <w:kern w:val="0"/>
          <w:szCs w:val="21"/>
          <w:highlight w:val="none"/>
        </w:rPr>
        <w:t>1.5.1</w:t>
      </w:r>
      <w:r>
        <w:rPr>
          <w:rFonts w:hint="eastAsia" w:ascii="宋体" w:hAnsi="宋体" w:cs="宋体"/>
          <w:kern w:val="0"/>
          <w:szCs w:val="21"/>
          <w:highlight w:val="none"/>
        </w:rPr>
        <w:fldChar w:fldCharType="end"/>
      </w:r>
      <w:r>
        <w:rPr>
          <w:rFonts w:hint="eastAsia" w:ascii="宋体" w:hAnsi="宋体" w:cs="宋体"/>
          <w:kern w:val="0"/>
          <w:szCs w:val="21"/>
          <w:highlight w:val="none"/>
        </w:rPr>
        <w:t>项要求外，还应遵守以下规定：</w:t>
      </w:r>
    </w:p>
    <w:p w14:paraId="6A4E976D">
      <w:pPr>
        <w:tabs>
          <w:tab w:val="left" w:pos="1701"/>
        </w:tabs>
        <w:autoSpaceDE w:val="0"/>
        <w:autoSpaceDN w:val="0"/>
        <w:adjustRightInd w:val="0"/>
        <w:snapToGrid w:val="0"/>
        <w:spacing w:line="360" w:lineRule="auto"/>
        <w:ind w:left="1079"/>
        <w:rPr>
          <w:rFonts w:ascii="宋体" w:hAnsi="宋体" w:cs="宋体"/>
          <w:szCs w:val="21"/>
          <w:highlight w:val="none"/>
        </w:rPr>
      </w:pPr>
      <w:r>
        <w:rPr>
          <w:rFonts w:hint="eastAsia" w:ascii="宋体" w:hAnsi="宋体" w:cs="宋体"/>
          <w:szCs w:val="21"/>
          <w:highlight w:val="none"/>
        </w:rPr>
        <w:t>联合体各方应按竞争性磋商文件提供的格式签订联合体协议书，明确联合体牵头人和各方工作内容和义务；</w:t>
      </w:r>
    </w:p>
    <w:p w14:paraId="58CA8F1C">
      <w:pPr>
        <w:tabs>
          <w:tab w:val="left" w:pos="1701"/>
        </w:tabs>
        <w:autoSpaceDE w:val="0"/>
        <w:autoSpaceDN w:val="0"/>
        <w:adjustRightInd w:val="0"/>
        <w:snapToGrid w:val="0"/>
        <w:spacing w:line="360" w:lineRule="auto"/>
        <w:ind w:left="1079"/>
        <w:rPr>
          <w:rFonts w:ascii="宋体" w:hAnsi="宋体" w:cs="宋体"/>
          <w:szCs w:val="21"/>
          <w:highlight w:val="none"/>
        </w:rPr>
      </w:pPr>
      <w:r>
        <w:rPr>
          <w:rFonts w:hint="eastAsia" w:ascii="宋体" w:hAnsi="宋体" w:cs="宋体"/>
          <w:szCs w:val="21"/>
          <w:highlight w:val="none"/>
        </w:rPr>
        <w:t>联合体中有同类资质的供应商按照联合体分工承担相同工作的，应当按照资质等级较低的供应商确定联合体的资质等级。</w:t>
      </w:r>
    </w:p>
    <w:p w14:paraId="215F097C">
      <w:pPr>
        <w:tabs>
          <w:tab w:val="left" w:pos="1701"/>
        </w:tabs>
        <w:autoSpaceDE w:val="0"/>
        <w:autoSpaceDN w:val="0"/>
        <w:adjustRightInd w:val="0"/>
        <w:snapToGrid w:val="0"/>
        <w:spacing w:line="360" w:lineRule="auto"/>
        <w:ind w:left="1079"/>
        <w:rPr>
          <w:rFonts w:ascii="宋体" w:hAnsi="宋体" w:cs="宋体"/>
          <w:szCs w:val="21"/>
          <w:highlight w:val="none"/>
        </w:rPr>
      </w:pPr>
      <w:r>
        <w:rPr>
          <w:rFonts w:hint="eastAsia" w:ascii="宋体" w:hAnsi="宋体" w:cs="宋体"/>
          <w:szCs w:val="21"/>
          <w:highlight w:val="none"/>
        </w:rPr>
        <w:t>联合体各方不得再单独参加或者与其他供应商另外组成联合体参加同一合同项下的投标。</w:t>
      </w:r>
    </w:p>
    <w:p w14:paraId="1CB6E73F">
      <w:pPr>
        <w:tabs>
          <w:tab w:val="left" w:pos="1701"/>
        </w:tabs>
        <w:autoSpaceDE w:val="0"/>
        <w:autoSpaceDN w:val="0"/>
        <w:adjustRightInd w:val="0"/>
        <w:snapToGrid w:val="0"/>
        <w:spacing w:line="360" w:lineRule="auto"/>
        <w:ind w:left="1079"/>
        <w:rPr>
          <w:rFonts w:ascii="宋体" w:hAnsi="宋体" w:cs="宋体"/>
          <w:szCs w:val="21"/>
          <w:highlight w:val="none"/>
        </w:rPr>
      </w:pPr>
      <w:r>
        <w:rPr>
          <w:rFonts w:hint="eastAsia" w:ascii="宋体" w:hAnsi="宋体" w:cs="宋体"/>
          <w:szCs w:val="21"/>
          <w:highlight w:val="none"/>
        </w:rPr>
        <w:t>联合体各方应当共同与采购人签订采购合同，就采购合同约定的事项对采购人承担连带责任。</w:t>
      </w:r>
    </w:p>
    <w:p w14:paraId="7A49D606">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分包</w:t>
      </w:r>
    </w:p>
    <w:p w14:paraId="5B744869">
      <w:pPr>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供应商根据竞争性磋商文件的规定和采购项目的实际情况，拟在中标后将中标项目的非主体、非关键性工作分包的，应当在响应文件中载明分包承担主体，分包承担主体应当具备相应资质条件且不得再次分包。政府采购合同分包履行的，中标、成交供应商就采购项目和分包项目向采购人负责，分包人就分包项目承担责任。</w:t>
      </w:r>
    </w:p>
    <w:p w14:paraId="1423FCEE">
      <w:pPr>
        <w:numPr>
          <w:ilvl w:val="1"/>
          <w:numId w:val="1"/>
        </w:numPr>
        <w:autoSpaceDE w:val="0"/>
        <w:autoSpaceDN w:val="0"/>
        <w:adjustRightInd w:val="0"/>
        <w:snapToGrid w:val="0"/>
        <w:spacing w:line="360" w:lineRule="auto"/>
        <w:rPr>
          <w:rFonts w:ascii="宋体" w:hAnsi="宋体" w:cs="宋体"/>
          <w:kern w:val="0"/>
          <w:szCs w:val="21"/>
          <w:highlight w:val="none"/>
        </w:rPr>
      </w:pPr>
      <w:bookmarkStart w:id="51" w:name="_Toc195921799"/>
      <w:r>
        <w:rPr>
          <w:rFonts w:hint="eastAsia" w:ascii="宋体" w:hAnsi="宋体" w:cs="宋体"/>
          <w:kern w:val="0"/>
          <w:szCs w:val="21"/>
          <w:highlight w:val="none"/>
        </w:rPr>
        <w:t>费用承担</w:t>
      </w:r>
      <w:bookmarkEnd w:id="51"/>
    </w:p>
    <w:p w14:paraId="014C70AA">
      <w:pPr>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供应商准备和参加投标活动发生的费用自理。</w:t>
      </w:r>
    </w:p>
    <w:p w14:paraId="1A405F46">
      <w:pPr>
        <w:numPr>
          <w:ilvl w:val="1"/>
          <w:numId w:val="1"/>
        </w:numPr>
        <w:autoSpaceDE w:val="0"/>
        <w:autoSpaceDN w:val="0"/>
        <w:adjustRightInd w:val="0"/>
        <w:snapToGrid w:val="0"/>
        <w:spacing w:line="360" w:lineRule="auto"/>
        <w:rPr>
          <w:rFonts w:ascii="宋体" w:hAnsi="宋体" w:cs="宋体"/>
          <w:kern w:val="0"/>
          <w:szCs w:val="21"/>
          <w:highlight w:val="none"/>
        </w:rPr>
      </w:pPr>
      <w:bookmarkStart w:id="52" w:name="_Toc195921800"/>
      <w:r>
        <w:rPr>
          <w:rFonts w:hint="eastAsia" w:ascii="宋体" w:hAnsi="宋体" w:cs="宋体"/>
          <w:kern w:val="0"/>
          <w:szCs w:val="21"/>
          <w:highlight w:val="none"/>
        </w:rPr>
        <w:t>保密</w:t>
      </w:r>
      <w:bookmarkEnd w:id="52"/>
    </w:p>
    <w:p w14:paraId="3B2D1B1A">
      <w:pPr>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参与招标投标活动的各方应对竞争性磋商文件和响应文件中的商业和技术等秘密保密，违者应对由此造成的后果承担法律责任。</w:t>
      </w:r>
    </w:p>
    <w:p w14:paraId="4B1E44AB">
      <w:pPr>
        <w:numPr>
          <w:ilvl w:val="1"/>
          <w:numId w:val="1"/>
        </w:numPr>
        <w:autoSpaceDE w:val="0"/>
        <w:autoSpaceDN w:val="0"/>
        <w:adjustRightInd w:val="0"/>
        <w:snapToGrid w:val="0"/>
        <w:spacing w:line="360" w:lineRule="auto"/>
        <w:rPr>
          <w:rFonts w:ascii="宋体" w:hAnsi="宋体" w:cs="宋体"/>
          <w:kern w:val="0"/>
          <w:szCs w:val="21"/>
          <w:highlight w:val="none"/>
        </w:rPr>
      </w:pPr>
      <w:bookmarkStart w:id="53" w:name="_Toc195921801"/>
      <w:r>
        <w:rPr>
          <w:rFonts w:hint="eastAsia" w:ascii="宋体" w:hAnsi="宋体" w:cs="宋体"/>
          <w:kern w:val="0"/>
          <w:szCs w:val="21"/>
          <w:highlight w:val="none"/>
        </w:rPr>
        <w:t>语言文字</w:t>
      </w:r>
      <w:bookmarkEnd w:id="53"/>
    </w:p>
    <w:p w14:paraId="4E571447">
      <w:pPr>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除专用术语外，与招标投标有关的语言均使用中文。必要时专用术语应附有中文注释。</w:t>
      </w:r>
    </w:p>
    <w:p w14:paraId="0E03DD5E">
      <w:pPr>
        <w:numPr>
          <w:ilvl w:val="1"/>
          <w:numId w:val="1"/>
        </w:numPr>
        <w:autoSpaceDE w:val="0"/>
        <w:autoSpaceDN w:val="0"/>
        <w:adjustRightInd w:val="0"/>
        <w:snapToGrid w:val="0"/>
        <w:spacing w:line="360" w:lineRule="auto"/>
        <w:rPr>
          <w:rFonts w:ascii="宋体" w:hAnsi="宋体" w:cs="宋体"/>
          <w:kern w:val="0"/>
          <w:szCs w:val="21"/>
          <w:highlight w:val="none"/>
        </w:rPr>
      </w:pPr>
      <w:bookmarkStart w:id="54" w:name="_Toc195921802"/>
      <w:r>
        <w:rPr>
          <w:rFonts w:hint="eastAsia" w:ascii="宋体" w:hAnsi="宋体" w:cs="宋体"/>
          <w:kern w:val="0"/>
          <w:szCs w:val="21"/>
          <w:highlight w:val="none"/>
        </w:rPr>
        <w:t>踏勘现场</w:t>
      </w:r>
    </w:p>
    <w:p w14:paraId="2CBD5A62">
      <w:pPr>
        <w:numPr>
          <w:ilvl w:val="2"/>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供应商须知前附表规定组织踏勘现场的，采购人须按照规定时间、地点组织供应商踏勘项目现场。</w:t>
      </w:r>
    </w:p>
    <w:p w14:paraId="567A922B">
      <w:pPr>
        <w:numPr>
          <w:ilvl w:val="2"/>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供应商承担踏勘现场所发生的自身费用、责任和风险。</w:t>
      </w:r>
    </w:p>
    <w:p w14:paraId="3CDCF4A0">
      <w:pPr>
        <w:numPr>
          <w:ilvl w:val="2"/>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采购人向供应商提供的有关现场的资料和数据，是采购人现有的能被供应商利用的资料，采购人不对供应商由此而做出的推论、理解和结论负责。</w:t>
      </w:r>
    </w:p>
    <w:p w14:paraId="676E5A7C">
      <w:pPr>
        <w:numPr>
          <w:ilvl w:val="2"/>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除采购人原因外，供应商应对踏勘现场而造成的人员伤亡、财产损失以及由此引起的连带责任和费用负责。</w:t>
      </w:r>
    </w:p>
    <w:p w14:paraId="3DE4E57E">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计量单位</w:t>
      </w:r>
      <w:bookmarkEnd w:id="54"/>
    </w:p>
    <w:p w14:paraId="16874B16">
      <w:pPr>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所有计量均采用中华人民共和国法定计量单位。</w:t>
      </w:r>
    </w:p>
    <w:p w14:paraId="58977BBB">
      <w:pPr>
        <w:numPr>
          <w:ilvl w:val="0"/>
          <w:numId w:val="1"/>
        </w:numPr>
        <w:autoSpaceDE w:val="0"/>
        <w:autoSpaceDN w:val="0"/>
        <w:adjustRightInd w:val="0"/>
        <w:spacing w:line="360" w:lineRule="auto"/>
        <w:outlineLvl w:val="2"/>
        <w:rPr>
          <w:rFonts w:ascii="宋体" w:hAnsi="宋体" w:cs="宋体"/>
          <w:kern w:val="0"/>
          <w:szCs w:val="21"/>
          <w:highlight w:val="none"/>
        </w:rPr>
      </w:pPr>
      <w:bookmarkStart w:id="55" w:name="_Toc17376"/>
      <w:r>
        <w:rPr>
          <w:rFonts w:hint="eastAsia" w:ascii="宋体" w:hAnsi="宋体" w:cs="宋体"/>
          <w:kern w:val="0"/>
          <w:szCs w:val="21"/>
          <w:highlight w:val="none"/>
        </w:rPr>
        <w:t>竞争性磋商文件</w:t>
      </w:r>
      <w:bookmarkEnd w:id="55"/>
    </w:p>
    <w:p w14:paraId="76814F68">
      <w:pPr>
        <w:numPr>
          <w:ilvl w:val="1"/>
          <w:numId w:val="1"/>
        </w:numPr>
        <w:autoSpaceDE w:val="0"/>
        <w:autoSpaceDN w:val="0"/>
        <w:adjustRightInd w:val="0"/>
        <w:snapToGrid w:val="0"/>
        <w:spacing w:line="360" w:lineRule="auto"/>
        <w:rPr>
          <w:rFonts w:ascii="宋体" w:hAnsi="宋体" w:cs="宋体"/>
          <w:kern w:val="0"/>
          <w:szCs w:val="21"/>
          <w:highlight w:val="none"/>
        </w:rPr>
      </w:pPr>
      <w:bookmarkStart w:id="56" w:name="_Toc195921808"/>
      <w:r>
        <w:rPr>
          <w:rFonts w:hint="eastAsia" w:ascii="宋体" w:hAnsi="宋体" w:cs="宋体"/>
          <w:kern w:val="0"/>
          <w:szCs w:val="21"/>
          <w:highlight w:val="none"/>
        </w:rPr>
        <w:t>竞争性磋商文件的组成</w:t>
      </w:r>
      <w:bookmarkEnd w:id="56"/>
    </w:p>
    <w:p w14:paraId="1746E3B7">
      <w:pPr>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本竞争性磋商文件包括：</w:t>
      </w:r>
    </w:p>
    <w:p w14:paraId="7F25ED5E">
      <w:pPr>
        <w:autoSpaceDE w:val="0"/>
        <w:autoSpaceDN w:val="0"/>
        <w:adjustRightInd w:val="0"/>
        <w:snapToGrid w:val="0"/>
        <w:spacing w:line="360" w:lineRule="auto"/>
        <w:ind w:left="1549" w:leftChars="513" w:hanging="472" w:hangingChars="225"/>
        <w:rPr>
          <w:rFonts w:ascii="宋体" w:hAnsi="宋体" w:cs="宋体"/>
          <w:kern w:val="0"/>
          <w:szCs w:val="21"/>
          <w:highlight w:val="none"/>
        </w:rPr>
      </w:pPr>
      <w:r>
        <w:rPr>
          <w:rFonts w:hint="eastAsia" w:ascii="宋体" w:hAnsi="宋体" w:cs="宋体"/>
          <w:kern w:val="0"/>
          <w:szCs w:val="21"/>
          <w:highlight w:val="none"/>
        </w:rPr>
        <w:t>（1）竞争性磋商公告；</w:t>
      </w:r>
    </w:p>
    <w:p w14:paraId="3A65E20A">
      <w:pPr>
        <w:autoSpaceDE w:val="0"/>
        <w:autoSpaceDN w:val="0"/>
        <w:adjustRightInd w:val="0"/>
        <w:snapToGrid w:val="0"/>
        <w:spacing w:line="360" w:lineRule="auto"/>
        <w:ind w:left="1549" w:leftChars="513" w:hanging="472" w:hangingChars="225"/>
        <w:rPr>
          <w:rFonts w:ascii="宋体" w:hAnsi="宋体" w:cs="宋体"/>
          <w:kern w:val="0"/>
          <w:szCs w:val="21"/>
          <w:highlight w:val="none"/>
        </w:rPr>
      </w:pPr>
      <w:r>
        <w:rPr>
          <w:rFonts w:hint="eastAsia" w:ascii="宋体" w:hAnsi="宋体" w:cs="宋体"/>
          <w:kern w:val="0"/>
          <w:szCs w:val="21"/>
          <w:highlight w:val="none"/>
        </w:rPr>
        <w:t>（2）供应商须知；</w:t>
      </w:r>
    </w:p>
    <w:p w14:paraId="5AA3BF75">
      <w:pPr>
        <w:autoSpaceDE w:val="0"/>
        <w:autoSpaceDN w:val="0"/>
        <w:adjustRightInd w:val="0"/>
        <w:snapToGrid w:val="0"/>
        <w:spacing w:line="360" w:lineRule="auto"/>
        <w:ind w:left="1549" w:leftChars="513" w:hanging="472" w:hangingChars="225"/>
        <w:rPr>
          <w:rFonts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bCs/>
          <w:kern w:val="15"/>
          <w:szCs w:val="21"/>
          <w:highlight w:val="none"/>
          <w:lang w:val="en-US" w:eastAsia="zh-CN"/>
        </w:rPr>
        <w:t>评审方法</w:t>
      </w:r>
      <w:r>
        <w:rPr>
          <w:rFonts w:hint="eastAsia" w:ascii="宋体" w:hAnsi="宋体" w:cs="宋体"/>
          <w:kern w:val="0"/>
          <w:szCs w:val="21"/>
          <w:highlight w:val="none"/>
        </w:rPr>
        <w:t>（综合评分法）；</w:t>
      </w:r>
    </w:p>
    <w:p w14:paraId="7538A072">
      <w:pPr>
        <w:autoSpaceDE w:val="0"/>
        <w:autoSpaceDN w:val="0"/>
        <w:adjustRightInd w:val="0"/>
        <w:snapToGrid w:val="0"/>
        <w:spacing w:line="360" w:lineRule="auto"/>
        <w:ind w:left="1549" w:leftChars="513" w:hanging="472" w:hangingChars="225"/>
        <w:rPr>
          <w:rFonts w:ascii="宋体" w:hAnsi="宋体" w:cs="宋体"/>
          <w:kern w:val="0"/>
          <w:szCs w:val="21"/>
          <w:highlight w:val="none"/>
        </w:rPr>
      </w:pPr>
      <w:r>
        <w:rPr>
          <w:rFonts w:hint="eastAsia" w:ascii="宋体" w:hAnsi="宋体" w:cs="宋体"/>
          <w:kern w:val="0"/>
          <w:szCs w:val="21"/>
          <w:highlight w:val="none"/>
        </w:rPr>
        <w:t>（4）合同条款及格式（范本）；</w:t>
      </w:r>
    </w:p>
    <w:p w14:paraId="62D9FA84">
      <w:pPr>
        <w:autoSpaceDE w:val="0"/>
        <w:autoSpaceDN w:val="0"/>
        <w:adjustRightInd w:val="0"/>
        <w:snapToGrid w:val="0"/>
        <w:spacing w:line="360" w:lineRule="auto"/>
        <w:ind w:left="1549" w:leftChars="513" w:hanging="472" w:hangingChars="225"/>
        <w:rPr>
          <w:rFonts w:ascii="宋体" w:hAnsi="宋体" w:cs="宋体"/>
          <w:kern w:val="0"/>
          <w:szCs w:val="21"/>
          <w:highlight w:val="none"/>
        </w:rPr>
      </w:pPr>
      <w:r>
        <w:rPr>
          <w:rFonts w:hint="eastAsia" w:ascii="宋体" w:hAnsi="宋体" w:cs="宋体"/>
          <w:kern w:val="0"/>
          <w:szCs w:val="21"/>
          <w:highlight w:val="none"/>
        </w:rPr>
        <w:t>（5）工程量清单</w:t>
      </w:r>
      <w:r>
        <w:rPr>
          <w:rFonts w:hint="eastAsia" w:ascii="宋体" w:hAnsi="宋体" w:cs="宋体"/>
          <w:kern w:val="0"/>
          <w:szCs w:val="21"/>
          <w:highlight w:val="none"/>
          <w:lang w:val="en-US" w:eastAsia="zh-CN"/>
        </w:rPr>
        <w:t>及图纸</w:t>
      </w:r>
      <w:r>
        <w:rPr>
          <w:rFonts w:hint="eastAsia" w:ascii="宋体" w:hAnsi="宋体" w:cs="宋体"/>
          <w:kern w:val="0"/>
          <w:szCs w:val="21"/>
          <w:highlight w:val="none"/>
        </w:rPr>
        <w:t>；</w:t>
      </w:r>
    </w:p>
    <w:p w14:paraId="23CED1CF">
      <w:pPr>
        <w:autoSpaceDE w:val="0"/>
        <w:autoSpaceDN w:val="0"/>
        <w:adjustRightInd w:val="0"/>
        <w:snapToGrid w:val="0"/>
        <w:spacing w:line="360" w:lineRule="auto"/>
        <w:ind w:left="1549" w:leftChars="513" w:hanging="472" w:hangingChars="225"/>
        <w:rPr>
          <w:rFonts w:ascii="宋体" w:hAnsi="宋体" w:cs="宋体"/>
          <w:kern w:val="0"/>
          <w:szCs w:val="21"/>
          <w:highlight w:val="none"/>
        </w:rPr>
      </w:pPr>
      <w:r>
        <w:rPr>
          <w:rFonts w:hint="eastAsia" w:ascii="宋体" w:hAnsi="宋体" w:cs="宋体"/>
          <w:kern w:val="0"/>
          <w:szCs w:val="21"/>
          <w:highlight w:val="none"/>
        </w:rPr>
        <w:t>（6）</w:t>
      </w:r>
      <w:r>
        <w:rPr>
          <w:rFonts w:hint="eastAsia" w:ascii="宋体" w:hAnsi="宋体" w:cs="宋体"/>
          <w:highlight w:val="none"/>
        </w:rPr>
        <w:t>响应文件构成、要求及格式</w:t>
      </w:r>
      <w:r>
        <w:rPr>
          <w:rFonts w:hint="eastAsia" w:ascii="宋体" w:hAnsi="宋体" w:cs="宋体"/>
          <w:kern w:val="0"/>
          <w:szCs w:val="21"/>
          <w:highlight w:val="none"/>
        </w:rPr>
        <w:t>。</w:t>
      </w:r>
    </w:p>
    <w:p w14:paraId="7800D092">
      <w:pPr>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根据本章对竞争性磋商文件所作的澄清、修改，构成竞争性磋商文件的组成部分。</w:t>
      </w:r>
    </w:p>
    <w:p w14:paraId="45086BE2">
      <w:pPr>
        <w:numPr>
          <w:ilvl w:val="1"/>
          <w:numId w:val="1"/>
        </w:numPr>
        <w:autoSpaceDE w:val="0"/>
        <w:autoSpaceDN w:val="0"/>
        <w:adjustRightInd w:val="0"/>
        <w:snapToGrid w:val="0"/>
        <w:spacing w:line="360" w:lineRule="auto"/>
        <w:rPr>
          <w:rFonts w:ascii="宋体" w:hAnsi="宋体" w:cs="宋体"/>
          <w:kern w:val="0"/>
          <w:szCs w:val="21"/>
          <w:highlight w:val="none"/>
        </w:rPr>
      </w:pPr>
      <w:bookmarkStart w:id="57" w:name="_Ref426441946"/>
      <w:bookmarkStart w:id="58" w:name="_Toc195921809"/>
      <w:r>
        <w:rPr>
          <w:rFonts w:hint="eastAsia" w:ascii="宋体" w:hAnsi="宋体" w:cs="黑体"/>
          <w:kern w:val="0"/>
          <w:szCs w:val="21"/>
          <w:highlight w:val="none"/>
        </w:rPr>
        <w:t>供应商认真阅读磋商文件中所有的条款、事项、格式和技术规范、参数及要求等。没有按照磋商文件要求提交全部资料，或者</w:t>
      </w:r>
      <w:r>
        <w:rPr>
          <w:rFonts w:hint="eastAsia" w:ascii="宋体" w:hAnsi="宋体" w:cs="宋体"/>
          <w:szCs w:val="21"/>
          <w:highlight w:val="none"/>
        </w:rPr>
        <w:t>响应文件</w:t>
      </w:r>
      <w:r>
        <w:rPr>
          <w:rFonts w:hint="eastAsia" w:ascii="宋体" w:hAnsi="宋体" w:cs="黑体"/>
          <w:kern w:val="0"/>
          <w:szCs w:val="21"/>
          <w:highlight w:val="none"/>
        </w:rPr>
        <w:t>未对磋商文件在各方面都做出实质性响应是供应商的风险，有可能导致其投标被拒绝或被认定为无效投标或被确定为投标无效</w:t>
      </w:r>
      <w:r>
        <w:rPr>
          <w:rFonts w:hint="eastAsia" w:ascii="宋体" w:hAnsi="宋体" w:cs="宋体"/>
          <w:kern w:val="0"/>
          <w:szCs w:val="21"/>
          <w:highlight w:val="none"/>
        </w:rPr>
        <w:t>。</w:t>
      </w:r>
    </w:p>
    <w:p w14:paraId="27E23EAB">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竞争性磋商文件的澄清</w:t>
      </w:r>
      <w:bookmarkEnd w:id="57"/>
      <w:bookmarkEnd w:id="58"/>
    </w:p>
    <w:p w14:paraId="1744B78A">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供应商应仔细阅读和检查竞争性磋商文件的全部内容。如发现缺页或附件不全，应及时向采购人提出，以便补齐。</w:t>
      </w:r>
    </w:p>
    <w:p w14:paraId="31A0041A">
      <w:pPr>
        <w:numPr>
          <w:ilvl w:val="2"/>
          <w:numId w:val="1"/>
        </w:numPr>
        <w:tabs>
          <w:tab w:val="left" w:pos="1260"/>
        </w:tabs>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kern w:val="0"/>
          <w:szCs w:val="21"/>
          <w:highlight w:val="none"/>
        </w:rPr>
        <w:t>如有疑问</w:t>
      </w:r>
      <w:r>
        <w:rPr>
          <w:rFonts w:hint="eastAsia" w:ascii="宋体" w:hAnsi="宋体" w:cs="宋体"/>
          <w:szCs w:val="21"/>
          <w:highlight w:val="none"/>
        </w:rPr>
        <w:t>可以向采购人提出询问</w:t>
      </w:r>
      <w:r>
        <w:rPr>
          <w:rFonts w:hint="eastAsia" w:ascii="宋体" w:hAnsi="宋体" w:cs="宋体"/>
          <w:kern w:val="0"/>
          <w:szCs w:val="21"/>
          <w:highlight w:val="none"/>
        </w:rPr>
        <w:t>，要求采购人对竞争性磋商文件予以澄清。</w:t>
      </w:r>
    </w:p>
    <w:p w14:paraId="4897FBF6">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szCs w:val="21"/>
          <w:highlight w:val="none"/>
        </w:rPr>
        <w:t>采购人或者采购代理机构可以对已发出的竞争性磋商文件进行必要的澄清。该澄清在原公告发布媒体上发布澄清（更正）公告，同时以书面形式通知所有供应商。澄清的内容为竞争性磋商文件的组成部分。</w:t>
      </w:r>
      <w:r>
        <w:rPr>
          <w:rFonts w:hint="eastAsia" w:ascii="宋体" w:hAnsi="宋体" w:cs="宋体"/>
          <w:kern w:val="0"/>
          <w:szCs w:val="21"/>
          <w:highlight w:val="none"/>
        </w:rPr>
        <w:t>供应商须</w:t>
      </w:r>
      <w:r>
        <w:rPr>
          <w:rFonts w:hint="eastAsia" w:ascii="宋体" w:hAnsi="宋体" w:cs="宋体"/>
          <w:szCs w:val="21"/>
          <w:highlight w:val="none"/>
        </w:rPr>
        <w:t>在招标公告中规定的投标截止日前，随时查询招标公告发布媒体的信息，获取对竞争性磋商文件澄清的信息。采购人的澄清以书面形式通知供应商的，供应商应在收到该澄清的24小时内或根据澄清通知中要求的时间内予以确认。</w:t>
      </w:r>
    </w:p>
    <w:p w14:paraId="0DFE8B03">
      <w:pPr>
        <w:tabs>
          <w:tab w:val="left" w:pos="1260"/>
        </w:tabs>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szCs w:val="21"/>
          <w:highlight w:val="none"/>
        </w:rPr>
        <w:t>澄清的内容可能影响响应文件编制的，采购人或者采购代理机构在投标截止时间至少5日前，以书面形式通知所有获取竞争性磋商文件的潜在供应商；不足5日的，采购人或者采购代理机构将顺延提交响应文件的截止时间。</w:t>
      </w:r>
    </w:p>
    <w:p w14:paraId="1FA08B13">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供应商在收到澄清文件后，应将加盖公章的回执以书面方式通知采购人，确认已收到该澄清。</w:t>
      </w:r>
    </w:p>
    <w:p w14:paraId="1D4EE049">
      <w:pPr>
        <w:numPr>
          <w:ilvl w:val="1"/>
          <w:numId w:val="1"/>
        </w:numPr>
        <w:autoSpaceDE w:val="0"/>
        <w:autoSpaceDN w:val="0"/>
        <w:adjustRightInd w:val="0"/>
        <w:snapToGrid w:val="0"/>
        <w:spacing w:line="360" w:lineRule="auto"/>
        <w:rPr>
          <w:rFonts w:ascii="宋体" w:hAnsi="宋体" w:cs="宋体"/>
          <w:kern w:val="0"/>
          <w:szCs w:val="21"/>
          <w:highlight w:val="none"/>
        </w:rPr>
      </w:pPr>
      <w:bookmarkStart w:id="59" w:name="_Ref426441954"/>
      <w:bookmarkStart w:id="60" w:name="_Toc195921810"/>
      <w:r>
        <w:rPr>
          <w:rFonts w:hint="eastAsia" w:ascii="宋体" w:hAnsi="宋体" w:cs="宋体"/>
          <w:kern w:val="0"/>
          <w:szCs w:val="21"/>
          <w:highlight w:val="none"/>
        </w:rPr>
        <w:t>竞争性磋商文件的修改</w:t>
      </w:r>
      <w:bookmarkEnd w:id="59"/>
      <w:bookmarkEnd w:id="60"/>
    </w:p>
    <w:p w14:paraId="370E2F7F">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szCs w:val="21"/>
          <w:highlight w:val="none"/>
        </w:rPr>
        <w:t>采购人或者采购代理机构可以对已发出的竞争性磋商文件进行必要的修改。该修改在原公告发布媒体上发布澄清（更正）公告，同时以书面形式通知所有供应商。修改的内容为竞争性磋商文件的组成部分。</w:t>
      </w:r>
      <w:r>
        <w:rPr>
          <w:rFonts w:hint="eastAsia" w:ascii="宋体" w:hAnsi="宋体" w:cs="宋体"/>
          <w:kern w:val="0"/>
          <w:szCs w:val="21"/>
          <w:highlight w:val="none"/>
        </w:rPr>
        <w:t>供应商须</w:t>
      </w:r>
      <w:r>
        <w:rPr>
          <w:rFonts w:hint="eastAsia" w:ascii="宋体" w:hAnsi="宋体" w:cs="宋体"/>
          <w:szCs w:val="21"/>
          <w:highlight w:val="none"/>
        </w:rPr>
        <w:t>在投标截止日前，随时查询招标公告发布媒体的信息，获取对竞争性磋商文件修改的信息。采购人的修改以书面形式通知供应商的，供应商应在收到该修改通知的24小时内或根据修改通知中要求的时间内予以确认。</w:t>
      </w:r>
    </w:p>
    <w:p w14:paraId="3F220213">
      <w:pPr>
        <w:tabs>
          <w:tab w:val="left" w:pos="1260"/>
        </w:tabs>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szCs w:val="21"/>
          <w:highlight w:val="none"/>
        </w:rPr>
        <w:t>修改的内容可能影响响应文件编制的，采购人或者采购代理机构在投标截止时间至少5日前，以书面形式通知所有获取竞争性磋商文件的潜在供应商；不足5日的，采购人或者采购代理机构将顺延提交响应文件的截止时间。</w:t>
      </w:r>
    </w:p>
    <w:p w14:paraId="542D9EFA">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供应商收到修改文件后，应将加盖公章的回执以书面方式通知采购人，确认已收到该修改。</w:t>
      </w:r>
    </w:p>
    <w:p w14:paraId="19F9529A">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szCs w:val="21"/>
          <w:highlight w:val="none"/>
        </w:rPr>
        <w:t>供应商认为竞争性磋商文件使其权益受到损害的，在收到竞争性磋商文件之日或竞争性磋商文件公告期限届满之日起七个工作日内，按供应商须知前附表中接收质疑函的方式以书面形式一次性提出质疑。</w:t>
      </w:r>
    </w:p>
    <w:p w14:paraId="060B4446">
      <w:pPr>
        <w:numPr>
          <w:ilvl w:val="0"/>
          <w:numId w:val="1"/>
        </w:numPr>
        <w:autoSpaceDE w:val="0"/>
        <w:autoSpaceDN w:val="0"/>
        <w:adjustRightInd w:val="0"/>
        <w:spacing w:line="360" w:lineRule="auto"/>
        <w:outlineLvl w:val="2"/>
        <w:rPr>
          <w:rFonts w:ascii="宋体" w:hAnsi="宋体" w:cs="宋体"/>
          <w:kern w:val="0"/>
          <w:szCs w:val="21"/>
          <w:highlight w:val="none"/>
        </w:rPr>
      </w:pPr>
      <w:bookmarkStart w:id="61" w:name="_Toc318"/>
      <w:r>
        <w:rPr>
          <w:rFonts w:hint="eastAsia" w:ascii="宋体" w:hAnsi="宋体" w:cs="宋体"/>
          <w:kern w:val="0"/>
          <w:szCs w:val="21"/>
          <w:highlight w:val="none"/>
        </w:rPr>
        <w:t>响应文件</w:t>
      </w:r>
      <w:bookmarkEnd w:id="61"/>
    </w:p>
    <w:p w14:paraId="7E3E0BA6">
      <w:pPr>
        <w:numPr>
          <w:ilvl w:val="1"/>
          <w:numId w:val="1"/>
        </w:numPr>
        <w:autoSpaceDE w:val="0"/>
        <w:autoSpaceDN w:val="0"/>
        <w:adjustRightInd w:val="0"/>
        <w:snapToGrid w:val="0"/>
        <w:spacing w:line="360" w:lineRule="auto"/>
        <w:rPr>
          <w:rFonts w:ascii="宋体" w:hAnsi="宋体" w:cs="宋体"/>
          <w:kern w:val="0"/>
          <w:szCs w:val="21"/>
          <w:highlight w:val="none"/>
        </w:rPr>
      </w:pPr>
      <w:bookmarkStart w:id="62" w:name="_Toc195921812"/>
      <w:r>
        <w:rPr>
          <w:rFonts w:hint="eastAsia" w:ascii="宋体" w:hAnsi="宋体" w:cs="宋体"/>
          <w:kern w:val="0"/>
          <w:szCs w:val="21"/>
          <w:highlight w:val="none"/>
        </w:rPr>
        <w:t>响应文件的组成</w:t>
      </w:r>
      <w:bookmarkEnd w:id="62"/>
    </w:p>
    <w:p w14:paraId="71E1F177">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响应文件应包括下列内容：</w:t>
      </w:r>
    </w:p>
    <w:p w14:paraId="393611A0">
      <w:pPr>
        <w:numPr>
          <w:ilvl w:val="0"/>
          <w:numId w:val="3"/>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lang w:val="en-US" w:eastAsia="zh-CN"/>
        </w:rPr>
        <w:t>首次报价表</w:t>
      </w:r>
    </w:p>
    <w:p w14:paraId="187A5691">
      <w:pPr>
        <w:numPr>
          <w:ilvl w:val="0"/>
          <w:numId w:val="3"/>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lang w:val="en-US" w:eastAsia="zh-CN"/>
        </w:rPr>
        <w:t>报价</w:t>
      </w:r>
      <w:r>
        <w:rPr>
          <w:rFonts w:hint="eastAsia" w:ascii="宋体" w:hAnsi="宋体" w:cs="宋体"/>
          <w:kern w:val="0"/>
          <w:szCs w:val="21"/>
          <w:highlight w:val="none"/>
        </w:rPr>
        <w:t>函及</w:t>
      </w:r>
      <w:r>
        <w:rPr>
          <w:rFonts w:hint="eastAsia" w:ascii="宋体" w:hAnsi="宋体" w:cs="宋体"/>
          <w:kern w:val="0"/>
          <w:szCs w:val="21"/>
          <w:highlight w:val="none"/>
          <w:lang w:val="en-US" w:eastAsia="zh-CN"/>
        </w:rPr>
        <w:t>报价</w:t>
      </w:r>
      <w:r>
        <w:rPr>
          <w:rFonts w:hint="eastAsia" w:ascii="宋体" w:hAnsi="宋体" w:cs="宋体"/>
          <w:kern w:val="0"/>
          <w:szCs w:val="21"/>
          <w:highlight w:val="none"/>
        </w:rPr>
        <w:t>函附录</w:t>
      </w:r>
    </w:p>
    <w:p w14:paraId="30F2F793">
      <w:pPr>
        <w:numPr>
          <w:ilvl w:val="0"/>
          <w:numId w:val="3"/>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磋商保证金</w:t>
      </w:r>
    </w:p>
    <w:p w14:paraId="67705031">
      <w:pPr>
        <w:numPr>
          <w:ilvl w:val="0"/>
          <w:numId w:val="3"/>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商务条款响应表</w:t>
      </w:r>
    </w:p>
    <w:p w14:paraId="24FB9AA4">
      <w:pPr>
        <w:numPr>
          <w:ilvl w:val="0"/>
          <w:numId w:val="3"/>
        </w:numPr>
        <w:autoSpaceDE w:val="0"/>
        <w:autoSpaceDN w:val="0"/>
        <w:adjustRightInd w:val="0"/>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已标价工程量清单</w:t>
      </w:r>
    </w:p>
    <w:p w14:paraId="02359994">
      <w:pPr>
        <w:numPr>
          <w:ilvl w:val="0"/>
          <w:numId w:val="3"/>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类似项目</w:t>
      </w:r>
      <w:r>
        <w:rPr>
          <w:rFonts w:hint="eastAsia" w:ascii="宋体" w:hAnsi="宋体" w:cs="宋体"/>
          <w:kern w:val="0"/>
          <w:szCs w:val="21"/>
          <w:highlight w:val="none"/>
          <w:lang w:val="en-US" w:eastAsia="zh-CN"/>
        </w:rPr>
        <w:t>业绩</w:t>
      </w:r>
      <w:r>
        <w:rPr>
          <w:rFonts w:hint="eastAsia" w:ascii="宋体" w:hAnsi="宋体" w:cs="宋体"/>
          <w:kern w:val="0"/>
          <w:szCs w:val="21"/>
          <w:highlight w:val="none"/>
        </w:rPr>
        <w:t>情况表</w:t>
      </w:r>
    </w:p>
    <w:p w14:paraId="16EF0C11">
      <w:pPr>
        <w:numPr>
          <w:ilvl w:val="0"/>
          <w:numId w:val="3"/>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技术文件</w:t>
      </w:r>
    </w:p>
    <w:p w14:paraId="40C46E19">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firstLine="1134"/>
        <w:textAlignment w:val="auto"/>
        <w:rPr>
          <w:rFonts w:hint="eastAsia" w:ascii="宋体" w:hAnsi="宋体" w:cs="宋体"/>
          <w:kern w:val="0"/>
          <w:szCs w:val="21"/>
          <w:highlight w:val="none"/>
        </w:rPr>
      </w:pPr>
      <w:r>
        <w:rPr>
          <w:rFonts w:hint="eastAsia" w:ascii="宋体" w:hAnsi="宋体" w:cs="宋体"/>
          <w:kern w:val="0"/>
          <w:szCs w:val="21"/>
          <w:highlight w:val="none"/>
        </w:rPr>
        <w:t>资格证明文件及相关资料</w:t>
      </w:r>
    </w:p>
    <w:p w14:paraId="03AF0041">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firstLine="1134"/>
        <w:textAlignment w:val="auto"/>
        <w:rPr>
          <w:rFonts w:hint="eastAsia" w:ascii="宋体" w:hAnsi="宋体" w:cs="宋体"/>
          <w:kern w:val="0"/>
          <w:szCs w:val="21"/>
          <w:highlight w:val="none"/>
        </w:rPr>
      </w:pPr>
      <w:r>
        <w:rPr>
          <w:rFonts w:hint="eastAsia" w:ascii="宋体" w:hAnsi="宋体" w:cs="宋体"/>
          <w:kern w:val="0"/>
          <w:szCs w:val="21"/>
          <w:highlight w:val="none"/>
          <w:lang w:eastAsia="zh-CN"/>
        </w:rPr>
        <w:t>其他材料</w:t>
      </w:r>
    </w:p>
    <w:p w14:paraId="15CA68C2">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63" w:name="_Toc195921813"/>
      <w:r>
        <w:rPr>
          <w:rFonts w:hint="eastAsia" w:ascii="宋体" w:hAnsi="宋体" w:cs="宋体"/>
          <w:kern w:val="0"/>
          <w:szCs w:val="21"/>
          <w:highlight w:val="none"/>
        </w:rPr>
        <w:t>投标报价</w:t>
      </w:r>
      <w:bookmarkEnd w:id="63"/>
    </w:p>
    <w:p w14:paraId="59AA35CE">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bookmarkStart w:id="64" w:name="_Toc195921814"/>
      <w:r>
        <w:rPr>
          <w:rFonts w:hint="eastAsia" w:ascii="宋体" w:hAnsi="宋体" w:cs="宋体"/>
          <w:kern w:val="0"/>
          <w:szCs w:val="21"/>
          <w:highlight w:val="none"/>
        </w:rPr>
        <w:t>供应商应按竞争性磋商文件第六章提供的格式进行投标报价。</w:t>
      </w:r>
    </w:p>
    <w:p w14:paraId="24161C70">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所有根据合同或其它原因应由供应商支付的税款和其它应交纳的费用都应包括在供应商提交的投标价格中。</w:t>
      </w:r>
    </w:p>
    <w:p w14:paraId="6137B79F">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报价应包含本项目所有税项。</w:t>
      </w:r>
    </w:p>
    <w:p w14:paraId="45B81D6C">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供应商应仔细阅读所有竞争性磋商文件，填报自己认为正确的报价。</w:t>
      </w:r>
    </w:p>
    <w:p w14:paraId="3CBE7C87">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供应商对采购</w:t>
      </w:r>
      <w:r>
        <w:rPr>
          <w:rFonts w:hint="eastAsia" w:ascii="宋体" w:hAnsi="宋体" w:cs="宋体"/>
          <w:kern w:val="0"/>
          <w:szCs w:val="21"/>
          <w:highlight w:val="none"/>
          <w:lang w:val="en-US" w:eastAsia="zh-CN"/>
        </w:rPr>
        <w:t>需求</w:t>
      </w:r>
      <w:r>
        <w:rPr>
          <w:rFonts w:hint="eastAsia" w:ascii="宋体" w:hAnsi="宋体" w:cs="宋体"/>
          <w:kern w:val="0"/>
          <w:szCs w:val="21"/>
          <w:highlight w:val="none"/>
        </w:rPr>
        <w:t>只允许有一个报价，采购人不接受任何有选择的报价。</w:t>
      </w:r>
    </w:p>
    <w:p w14:paraId="0E9BD0FC">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供应商根据本竞争性磋商文件的规定将投标价分成几部分，只是为了方便招标方对响应文件进行比较，并不限制采购人以上述任何条件订立合同的权力。</w:t>
      </w:r>
    </w:p>
    <w:p w14:paraId="6324620D">
      <w:pPr>
        <w:numPr>
          <w:ilvl w:val="1"/>
          <w:numId w:val="1"/>
        </w:num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除非合同另有约定，供应商所报的投标价在合同执行过程中是固定不变的，不得以任何理由予以变更。任何包含价格调整要求的投标，将被认为是非响应性投标而予以拒绝。</w:t>
      </w:r>
    </w:p>
    <w:p w14:paraId="45CA882F">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65" w:name="_Ref421009326"/>
      <w:r>
        <w:rPr>
          <w:rFonts w:hint="eastAsia" w:ascii="宋体" w:hAnsi="宋体" w:eastAsia="宋体" w:cs="宋体"/>
          <w:bCs/>
          <w:color w:val="auto"/>
          <w:szCs w:val="21"/>
          <w:highlight w:val="none"/>
          <w:lang w:val="zh-CN"/>
        </w:rPr>
        <w:t>磋商</w:t>
      </w:r>
      <w:r>
        <w:rPr>
          <w:rFonts w:hint="eastAsia" w:ascii="宋体" w:hAnsi="宋体" w:cs="宋体"/>
          <w:kern w:val="0"/>
          <w:szCs w:val="21"/>
          <w:highlight w:val="none"/>
        </w:rPr>
        <w:t>有效期</w:t>
      </w:r>
      <w:bookmarkEnd w:id="64"/>
      <w:bookmarkEnd w:id="65"/>
    </w:p>
    <w:p w14:paraId="297E460B">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szCs w:val="21"/>
          <w:highlight w:val="none"/>
        </w:rPr>
        <w:t>本项目</w:t>
      </w:r>
      <w:r>
        <w:rPr>
          <w:rFonts w:hint="eastAsia" w:ascii="宋体" w:hAnsi="宋体" w:eastAsia="宋体" w:cs="宋体"/>
          <w:bCs/>
          <w:color w:val="auto"/>
          <w:szCs w:val="21"/>
          <w:highlight w:val="none"/>
          <w:lang w:val="zh-CN"/>
        </w:rPr>
        <w:t>磋商</w:t>
      </w:r>
      <w:r>
        <w:rPr>
          <w:rFonts w:hint="eastAsia" w:ascii="宋体" w:hAnsi="宋体" w:cs="宋体"/>
          <w:szCs w:val="21"/>
          <w:highlight w:val="none"/>
        </w:rPr>
        <w:t>有效期见供应商须知前附表。</w:t>
      </w:r>
      <w:r>
        <w:rPr>
          <w:rFonts w:hint="eastAsia" w:ascii="宋体" w:hAnsi="宋体" w:eastAsia="宋体" w:cs="宋体"/>
          <w:bCs/>
          <w:color w:val="auto"/>
          <w:szCs w:val="21"/>
          <w:highlight w:val="none"/>
          <w:lang w:val="zh-CN"/>
        </w:rPr>
        <w:t>磋商</w:t>
      </w:r>
      <w:r>
        <w:rPr>
          <w:rFonts w:hint="eastAsia" w:ascii="宋体" w:hAnsi="宋体" w:cs="宋体"/>
          <w:szCs w:val="21"/>
          <w:highlight w:val="none"/>
        </w:rPr>
        <w:t>有效期从提交响应文件的截止之日起算。响应文件中承诺的</w:t>
      </w:r>
      <w:r>
        <w:rPr>
          <w:rFonts w:hint="eastAsia" w:ascii="宋体" w:hAnsi="宋体" w:eastAsia="宋体" w:cs="宋体"/>
          <w:bCs/>
          <w:color w:val="auto"/>
          <w:szCs w:val="21"/>
          <w:highlight w:val="none"/>
          <w:lang w:val="zh-CN"/>
        </w:rPr>
        <w:t>磋商</w:t>
      </w:r>
      <w:r>
        <w:rPr>
          <w:rFonts w:hint="eastAsia" w:ascii="宋体" w:hAnsi="宋体" w:cs="宋体"/>
          <w:szCs w:val="21"/>
          <w:highlight w:val="none"/>
        </w:rPr>
        <w:t>有效期应当不少于竞争性磋商文件中载明的</w:t>
      </w:r>
      <w:r>
        <w:rPr>
          <w:rFonts w:hint="eastAsia" w:ascii="宋体" w:hAnsi="宋体" w:eastAsia="宋体" w:cs="宋体"/>
          <w:bCs/>
          <w:color w:val="auto"/>
          <w:szCs w:val="21"/>
          <w:highlight w:val="none"/>
          <w:lang w:val="zh-CN"/>
        </w:rPr>
        <w:t>磋商</w:t>
      </w:r>
      <w:r>
        <w:rPr>
          <w:rFonts w:hint="eastAsia" w:ascii="宋体" w:hAnsi="宋体" w:cs="宋体"/>
          <w:szCs w:val="21"/>
          <w:highlight w:val="none"/>
        </w:rPr>
        <w:t>有效期。</w:t>
      </w:r>
    </w:p>
    <w:p w14:paraId="1E574B42">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在供应商须知前附表规定的</w:t>
      </w:r>
      <w:r>
        <w:rPr>
          <w:rFonts w:hint="eastAsia" w:ascii="宋体" w:hAnsi="宋体" w:eastAsia="宋体" w:cs="宋体"/>
          <w:bCs/>
          <w:color w:val="auto"/>
          <w:szCs w:val="21"/>
          <w:highlight w:val="none"/>
          <w:lang w:val="zh-CN"/>
        </w:rPr>
        <w:t>磋商</w:t>
      </w:r>
      <w:r>
        <w:rPr>
          <w:rFonts w:hint="eastAsia" w:ascii="宋体" w:hAnsi="宋体" w:cs="宋体"/>
          <w:kern w:val="0"/>
          <w:szCs w:val="21"/>
          <w:highlight w:val="none"/>
        </w:rPr>
        <w:t>有效期内，供应商不得要求撤销或修改其响应文件。</w:t>
      </w:r>
    </w:p>
    <w:p w14:paraId="6240BBD9">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kern w:val="0"/>
          <w:szCs w:val="21"/>
          <w:highlight w:val="none"/>
        </w:rPr>
        <w:t>磋商保证金</w:t>
      </w:r>
    </w:p>
    <w:p w14:paraId="524318F7">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bookmarkStart w:id="66" w:name="_Ref419361076"/>
      <w:r>
        <w:rPr>
          <w:rFonts w:hint="eastAsia" w:ascii="宋体" w:hAnsi="宋体" w:cs="宋体"/>
          <w:kern w:val="0"/>
          <w:szCs w:val="21"/>
          <w:highlight w:val="none"/>
        </w:rPr>
        <w:t>供应商应按供应商须知前附表规定的金额、形式递交磋商保证金，并作为其响应文件的组成部分。联合体投标的，可以由联合体中的一方或者共同提交磋商保证金，以一方名义提交磋商保证金的，对联合体各方均具有约束力。</w:t>
      </w:r>
      <w:bookmarkEnd w:id="66"/>
    </w:p>
    <w:p w14:paraId="386A2552">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供应商不按本章第3.7.1项要求提交磋商保证金的，其响应文件无效。</w:t>
      </w:r>
    </w:p>
    <w:p w14:paraId="69980185">
      <w:pPr>
        <w:numPr>
          <w:ilvl w:val="2"/>
          <w:numId w:val="1"/>
        </w:numPr>
        <w:tabs>
          <w:tab w:val="left" w:pos="1260"/>
        </w:tabs>
        <w:autoSpaceDE w:val="0"/>
        <w:autoSpaceDN w:val="0"/>
        <w:adjustRightInd w:val="0"/>
        <w:snapToGrid w:val="0"/>
        <w:spacing w:line="360" w:lineRule="auto"/>
        <w:rPr>
          <w:rFonts w:ascii="宋体" w:hAnsi="宋体" w:cs="宋体"/>
          <w:szCs w:val="21"/>
          <w:highlight w:val="none"/>
        </w:rPr>
      </w:pPr>
      <w:bookmarkStart w:id="67" w:name="_Ref419361088"/>
      <w:r>
        <w:rPr>
          <w:rFonts w:hint="eastAsia" w:ascii="宋体" w:hAnsi="宋体" w:cs="宋体"/>
          <w:szCs w:val="21"/>
          <w:highlight w:val="none"/>
        </w:rPr>
        <w:t>供应商在投标截止时间前，按竞争性磋商文件的要求向采购代理机构递交磋商保证金，投标截止时间之后递交的磋商保证金将被拒绝。</w:t>
      </w:r>
      <w:bookmarkEnd w:id="67"/>
    </w:p>
    <w:p w14:paraId="1F2119AA">
      <w:pPr>
        <w:numPr>
          <w:ilvl w:val="2"/>
          <w:numId w:val="1"/>
        </w:numPr>
        <w:tabs>
          <w:tab w:val="left" w:pos="1260"/>
        </w:tabs>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供应商在汇款时务必注明所投标项目的</w:t>
      </w:r>
      <w:r>
        <w:rPr>
          <w:rFonts w:hint="eastAsia" w:ascii="宋体" w:hAnsi="宋体" w:cs="宋体"/>
          <w:szCs w:val="21"/>
          <w:highlight w:val="none"/>
          <w:lang w:val="en-US" w:eastAsia="zh-CN"/>
        </w:rPr>
        <w:t>项目</w:t>
      </w:r>
      <w:r>
        <w:rPr>
          <w:rFonts w:hint="eastAsia" w:ascii="宋体" w:hAnsi="宋体" w:cs="宋体"/>
          <w:szCs w:val="21"/>
          <w:highlight w:val="none"/>
        </w:rPr>
        <w:t>编号及用途，否则，因款项用途不明导致投标无效等后果由供应商自行承担。</w:t>
      </w:r>
    </w:p>
    <w:p w14:paraId="24539C85">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采购人或者采购代理机构应当自成交通知书发出之日起5个工作日内退还未中标人的磋商保证金，自政府采购合同签订之日起5个工作日内退还中标人的磋商保证金</w:t>
      </w:r>
      <w:r>
        <w:rPr>
          <w:rFonts w:hint="eastAsia" w:ascii="宋体" w:hAnsi="宋体" w:cs="宋体"/>
          <w:szCs w:val="21"/>
          <w:highlight w:val="none"/>
        </w:rPr>
        <w:t>或者转为中标人的履约保证金</w:t>
      </w:r>
      <w:r>
        <w:rPr>
          <w:rFonts w:hint="eastAsia" w:ascii="宋体" w:hAnsi="宋体" w:cs="宋体"/>
          <w:kern w:val="0"/>
          <w:szCs w:val="21"/>
          <w:highlight w:val="none"/>
        </w:rPr>
        <w:t>。</w:t>
      </w:r>
    </w:p>
    <w:p w14:paraId="32867CAA">
      <w:pPr>
        <w:tabs>
          <w:tab w:val="left" w:pos="1260"/>
        </w:tabs>
        <w:autoSpaceDE w:val="0"/>
        <w:autoSpaceDN w:val="0"/>
        <w:adjustRightInd w:val="0"/>
        <w:snapToGrid w:val="0"/>
        <w:spacing w:line="360" w:lineRule="auto"/>
        <w:ind w:left="926" w:hanging="926" w:hangingChars="441"/>
        <w:rPr>
          <w:rFonts w:ascii="宋体" w:hAnsi="宋体" w:cs="宋体"/>
          <w:kern w:val="0"/>
          <w:szCs w:val="21"/>
          <w:highlight w:val="none"/>
        </w:rPr>
      </w:pPr>
      <w:r>
        <w:rPr>
          <w:rFonts w:hint="eastAsia" w:ascii="宋体" w:hAnsi="宋体" w:cs="宋体"/>
          <w:kern w:val="0"/>
          <w:szCs w:val="21"/>
          <w:highlight w:val="none"/>
        </w:rPr>
        <w:t xml:space="preserve">         采购人或者采购代理机构逾期退还磋商保证金的，除退还磋商保证金本金外，还应当按中国人民银行同期贷款基准利率上浮20％后的利率支付超期资金占用费，但因供应商自身原因导致无法及时退还的除外。</w:t>
      </w:r>
    </w:p>
    <w:p w14:paraId="6AEF93ED">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szCs w:val="21"/>
          <w:highlight w:val="none"/>
        </w:rPr>
        <w:t>供应商有下列行为之一者，其磋商保证金可不予退还：</w:t>
      </w:r>
    </w:p>
    <w:p w14:paraId="34DD4DAE">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left="0" w:leftChars="0" w:firstLine="840" w:firstLineChars="400"/>
        <w:textAlignment w:val="auto"/>
        <w:rPr>
          <w:rFonts w:hint="eastAsia" w:ascii="宋体" w:hAnsi="宋体" w:eastAsia="宋体" w:cs="宋体"/>
          <w:color w:val="auto"/>
          <w:kern w:val="0"/>
          <w:szCs w:val="21"/>
          <w:highlight w:val="none"/>
        </w:rPr>
      </w:pPr>
      <w:bookmarkStart w:id="68" w:name="_Toc195921818"/>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供应商在提交响应文件截止时间后撤回响应文件的；</w:t>
      </w:r>
    </w:p>
    <w:p w14:paraId="4B9B7FC7">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left="0" w:leftChars="0" w:firstLine="840" w:firstLineChars="4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供应商在响应文件中提供虚假材料的；</w:t>
      </w:r>
    </w:p>
    <w:p w14:paraId="4D7475BE">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left="0" w:leftChars="0" w:firstLine="840" w:firstLineChars="4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除因不可抗力或磋商文件认可的情形以外，成交供应商不与采购人签订合同的；</w:t>
      </w:r>
    </w:p>
    <w:p w14:paraId="5DEFB7F5">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left="0" w:leftChars="0" w:firstLine="840" w:firstLineChars="4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供应商与采购人、其他供应商或者采购代理机构恶意串通的；</w:t>
      </w:r>
    </w:p>
    <w:p w14:paraId="0569ED3E">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left="0" w:leftChars="0" w:firstLine="840" w:firstLineChars="4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磋商文件规定的其他情形。</w:t>
      </w:r>
    </w:p>
    <w:p w14:paraId="65C336D5">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kern w:val="0"/>
          <w:szCs w:val="21"/>
          <w:highlight w:val="none"/>
        </w:rPr>
        <w:t>响应文件的编制</w:t>
      </w:r>
      <w:bookmarkEnd w:id="68"/>
    </w:p>
    <w:p w14:paraId="0A43D9AB">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响应文件应按第六章“响应文件构成、要求及格式”进行编写，如有必要，可以增加附页，作为响应文件的组成部分。供应商可以提出比竞争性磋商文件要求更有利于采购人的承诺。</w:t>
      </w:r>
    </w:p>
    <w:p w14:paraId="3952D68D">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kern w:val="0"/>
          <w:szCs w:val="21"/>
          <w:highlight w:val="none"/>
        </w:rPr>
        <w:t>响应文件应当对竞争性磋商文件有关交</w:t>
      </w:r>
      <w:r>
        <w:rPr>
          <w:rFonts w:hint="eastAsia" w:ascii="宋体" w:hAnsi="宋体" w:eastAsia="宋体" w:cs="宋体"/>
          <w:b w:val="0"/>
          <w:bCs w:val="0"/>
          <w:color w:val="auto"/>
          <w:kern w:val="0"/>
          <w:szCs w:val="21"/>
        </w:rPr>
        <w:t>合同履行期限</w:t>
      </w:r>
      <w:r>
        <w:rPr>
          <w:rFonts w:hint="eastAsia" w:ascii="宋体" w:hAnsi="宋体" w:cs="宋体"/>
          <w:kern w:val="0"/>
          <w:szCs w:val="21"/>
          <w:highlight w:val="none"/>
        </w:rPr>
        <w:t>、</w:t>
      </w:r>
      <w:r>
        <w:rPr>
          <w:rFonts w:hint="eastAsia" w:ascii="宋体" w:hAnsi="宋体" w:cs="宋体"/>
          <w:kern w:val="0"/>
          <w:szCs w:val="21"/>
          <w:highlight w:val="none"/>
          <w:lang w:val="en-US" w:eastAsia="zh-CN"/>
        </w:rPr>
        <w:t>磋商</w:t>
      </w:r>
      <w:r>
        <w:rPr>
          <w:rFonts w:hint="eastAsia" w:ascii="宋体" w:hAnsi="宋体" w:cs="宋体"/>
          <w:kern w:val="0"/>
          <w:szCs w:val="21"/>
          <w:highlight w:val="none"/>
        </w:rPr>
        <w:t>有效期、对采购需求以及</w:t>
      </w:r>
      <w:r>
        <w:rPr>
          <w:rFonts w:hint="eastAsia" w:ascii="宋体" w:hAnsi="宋体" w:cs="宋体"/>
          <w:szCs w:val="21"/>
          <w:highlight w:val="none"/>
        </w:rPr>
        <w:t>采购项目的技术要求、服务内容、服务标准、验收</w:t>
      </w:r>
      <w:r>
        <w:rPr>
          <w:rFonts w:hint="eastAsia" w:ascii="宋体" w:hAnsi="宋体" w:cs="宋体"/>
          <w:kern w:val="0"/>
          <w:szCs w:val="21"/>
          <w:highlight w:val="none"/>
        </w:rPr>
        <w:t>等实质性内容作出响应。</w:t>
      </w:r>
    </w:p>
    <w:p w14:paraId="0E0E4CF3">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响应文件正本需打印或用不褪色墨水书写，供应商的法定代表人或经授权的代表须根据竞争性磋商文件第六章的规定在响应文件中需要签字或盖章的位置签字（加盖人名章）或加盖单位公章。授权代表须持有书面的“法定代表人授权书”（标准格式附后），并将其附在响应文件中。签字或加盖人名章的其他要求见供应商须知前附表。</w:t>
      </w:r>
    </w:p>
    <w:p w14:paraId="7777B7DC">
      <w:pPr>
        <w:tabs>
          <w:tab w:val="left" w:pos="1260"/>
        </w:tabs>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投标截止时间前，如对响应文件进行了修改，包括对响应文件行间插字、涂改和增删，均应由供应商的法定代表人或经正式授权的代表在修改的每一页上签字。</w:t>
      </w:r>
    </w:p>
    <w:p w14:paraId="5767EFE8">
      <w:pPr>
        <w:tabs>
          <w:tab w:val="left" w:pos="1260"/>
        </w:tabs>
        <w:autoSpaceDE w:val="0"/>
        <w:autoSpaceDN w:val="0"/>
        <w:adjustRightInd w:val="0"/>
        <w:snapToGrid w:val="0"/>
        <w:spacing w:line="360" w:lineRule="auto"/>
        <w:ind w:left="1134" w:leftChars="540"/>
        <w:rPr>
          <w:rFonts w:ascii="宋体" w:hAnsi="宋体" w:cs="宋体"/>
          <w:kern w:val="0"/>
          <w:szCs w:val="21"/>
          <w:highlight w:val="none"/>
        </w:rPr>
      </w:pPr>
      <w:r>
        <w:rPr>
          <w:rFonts w:hint="eastAsia" w:ascii="宋体" w:hAnsi="宋体" w:cs="宋体"/>
          <w:kern w:val="0"/>
          <w:szCs w:val="21"/>
          <w:highlight w:val="none"/>
        </w:rPr>
        <w:t>响应文件的副本可采用正本的复印件。</w:t>
      </w:r>
    </w:p>
    <w:p w14:paraId="0B744EF9">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响应文件正本一份，副本份数见供应商须知前附表。正本和副本的封面上应清楚地标记“正本”或“副本”的字样。当副本和正本不一致时，以正本为准。</w:t>
      </w:r>
    </w:p>
    <w:p w14:paraId="4FADF830">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响应文件的正本与副本应分别装订成册，并编制目录，具体分册及装订要求见供应商须知前附表规定。</w:t>
      </w:r>
    </w:p>
    <w:p w14:paraId="652E8742">
      <w:pPr>
        <w:numPr>
          <w:ilvl w:val="0"/>
          <w:numId w:val="1"/>
        </w:numPr>
        <w:autoSpaceDE w:val="0"/>
        <w:autoSpaceDN w:val="0"/>
        <w:adjustRightInd w:val="0"/>
        <w:spacing w:line="360" w:lineRule="auto"/>
        <w:outlineLvl w:val="2"/>
        <w:rPr>
          <w:rFonts w:ascii="宋体" w:hAnsi="宋体" w:cs="宋体"/>
          <w:kern w:val="0"/>
          <w:szCs w:val="21"/>
          <w:highlight w:val="none"/>
        </w:rPr>
      </w:pPr>
      <w:bookmarkStart w:id="69" w:name="_Toc15970"/>
      <w:bookmarkStart w:id="70" w:name="_Toc195921819"/>
      <w:bookmarkStart w:id="71" w:name="_Toc28752"/>
      <w:r>
        <w:rPr>
          <w:rFonts w:hint="eastAsia" w:ascii="宋体" w:hAnsi="宋体" w:cs="宋体"/>
          <w:kern w:val="0"/>
          <w:szCs w:val="21"/>
          <w:highlight w:val="none"/>
        </w:rPr>
        <w:t>投标</w:t>
      </w:r>
      <w:bookmarkEnd w:id="69"/>
      <w:bookmarkEnd w:id="70"/>
      <w:bookmarkEnd w:id="71"/>
    </w:p>
    <w:p w14:paraId="5BF06956">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72" w:name="_Toc195921820"/>
      <w:r>
        <w:rPr>
          <w:rFonts w:hint="eastAsia" w:ascii="宋体" w:hAnsi="宋体" w:cs="宋体"/>
          <w:kern w:val="0"/>
          <w:szCs w:val="21"/>
          <w:highlight w:val="none"/>
        </w:rPr>
        <w:t>响应文件的密封和标记</w:t>
      </w:r>
      <w:bookmarkEnd w:id="72"/>
    </w:p>
    <w:p w14:paraId="1A69F72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rPr>
      </w:pPr>
      <w:bookmarkStart w:id="73" w:name="_Ref421008470"/>
      <w:bookmarkStart w:id="74" w:name="_Toc195921821"/>
      <w:r>
        <w:rPr>
          <w:rFonts w:hint="eastAsia" w:ascii="宋体" w:hAnsi="宋体" w:cs="宋体"/>
          <w:color w:val="auto"/>
          <w:szCs w:val="21"/>
        </w:rPr>
        <w:t>供应商必须在“供应商须知前附表”规定的响应文件接收时间和投标地点提交电子版响应文件。电子响应文件应在制作完成后，在磋商截止时间前通过有效数字证书（CA认证锁）进行电子签章、加密，然后通过网络将加密的电子响应文件递交至“政采云”平台。</w:t>
      </w:r>
    </w:p>
    <w:bookmarkEnd w:id="73"/>
    <w:p w14:paraId="4DB7BE90">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rPr>
      </w:pPr>
      <w:bookmarkStart w:id="75" w:name="_Ref421008478"/>
      <w:r>
        <w:rPr>
          <w:rFonts w:hint="eastAsia" w:ascii="宋体" w:hAnsi="宋体" w:cs="宋体"/>
          <w:color w:val="auto"/>
          <w:szCs w:val="21"/>
        </w:rPr>
        <w:t>未在规定时间内提交或者未按照磋商文件要求密封或者标记的电子响应文件，“政采云”平台将拒收。</w:t>
      </w:r>
    </w:p>
    <w:p w14:paraId="1E486236">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的封套上应标识的其他内容见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bookmarkEnd w:id="75"/>
    </w:p>
    <w:p w14:paraId="4F00C2AA">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kern w:val="0"/>
          <w:szCs w:val="21"/>
          <w:highlight w:val="none"/>
        </w:rPr>
        <w:t>响应文件的递交</w:t>
      </w:r>
      <w:bookmarkEnd w:id="74"/>
    </w:p>
    <w:p w14:paraId="2BE0478D">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供应商应</w:t>
      </w:r>
      <w:r>
        <w:rPr>
          <w:rFonts w:hint="eastAsia" w:ascii="宋体" w:hAnsi="宋体" w:cs="宋体"/>
          <w:szCs w:val="21"/>
          <w:highlight w:val="none"/>
        </w:rPr>
        <w:t>在竞争性磋商文件要求提交响应文件的截止时间前，将响应文件密封送达</w:t>
      </w:r>
      <w:r>
        <w:rPr>
          <w:rFonts w:hint="eastAsia" w:ascii="宋体" w:hAnsi="宋体" w:cs="宋体"/>
          <w:szCs w:val="21"/>
          <w:highlight w:val="none"/>
          <w:lang w:val="en-US" w:eastAsia="zh-CN"/>
        </w:rPr>
        <w:t>递交</w:t>
      </w:r>
      <w:r>
        <w:rPr>
          <w:rFonts w:hint="eastAsia" w:ascii="宋体" w:hAnsi="宋体" w:cs="宋体"/>
          <w:szCs w:val="21"/>
          <w:highlight w:val="none"/>
        </w:rPr>
        <w:t>地点</w:t>
      </w:r>
      <w:r>
        <w:rPr>
          <w:rFonts w:hint="eastAsia" w:ascii="宋体" w:hAnsi="宋体" w:cs="宋体"/>
          <w:kern w:val="0"/>
          <w:szCs w:val="21"/>
          <w:highlight w:val="none"/>
        </w:rPr>
        <w:t>。</w:t>
      </w:r>
    </w:p>
    <w:p w14:paraId="2E08BB4D">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供应商递交响应文件的地点：见磋商公告。</w:t>
      </w:r>
    </w:p>
    <w:p w14:paraId="537D19F4">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除供应商不足3家未开标情形外，供应商所递交的响应文件不予退还。</w:t>
      </w:r>
    </w:p>
    <w:p w14:paraId="44970822">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76" w:name="_Toc195921822"/>
      <w:r>
        <w:rPr>
          <w:rFonts w:hint="eastAsia" w:ascii="宋体" w:hAnsi="宋体" w:cs="宋体"/>
          <w:kern w:val="0"/>
          <w:szCs w:val="21"/>
          <w:highlight w:val="none"/>
        </w:rPr>
        <w:t>响应文件的修改与撤回</w:t>
      </w:r>
      <w:bookmarkEnd w:id="76"/>
    </w:p>
    <w:p w14:paraId="4AB81697">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在磋商公告规定的投标截止时间前，供应商可以修改或撤回已递交的响应文件，但应以书面形式通知采购人。</w:t>
      </w:r>
    </w:p>
    <w:p w14:paraId="79A2B40D">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修改的内容为响应文件的组成部分。修改的响应文件应按照本章第3条、第4条规定进行编制、密封、标记和递交，并标明“修改”字样。</w:t>
      </w:r>
    </w:p>
    <w:p w14:paraId="1E6D7D13">
      <w:pPr>
        <w:numPr>
          <w:ilvl w:val="1"/>
          <w:numId w:val="1"/>
        </w:numPr>
        <w:autoSpaceDE w:val="0"/>
        <w:autoSpaceDN w:val="0"/>
        <w:adjustRightInd w:val="0"/>
        <w:snapToGrid w:val="0"/>
        <w:spacing w:line="360" w:lineRule="auto"/>
        <w:ind w:left="991" w:hanging="991" w:hangingChars="472"/>
        <w:rPr>
          <w:rFonts w:ascii="宋体" w:hAnsi="宋体" w:cs="宋体"/>
          <w:highlight w:val="none"/>
        </w:rPr>
      </w:pPr>
      <w:r>
        <w:rPr>
          <w:rFonts w:hint="eastAsia" w:ascii="宋体" w:hAnsi="宋体" w:cs="宋体"/>
          <w:highlight w:val="none"/>
        </w:rPr>
        <w:t>构成响应文件的其他材料，见供应商须知前附表。</w:t>
      </w:r>
    </w:p>
    <w:p w14:paraId="3A5193BE">
      <w:pPr>
        <w:numPr>
          <w:ilvl w:val="0"/>
          <w:numId w:val="1"/>
        </w:numPr>
        <w:autoSpaceDE w:val="0"/>
        <w:autoSpaceDN w:val="0"/>
        <w:adjustRightInd w:val="0"/>
        <w:spacing w:line="360" w:lineRule="auto"/>
        <w:outlineLvl w:val="2"/>
        <w:rPr>
          <w:rFonts w:ascii="宋体" w:hAnsi="宋体" w:cs="宋体"/>
          <w:kern w:val="0"/>
          <w:szCs w:val="21"/>
          <w:highlight w:val="none"/>
        </w:rPr>
      </w:pPr>
      <w:bookmarkStart w:id="77" w:name="_Toc6719"/>
      <w:bookmarkStart w:id="78" w:name="_Toc14534"/>
      <w:bookmarkStart w:id="79" w:name="_Toc195921826"/>
      <w:r>
        <w:rPr>
          <w:rFonts w:hint="eastAsia" w:ascii="宋体" w:hAnsi="宋体" w:cs="宋体"/>
          <w:kern w:val="0"/>
          <w:szCs w:val="21"/>
          <w:highlight w:val="none"/>
        </w:rPr>
        <w:t>资格审查</w:t>
      </w:r>
      <w:bookmarkEnd w:id="77"/>
      <w:bookmarkEnd w:id="78"/>
    </w:p>
    <w:p w14:paraId="19555135">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kern w:val="0"/>
          <w:szCs w:val="21"/>
          <w:highlight w:val="none"/>
        </w:rPr>
        <w:t>开标结束后，竞争性磋商小组依法对供应商的资格进行审查。</w:t>
      </w:r>
    </w:p>
    <w:p w14:paraId="33EB4AD6">
      <w:pPr>
        <w:pStyle w:val="151"/>
        <w:snapToGrid w:val="0"/>
        <w:spacing w:line="360" w:lineRule="auto"/>
        <w:ind w:left="1132" w:leftChars="539"/>
        <w:rPr>
          <w:rFonts w:hAnsi="宋体" w:cs="宋体"/>
          <w:highlight w:val="none"/>
        </w:rPr>
      </w:pPr>
      <w:r>
        <w:rPr>
          <w:rFonts w:hint="eastAsia" w:hAnsi="宋体" w:cs="宋体"/>
          <w:highlight w:val="none"/>
        </w:rPr>
        <w:t>合格供应商不足3家的，不进行评标。</w:t>
      </w:r>
    </w:p>
    <w:p w14:paraId="3A2ADB6E">
      <w:pPr>
        <w:numPr>
          <w:ilvl w:val="0"/>
          <w:numId w:val="1"/>
        </w:numPr>
        <w:autoSpaceDE w:val="0"/>
        <w:autoSpaceDN w:val="0"/>
        <w:adjustRightInd w:val="0"/>
        <w:spacing w:line="360" w:lineRule="auto"/>
        <w:outlineLvl w:val="2"/>
        <w:rPr>
          <w:rFonts w:ascii="宋体" w:hAnsi="宋体" w:cs="宋体"/>
          <w:kern w:val="0"/>
          <w:szCs w:val="21"/>
          <w:highlight w:val="none"/>
        </w:rPr>
      </w:pPr>
      <w:bookmarkStart w:id="80" w:name="_Toc13389"/>
      <w:bookmarkStart w:id="81" w:name="_Toc30234"/>
      <w:r>
        <w:rPr>
          <w:rFonts w:hint="eastAsia" w:ascii="宋体" w:hAnsi="宋体" w:cs="宋体"/>
          <w:kern w:val="0"/>
          <w:szCs w:val="21"/>
          <w:highlight w:val="none"/>
        </w:rPr>
        <w:t>评标</w:t>
      </w:r>
      <w:bookmarkEnd w:id="79"/>
      <w:bookmarkEnd w:id="80"/>
      <w:bookmarkEnd w:id="81"/>
    </w:p>
    <w:p w14:paraId="4C5218E0">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kern w:val="0"/>
          <w:szCs w:val="21"/>
          <w:highlight w:val="none"/>
        </w:rPr>
        <w:t>磋商小组</w:t>
      </w:r>
    </w:p>
    <w:p w14:paraId="7CB210F4">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评标由采购人依法组建的磋商小组负责。磋商小组由有关技术、经济等方面的专家组成。</w:t>
      </w:r>
    </w:p>
    <w:p w14:paraId="5207EDC2">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磋商小组成员有下列情形之一的，应当回避：</w:t>
      </w:r>
    </w:p>
    <w:p w14:paraId="3F84C5C1">
      <w:pPr>
        <w:pStyle w:val="151"/>
        <w:snapToGrid w:val="0"/>
        <w:spacing w:line="360" w:lineRule="auto"/>
        <w:ind w:left="1659" w:leftChars="540" w:hanging="525" w:hangingChars="250"/>
        <w:rPr>
          <w:rFonts w:hAnsi="宋体" w:cs="宋体"/>
          <w:highlight w:val="none"/>
        </w:rPr>
      </w:pPr>
      <w:r>
        <w:rPr>
          <w:rFonts w:hint="eastAsia" w:hAnsi="宋体" w:cs="宋体"/>
          <w:highlight w:val="none"/>
        </w:rPr>
        <w:t>（1）参加采购活动前3年内与供应商存在劳动关系；</w:t>
      </w:r>
    </w:p>
    <w:p w14:paraId="56483410">
      <w:pPr>
        <w:pStyle w:val="151"/>
        <w:snapToGrid w:val="0"/>
        <w:spacing w:line="360" w:lineRule="auto"/>
        <w:ind w:left="1659" w:leftChars="540" w:hanging="525" w:hangingChars="250"/>
        <w:rPr>
          <w:rFonts w:hAnsi="宋体" w:cs="宋体"/>
          <w:highlight w:val="none"/>
        </w:rPr>
      </w:pPr>
      <w:r>
        <w:rPr>
          <w:rFonts w:hint="eastAsia" w:hAnsi="宋体" w:cs="宋体"/>
          <w:highlight w:val="none"/>
        </w:rPr>
        <w:t>（2）参加采购活动前3年内担任供应商的董事、监事；</w:t>
      </w:r>
    </w:p>
    <w:p w14:paraId="5F2E4713">
      <w:pPr>
        <w:pStyle w:val="151"/>
        <w:snapToGrid w:val="0"/>
        <w:spacing w:line="360" w:lineRule="auto"/>
        <w:ind w:left="1659" w:leftChars="540" w:hanging="525" w:hangingChars="250"/>
        <w:rPr>
          <w:rFonts w:hAnsi="宋体" w:cs="宋体"/>
          <w:highlight w:val="none"/>
        </w:rPr>
      </w:pPr>
      <w:r>
        <w:rPr>
          <w:rFonts w:hint="eastAsia" w:hAnsi="宋体" w:cs="宋体"/>
          <w:highlight w:val="none"/>
        </w:rPr>
        <w:t>（3）参加采购活动前3年内是供应商的控股股东或者实际控制人；</w:t>
      </w:r>
    </w:p>
    <w:p w14:paraId="12D07181">
      <w:pPr>
        <w:pStyle w:val="151"/>
        <w:snapToGrid w:val="0"/>
        <w:spacing w:line="360" w:lineRule="auto"/>
        <w:ind w:left="1659" w:leftChars="540" w:hanging="525" w:hangingChars="250"/>
        <w:rPr>
          <w:rFonts w:hAnsi="宋体" w:cs="宋体"/>
          <w:highlight w:val="none"/>
        </w:rPr>
      </w:pPr>
      <w:r>
        <w:rPr>
          <w:rFonts w:hint="eastAsia" w:hAnsi="宋体" w:cs="宋体"/>
          <w:highlight w:val="none"/>
        </w:rPr>
        <w:t>（4）与供应商的法定代表人或者负责人有夫妻、直系血亲、三代以内旁系血亲或者近姻亲关系；</w:t>
      </w:r>
    </w:p>
    <w:p w14:paraId="79CAED06">
      <w:pPr>
        <w:pStyle w:val="151"/>
        <w:snapToGrid w:val="0"/>
        <w:spacing w:line="360" w:lineRule="auto"/>
        <w:ind w:left="1659" w:leftChars="540" w:hanging="525" w:hangingChars="250"/>
        <w:rPr>
          <w:rFonts w:hAnsi="宋体" w:cs="宋体"/>
          <w:highlight w:val="none"/>
        </w:rPr>
      </w:pPr>
      <w:r>
        <w:rPr>
          <w:rFonts w:hint="eastAsia" w:hAnsi="宋体" w:cs="宋体"/>
          <w:highlight w:val="none"/>
        </w:rPr>
        <w:t>（5）与供应商有其他可能影响政府采购活动公平、公正进行的关系。</w:t>
      </w:r>
    </w:p>
    <w:p w14:paraId="087697EB">
      <w:pPr>
        <w:numPr>
          <w:ilvl w:val="2"/>
          <w:numId w:val="1"/>
        </w:numPr>
        <w:tabs>
          <w:tab w:val="left" w:pos="1260"/>
          <w:tab w:val="left" w:pos="1418"/>
          <w:tab w:val="left" w:pos="180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磋商小组</w:t>
      </w:r>
      <w:r>
        <w:rPr>
          <w:rFonts w:hint="eastAsia" w:ascii="宋体" w:hAnsi="宋体" w:cs="宋体"/>
          <w:szCs w:val="21"/>
          <w:highlight w:val="none"/>
        </w:rPr>
        <w:t>负责具体评标事务，并独立履行下列职责</w:t>
      </w:r>
      <w:r>
        <w:rPr>
          <w:rFonts w:hint="eastAsia" w:ascii="宋体" w:hAnsi="宋体" w:cs="宋体"/>
          <w:kern w:val="0"/>
          <w:szCs w:val="21"/>
          <w:highlight w:val="none"/>
        </w:rPr>
        <w:t>：</w:t>
      </w:r>
    </w:p>
    <w:p w14:paraId="2225D34F">
      <w:pPr>
        <w:pStyle w:val="151"/>
        <w:snapToGrid w:val="0"/>
        <w:spacing w:line="360" w:lineRule="auto"/>
        <w:ind w:left="1751" w:leftChars="539" w:hanging="619" w:hangingChars="295"/>
        <w:rPr>
          <w:rFonts w:hAnsi="宋体" w:cs="宋体"/>
          <w:highlight w:val="none"/>
        </w:rPr>
      </w:pPr>
      <w:bookmarkStart w:id="82" w:name="_Toc195921828"/>
      <w:r>
        <w:rPr>
          <w:rFonts w:hint="eastAsia" w:hAnsi="宋体" w:cs="宋体"/>
          <w:highlight w:val="none"/>
        </w:rPr>
        <w:t>（1）</w:t>
      </w:r>
      <w:r>
        <w:rPr>
          <w:rFonts w:hint="eastAsia" w:hAnsi="宋体" w:cs="宋体"/>
          <w:highlight w:val="none"/>
        </w:rPr>
        <w:tab/>
      </w:r>
      <w:r>
        <w:rPr>
          <w:rFonts w:hint="eastAsia" w:hAnsi="宋体" w:cs="宋体"/>
          <w:highlight w:val="none"/>
        </w:rPr>
        <w:t>审查、评价响应文件是否符合竞争性磋商文件的商务、技术等实质性要求；</w:t>
      </w:r>
    </w:p>
    <w:p w14:paraId="4B44E7FF">
      <w:pPr>
        <w:pStyle w:val="151"/>
        <w:snapToGrid w:val="0"/>
        <w:spacing w:line="360" w:lineRule="auto"/>
        <w:ind w:left="1751" w:leftChars="539" w:hanging="619" w:hangingChars="295"/>
        <w:rPr>
          <w:rFonts w:hAnsi="宋体" w:cs="宋体"/>
          <w:highlight w:val="none"/>
        </w:rPr>
      </w:pPr>
      <w:r>
        <w:rPr>
          <w:rFonts w:hint="eastAsia" w:hAnsi="宋体" w:cs="宋体"/>
          <w:highlight w:val="none"/>
        </w:rPr>
        <w:t>（2）</w:t>
      </w:r>
      <w:r>
        <w:rPr>
          <w:rFonts w:hint="eastAsia" w:hAnsi="宋体" w:cs="宋体"/>
          <w:highlight w:val="none"/>
        </w:rPr>
        <w:tab/>
      </w:r>
      <w:r>
        <w:rPr>
          <w:rFonts w:hint="eastAsia" w:hAnsi="宋体" w:cs="宋体"/>
          <w:highlight w:val="none"/>
        </w:rPr>
        <w:t>要求供应商对响应文件有关事项作出澄清或者说明；</w:t>
      </w:r>
    </w:p>
    <w:p w14:paraId="69BFC11E">
      <w:pPr>
        <w:pStyle w:val="151"/>
        <w:snapToGrid w:val="0"/>
        <w:spacing w:line="360" w:lineRule="auto"/>
        <w:ind w:left="1751" w:leftChars="539" w:hanging="619" w:hangingChars="295"/>
        <w:rPr>
          <w:rFonts w:hAnsi="宋体" w:cs="宋体"/>
          <w:highlight w:val="none"/>
        </w:rPr>
      </w:pPr>
      <w:r>
        <w:rPr>
          <w:rFonts w:hint="eastAsia" w:hAnsi="宋体" w:cs="宋体"/>
          <w:highlight w:val="none"/>
        </w:rPr>
        <w:t>（3）</w:t>
      </w:r>
      <w:r>
        <w:rPr>
          <w:rFonts w:hint="eastAsia" w:hAnsi="宋体" w:cs="宋体"/>
          <w:highlight w:val="none"/>
        </w:rPr>
        <w:tab/>
      </w:r>
      <w:r>
        <w:rPr>
          <w:rFonts w:hint="eastAsia" w:hAnsi="宋体" w:cs="宋体"/>
          <w:highlight w:val="none"/>
        </w:rPr>
        <w:t>对响应文件进行比较和评价；</w:t>
      </w:r>
    </w:p>
    <w:p w14:paraId="54C49F89">
      <w:pPr>
        <w:pStyle w:val="151"/>
        <w:snapToGrid w:val="0"/>
        <w:spacing w:line="360" w:lineRule="auto"/>
        <w:ind w:left="1751" w:leftChars="539" w:hanging="619" w:hangingChars="295"/>
        <w:rPr>
          <w:rFonts w:hAnsi="宋体" w:cs="宋体"/>
          <w:highlight w:val="none"/>
        </w:rPr>
      </w:pPr>
      <w:r>
        <w:rPr>
          <w:rFonts w:hint="eastAsia" w:hAnsi="宋体" w:cs="宋体"/>
          <w:highlight w:val="none"/>
        </w:rPr>
        <w:t>（4）</w:t>
      </w:r>
      <w:r>
        <w:rPr>
          <w:rFonts w:hint="eastAsia" w:hAnsi="宋体" w:cs="宋体"/>
          <w:highlight w:val="none"/>
        </w:rPr>
        <w:tab/>
      </w:r>
      <w:r>
        <w:rPr>
          <w:rFonts w:hint="eastAsia" w:hAnsi="宋体" w:cs="宋体"/>
          <w:highlight w:val="none"/>
        </w:rPr>
        <w:t>确定成交候选人名单，以及根据采购人委托直接确定中标人；</w:t>
      </w:r>
    </w:p>
    <w:p w14:paraId="41FE8A7D">
      <w:pPr>
        <w:pStyle w:val="151"/>
        <w:snapToGrid w:val="0"/>
        <w:spacing w:line="360" w:lineRule="auto"/>
        <w:ind w:left="1751" w:leftChars="539" w:hanging="619" w:hangingChars="295"/>
        <w:rPr>
          <w:rFonts w:hAnsi="宋体" w:cs="宋体"/>
          <w:highlight w:val="none"/>
        </w:rPr>
      </w:pPr>
      <w:r>
        <w:rPr>
          <w:rFonts w:hint="eastAsia" w:hAnsi="宋体" w:cs="宋体"/>
          <w:highlight w:val="none"/>
        </w:rPr>
        <w:t>（5）</w:t>
      </w:r>
      <w:r>
        <w:rPr>
          <w:rFonts w:hint="eastAsia" w:hAnsi="宋体" w:cs="宋体"/>
          <w:highlight w:val="none"/>
        </w:rPr>
        <w:tab/>
      </w:r>
      <w:r>
        <w:rPr>
          <w:rFonts w:hint="eastAsia" w:hAnsi="宋体" w:cs="宋体"/>
          <w:highlight w:val="none"/>
        </w:rPr>
        <w:t>向采购人、采购代理机构或者有关部门报告评标中发现的违法行为。</w:t>
      </w:r>
    </w:p>
    <w:p w14:paraId="6486D3CB">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szCs w:val="21"/>
          <w:highlight w:val="none"/>
        </w:rPr>
        <w:t>磋商小组应当对符合资格的供应商的响应文件进行符合性审查，以确定其是否满足竞争性磋商文件的实质性要求。</w:t>
      </w:r>
      <w:bookmarkEnd w:id="82"/>
    </w:p>
    <w:p w14:paraId="7012A6BF">
      <w:pPr>
        <w:numPr>
          <w:ilvl w:val="1"/>
          <w:numId w:val="1"/>
        </w:numPr>
        <w:autoSpaceDE w:val="0"/>
        <w:autoSpaceDN w:val="0"/>
        <w:adjustRightInd w:val="0"/>
        <w:snapToGrid w:val="0"/>
        <w:spacing w:line="360" w:lineRule="auto"/>
        <w:ind w:left="991" w:hanging="991" w:hangingChars="472"/>
        <w:rPr>
          <w:rFonts w:ascii="宋体" w:hAnsi="宋体" w:cs="宋体"/>
          <w:szCs w:val="21"/>
          <w:highlight w:val="none"/>
        </w:rPr>
      </w:pPr>
      <w:r>
        <w:rPr>
          <w:rFonts w:hint="eastAsia" w:ascii="宋体" w:hAnsi="宋体" w:cs="宋体"/>
          <w:szCs w:val="21"/>
          <w:highlight w:val="none"/>
        </w:rPr>
        <w:t>磋商小组按照第三章“资格审查、</w:t>
      </w:r>
      <w:r>
        <w:rPr>
          <w:rFonts w:hint="eastAsia" w:ascii="宋体" w:hAnsi="宋体" w:cs="宋体"/>
          <w:bCs/>
          <w:kern w:val="15"/>
          <w:szCs w:val="21"/>
          <w:highlight w:val="none"/>
          <w:lang w:val="en-US" w:eastAsia="zh-CN"/>
        </w:rPr>
        <w:t>评审方法</w:t>
      </w:r>
      <w:r>
        <w:rPr>
          <w:rFonts w:hint="eastAsia" w:ascii="宋体" w:hAnsi="宋体" w:cs="宋体"/>
          <w:szCs w:val="21"/>
          <w:highlight w:val="none"/>
        </w:rPr>
        <w:t>和标准”规定的</w:t>
      </w:r>
      <w:r>
        <w:rPr>
          <w:rFonts w:hint="eastAsia" w:ascii="宋体" w:hAnsi="宋体" w:cs="宋体"/>
          <w:bCs/>
          <w:kern w:val="15"/>
          <w:szCs w:val="21"/>
          <w:highlight w:val="none"/>
          <w:lang w:val="en-US" w:eastAsia="zh-CN"/>
        </w:rPr>
        <w:t>评审方法</w:t>
      </w:r>
      <w:r>
        <w:rPr>
          <w:rFonts w:hint="eastAsia" w:ascii="宋体" w:hAnsi="宋体" w:cs="宋体"/>
          <w:szCs w:val="21"/>
          <w:highlight w:val="none"/>
        </w:rPr>
        <w:t>和标准，对符合性审查合格的响应文件进行商务和技术评估，综合比较与评价。“</w:t>
      </w:r>
      <w:r>
        <w:rPr>
          <w:rFonts w:hint="eastAsia" w:ascii="宋体" w:hAnsi="宋体" w:cs="宋体"/>
          <w:bCs/>
          <w:kern w:val="15"/>
          <w:szCs w:val="21"/>
          <w:highlight w:val="none"/>
          <w:lang w:val="en-US" w:eastAsia="zh-CN"/>
        </w:rPr>
        <w:t>评审方法</w:t>
      </w:r>
      <w:r>
        <w:rPr>
          <w:rFonts w:hint="eastAsia" w:ascii="宋体" w:hAnsi="宋体" w:cs="宋体"/>
          <w:szCs w:val="21"/>
          <w:highlight w:val="none"/>
        </w:rPr>
        <w:t>”没有规定的方法、评审因素和标准，不作为评标依据。</w:t>
      </w:r>
    </w:p>
    <w:p w14:paraId="477237D3">
      <w:pPr>
        <w:numPr>
          <w:ilvl w:val="1"/>
          <w:numId w:val="1"/>
        </w:numPr>
        <w:autoSpaceDE w:val="0"/>
        <w:autoSpaceDN w:val="0"/>
        <w:adjustRightInd w:val="0"/>
        <w:snapToGrid w:val="0"/>
        <w:spacing w:line="360" w:lineRule="auto"/>
        <w:ind w:left="991" w:hanging="991" w:hangingChars="472"/>
        <w:rPr>
          <w:rFonts w:ascii="宋体" w:hAnsi="宋体" w:cs="宋体"/>
          <w:szCs w:val="21"/>
          <w:highlight w:val="none"/>
        </w:rPr>
      </w:pPr>
      <w:r>
        <w:rPr>
          <w:rFonts w:hint="eastAsia" w:ascii="宋体" w:hAnsi="宋体" w:cs="宋体"/>
          <w:szCs w:val="21"/>
          <w:highlight w:val="none"/>
        </w:rPr>
        <w:t>在评标过程中发现供应商有不遵循公平竞争的原则，恶意串通，妨碍其他供应商的竞争行为，损害采购人或者其他供应商的合法权益的，磋商小组应当认定其投标无效，并书面报告本级财政部门。</w:t>
      </w:r>
    </w:p>
    <w:p w14:paraId="165EE5C9">
      <w:pPr>
        <w:numPr>
          <w:ilvl w:val="1"/>
          <w:numId w:val="1"/>
        </w:numPr>
        <w:autoSpaceDE w:val="0"/>
        <w:autoSpaceDN w:val="0"/>
        <w:adjustRightInd w:val="0"/>
        <w:snapToGrid w:val="0"/>
        <w:spacing w:line="360" w:lineRule="auto"/>
        <w:ind w:left="991" w:hanging="991" w:hangingChars="472"/>
        <w:rPr>
          <w:rFonts w:ascii="宋体" w:hAnsi="宋体" w:cs="宋体"/>
          <w:szCs w:val="21"/>
          <w:highlight w:val="none"/>
        </w:rPr>
      </w:pPr>
      <w:r>
        <w:rPr>
          <w:rFonts w:hint="eastAsia" w:ascii="宋体" w:hAnsi="宋体" w:cs="宋体"/>
          <w:szCs w:val="21"/>
          <w:highlight w:val="none"/>
        </w:rPr>
        <w:t>公开招标数额标准以上的采购项目，投标截止后供应商不足3家或者通过资格审查或符合性审查的供应商不足3家的，除采购任务取消情形外，将重新招标或采用其他采购方式采购。</w:t>
      </w:r>
    </w:p>
    <w:p w14:paraId="377F735F">
      <w:pPr>
        <w:numPr>
          <w:ilvl w:val="0"/>
          <w:numId w:val="1"/>
        </w:numPr>
        <w:autoSpaceDE w:val="0"/>
        <w:autoSpaceDN w:val="0"/>
        <w:adjustRightInd w:val="0"/>
        <w:spacing w:line="360" w:lineRule="auto"/>
        <w:outlineLvl w:val="2"/>
        <w:rPr>
          <w:rFonts w:ascii="宋体" w:hAnsi="宋体" w:cs="宋体"/>
          <w:kern w:val="0"/>
          <w:szCs w:val="21"/>
          <w:highlight w:val="none"/>
        </w:rPr>
      </w:pPr>
      <w:bookmarkStart w:id="83" w:name="_Toc195921830"/>
      <w:bookmarkStart w:id="84" w:name="_Toc30754"/>
      <w:bookmarkStart w:id="85" w:name="_Toc19223"/>
      <w:r>
        <w:rPr>
          <w:rFonts w:hint="eastAsia" w:ascii="宋体" w:hAnsi="宋体" w:cs="宋体"/>
          <w:kern w:val="0"/>
          <w:szCs w:val="21"/>
          <w:highlight w:val="none"/>
        </w:rPr>
        <w:t>合同授予</w:t>
      </w:r>
      <w:bookmarkEnd w:id="83"/>
      <w:bookmarkEnd w:id="84"/>
      <w:bookmarkEnd w:id="85"/>
    </w:p>
    <w:p w14:paraId="47FDDB45">
      <w:pPr>
        <w:numPr>
          <w:ilvl w:val="1"/>
          <w:numId w:val="1"/>
        </w:numPr>
        <w:autoSpaceDE w:val="0"/>
        <w:autoSpaceDN w:val="0"/>
        <w:adjustRightInd w:val="0"/>
        <w:snapToGrid w:val="0"/>
        <w:spacing w:line="360" w:lineRule="auto"/>
        <w:ind w:left="1470" w:hanging="1470" w:hangingChars="700"/>
        <w:rPr>
          <w:rFonts w:ascii="宋体" w:hAnsi="宋体" w:cs="宋体"/>
          <w:kern w:val="0"/>
          <w:szCs w:val="21"/>
          <w:highlight w:val="none"/>
        </w:rPr>
      </w:pPr>
      <w:bookmarkStart w:id="86" w:name="_Toc195921831"/>
      <w:r>
        <w:rPr>
          <w:rFonts w:hint="eastAsia" w:ascii="宋体" w:hAnsi="宋体" w:cs="宋体"/>
          <w:kern w:val="0"/>
          <w:szCs w:val="21"/>
          <w:highlight w:val="none"/>
        </w:rPr>
        <w:t>定标方式</w:t>
      </w:r>
      <w:bookmarkEnd w:id="86"/>
    </w:p>
    <w:p w14:paraId="7AEC6BD8">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szCs w:val="21"/>
          <w:highlight w:val="none"/>
        </w:rPr>
        <w:t>采购人按评标报告确定的成交候选人名单中按顺序确定成交人。磋商小组确定的成交候选人的人数见供应商须知前附表。</w:t>
      </w:r>
    </w:p>
    <w:p w14:paraId="330671C4">
      <w:pPr>
        <w:numPr>
          <w:ilvl w:val="1"/>
          <w:numId w:val="1"/>
        </w:numPr>
        <w:autoSpaceDE w:val="0"/>
        <w:autoSpaceDN w:val="0"/>
        <w:adjustRightInd w:val="0"/>
        <w:snapToGrid w:val="0"/>
        <w:spacing w:line="360" w:lineRule="auto"/>
        <w:ind w:left="1470" w:hanging="1470" w:hangingChars="700"/>
        <w:rPr>
          <w:rFonts w:ascii="宋体" w:hAnsi="宋体" w:cs="宋体"/>
          <w:kern w:val="0"/>
          <w:szCs w:val="21"/>
          <w:highlight w:val="none"/>
        </w:rPr>
      </w:pPr>
      <w:r>
        <w:rPr>
          <w:rFonts w:hint="eastAsia" w:ascii="宋体" w:hAnsi="宋体" w:cs="宋体"/>
          <w:kern w:val="0"/>
          <w:szCs w:val="21"/>
          <w:highlight w:val="none"/>
        </w:rPr>
        <w:t>成交公告</w:t>
      </w:r>
    </w:p>
    <w:p w14:paraId="2F213ED8">
      <w:pPr>
        <w:numPr>
          <w:ilvl w:val="2"/>
          <w:numId w:val="1"/>
        </w:numPr>
        <w:tabs>
          <w:tab w:val="left" w:pos="1260"/>
        </w:tabs>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采购人或者采购代理机构应当自成交人确定之日起2个工作日内，在省级以上财政部门指定的媒体上公告中标结果。</w:t>
      </w:r>
    </w:p>
    <w:p w14:paraId="0A13BCCA">
      <w:pPr>
        <w:tabs>
          <w:tab w:val="left" w:pos="1260"/>
        </w:tabs>
        <w:autoSpaceDE w:val="0"/>
        <w:autoSpaceDN w:val="0"/>
        <w:adjustRightInd w:val="0"/>
        <w:snapToGrid w:val="0"/>
        <w:spacing w:line="360" w:lineRule="auto"/>
        <w:ind w:left="1134"/>
        <w:rPr>
          <w:rFonts w:ascii="宋体" w:hAnsi="宋体" w:cs="宋体"/>
          <w:szCs w:val="21"/>
          <w:highlight w:val="none"/>
        </w:rPr>
      </w:pPr>
      <w:r>
        <w:rPr>
          <w:rFonts w:hint="eastAsia" w:ascii="宋体" w:hAnsi="宋体" w:cs="宋体"/>
          <w:szCs w:val="21"/>
          <w:highlight w:val="none"/>
        </w:rPr>
        <w:t>成交公告期限为1个工作日。</w:t>
      </w:r>
    </w:p>
    <w:p w14:paraId="0FF6732B">
      <w:pPr>
        <w:numPr>
          <w:ilvl w:val="2"/>
          <w:numId w:val="1"/>
        </w:numPr>
        <w:tabs>
          <w:tab w:val="left" w:pos="1260"/>
        </w:tabs>
        <w:autoSpaceDE w:val="0"/>
        <w:autoSpaceDN w:val="0"/>
        <w:adjustRightInd w:val="0"/>
        <w:snapToGrid w:val="0"/>
        <w:spacing w:line="360" w:lineRule="auto"/>
        <w:rPr>
          <w:rFonts w:ascii="宋体" w:hAnsi="宋体" w:cs="宋体"/>
          <w:szCs w:val="21"/>
          <w:highlight w:val="none"/>
        </w:rPr>
      </w:pPr>
      <w:r>
        <w:rPr>
          <w:rFonts w:hint="eastAsia" w:ascii="宋体" w:hAnsi="宋体" w:cs="宋体"/>
          <w:kern w:val="0"/>
          <w:szCs w:val="21"/>
          <w:highlight w:val="none"/>
        </w:rPr>
        <w:t>供应商对成交结果有疑义的，在成交公告期限届满之日</w:t>
      </w:r>
      <w:r>
        <w:rPr>
          <w:rFonts w:hint="eastAsia" w:ascii="宋体" w:hAnsi="宋体" w:cs="宋体"/>
          <w:szCs w:val="21"/>
          <w:highlight w:val="none"/>
        </w:rPr>
        <w:t>起七个工作日内，按本须知2.5款接收质疑函的方式以书面形式一次性提出对成交结果的质疑。</w:t>
      </w:r>
    </w:p>
    <w:p w14:paraId="7E2D0C17">
      <w:pPr>
        <w:numPr>
          <w:ilvl w:val="1"/>
          <w:numId w:val="1"/>
        </w:numPr>
        <w:autoSpaceDE w:val="0"/>
        <w:autoSpaceDN w:val="0"/>
        <w:adjustRightInd w:val="0"/>
        <w:snapToGrid w:val="0"/>
        <w:spacing w:line="360" w:lineRule="auto"/>
        <w:ind w:left="1470" w:hanging="1470" w:hangingChars="700"/>
        <w:rPr>
          <w:rFonts w:ascii="宋体" w:hAnsi="宋体" w:cs="宋体"/>
          <w:kern w:val="0"/>
          <w:szCs w:val="21"/>
          <w:highlight w:val="none"/>
        </w:rPr>
      </w:pPr>
      <w:bookmarkStart w:id="87" w:name="_Toc195921832"/>
      <w:r>
        <w:rPr>
          <w:rFonts w:hint="eastAsia" w:ascii="宋体" w:hAnsi="宋体" w:cs="宋体"/>
          <w:kern w:val="0"/>
          <w:szCs w:val="21"/>
          <w:highlight w:val="none"/>
        </w:rPr>
        <w:t>成交通知</w:t>
      </w:r>
      <w:bookmarkEnd w:id="87"/>
    </w:p>
    <w:p w14:paraId="5E72F1F0">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kern w:val="0"/>
          <w:szCs w:val="21"/>
          <w:highlight w:val="none"/>
        </w:rPr>
        <w:t>在公告成交结果的同时，采购人以书面形式向成交人发出成交通知书，同时将成交结果通知未成交的供应商。</w:t>
      </w:r>
    </w:p>
    <w:p w14:paraId="14CA37DE">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szCs w:val="21"/>
          <w:highlight w:val="none"/>
        </w:rPr>
        <w:t>成交通知书发出后，采购人不得违法改变成交结果，成交人无正当理由不得放弃中标。</w:t>
      </w:r>
    </w:p>
    <w:p w14:paraId="5A938D74">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kern w:val="0"/>
          <w:szCs w:val="21"/>
          <w:highlight w:val="none"/>
        </w:rPr>
        <w:t>履约保证金</w:t>
      </w:r>
    </w:p>
    <w:p w14:paraId="57FFE56F">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bookmarkStart w:id="88" w:name="_Ref421009348"/>
      <w:r>
        <w:rPr>
          <w:rFonts w:hint="eastAsia" w:ascii="宋体" w:hAnsi="宋体" w:cs="宋体"/>
          <w:kern w:val="0"/>
          <w:szCs w:val="21"/>
          <w:highlight w:val="none"/>
        </w:rPr>
        <w:t>在签订合同前，成交人应按供应商须知前附表规定的金额、担保形式和竞争性磋商文件第四章“合同条款及格式”规定的履约保证金格式向采购人提交履约保证金。</w:t>
      </w:r>
      <w:bookmarkEnd w:id="88"/>
    </w:p>
    <w:p w14:paraId="7591790E">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成交人不能按本章第</w:t>
      </w:r>
      <w:r>
        <w:rPr>
          <w:rFonts w:hint="eastAsia" w:ascii="宋体" w:hAnsi="宋体" w:cs="宋体"/>
          <w:szCs w:val="21"/>
          <w:highlight w:val="none"/>
        </w:rPr>
        <w:fldChar w:fldCharType="begin"/>
      </w:r>
      <w:r>
        <w:rPr>
          <w:rFonts w:hint="eastAsia" w:ascii="宋体" w:hAnsi="宋体" w:cs="宋体"/>
          <w:szCs w:val="21"/>
          <w:highlight w:val="none"/>
        </w:rPr>
        <w:instrText xml:space="preserve">REF _Ref421009348 \r \h \* MERGEFORMAT </w:instrText>
      </w:r>
      <w:r>
        <w:rPr>
          <w:rFonts w:hint="eastAsia" w:ascii="宋体" w:hAnsi="宋体" w:cs="宋体"/>
          <w:szCs w:val="21"/>
          <w:highlight w:val="none"/>
        </w:rPr>
        <w:fldChar w:fldCharType="separate"/>
      </w:r>
      <w:r>
        <w:rPr>
          <w:rFonts w:hint="eastAsia" w:ascii="宋体" w:hAnsi="宋体" w:cs="宋体"/>
          <w:kern w:val="0"/>
          <w:szCs w:val="21"/>
          <w:highlight w:val="none"/>
        </w:rPr>
        <w:t>8.4.1</w:t>
      </w:r>
      <w:r>
        <w:rPr>
          <w:rFonts w:hint="eastAsia" w:ascii="宋体" w:hAnsi="宋体" w:cs="宋体"/>
          <w:kern w:val="0"/>
          <w:szCs w:val="21"/>
          <w:highlight w:val="none"/>
        </w:rPr>
        <w:fldChar w:fldCharType="end"/>
      </w:r>
      <w:r>
        <w:rPr>
          <w:rFonts w:hint="eastAsia" w:ascii="宋体" w:hAnsi="宋体" w:cs="宋体"/>
          <w:kern w:val="0"/>
          <w:szCs w:val="21"/>
          <w:highlight w:val="none"/>
        </w:rPr>
        <w:t>项要求提交履约保证金的，视为放弃中标，其磋商保证金不予退还，给采购人造成的损失超过磋商保证金数额的，成交人还应当对超过部分予以赔偿。</w:t>
      </w:r>
    </w:p>
    <w:p w14:paraId="20D35B72">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89" w:name="_Toc195921834"/>
      <w:r>
        <w:rPr>
          <w:rFonts w:hint="eastAsia" w:ascii="宋体" w:hAnsi="宋体" w:cs="宋体"/>
          <w:kern w:val="0"/>
          <w:szCs w:val="21"/>
          <w:highlight w:val="none"/>
        </w:rPr>
        <w:t>签订合同</w:t>
      </w:r>
      <w:bookmarkEnd w:id="89"/>
    </w:p>
    <w:p w14:paraId="136CFDEF">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szCs w:val="21"/>
          <w:highlight w:val="none"/>
        </w:rPr>
        <w:t>采购人应当自成交通知书发出之日起30日内，按照竞争性磋商文件和成交人响应文件的规定，与成交人签订书面合同。所签订的合同不得对竞争性磋商文件确定的事项和成交人响应文件作实质性修改。</w:t>
      </w:r>
    </w:p>
    <w:p w14:paraId="6B72F719">
      <w:pPr>
        <w:tabs>
          <w:tab w:val="left" w:pos="1260"/>
        </w:tabs>
        <w:autoSpaceDE w:val="0"/>
        <w:autoSpaceDN w:val="0"/>
        <w:adjustRightInd w:val="0"/>
        <w:snapToGrid w:val="0"/>
        <w:spacing w:line="360" w:lineRule="auto"/>
        <w:ind w:left="1134"/>
        <w:rPr>
          <w:rFonts w:ascii="宋体" w:hAnsi="宋体" w:cs="宋体"/>
          <w:szCs w:val="21"/>
          <w:highlight w:val="none"/>
        </w:rPr>
      </w:pPr>
      <w:r>
        <w:rPr>
          <w:rFonts w:hint="eastAsia" w:ascii="宋体" w:hAnsi="宋体" w:cs="宋体"/>
          <w:szCs w:val="21"/>
          <w:highlight w:val="none"/>
        </w:rPr>
        <w:t>采购人不得向成交人提出任何不合理的要求作为签订合同的条件。</w:t>
      </w:r>
    </w:p>
    <w:p w14:paraId="052E8B15">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成交人无正当理由拒签合同的，采购人取消其成交资格，其磋商保证金不予退还；给采购人造成的损失超过磋商保证金数额的，成交人还应当对超过部分予以赔偿。</w:t>
      </w:r>
    </w:p>
    <w:p w14:paraId="7FBEB972">
      <w:pPr>
        <w:numPr>
          <w:ilvl w:val="2"/>
          <w:numId w:val="1"/>
        </w:numPr>
        <w:tabs>
          <w:tab w:val="left" w:pos="1260"/>
        </w:tabs>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发出成交通知书后，采购人无正当理由拒签合同的，采购人向成交人退还磋商保证金；给成交人造成损失的，还应当赔偿损失。</w:t>
      </w:r>
    </w:p>
    <w:p w14:paraId="2B97CB56">
      <w:pPr>
        <w:numPr>
          <w:ilvl w:val="0"/>
          <w:numId w:val="1"/>
        </w:numPr>
        <w:autoSpaceDE w:val="0"/>
        <w:autoSpaceDN w:val="0"/>
        <w:adjustRightInd w:val="0"/>
        <w:spacing w:line="360" w:lineRule="auto"/>
        <w:outlineLvl w:val="2"/>
        <w:rPr>
          <w:rFonts w:ascii="宋体" w:hAnsi="宋体" w:cs="宋体"/>
          <w:kern w:val="0"/>
          <w:szCs w:val="21"/>
          <w:highlight w:val="none"/>
        </w:rPr>
      </w:pPr>
      <w:bookmarkStart w:id="90" w:name="_Toc195921838"/>
      <w:bookmarkStart w:id="91" w:name="_Toc11289"/>
      <w:bookmarkStart w:id="92" w:name="_Toc2343"/>
      <w:r>
        <w:rPr>
          <w:rFonts w:hint="eastAsia" w:ascii="宋体" w:hAnsi="宋体" w:cs="宋体"/>
          <w:kern w:val="0"/>
          <w:szCs w:val="21"/>
          <w:highlight w:val="none"/>
        </w:rPr>
        <w:t>纪律和监督</w:t>
      </w:r>
      <w:bookmarkEnd w:id="90"/>
      <w:bookmarkEnd w:id="91"/>
      <w:bookmarkEnd w:id="92"/>
    </w:p>
    <w:p w14:paraId="5E78E44C">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93" w:name="_Toc195921839"/>
      <w:r>
        <w:rPr>
          <w:rFonts w:hint="eastAsia" w:ascii="宋体" w:hAnsi="宋体" w:cs="宋体"/>
          <w:kern w:val="0"/>
          <w:szCs w:val="21"/>
          <w:highlight w:val="none"/>
        </w:rPr>
        <w:t>对采购人的要求</w:t>
      </w:r>
      <w:bookmarkEnd w:id="93"/>
    </w:p>
    <w:p w14:paraId="2673767A">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szCs w:val="21"/>
          <w:highlight w:val="none"/>
        </w:rPr>
        <w:t>采购人在政府采购活动中应当维护国家利益和社会公共利益，公正廉洁，诚实守信，执行政府采购政策。采购人不得向供应商索要或者接受其给予的赠品、回扣或者与采购无关的其他商品、服务</w:t>
      </w:r>
      <w:r>
        <w:rPr>
          <w:rFonts w:hint="eastAsia" w:ascii="宋体" w:hAnsi="宋体" w:cs="宋体"/>
          <w:kern w:val="0"/>
          <w:szCs w:val="21"/>
          <w:highlight w:val="none"/>
        </w:rPr>
        <w:t>。</w:t>
      </w:r>
    </w:p>
    <w:p w14:paraId="08F49FD2">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94" w:name="_Toc195921840"/>
      <w:r>
        <w:rPr>
          <w:rFonts w:hint="eastAsia" w:ascii="宋体" w:hAnsi="宋体" w:cs="宋体"/>
          <w:kern w:val="0"/>
          <w:szCs w:val="21"/>
          <w:highlight w:val="none"/>
        </w:rPr>
        <w:t>对采购代理机构的要求</w:t>
      </w:r>
    </w:p>
    <w:p w14:paraId="4876D56D">
      <w:pPr>
        <w:tabs>
          <w:tab w:val="left" w:pos="1260"/>
        </w:tabs>
        <w:autoSpaceDE w:val="0"/>
        <w:autoSpaceDN w:val="0"/>
        <w:adjustRightInd w:val="0"/>
        <w:snapToGrid w:val="0"/>
        <w:spacing w:line="360" w:lineRule="auto"/>
        <w:ind w:left="1134"/>
        <w:rPr>
          <w:rFonts w:ascii="宋体" w:hAnsi="宋体" w:cs="宋体"/>
          <w:szCs w:val="21"/>
          <w:highlight w:val="none"/>
        </w:rPr>
      </w:pPr>
      <w:r>
        <w:rPr>
          <w:rFonts w:hint="eastAsia" w:ascii="宋体" w:hAnsi="宋体" w:cs="宋体"/>
          <w:szCs w:val="21"/>
          <w:highlight w:val="none"/>
        </w:rPr>
        <w:t>采购代理机构不得与采购人、供应商恶意串通操纵政府采购活动。</w:t>
      </w:r>
    </w:p>
    <w:p w14:paraId="1261CDE7">
      <w:pPr>
        <w:tabs>
          <w:tab w:val="left" w:pos="1260"/>
        </w:tabs>
        <w:autoSpaceDE w:val="0"/>
        <w:autoSpaceDN w:val="0"/>
        <w:adjustRightInd w:val="0"/>
        <w:snapToGrid w:val="0"/>
        <w:spacing w:line="360" w:lineRule="auto"/>
        <w:ind w:left="1134"/>
        <w:rPr>
          <w:rFonts w:ascii="宋体" w:hAnsi="宋体" w:cs="宋体"/>
          <w:szCs w:val="21"/>
          <w:highlight w:val="none"/>
        </w:rPr>
      </w:pPr>
      <w:r>
        <w:rPr>
          <w:rFonts w:hint="eastAsia" w:ascii="宋体" w:hAnsi="宋体" w:cs="宋体"/>
          <w:szCs w:val="21"/>
          <w:highlight w:val="none"/>
        </w:rPr>
        <w:t>采购代理机构工作人员不得接受采购人或者供应商组织的宴请、旅游、娱乐，不得收受礼品、现金、有价证券等，不得向采购人或者供应商报销应当由个人承担的费用。</w:t>
      </w:r>
    </w:p>
    <w:p w14:paraId="443EA1E3">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r>
        <w:rPr>
          <w:rFonts w:hint="eastAsia" w:ascii="宋体" w:hAnsi="宋体" w:cs="宋体"/>
          <w:kern w:val="0"/>
          <w:szCs w:val="21"/>
          <w:highlight w:val="none"/>
        </w:rPr>
        <w:t>对供应商的纪律要求</w:t>
      </w:r>
      <w:bookmarkEnd w:id="94"/>
    </w:p>
    <w:p w14:paraId="7BBAB697">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kern w:val="0"/>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214FF2DA">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95" w:name="_Toc195921841"/>
      <w:r>
        <w:rPr>
          <w:rFonts w:hint="eastAsia" w:ascii="宋体" w:hAnsi="宋体" w:cs="宋体"/>
          <w:kern w:val="0"/>
          <w:szCs w:val="21"/>
          <w:highlight w:val="none"/>
        </w:rPr>
        <w:t>磋商小组及其成员不得有下列行为</w:t>
      </w:r>
      <w:bookmarkEnd w:id="95"/>
    </w:p>
    <w:p w14:paraId="7E817848">
      <w:pPr>
        <w:snapToGrid w:val="0"/>
        <w:spacing w:line="360" w:lineRule="auto"/>
        <w:ind w:left="1751" w:leftChars="539" w:hanging="619" w:hangingChars="295"/>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rPr>
        <w:tab/>
      </w:r>
      <w:r>
        <w:rPr>
          <w:rFonts w:hint="eastAsia" w:ascii="宋体" w:hAnsi="宋体" w:cs="宋体"/>
          <w:szCs w:val="21"/>
          <w:highlight w:val="none"/>
        </w:rPr>
        <w:t>确定参与评标至评标结束前私自接触供应商；</w:t>
      </w:r>
    </w:p>
    <w:p w14:paraId="406F0928">
      <w:pPr>
        <w:snapToGrid w:val="0"/>
        <w:spacing w:line="360" w:lineRule="auto"/>
        <w:ind w:left="1751" w:leftChars="539" w:hanging="619" w:hangingChars="295"/>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rPr>
        <w:tab/>
      </w:r>
      <w:r>
        <w:rPr>
          <w:rFonts w:hint="eastAsia" w:ascii="宋体" w:hAnsi="宋体" w:cs="宋体"/>
          <w:szCs w:val="21"/>
          <w:highlight w:val="none"/>
        </w:rPr>
        <w:t>接受供应商提出的与响应文件不一致的澄清或者说明，磋商小组要求供应商作出必要的澄清、说明或者补正的情形除外；</w:t>
      </w:r>
    </w:p>
    <w:p w14:paraId="33BF3ECE">
      <w:pPr>
        <w:snapToGrid w:val="0"/>
        <w:spacing w:line="360" w:lineRule="auto"/>
        <w:ind w:left="1751" w:leftChars="539" w:hanging="619" w:hangingChars="295"/>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ab/>
      </w:r>
      <w:r>
        <w:rPr>
          <w:rFonts w:hint="eastAsia" w:ascii="宋体" w:hAnsi="宋体" w:cs="宋体"/>
          <w:szCs w:val="21"/>
          <w:highlight w:val="none"/>
        </w:rPr>
        <w:t>违反评标纪律发表倾向性意见或者征询采购人的倾向性意见；</w:t>
      </w:r>
    </w:p>
    <w:p w14:paraId="61C9879D">
      <w:pPr>
        <w:snapToGrid w:val="0"/>
        <w:spacing w:line="360" w:lineRule="auto"/>
        <w:ind w:left="1751" w:leftChars="539" w:hanging="619" w:hangingChars="295"/>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rPr>
        <w:tab/>
      </w:r>
      <w:r>
        <w:rPr>
          <w:rFonts w:hint="eastAsia" w:ascii="宋体" w:hAnsi="宋体" w:cs="宋体"/>
          <w:szCs w:val="21"/>
          <w:highlight w:val="none"/>
        </w:rPr>
        <w:t>对需要专业判断的主观评审因素协商评分；</w:t>
      </w:r>
    </w:p>
    <w:p w14:paraId="251DBE59">
      <w:pPr>
        <w:snapToGrid w:val="0"/>
        <w:spacing w:line="360" w:lineRule="auto"/>
        <w:ind w:left="1751" w:leftChars="539" w:hanging="619" w:hangingChars="295"/>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rPr>
        <w:tab/>
      </w:r>
      <w:r>
        <w:rPr>
          <w:rFonts w:hint="eastAsia" w:ascii="宋体" w:hAnsi="宋体" w:cs="宋体"/>
          <w:szCs w:val="21"/>
          <w:highlight w:val="none"/>
        </w:rPr>
        <w:t>在评标过程中擅离职守，影响评标程序正常进行的；</w:t>
      </w:r>
    </w:p>
    <w:p w14:paraId="1103C03A">
      <w:pPr>
        <w:snapToGrid w:val="0"/>
        <w:spacing w:line="360" w:lineRule="auto"/>
        <w:ind w:left="1751" w:leftChars="539" w:hanging="619" w:hangingChars="295"/>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rPr>
        <w:tab/>
      </w:r>
      <w:r>
        <w:rPr>
          <w:rFonts w:hint="eastAsia" w:ascii="宋体" w:hAnsi="宋体" w:cs="宋体"/>
          <w:szCs w:val="21"/>
          <w:highlight w:val="none"/>
        </w:rPr>
        <w:t>记录、复制或者带走任何评标资料；</w:t>
      </w:r>
    </w:p>
    <w:p w14:paraId="0CF1E3EA">
      <w:pPr>
        <w:snapToGrid w:val="0"/>
        <w:spacing w:line="360" w:lineRule="auto"/>
        <w:ind w:left="1751" w:leftChars="539" w:hanging="619" w:hangingChars="295"/>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rPr>
        <w:tab/>
      </w:r>
      <w:r>
        <w:rPr>
          <w:rFonts w:hint="eastAsia" w:ascii="宋体" w:hAnsi="宋体" w:cs="宋体"/>
          <w:szCs w:val="21"/>
          <w:highlight w:val="none"/>
        </w:rPr>
        <w:t>其他不遵守评标纪律的行为。</w:t>
      </w:r>
    </w:p>
    <w:p w14:paraId="0E349120">
      <w:pPr>
        <w:numPr>
          <w:ilvl w:val="1"/>
          <w:numId w:val="1"/>
        </w:numPr>
        <w:autoSpaceDE w:val="0"/>
        <w:autoSpaceDN w:val="0"/>
        <w:adjustRightInd w:val="0"/>
        <w:snapToGrid w:val="0"/>
        <w:spacing w:line="360" w:lineRule="auto"/>
        <w:ind w:left="991" w:hanging="991" w:hangingChars="472"/>
        <w:rPr>
          <w:rFonts w:ascii="宋体" w:hAnsi="宋体" w:cs="宋体"/>
          <w:kern w:val="0"/>
          <w:szCs w:val="21"/>
          <w:highlight w:val="none"/>
        </w:rPr>
      </w:pPr>
      <w:bookmarkStart w:id="96" w:name="_Toc195921842"/>
      <w:r>
        <w:rPr>
          <w:rFonts w:hint="eastAsia" w:ascii="宋体" w:hAnsi="宋体" w:cs="宋体"/>
          <w:kern w:val="0"/>
          <w:szCs w:val="21"/>
          <w:highlight w:val="none"/>
        </w:rPr>
        <w:t>对与评标活动有关的工作人员的纪律要求</w:t>
      </w:r>
      <w:bookmarkEnd w:id="96"/>
    </w:p>
    <w:p w14:paraId="10201293">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kern w:val="0"/>
          <w:szCs w:val="21"/>
          <w:highlight w:val="none"/>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1264B609">
      <w:pPr>
        <w:numPr>
          <w:ilvl w:val="1"/>
          <w:numId w:val="1"/>
        </w:numPr>
        <w:autoSpaceDE w:val="0"/>
        <w:autoSpaceDN w:val="0"/>
        <w:adjustRightInd w:val="0"/>
        <w:snapToGrid w:val="0"/>
        <w:spacing w:line="360" w:lineRule="auto"/>
        <w:ind w:left="1680" w:hanging="1680" w:hangingChars="800"/>
        <w:rPr>
          <w:rFonts w:ascii="宋体" w:hAnsi="宋体" w:cs="宋体"/>
          <w:kern w:val="0"/>
          <w:szCs w:val="21"/>
          <w:highlight w:val="none"/>
        </w:rPr>
      </w:pPr>
      <w:bookmarkStart w:id="97" w:name="_Toc195921843"/>
      <w:r>
        <w:rPr>
          <w:rFonts w:hint="eastAsia" w:ascii="宋体" w:hAnsi="宋体" w:cs="宋体"/>
          <w:kern w:val="0"/>
          <w:szCs w:val="21"/>
          <w:highlight w:val="none"/>
        </w:rPr>
        <w:t>投诉</w:t>
      </w:r>
      <w:bookmarkEnd w:id="97"/>
    </w:p>
    <w:p w14:paraId="601CF067">
      <w:pPr>
        <w:tabs>
          <w:tab w:val="left" w:pos="1260"/>
        </w:tabs>
        <w:autoSpaceDE w:val="0"/>
        <w:autoSpaceDN w:val="0"/>
        <w:adjustRightInd w:val="0"/>
        <w:snapToGrid w:val="0"/>
        <w:spacing w:line="360" w:lineRule="auto"/>
        <w:ind w:left="1134"/>
        <w:rPr>
          <w:rFonts w:ascii="宋体" w:hAnsi="宋体" w:cs="宋体"/>
          <w:kern w:val="0"/>
          <w:szCs w:val="21"/>
          <w:highlight w:val="none"/>
        </w:rPr>
      </w:pPr>
      <w:r>
        <w:rPr>
          <w:rFonts w:hint="eastAsia" w:ascii="宋体" w:hAnsi="宋体" w:cs="宋体"/>
          <w:kern w:val="0"/>
          <w:szCs w:val="21"/>
          <w:highlight w:val="none"/>
        </w:rPr>
        <w:t>供应商和其他利害关系人认为本次招标活动违反法律、法规和规章规定的，有权向有关行政监督部门投诉。</w:t>
      </w:r>
    </w:p>
    <w:p w14:paraId="1C1347F6">
      <w:pPr>
        <w:numPr>
          <w:ilvl w:val="0"/>
          <w:numId w:val="1"/>
        </w:numPr>
        <w:autoSpaceDE w:val="0"/>
        <w:autoSpaceDN w:val="0"/>
        <w:adjustRightInd w:val="0"/>
        <w:spacing w:line="360" w:lineRule="auto"/>
        <w:outlineLvl w:val="2"/>
        <w:rPr>
          <w:rFonts w:ascii="宋体" w:hAnsi="宋体" w:cs="宋体"/>
          <w:kern w:val="0"/>
          <w:szCs w:val="21"/>
          <w:highlight w:val="none"/>
        </w:rPr>
      </w:pPr>
      <w:bookmarkStart w:id="98" w:name="_Toc195921844"/>
      <w:bookmarkStart w:id="99" w:name="_Toc27074"/>
      <w:bookmarkStart w:id="100" w:name="_Toc29652"/>
      <w:r>
        <w:rPr>
          <w:rFonts w:hint="eastAsia" w:ascii="宋体" w:hAnsi="宋体" w:cs="宋体"/>
          <w:kern w:val="0"/>
          <w:szCs w:val="21"/>
          <w:highlight w:val="none"/>
        </w:rPr>
        <w:t>需要补充的其他内容</w:t>
      </w:r>
      <w:bookmarkEnd w:id="98"/>
      <w:bookmarkEnd w:id="99"/>
      <w:bookmarkEnd w:id="100"/>
    </w:p>
    <w:p w14:paraId="3D6353BB">
      <w:pPr>
        <w:numPr>
          <w:ilvl w:val="0"/>
          <w:numId w:val="4"/>
        </w:numPr>
        <w:tabs>
          <w:tab w:val="left" w:pos="1843"/>
        </w:tabs>
        <w:autoSpaceDE w:val="0"/>
        <w:autoSpaceDN w:val="0"/>
        <w:adjustRightInd w:val="0"/>
        <w:snapToGrid w:val="0"/>
        <w:spacing w:line="360" w:lineRule="auto"/>
        <w:ind w:left="1843" w:hanging="822"/>
        <w:rPr>
          <w:rFonts w:ascii="宋体" w:hAnsi="宋体" w:cs="宋体"/>
          <w:kern w:val="0"/>
          <w:szCs w:val="21"/>
          <w:highlight w:val="none"/>
        </w:rPr>
      </w:pPr>
      <w:r>
        <w:rPr>
          <w:rFonts w:hint="eastAsia" w:ascii="宋体" w:hAnsi="宋体" w:cs="宋体"/>
          <w:kern w:val="0"/>
          <w:szCs w:val="21"/>
          <w:highlight w:val="none"/>
        </w:rPr>
        <w:t>需要补充的其他内容：见供应商须知前附表。</w:t>
      </w:r>
    </w:p>
    <w:p w14:paraId="026BBFA8">
      <w:pPr>
        <w:widowControl/>
        <w:jc w:val="left"/>
        <w:rPr>
          <w:rFonts w:ascii="宋体" w:hAnsi="宋体" w:cs="宋体"/>
          <w:kern w:val="0"/>
          <w:sz w:val="24"/>
          <w:highlight w:val="none"/>
        </w:rPr>
      </w:pPr>
    </w:p>
    <w:p w14:paraId="569F5A95">
      <w:pPr>
        <w:rPr>
          <w:rFonts w:ascii="宋体" w:hAnsi="宋体" w:cs="宋体"/>
          <w:b/>
          <w:sz w:val="32"/>
          <w:szCs w:val="32"/>
          <w:highlight w:val="none"/>
        </w:rPr>
      </w:pPr>
      <w:bookmarkStart w:id="101" w:name="_Toc152042358"/>
      <w:bookmarkStart w:id="102" w:name="_Toc324863678"/>
      <w:bookmarkStart w:id="103" w:name="_Toc152045581"/>
      <w:bookmarkStart w:id="104" w:name="_Toc247085739"/>
      <w:bookmarkStart w:id="105" w:name="_Toc144974548"/>
      <w:bookmarkStart w:id="106" w:name="_Toc5357"/>
      <w:bookmarkStart w:id="107" w:name="_Toc11311827"/>
      <w:bookmarkStart w:id="108" w:name="_Toc179632599"/>
      <w:r>
        <w:rPr>
          <w:rFonts w:hint="eastAsia" w:ascii="宋体" w:hAnsi="宋体" w:cs="宋体"/>
          <w:b/>
          <w:sz w:val="32"/>
          <w:szCs w:val="32"/>
          <w:highlight w:val="none"/>
        </w:rPr>
        <w:br w:type="page"/>
      </w:r>
    </w:p>
    <w:bookmarkEnd w:id="101"/>
    <w:bookmarkEnd w:id="102"/>
    <w:bookmarkEnd w:id="103"/>
    <w:bookmarkEnd w:id="104"/>
    <w:bookmarkEnd w:id="105"/>
    <w:bookmarkEnd w:id="106"/>
    <w:bookmarkEnd w:id="107"/>
    <w:bookmarkEnd w:id="108"/>
    <w:p w14:paraId="6B982FB3">
      <w:pPr>
        <w:spacing w:line="400" w:lineRule="exact"/>
        <w:jc w:val="left"/>
        <w:rPr>
          <w:rFonts w:ascii="宋体" w:hAnsi="宋体" w:cs="宋体"/>
          <w:b/>
          <w:sz w:val="32"/>
          <w:szCs w:val="32"/>
          <w:highlight w:val="none"/>
        </w:rPr>
      </w:pPr>
      <w:r>
        <w:rPr>
          <w:rFonts w:hint="eastAsia" w:ascii="宋体" w:hAnsi="宋体" w:cs="宋体"/>
          <w:b/>
          <w:sz w:val="32"/>
          <w:szCs w:val="32"/>
          <w:highlight w:val="none"/>
        </w:rPr>
        <w:t>附件</w:t>
      </w: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：问题澄清通知</w:t>
      </w:r>
    </w:p>
    <w:p w14:paraId="3EF5A536">
      <w:pPr>
        <w:spacing w:line="440" w:lineRule="exact"/>
        <w:jc w:val="center"/>
        <w:rPr>
          <w:rFonts w:ascii="宋体" w:hAnsi="宋体" w:cs="宋体"/>
          <w:szCs w:val="21"/>
          <w:highlight w:val="none"/>
        </w:rPr>
      </w:pPr>
    </w:p>
    <w:p w14:paraId="7B0EA69E">
      <w:pPr>
        <w:spacing w:line="440" w:lineRule="exact"/>
        <w:jc w:val="center"/>
        <w:rPr>
          <w:rFonts w:ascii="宋体" w:hAnsi="宋体" w:cs="宋体"/>
          <w:szCs w:val="21"/>
          <w:highlight w:val="none"/>
        </w:rPr>
      </w:pPr>
      <w:r>
        <w:rPr>
          <w:rFonts w:hint="eastAsia" w:ascii="宋体" w:hAnsi="宋体" w:cs="宋体"/>
          <w:szCs w:val="21"/>
          <w:highlight w:val="none"/>
        </w:rPr>
        <w:t>问题澄清通知</w:t>
      </w:r>
    </w:p>
    <w:p w14:paraId="1B9C8708">
      <w:pPr>
        <w:spacing w:line="440" w:lineRule="exact"/>
        <w:rPr>
          <w:rFonts w:ascii="宋体" w:hAnsi="宋体" w:cs="宋体"/>
          <w:szCs w:val="21"/>
          <w:highlight w:val="none"/>
        </w:rPr>
      </w:pPr>
      <w:r>
        <w:rPr>
          <w:rFonts w:hint="eastAsia" w:ascii="宋体" w:hAnsi="宋体" w:cs="宋体"/>
          <w:szCs w:val="21"/>
          <w:highlight w:val="none"/>
        </w:rPr>
        <w:t xml:space="preserve">                                编号：</w:t>
      </w:r>
    </w:p>
    <w:p w14:paraId="5187C716">
      <w:pPr>
        <w:spacing w:line="440" w:lineRule="exact"/>
        <w:rPr>
          <w:rFonts w:ascii="宋体" w:hAnsi="宋体" w:cs="宋体"/>
          <w:szCs w:val="21"/>
          <w:highlight w:val="none"/>
        </w:rPr>
      </w:pPr>
    </w:p>
    <w:p w14:paraId="618902FA">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（供应商名称）：</w:t>
      </w:r>
    </w:p>
    <w:p w14:paraId="6AAC5F56">
      <w:pPr>
        <w:spacing w:line="440" w:lineRule="exact"/>
        <w:rPr>
          <w:rFonts w:ascii="宋体" w:hAnsi="宋体" w:cs="宋体"/>
          <w:szCs w:val="21"/>
          <w:highlight w:val="none"/>
        </w:rPr>
      </w:pPr>
    </w:p>
    <w:p w14:paraId="18294FD6">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（项目名称）采购的磋商小组，对你方的响应文件进行了仔细的审查，现需你方对下列问题以书面形式予以澄清：</w:t>
      </w:r>
    </w:p>
    <w:p w14:paraId="537DC976">
      <w:pPr>
        <w:spacing w:line="440" w:lineRule="exact"/>
        <w:rPr>
          <w:rFonts w:ascii="宋体" w:hAnsi="宋体" w:cs="宋体"/>
          <w:szCs w:val="21"/>
          <w:highlight w:val="none"/>
        </w:rPr>
      </w:pPr>
      <w:r>
        <w:rPr>
          <w:rFonts w:hint="eastAsia" w:ascii="宋体" w:hAnsi="宋体" w:cs="宋体"/>
          <w:szCs w:val="21"/>
          <w:highlight w:val="none"/>
        </w:rPr>
        <w:t>　　</w:t>
      </w:r>
    </w:p>
    <w:p w14:paraId="751218F8">
      <w:pPr>
        <w:spacing w:line="440" w:lineRule="exact"/>
        <w:rPr>
          <w:rFonts w:ascii="宋体" w:hAnsi="宋体" w:cs="宋体"/>
          <w:szCs w:val="21"/>
          <w:highlight w:val="none"/>
        </w:rPr>
      </w:pPr>
      <w:r>
        <w:rPr>
          <w:rFonts w:hint="eastAsia" w:ascii="宋体" w:hAnsi="宋体" w:cs="宋体"/>
          <w:szCs w:val="21"/>
          <w:highlight w:val="none"/>
        </w:rPr>
        <w:t xml:space="preserve">    1.</w:t>
      </w:r>
    </w:p>
    <w:p w14:paraId="14F7DF2A">
      <w:pPr>
        <w:spacing w:line="440" w:lineRule="exact"/>
        <w:rPr>
          <w:rFonts w:ascii="宋体" w:hAnsi="宋体" w:cs="宋体"/>
          <w:szCs w:val="21"/>
          <w:highlight w:val="none"/>
        </w:rPr>
      </w:pPr>
      <w:r>
        <w:rPr>
          <w:rFonts w:hint="eastAsia" w:ascii="宋体" w:hAnsi="宋体" w:cs="宋体"/>
          <w:szCs w:val="21"/>
          <w:highlight w:val="none"/>
        </w:rPr>
        <w:t xml:space="preserve">    2.</w:t>
      </w:r>
    </w:p>
    <w:p w14:paraId="2B042E2E">
      <w:pPr>
        <w:spacing w:line="440" w:lineRule="exact"/>
        <w:rPr>
          <w:rFonts w:ascii="宋体" w:hAnsi="宋体" w:cs="宋体"/>
          <w:szCs w:val="21"/>
          <w:highlight w:val="none"/>
        </w:rPr>
      </w:pPr>
      <w:r>
        <w:rPr>
          <w:rFonts w:hint="eastAsia" w:ascii="宋体" w:hAnsi="宋体" w:cs="宋体"/>
          <w:szCs w:val="21"/>
          <w:highlight w:val="none"/>
        </w:rPr>
        <w:t xml:space="preserve">     ......   </w:t>
      </w:r>
    </w:p>
    <w:p w14:paraId="6F4DE42C">
      <w:pPr>
        <w:spacing w:line="440" w:lineRule="exact"/>
        <w:rPr>
          <w:rFonts w:ascii="宋体" w:hAnsi="宋体" w:cs="宋体"/>
          <w:szCs w:val="21"/>
          <w:highlight w:val="none"/>
        </w:rPr>
      </w:pPr>
      <w:r>
        <w:rPr>
          <w:rFonts w:hint="eastAsia" w:ascii="宋体" w:hAnsi="宋体" w:cs="宋体"/>
          <w:szCs w:val="21"/>
          <w:highlight w:val="none"/>
        </w:rPr>
        <w:t>　　　</w:t>
      </w:r>
    </w:p>
    <w:p w14:paraId="02AE44B3">
      <w:pPr>
        <w:spacing w:line="440" w:lineRule="exact"/>
        <w:rPr>
          <w:rFonts w:ascii="宋体" w:hAnsi="宋体" w:cs="宋体"/>
          <w:szCs w:val="21"/>
          <w:highlight w:val="none"/>
        </w:rPr>
      </w:pPr>
      <w:r>
        <w:rPr>
          <w:rFonts w:hint="eastAsia" w:ascii="宋体" w:hAnsi="宋体" w:cs="宋体"/>
          <w:szCs w:val="21"/>
          <w:highlight w:val="none"/>
        </w:rPr>
        <w:t>　　请将上述问题的澄清于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时前递交至</w:t>
      </w:r>
      <w:r>
        <w:rPr>
          <w:rFonts w:hint="eastAsia" w:ascii="宋体" w:hAnsi="宋体" w:cs="宋体"/>
          <w:szCs w:val="21"/>
          <w:highlight w:val="none"/>
          <w:u w:val="single"/>
        </w:rPr>
        <w:t xml:space="preserve">            </w:t>
      </w:r>
      <w:r>
        <w:rPr>
          <w:rFonts w:hint="eastAsia" w:ascii="宋体" w:hAnsi="宋体" w:cs="宋体"/>
          <w:szCs w:val="21"/>
          <w:highlight w:val="none"/>
        </w:rPr>
        <w:t>（详细地址）或传真至</w:t>
      </w:r>
      <w:r>
        <w:rPr>
          <w:rFonts w:hint="eastAsia" w:ascii="宋体" w:hAnsi="宋体" w:cs="宋体"/>
          <w:szCs w:val="21"/>
          <w:highlight w:val="none"/>
          <w:u w:val="single"/>
        </w:rPr>
        <w:t xml:space="preserve">         </w:t>
      </w:r>
      <w:r>
        <w:rPr>
          <w:rFonts w:hint="eastAsia" w:ascii="宋体" w:hAnsi="宋体" w:cs="宋体"/>
          <w:szCs w:val="21"/>
          <w:highlight w:val="none"/>
        </w:rPr>
        <w:t>（传真号码）。采用传真方式的，应在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时前将原件递交至</w:t>
      </w:r>
      <w:r>
        <w:rPr>
          <w:rFonts w:hint="eastAsia" w:ascii="宋体" w:hAnsi="宋体" w:cs="宋体"/>
          <w:szCs w:val="21"/>
          <w:highlight w:val="none"/>
          <w:u w:val="single"/>
        </w:rPr>
        <w:t xml:space="preserve">                       </w:t>
      </w:r>
      <w:r>
        <w:rPr>
          <w:rFonts w:hint="eastAsia" w:ascii="宋体" w:hAnsi="宋体" w:cs="宋体"/>
          <w:szCs w:val="21"/>
          <w:highlight w:val="none"/>
        </w:rPr>
        <w:t>（详细地址）。</w:t>
      </w:r>
    </w:p>
    <w:p w14:paraId="58C6F8F0">
      <w:pPr>
        <w:spacing w:line="440" w:lineRule="exact"/>
        <w:rPr>
          <w:rFonts w:ascii="宋体" w:hAnsi="宋体" w:cs="宋体"/>
          <w:szCs w:val="21"/>
          <w:highlight w:val="none"/>
        </w:rPr>
      </w:pPr>
    </w:p>
    <w:p w14:paraId="534CBA18">
      <w:pPr>
        <w:spacing w:line="440" w:lineRule="exact"/>
        <w:rPr>
          <w:rFonts w:ascii="宋体" w:hAnsi="宋体" w:cs="宋体"/>
          <w:szCs w:val="21"/>
          <w:highlight w:val="none"/>
        </w:rPr>
      </w:pPr>
    </w:p>
    <w:p w14:paraId="21FD18C7">
      <w:pPr>
        <w:spacing w:line="440" w:lineRule="exact"/>
        <w:jc w:val="righ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（项目名称）磋商小组</w:t>
      </w:r>
    </w:p>
    <w:p w14:paraId="21918D65">
      <w:pPr>
        <w:spacing w:line="440" w:lineRule="exact"/>
        <w:rPr>
          <w:rFonts w:ascii="宋体" w:hAnsi="宋体" w:cs="宋体"/>
          <w:szCs w:val="21"/>
          <w:highlight w:val="none"/>
        </w:rPr>
      </w:pPr>
      <w:r>
        <w:rPr>
          <w:rFonts w:hint="eastAsia" w:ascii="宋体" w:hAnsi="宋体" w:cs="宋体"/>
          <w:szCs w:val="21"/>
          <w:highlight w:val="none"/>
        </w:rPr>
        <w:t xml:space="preserve">                                   （经磋商小组授权的采购人代表签字或采购人加盖单位公章）</w:t>
      </w:r>
    </w:p>
    <w:p w14:paraId="47E095B6">
      <w:pPr>
        <w:spacing w:line="440" w:lineRule="exact"/>
        <w:ind w:firstLine="3045" w:firstLineChars="145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 xml:space="preserve">月 </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5F55A0D">
      <w:pPr>
        <w:spacing w:line="400" w:lineRule="exact"/>
        <w:rPr>
          <w:rFonts w:ascii="宋体" w:hAnsi="宋体" w:cs="宋体"/>
          <w:szCs w:val="21"/>
          <w:highlight w:val="none"/>
        </w:rPr>
      </w:pPr>
    </w:p>
    <w:p w14:paraId="5C551206">
      <w:pPr>
        <w:spacing w:line="400" w:lineRule="exact"/>
        <w:jc w:val="left"/>
        <w:rPr>
          <w:rFonts w:ascii="宋体" w:hAnsi="宋体" w:cs="宋体"/>
          <w:sz w:val="36"/>
          <w:szCs w:val="36"/>
          <w:highlight w:val="none"/>
        </w:rPr>
      </w:pPr>
      <w:r>
        <w:rPr>
          <w:rFonts w:hint="eastAsia" w:ascii="宋体" w:hAnsi="宋体" w:cs="宋体"/>
          <w:szCs w:val="21"/>
          <w:highlight w:val="none"/>
        </w:rPr>
        <w:br w:type="page"/>
      </w:r>
      <w:bookmarkStart w:id="109" w:name="_Toc246996226"/>
      <w:bookmarkStart w:id="110" w:name="_Toc454"/>
      <w:bookmarkStart w:id="111" w:name="_Toc247085741"/>
      <w:bookmarkStart w:id="112" w:name="_Toc324863680"/>
      <w:bookmarkStart w:id="113" w:name="_Toc246996969"/>
      <w:bookmarkStart w:id="114" w:name="_Toc144974550"/>
      <w:bookmarkStart w:id="115" w:name="_Toc152042360"/>
      <w:bookmarkStart w:id="116" w:name="_Toc152045583"/>
      <w:bookmarkStart w:id="117" w:name="_Toc179632601"/>
      <w:r>
        <w:rPr>
          <w:rFonts w:hint="eastAsia" w:ascii="宋体" w:hAnsi="宋体" w:cs="宋体"/>
          <w:b/>
          <w:sz w:val="32"/>
          <w:szCs w:val="32"/>
          <w:highlight w:val="none"/>
        </w:rPr>
        <w:t>附件</w:t>
      </w:r>
      <w:r>
        <w:rPr>
          <w:rFonts w:hint="eastAsia" w:ascii="宋体" w:hAnsi="宋体" w:cs="宋体"/>
          <w:b/>
          <w:sz w:val="32"/>
          <w:szCs w:val="32"/>
          <w:highlight w:val="none"/>
          <w:lang w:val="en-US" w:eastAsia="zh-CN"/>
        </w:rPr>
        <w:t>二</w:t>
      </w:r>
      <w:r>
        <w:rPr>
          <w:rFonts w:hint="eastAsia" w:ascii="宋体" w:hAnsi="宋体" w:cs="宋体"/>
          <w:b/>
          <w:sz w:val="32"/>
          <w:szCs w:val="32"/>
          <w:highlight w:val="none"/>
        </w:rPr>
        <w:t>：问题的澄清</w:t>
      </w:r>
      <w:bookmarkEnd w:id="109"/>
      <w:bookmarkEnd w:id="110"/>
      <w:bookmarkEnd w:id="111"/>
      <w:bookmarkEnd w:id="112"/>
      <w:bookmarkEnd w:id="113"/>
      <w:bookmarkEnd w:id="114"/>
      <w:bookmarkEnd w:id="115"/>
      <w:bookmarkEnd w:id="116"/>
      <w:bookmarkEnd w:id="117"/>
    </w:p>
    <w:p w14:paraId="522B7D7E">
      <w:pPr>
        <w:spacing w:line="400" w:lineRule="exact"/>
        <w:jc w:val="center"/>
        <w:rPr>
          <w:rFonts w:ascii="宋体" w:hAnsi="宋体" w:cs="宋体"/>
          <w:szCs w:val="21"/>
          <w:highlight w:val="none"/>
        </w:rPr>
      </w:pPr>
    </w:p>
    <w:p w14:paraId="19CFA35A">
      <w:pPr>
        <w:spacing w:line="400" w:lineRule="exact"/>
        <w:jc w:val="center"/>
        <w:rPr>
          <w:rFonts w:ascii="宋体" w:hAnsi="宋体" w:cs="宋体"/>
          <w:szCs w:val="21"/>
          <w:highlight w:val="none"/>
        </w:rPr>
      </w:pPr>
      <w:r>
        <w:rPr>
          <w:rFonts w:hint="eastAsia" w:ascii="宋体" w:hAnsi="宋体" w:cs="宋体"/>
          <w:szCs w:val="21"/>
          <w:highlight w:val="none"/>
        </w:rPr>
        <w:t>问题的澄清</w:t>
      </w:r>
    </w:p>
    <w:p w14:paraId="70F42A1D">
      <w:pPr>
        <w:spacing w:line="400" w:lineRule="exact"/>
        <w:ind w:firstLine="3465" w:firstLineChars="1650"/>
        <w:rPr>
          <w:rFonts w:ascii="宋体" w:hAnsi="宋体" w:cs="宋体"/>
          <w:szCs w:val="21"/>
          <w:highlight w:val="none"/>
        </w:rPr>
      </w:pPr>
      <w:r>
        <w:rPr>
          <w:rFonts w:hint="eastAsia" w:ascii="宋体" w:hAnsi="宋体" w:cs="宋体"/>
          <w:szCs w:val="21"/>
          <w:highlight w:val="none"/>
        </w:rPr>
        <w:t xml:space="preserve">编号： </w:t>
      </w:r>
    </w:p>
    <w:p w14:paraId="01D18EE1">
      <w:pPr>
        <w:spacing w:line="400" w:lineRule="exact"/>
        <w:rPr>
          <w:rFonts w:ascii="宋体" w:hAnsi="宋体" w:cs="宋体"/>
          <w:szCs w:val="21"/>
          <w:highlight w:val="none"/>
        </w:rPr>
      </w:pPr>
    </w:p>
    <w:p w14:paraId="1933BFDC">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项目名称）采购磋商小组：</w:t>
      </w:r>
    </w:p>
    <w:p w14:paraId="740DDCD6">
      <w:pPr>
        <w:spacing w:line="440" w:lineRule="exact"/>
        <w:rPr>
          <w:rFonts w:ascii="宋体" w:hAnsi="宋体" w:cs="宋体"/>
          <w:szCs w:val="21"/>
          <w:highlight w:val="none"/>
        </w:rPr>
      </w:pPr>
    </w:p>
    <w:p w14:paraId="66F1215F">
      <w:pPr>
        <w:spacing w:line="440" w:lineRule="exact"/>
        <w:rPr>
          <w:rFonts w:ascii="宋体" w:hAnsi="宋体" w:cs="宋体"/>
          <w:szCs w:val="21"/>
          <w:highlight w:val="none"/>
        </w:rPr>
      </w:pPr>
      <w:r>
        <w:rPr>
          <w:rFonts w:hint="eastAsia" w:ascii="宋体" w:hAnsi="宋体" w:cs="宋体"/>
          <w:szCs w:val="21"/>
          <w:highlight w:val="none"/>
        </w:rPr>
        <w:t>　　问题澄清通知（编号：</w:t>
      </w:r>
      <w:r>
        <w:rPr>
          <w:rFonts w:hint="eastAsia" w:ascii="宋体" w:hAnsi="宋体" w:cs="宋体"/>
          <w:szCs w:val="21"/>
          <w:highlight w:val="none"/>
          <w:u w:val="single"/>
        </w:rPr>
        <w:t xml:space="preserve">        </w:t>
      </w:r>
      <w:r>
        <w:rPr>
          <w:rFonts w:hint="eastAsia" w:ascii="宋体" w:hAnsi="宋体" w:cs="宋体"/>
          <w:szCs w:val="21"/>
          <w:highlight w:val="none"/>
        </w:rPr>
        <w:t>）已收悉，现澄清如下：</w:t>
      </w:r>
    </w:p>
    <w:p w14:paraId="210C7630">
      <w:pPr>
        <w:spacing w:line="440" w:lineRule="exact"/>
        <w:rPr>
          <w:rFonts w:ascii="宋体" w:hAnsi="宋体" w:cs="宋体"/>
          <w:szCs w:val="21"/>
          <w:highlight w:val="none"/>
        </w:rPr>
      </w:pPr>
      <w:r>
        <w:rPr>
          <w:rFonts w:hint="eastAsia" w:ascii="宋体" w:hAnsi="宋体" w:cs="宋体"/>
          <w:szCs w:val="21"/>
          <w:highlight w:val="none"/>
        </w:rPr>
        <w:t>　     1.</w:t>
      </w:r>
    </w:p>
    <w:p w14:paraId="77633581">
      <w:pPr>
        <w:spacing w:line="440" w:lineRule="exact"/>
        <w:rPr>
          <w:rFonts w:ascii="宋体" w:hAnsi="宋体" w:cs="宋体"/>
          <w:szCs w:val="21"/>
          <w:highlight w:val="none"/>
        </w:rPr>
      </w:pPr>
      <w:r>
        <w:rPr>
          <w:rFonts w:hint="eastAsia" w:ascii="宋体" w:hAnsi="宋体" w:cs="宋体"/>
          <w:szCs w:val="21"/>
          <w:highlight w:val="none"/>
        </w:rPr>
        <w:t>　     2.</w:t>
      </w:r>
    </w:p>
    <w:p w14:paraId="340CF59E">
      <w:pPr>
        <w:spacing w:line="440" w:lineRule="exact"/>
        <w:rPr>
          <w:rFonts w:ascii="宋体" w:hAnsi="宋体" w:cs="宋体"/>
          <w:szCs w:val="21"/>
          <w:highlight w:val="none"/>
        </w:rPr>
      </w:pPr>
      <w:r>
        <w:rPr>
          <w:rFonts w:hint="eastAsia" w:ascii="宋体" w:hAnsi="宋体" w:cs="宋体"/>
          <w:szCs w:val="21"/>
          <w:highlight w:val="none"/>
        </w:rPr>
        <w:t xml:space="preserve">　   </w:t>
      </w:r>
    </w:p>
    <w:p w14:paraId="14997E22">
      <w:pPr>
        <w:spacing w:line="440" w:lineRule="exact"/>
        <w:rPr>
          <w:rFonts w:ascii="宋体" w:hAnsi="宋体" w:cs="宋体"/>
          <w:szCs w:val="21"/>
          <w:highlight w:val="none"/>
        </w:rPr>
      </w:pPr>
      <w:r>
        <w:rPr>
          <w:rFonts w:hint="eastAsia" w:ascii="宋体" w:hAnsi="宋体" w:cs="宋体"/>
          <w:szCs w:val="21"/>
          <w:highlight w:val="none"/>
        </w:rPr>
        <w:t>　    .....</w:t>
      </w:r>
    </w:p>
    <w:p w14:paraId="5A79406E">
      <w:pPr>
        <w:spacing w:line="440" w:lineRule="exact"/>
        <w:rPr>
          <w:rFonts w:ascii="宋体" w:hAnsi="宋体" w:cs="宋体"/>
          <w:szCs w:val="21"/>
          <w:highlight w:val="none"/>
        </w:rPr>
      </w:pPr>
      <w:r>
        <w:rPr>
          <w:rFonts w:hint="eastAsia" w:ascii="宋体" w:hAnsi="宋体" w:cs="宋体"/>
          <w:szCs w:val="21"/>
          <w:highlight w:val="none"/>
        </w:rPr>
        <w:t xml:space="preserve">                       </w:t>
      </w:r>
    </w:p>
    <w:p w14:paraId="1770B368">
      <w:pPr>
        <w:spacing w:line="440" w:lineRule="exact"/>
        <w:rPr>
          <w:rFonts w:ascii="宋体" w:hAnsi="宋体" w:cs="宋体"/>
          <w:szCs w:val="21"/>
          <w:highlight w:val="none"/>
        </w:rPr>
      </w:pPr>
      <w:r>
        <w:rPr>
          <w:rFonts w:hint="eastAsia" w:ascii="宋体" w:hAnsi="宋体" w:cs="宋体"/>
          <w:szCs w:val="21"/>
          <w:highlight w:val="none"/>
        </w:rPr>
        <w:t xml:space="preserve">　 </w:t>
      </w:r>
    </w:p>
    <w:p w14:paraId="77EC3E9C">
      <w:pPr>
        <w:spacing w:line="440" w:lineRule="exact"/>
        <w:rPr>
          <w:rFonts w:ascii="宋体" w:hAnsi="宋体" w:cs="宋体"/>
          <w:szCs w:val="21"/>
          <w:highlight w:val="none"/>
        </w:rPr>
      </w:pPr>
    </w:p>
    <w:p w14:paraId="4B86749A">
      <w:pPr>
        <w:spacing w:line="440" w:lineRule="exact"/>
        <w:rPr>
          <w:rFonts w:ascii="宋体" w:hAnsi="宋体" w:cs="宋体"/>
          <w:szCs w:val="21"/>
          <w:highlight w:val="none"/>
        </w:rPr>
      </w:pPr>
    </w:p>
    <w:p w14:paraId="71AAD928">
      <w:pPr>
        <w:spacing w:line="440" w:lineRule="exact"/>
        <w:rPr>
          <w:rFonts w:ascii="宋体" w:hAnsi="宋体" w:cs="宋体"/>
          <w:szCs w:val="21"/>
          <w:highlight w:val="none"/>
        </w:rPr>
      </w:pPr>
    </w:p>
    <w:p w14:paraId="434EF7C2">
      <w:pPr>
        <w:spacing w:line="440" w:lineRule="exact"/>
        <w:rPr>
          <w:rFonts w:ascii="宋体" w:hAnsi="宋体" w:cs="宋体"/>
          <w:szCs w:val="21"/>
          <w:highlight w:val="none"/>
        </w:rPr>
      </w:pPr>
    </w:p>
    <w:p w14:paraId="7E09119C">
      <w:pPr>
        <w:spacing w:line="440" w:lineRule="exact"/>
        <w:rPr>
          <w:rFonts w:ascii="宋体" w:hAnsi="宋体" w:cs="宋体"/>
          <w:szCs w:val="21"/>
          <w:highlight w:val="none"/>
        </w:rPr>
      </w:pPr>
      <w:r>
        <w:rPr>
          <w:rFonts w:hint="eastAsia" w:ascii="宋体" w:hAnsi="宋体" w:cs="宋体"/>
          <w:szCs w:val="21"/>
          <w:highlight w:val="none"/>
        </w:rPr>
        <w:t>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FF2AFA0">
      <w:pPr>
        <w:spacing w:line="440" w:lineRule="exact"/>
        <w:rPr>
          <w:rFonts w:ascii="宋体" w:hAnsi="宋体" w:cs="宋体"/>
          <w:szCs w:val="21"/>
          <w:highlight w:val="none"/>
        </w:rPr>
      </w:pPr>
      <w:r>
        <w:rPr>
          <w:rFonts w:hint="eastAsia" w:ascii="宋体" w:hAnsi="宋体" w:cs="宋体"/>
          <w:szCs w:val="21"/>
          <w:highlight w:val="none"/>
        </w:rPr>
        <w:t>　　　　　　　　　　　　　　　</w:t>
      </w:r>
    </w:p>
    <w:p w14:paraId="1FB14F3F">
      <w:pPr>
        <w:spacing w:line="440" w:lineRule="exact"/>
        <w:rPr>
          <w:rFonts w:ascii="宋体" w:hAnsi="宋体" w:cs="宋体"/>
          <w:szCs w:val="21"/>
          <w:highlight w:val="none"/>
        </w:rPr>
      </w:pPr>
      <w:r>
        <w:rPr>
          <w:rFonts w:hint="eastAsia" w:ascii="宋体" w:hAnsi="宋体" w:cs="宋体"/>
          <w:szCs w:val="21"/>
          <w:highlight w:val="none"/>
        </w:rPr>
        <w:t>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0B34DF42">
      <w:pPr>
        <w:spacing w:line="440" w:lineRule="exact"/>
        <w:rPr>
          <w:rFonts w:ascii="宋体" w:hAnsi="宋体" w:cs="宋体"/>
          <w:szCs w:val="21"/>
          <w:highlight w:val="none"/>
        </w:rPr>
      </w:pPr>
      <w:r>
        <w:rPr>
          <w:rFonts w:hint="eastAsia" w:ascii="宋体" w:hAnsi="宋体" w:cs="宋体"/>
          <w:szCs w:val="21"/>
          <w:highlight w:val="none"/>
        </w:rPr>
        <w:t>　　　　　　　　　　　　　　　</w:t>
      </w:r>
    </w:p>
    <w:p w14:paraId="49B2D06B">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D581DC8">
      <w:pPr>
        <w:spacing w:line="400" w:lineRule="exact"/>
        <w:rPr>
          <w:rFonts w:ascii="宋体" w:hAnsi="宋体" w:cs="宋体"/>
          <w:szCs w:val="21"/>
          <w:highlight w:val="none"/>
        </w:rPr>
      </w:pPr>
    </w:p>
    <w:p w14:paraId="5B45BC17">
      <w:pPr>
        <w:spacing w:line="400" w:lineRule="exact"/>
        <w:jc w:val="left"/>
        <w:rPr>
          <w:rFonts w:ascii="宋体" w:hAnsi="宋体" w:cs="宋体"/>
          <w:b/>
          <w:szCs w:val="21"/>
          <w:highlight w:val="none"/>
        </w:rPr>
      </w:pPr>
      <w:r>
        <w:rPr>
          <w:rFonts w:hint="eastAsia" w:ascii="宋体" w:hAnsi="宋体" w:cs="宋体"/>
          <w:szCs w:val="21"/>
          <w:highlight w:val="none"/>
        </w:rPr>
        <w:br w:type="page"/>
      </w:r>
      <w:bookmarkStart w:id="118" w:name="_Toc246996227"/>
      <w:bookmarkStart w:id="119" w:name="_Toc144974551"/>
      <w:bookmarkStart w:id="120" w:name="_Toc152045584"/>
      <w:bookmarkStart w:id="121" w:name="_Toc21125"/>
      <w:bookmarkStart w:id="122" w:name="_Toc324863681"/>
      <w:bookmarkStart w:id="123" w:name="_Toc179632602"/>
      <w:bookmarkStart w:id="124" w:name="_Toc152042361"/>
      <w:bookmarkStart w:id="125" w:name="_Toc247085742"/>
      <w:bookmarkStart w:id="126" w:name="_Toc246996970"/>
      <w:r>
        <w:rPr>
          <w:rFonts w:hint="eastAsia" w:ascii="宋体" w:hAnsi="宋体" w:cs="宋体"/>
          <w:b/>
          <w:sz w:val="32"/>
          <w:szCs w:val="32"/>
          <w:highlight w:val="none"/>
        </w:rPr>
        <w:t>附件</w:t>
      </w: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：成交通知书</w:t>
      </w:r>
      <w:bookmarkEnd w:id="118"/>
      <w:bookmarkEnd w:id="119"/>
      <w:bookmarkEnd w:id="120"/>
      <w:bookmarkEnd w:id="121"/>
      <w:bookmarkEnd w:id="122"/>
      <w:bookmarkEnd w:id="123"/>
      <w:bookmarkEnd w:id="124"/>
      <w:bookmarkEnd w:id="125"/>
      <w:bookmarkEnd w:id="126"/>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以实际发放为准</w:t>
      </w:r>
      <w:r>
        <w:rPr>
          <w:rFonts w:hint="eastAsia" w:ascii="宋体" w:hAnsi="宋体" w:cs="宋体"/>
          <w:b/>
          <w:sz w:val="32"/>
          <w:szCs w:val="32"/>
          <w:highlight w:val="none"/>
          <w:lang w:eastAsia="zh-CN"/>
        </w:rPr>
        <w:t>）</w:t>
      </w:r>
    </w:p>
    <w:p w14:paraId="3D726CA1">
      <w:pPr>
        <w:spacing w:line="400" w:lineRule="exact"/>
        <w:rPr>
          <w:rFonts w:ascii="宋体" w:hAnsi="宋体" w:cs="宋体"/>
          <w:szCs w:val="21"/>
          <w:highlight w:val="none"/>
        </w:rPr>
      </w:pPr>
    </w:p>
    <w:p w14:paraId="294DE790">
      <w:pPr>
        <w:spacing w:line="480" w:lineRule="auto"/>
        <w:jc w:val="center"/>
        <w:rPr>
          <w:rFonts w:ascii="宋体" w:hAnsi="宋体" w:cs="宋体"/>
          <w:b/>
          <w:sz w:val="32"/>
          <w:szCs w:val="32"/>
          <w:highlight w:val="none"/>
        </w:rPr>
      </w:pPr>
      <w:r>
        <w:rPr>
          <w:rFonts w:hint="eastAsia" w:ascii="宋体" w:hAnsi="宋体" w:cs="宋体"/>
          <w:b/>
          <w:sz w:val="32"/>
          <w:szCs w:val="32"/>
          <w:highlight w:val="none"/>
        </w:rPr>
        <w:t>成 交 通 知 书</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2899"/>
        <w:gridCol w:w="204"/>
        <w:gridCol w:w="1315"/>
        <w:gridCol w:w="3431"/>
      </w:tblGrid>
      <w:tr w14:paraId="77BF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38DF7860">
            <w:pPr>
              <w:jc w:val="center"/>
              <w:rPr>
                <w:rFonts w:ascii="宋体" w:hAnsi="宋体" w:cs="宋体"/>
                <w:sz w:val="24"/>
                <w:szCs w:val="24"/>
                <w:highlight w:val="none"/>
              </w:rPr>
            </w:pPr>
            <w:r>
              <w:rPr>
                <w:rFonts w:hint="eastAsia" w:ascii="宋体" w:hAnsi="宋体" w:cs="宋体"/>
                <w:highlight w:val="none"/>
              </w:rPr>
              <w:t>项目名称</w:t>
            </w:r>
          </w:p>
        </w:tc>
        <w:tc>
          <w:tcPr>
            <w:tcW w:w="4076" w:type="pct"/>
            <w:gridSpan w:val="4"/>
            <w:tcBorders>
              <w:top w:val="single" w:color="auto" w:sz="4" w:space="0"/>
              <w:left w:val="nil"/>
              <w:bottom w:val="single" w:color="auto" w:sz="4" w:space="0"/>
              <w:right w:val="single" w:color="auto" w:sz="4" w:space="0"/>
            </w:tcBorders>
            <w:vAlign w:val="center"/>
          </w:tcPr>
          <w:p w14:paraId="1F1A19C2">
            <w:pPr>
              <w:keepNext/>
              <w:keepLines/>
              <w:adjustRightInd w:val="0"/>
              <w:snapToGrid w:val="0"/>
              <w:spacing w:before="10" w:after="10"/>
              <w:jc w:val="center"/>
              <w:outlineLvl w:val="9"/>
              <w:rPr>
                <w:rFonts w:ascii="宋体" w:hAnsi="宋体" w:cs="宋体"/>
                <w:sz w:val="24"/>
                <w:szCs w:val="24"/>
                <w:highlight w:val="none"/>
              </w:rPr>
            </w:pPr>
          </w:p>
        </w:tc>
      </w:tr>
      <w:tr w14:paraId="3E61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0A8939F1">
            <w:pPr>
              <w:jc w:val="center"/>
              <w:rPr>
                <w:rFonts w:ascii="宋体" w:hAnsi="宋体" w:cs="宋体"/>
                <w:sz w:val="24"/>
                <w:szCs w:val="24"/>
                <w:highlight w:val="none"/>
              </w:rPr>
            </w:pPr>
            <w:r>
              <w:rPr>
                <w:rFonts w:hint="eastAsia" w:ascii="宋体" w:hAnsi="宋体" w:cs="宋体"/>
                <w:highlight w:val="none"/>
              </w:rPr>
              <w:t>项目编号</w:t>
            </w:r>
          </w:p>
        </w:tc>
        <w:tc>
          <w:tcPr>
            <w:tcW w:w="4076" w:type="pct"/>
            <w:gridSpan w:val="4"/>
            <w:tcBorders>
              <w:top w:val="single" w:color="auto" w:sz="4" w:space="0"/>
              <w:left w:val="nil"/>
              <w:bottom w:val="single" w:color="auto" w:sz="4" w:space="0"/>
              <w:right w:val="single" w:color="auto" w:sz="4" w:space="0"/>
            </w:tcBorders>
            <w:vAlign w:val="center"/>
          </w:tcPr>
          <w:p w14:paraId="0518CF8F">
            <w:pPr>
              <w:keepNext/>
              <w:keepLines/>
              <w:adjustRightInd w:val="0"/>
              <w:snapToGrid w:val="0"/>
              <w:spacing w:before="10" w:after="10"/>
              <w:jc w:val="center"/>
              <w:outlineLvl w:val="9"/>
              <w:rPr>
                <w:rFonts w:ascii="宋体" w:hAnsi="宋体" w:cs="宋体"/>
                <w:sz w:val="24"/>
                <w:szCs w:val="24"/>
                <w:highlight w:val="none"/>
              </w:rPr>
            </w:pPr>
          </w:p>
        </w:tc>
      </w:tr>
      <w:tr w14:paraId="218D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317E404B">
            <w:pPr>
              <w:jc w:val="center"/>
              <w:rPr>
                <w:rFonts w:ascii="宋体" w:hAnsi="宋体" w:cs="宋体"/>
                <w:sz w:val="24"/>
                <w:szCs w:val="24"/>
                <w:highlight w:val="none"/>
              </w:rPr>
            </w:pPr>
            <w:r>
              <w:rPr>
                <w:rFonts w:hint="eastAsia" w:ascii="宋体" w:hAnsi="宋体" w:cs="宋体"/>
                <w:szCs w:val="21"/>
                <w:highlight w:val="none"/>
              </w:rPr>
              <w:t>成交供应商名称</w:t>
            </w:r>
          </w:p>
        </w:tc>
        <w:tc>
          <w:tcPr>
            <w:tcW w:w="4076" w:type="pct"/>
            <w:gridSpan w:val="4"/>
            <w:tcBorders>
              <w:top w:val="single" w:color="auto" w:sz="4" w:space="0"/>
              <w:left w:val="nil"/>
              <w:bottom w:val="single" w:color="auto" w:sz="4" w:space="0"/>
              <w:right w:val="single" w:color="auto" w:sz="4" w:space="0"/>
            </w:tcBorders>
            <w:vAlign w:val="center"/>
          </w:tcPr>
          <w:p w14:paraId="46140771">
            <w:pPr>
              <w:keepNext/>
              <w:keepLines/>
              <w:adjustRightInd w:val="0"/>
              <w:snapToGrid w:val="0"/>
              <w:spacing w:before="10" w:after="10"/>
              <w:jc w:val="center"/>
              <w:outlineLvl w:val="9"/>
              <w:rPr>
                <w:rFonts w:ascii="宋体" w:hAnsi="宋体" w:cs="宋体"/>
                <w:sz w:val="24"/>
                <w:szCs w:val="24"/>
                <w:highlight w:val="none"/>
              </w:rPr>
            </w:pPr>
          </w:p>
        </w:tc>
      </w:tr>
      <w:tr w14:paraId="5DC1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6358FDDE">
            <w:pPr>
              <w:jc w:val="center"/>
              <w:rPr>
                <w:rFonts w:hint="eastAsia" w:ascii="宋体" w:hAnsi="宋体" w:eastAsia="宋体" w:cs="宋体"/>
                <w:sz w:val="24"/>
                <w:szCs w:val="24"/>
                <w:highlight w:val="none"/>
                <w:lang w:eastAsia="zh-CN"/>
              </w:rPr>
            </w:pPr>
            <w:r>
              <w:rPr>
                <w:rFonts w:hint="eastAsia" w:ascii="宋体" w:hAnsi="宋体" w:cs="宋体"/>
                <w:highlight w:val="none"/>
                <w:lang w:eastAsia="zh-CN"/>
              </w:rPr>
              <w:t>建设地点</w:t>
            </w:r>
          </w:p>
        </w:tc>
        <w:tc>
          <w:tcPr>
            <w:tcW w:w="1612" w:type="pct"/>
            <w:gridSpan w:val="2"/>
            <w:tcBorders>
              <w:top w:val="single" w:color="auto" w:sz="4" w:space="0"/>
              <w:left w:val="nil"/>
              <w:bottom w:val="single" w:color="auto" w:sz="4" w:space="0"/>
              <w:right w:val="single" w:color="auto" w:sz="4" w:space="0"/>
            </w:tcBorders>
            <w:vAlign w:val="center"/>
          </w:tcPr>
          <w:p w14:paraId="6BD593A7">
            <w:pPr>
              <w:keepNext/>
              <w:keepLines/>
              <w:adjustRightInd w:val="0"/>
              <w:snapToGrid w:val="0"/>
              <w:spacing w:before="10" w:after="10"/>
              <w:jc w:val="center"/>
              <w:outlineLvl w:val="9"/>
              <w:rPr>
                <w:rFonts w:ascii="宋体" w:hAnsi="宋体" w:cs="宋体"/>
                <w:sz w:val="24"/>
                <w:szCs w:val="24"/>
                <w:highlight w:val="none"/>
              </w:rPr>
            </w:pPr>
          </w:p>
        </w:tc>
        <w:tc>
          <w:tcPr>
            <w:tcW w:w="683" w:type="pct"/>
            <w:tcBorders>
              <w:top w:val="single" w:color="auto" w:sz="4" w:space="0"/>
              <w:left w:val="nil"/>
              <w:bottom w:val="single" w:color="auto" w:sz="4" w:space="0"/>
              <w:right w:val="single" w:color="auto" w:sz="4" w:space="0"/>
            </w:tcBorders>
            <w:vAlign w:val="center"/>
          </w:tcPr>
          <w:p w14:paraId="4DDDF3FD">
            <w:pPr>
              <w:jc w:val="center"/>
              <w:rPr>
                <w:rFonts w:ascii="宋体" w:hAnsi="宋体" w:cs="宋体"/>
                <w:sz w:val="24"/>
                <w:szCs w:val="24"/>
                <w:highlight w:val="none"/>
              </w:rPr>
            </w:pPr>
            <w:r>
              <w:rPr>
                <w:rFonts w:hint="eastAsia" w:ascii="宋体" w:hAnsi="宋体" w:cs="宋体"/>
                <w:highlight w:val="none"/>
              </w:rPr>
              <w:t>采购人</w:t>
            </w:r>
          </w:p>
        </w:tc>
        <w:tc>
          <w:tcPr>
            <w:tcW w:w="1780" w:type="pct"/>
            <w:tcBorders>
              <w:top w:val="single" w:color="auto" w:sz="4" w:space="0"/>
              <w:left w:val="nil"/>
              <w:bottom w:val="single" w:color="auto" w:sz="4" w:space="0"/>
              <w:right w:val="single" w:color="auto" w:sz="4" w:space="0"/>
            </w:tcBorders>
            <w:vAlign w:val="center"/>
          </w:tcPr>
          <w:p w14:paraId="20167C61">
            <w:pPr>
              <w:keepNext/>
              <w:keepLines/>
              <w:adjustRightInd w:val="0"/>
              <w:snapToGrid w:val="0"/>
              <w:spacing w:before="10" w:after="10"/>
              <w:jc w:val="center"/>
              <w:outlineLvl w:val="9"/>
              <w:rPr>
                <w:rFonts w:ascii="宋体" w:hAnsi="宋体" w:cs="宋体"/>
                <w:sz w:val="24"/>
                <w:szCs w:val="24"/>
                <w:highlight w:val="none"/>
              </w:rPr>
            </w:pPr>
          </w:p>
        </w:tc>
      </w:tr>
      <w:tr w14:paraId="0479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5A23CBD4">
            <w:pPr>
              <w:jc w:val="center"/>
              <w:rPr>
                <w:rFonts w:ascii="宋体" w:hAnsi="宋体" w:cs="宋体"/>
                <w:sz w:val="24"/>
                <w:szCs w:val="24"/>
                <w:highlight w:val="none"/>
              </w:rPr>
            </w:pPr>
            <w:r>
              <w:rPr>
                <w:rFonts w:hint="eastAsia" w:ascii="宋体" w:hAnsi="宋体" w:cs="宋体"/>
                <w:highlight w:val="none"/>
              </w:rPr>
              <w:t>开标日期</w:t>
            </w:r>
          </w:p>
        </w:tc>
        <w:tc>
          <w:tcPr>
            <w:tcW w:w="1612" w:type="pct"/>
            <w:gridSpan w:val="2"/>
            <w:tcBorders>
              <w:top w:val="single" w:color="auto" w:sz="4" w:space="0"/>
              <w:left w:val="nil"/>
              <w:bottom w:val="single" w:color="auto" w:sz="4" w:space="0"/>
              <w:right w:val="single" w:color="auto" w:sz="4" w:space="0"/>
            </w:tcBorders>
            <w:vAlign w:val="center"/>
          </w:tcPr>
          <w:p w14:paraId="3EACCA3A">
            <w:pPr>
              <w:keepNext/>
              <w:keepLines/>
              <w:adjustRightInd w:val="0"/>
              <w:snapToGrid w:val="0"/>
              <w:spacing w:before="10" w:after="10"/>
              <w:jc w:val="center"/>
              <w:outlineLvl w:val="9"/>
              <w:rPr>
                <w:rFonts w:ascii="宋体" w:hAnsi="宋体" w:cs="宋体"/>
                <w:sz w:val="24"/>
                <w:szCs w:val="24"/>
                <w:highlight w:val="none"/>
              </w:rPr>
            </w:pPr>
          </w:p>
        </w:tc>
        <w:tc>
          <w:tcPr>
            <w:tcW w:w="683" w:type="pct"/>
            <w:tcBorders>
              <w:top w:val="single" w:color="auto" w:sz="4" w:space="0"/>
              <w:left w:val="nil"/>
              <w:bottom w:val="single" w:color="auto" w:sz="4" w:space="0"/>
              <w:right w:val="single" w:color="auto" w:sz="4" w:space="0"/>
            </w:tcBorders>
            <w:vAlign w:val="center"/>
          </w:tcPr>
          <w:p w14:paraId="5534A42E">
            <w:pPr>
              <w:jc w:val="center"/>
              <w:rPr>
                <w:rFonts w:ascii="宋体" w:hAnsi="宋体" w:cs="宋体"/>
                <w:sz w:val="24"/>
                <w:szCs w:val="24"/>
                <w:highlight w:val="none"/>
              </w:rPr>
            </w:pPr>
            <w:r>
              <w:rPr>
                <w:rFonts w:hint="eastAsia" w:ascii="宋体" w:hAnsi="宋体" w:cs="宋体"/>
                <w:highlight w:val="none"/>
              </w:rPr>
              <w:t>采购方式</w:t>
            </w:r>
          </w:p>
        </w:tc>
        <w:tc>
          <w:tcPr>
            <w:tcW w:w="1780" w:type="pct"/>
            <w:tcBorders>
              <w:top w:val="single" w:color="auto" w:sz="4" w:space="0"/>
              <w:left w:val="nil"/>
              <w:bottom w:val="single" w:color="auto" w:sz="4" w:space="0"/>
              <w:right w:val="single" w:color="auto" w:sz="4" w:space="0"/>
            </w:tcBorders>
            <w:vAlign w:val="center"/>
          </w:tcPr>
          <w:p w14:paraId="5A04E8B6">
            <w:pPr>
              <w:keepNext/>
              <w:keepLines/>
              <w:adjustRightInd w:val="0"/>
              <w:snapToGrid w:val="0"/>
              <w:spacing w:before="10" w:after="10"/>
              <w:jc w:val="center"/>
              <w:outlineLvl w:val="9"/>
              <w:rPr>
                <w:rFonts w:ascii="宋体" w:hAnsi="宋体" w:cs="宋体"/>
                <w:sz w:val="24"/>
                <w:szCs w:val="24"/>
                <w:highlight w:val="none"/>
              </w:rPr>
            </w:pPr>
          </w:p>
        </w:tc>
      </w:tr>
      <w:tr w14:paraId="7A31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05861EBC">
            <w:pPr>
              <w:jc w:val="center"/>
              <w:rPr>
                <w:rFonts w:ascii="宋体" w:hAnsi="宋体" w:cs="宋体"/>
                <w:sz w:val="24"/>
                <w:szCs w:val="24"/>
                <w:highlight w:val="none"/>
              </w:rPr>
            </w:pPr>
            <w:r>
              <w:rPr>
                <w:rFonts w:hint="eastAsia" w:ascii="宋体" w:hAnsi="宋体" w:cs="宋体"/>
                <w:highlight w:val="none"/>
              </w:rPr>
              <w:t>成交价格</w:t>
            </w:r>
          </w:p>
        </w:tc>
        <w:tc>
          <w:tcPr>
            <w:tcW w:w="4076" w:type="pct"/>
            <w:gridSpan w:val="4"/>
            <w:tcBorders>
              <w:top w:val="single" w:color="auto" w:sz="4" w:space="0"/>
              <w:left w:val="nil"/>
              <w:bottom w:val="single" w:color="auto" w:sz="4" w:space="0"/>
              <w:right w:val="single" w:color="auto" w:sz="4" w:space="0"/>
            </w:tcBorders>
            <w:vAlign w:val="center"/>
          </w:tcPr>
          <w:p w14:paraId="2DA7FFAC">
            <w:pPr>
              <w:keepNext/>
              <w:keepLines/>
              <w:adjustRightInd w:val="0"/>
              <w:snapToGrid w:val="0"/>
              <w:spacing w:before="10" w:after="10"/>
              <w:jc w:val="center"/>
              <w:outlineLvl w:val="0"/>
              <w:rPr>
                <w:rFonts w:ascii="宋体" w:hAnsi="宋体" w:cs="宋体"/>
                <w:sz w:val="24"/>
                <w:szCs w:val="24"/>
                <w:highlight w:val="none"/>
              </w:rPr>
            </w:pPr>
            <w:bookmarkStart w:id="127" w:name="_Toc21703"/>
            <w:bookmarkStart w:id="128" w:name="_Toc29846"/>
            <w:bookmarkStart w:id="129" w:name="_Toc17750"/>
            <w:bookmarkStart w:id="130" w:name="_Toc23261"/>
            <w:bookmarkStart w:id="131" w:name="_Toc10963"/>
            <w:r>
              <w:rPr>
                <w:rFonts w:hint="eastAsia" w:ascii="宋体" w:hAnsi="宋体" w:cs="宋体"/>
                <w:szCs w:val="21"/>
                <w:highlight w:val="none"/>
              </w:rPr>
              <w:t>人民币：大写</w:t>
            </w:r>
            <w:r>
              <w:rPr>
                <w:rFonts w:hint="eastAsia" w:ascii="宋体" w:hAnsi="宋体" w:cs="宋体"/>
                <w:szCs w:val="21"/>
                <w:highlight w:val="none"/>
                <w:u w:val="single"/>
              </w:rPr>
              <w:t xml:space="preserve">                       元</w:t>
            </w:r>
            <w:r>
              <w:rPr>
                <w:rFonts w:hint="eastAsia" w:ascii="宋体" w:hAnsi="宋体" w:cs="宋体"/>
                <w:szCs w:val="21"/>
                <w:highlight w:val="none"/>
              </w:rPr>
              <w:t xml:space="preserve"> ；  小写</w:t>
            </w:r>
            <w:r>
              <w:rPr>
                <w:rFonts w:hint="eastAsia" w:ascii="宋体" w:hAnsi="宋体" w:cs="宋体"/>
                <w:szCs w:val="21"/>
                <w:highlight w:val="none"/>
                <w:u w:val="single"/>
              </w:rPr>
              <w:t xml:space="preserve">          元</w:t>
            </w:r>
            <w:r>
              <w:rPr>
                <w:rFonts w:hint="eastAsia" w:ascii="宋体" w:hAnsi="宋体" w:cs="宋体"/>
                <w:szCs w:val="21"/>
                <w:highlight w:val="none"/>
              </w:rPr>
              <w:t xml:space="preserve"> ；</w:t>
            </w:r>
            <w:bookmarkEnd w:id="127"/>
            <w:bookmarkEnd w:id="128"/>
            <w:bookmarkEnd w:id="129"/>
            <w:bookmarkEnd w:id="130"/>
            <w:bookmarkEnd w:id="131"/>
          </w:p>
        </w:tc>
      </w:tr>
      <w:tr w14:paraId="64DD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541DD5CB">
            <w:pPr>
              <w:jc w:val="center"/>
              <w:rPr>
                <w:rFonts w:ascii="宋体" w:hAnsi="宋体" w:cs="宋体"/>
                <w:sz w:val="24"/>
                <w:szCs w:val="24"/>
                <w:highlight w:val="none"/>
              </w:rPr>
            </w:pPr>
            <w:r>
              <w:rPr>
                <w:rFonts w:hint="eastAsia" w:ascii="宋体" w:hAnsi="宋体" w:cs="宋体"/>
                <w:highlight w:val="none"/>
              </w:rPr>
              <w:t>质量标准</w:t>
            </w:r>
          </w:p>
        </w:tc>
        <w:tc>
          <w:tcPr>
            <w:tcW w:w="4076" w:type="pct"/>
            <w:gridSpan w:val="4"/>
            <w:tcBorders>
              <w:top w:val="single" w:color="auto" w:sz="4" w:space="0"/>
              <w:left w:val="nil"/>
              <w:bottom w:val="single" w:color="auto" w:sz="4" w:space="0"/>
              <w:right w:val="single" w:color="auto" w:sz="4" w:space="0"/>
            </w:tcBorders>
            <w:vAlign w:val="center"/>
          </w:tcPr>
          <w:p w14:paraId="4265F44F">
            <w:pPr>
              <w:keepNext/>
              <w:keepLines/>
              <w:adjustRightInd w:val="0"/>
              <w:snapToGrid w:val="0"/>
              <w:spacing w:before="10" w:after="10"/>
              <w:jc w:val="center"/>
              <w:outlineLvl w:val="9"/>
              <w:rPr>
                <w:rFonts w:ascii="宋体" w:hAnsi="宋体" w:cs="宋体"/>
                <w:sz w:val="24"/>
                <w:szCs w:val="24"/>
                <w:highlight w:val="none"/>
              </w:rPr>
            </w:pPr>
          </w:p>
        </w:tc>
      </w:tr>
      <w:tr w14:paraId="26DA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23" w:type="pct"/>
            <w:tcBorders>
              <w:top w:val="single" w:color="auto" w:sz="4" w:space="0"/>
              <w:left w:val="single" w:color="auto" w:sz="4" w:space="0"/>
              <w:bottom w:val="single" w:color="auto" w:sz="4" w:space="0"/>
              <w:right w:val="single" w:color="auto" w:sz="4" w:space="0"/>
            </w:tcBorders>
            <w:vAlign w:val="center"/>
          </w:tcPr>
          <w:p w14:paraId="0E466311">
            <w:pPr>
              <w:jc w:val="center"/>
              <w:rPr>
                <w:rFonts w:ascii="宋体" w:hAnsi="宋体" w:cs="宋体"/>
                <w:sz w:val="24"/>
                <w:szCs w:val="24"/>
                <w:highlight w:val="none"/>
              </w:rPr>
            </w:pPr>
            <w:r>
              <w:rPr>
                <w:rFonts w:hint="eastAsia" w:ascii="宋体" w:hAnsi="宋体" w:cs="宋体"/>
                <w:highlight w:val="none"/>
              </w:rPr>
              <w:t>采购需求</w:t>
            </w:r>
          </w:p>
        </w:tc>
        <w:tc>
          <w:tcPr>
            <w:tcW w:w="4076" w:type="pct"/>
            <w:gridSpan w:val="4"/>
            <w:tcBorders>
              <w:top w:val="single" w:color="auto" w:sz="4" w:space="0"/>
              <w:left w:val="nil"/>
              <w:bottom w:val="single" w:color="auto" w:sz="4" w:space="0"/>
              <w:right w:val="single" w:color="auto" w:sz="4" w:space="0"/>
            </w:tcBorders>
            <w:vAlign w:val="center"/>
          </w:tcPr>
          <w:p w14:paraId="0073CE59">
            <w:pPr>
              <w:keepNext/>
              <w:keepLines/>
              <w:adjustRightInd w:val="0"/>
              <w:snapToGrid w:val="0"/>
              <w:spacing w:before="10" w:after="10"/>
              <w:jc w:val="center"/>
              <w:outlineLvl w:val="9"/>
              <w:rPr>
                <w:rFonts w:ascii="宋体" w:hAnsi="宋体" w:cs="宋体"/>
                <w:sz w:val="24"/>
                <w:szCs w:val="24"/>
                <w:highlight w:val="none"/>
              </w:rPr>
            </w:pPr>
          </w:p>
        </w:tc>
      </w:tr>
      <w:tr w14:paraId="29FB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21691A6">
            <w:pPr>
              <w:jc w:val="center"/>
              <w:rPr>
                <w:rFonts w:ascii="宋体" w:hAnsi="宋体" w:cs="宋体"/>
                <w:sz w:val="24"/>
                <w:szCs w:val="24"/>
                <w:highlight w:val="none"/>
              </w:rPr>
            </w:pPr>
            <w:r>
              <w:rPr>
                <w:rFonts w:hint="eastAsia" w:ascii="宋体" w:hAnsi="宋体" w:cs="宋体"/>
                <w:szCs w:val="22"/>
                <w:highlight w:val="none"/>
              </w:rPr>
              <w:t>采购人与成交供应商应当在成交通知书发出之日起三十日内，按照采购文件确定的事项签订政府采购合同。</w:t>
            </w:r>
          </w:p>
        </w:tc>
      </w:tr>
      <w:tr w14:paraId="29E8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2" w:hRule="atLeast"/>
          <w:jc w:val="center"/>
        </w:trPr>
        <w:tc>
          <w:tcPr>
            <w:tcW w:w="2429" w:type="pct"/>
            <w:gridSpan w:val="2"/>
            <w:tcBorders>
              <w:top w:val="single" w:color="auto" w:sz="4" w:space="0"/>
              <w:left w:val="single" w:color="auto" w:sz="4" w:space="0"/>
              <w:bottom w:val="single" w:color="auto" w:sz="4" w:space="0"/>
              <w:right w:val="single" w:color="auto" w:sz="4" w:space="0"/>
            </w:tcBorders>
          </w:tcPr>
          <w:p w14:paraId="49077FEC">
            <w:pPr>
              <w:jc w:val="left"/>
              <w:rPr>
                <w:rFonts w:ascii="宋体" w:hAnsi="宋体" w:cs="宋体"/>
                <w:highlight w:val="none"/>
              </w:rPr>
            </w:pPr>
          </w:p>
          <w:p w14:paraId="22EF8221">
            <w:pPr>
              <w:jc w:val="left"/>
              <w:rPr>
                <w:rFonts w:ascii="宋体" w:hAnsi="宋体" w:cs="宋体"/>
                <w:highlight w:val="none"/>
              </w:rPr>
            </w:pPr>
          </w:p>
          <w:p w14:paraId="7537D47A">
            <w:pPr>
              <w:jc w:val="left"/>
              <w:rPr>
                <w:rFonts w:ascii="宋体" w:hAnsi="宋体" w:cs="宋体"/>
                <w:highlight w:val="none"/>
              </w:rPr>
            </w:pPr>
          </w:p>
          <w:p w14:paraId="73F6D007">
            <w:pPr>
              <w:jc w:val="left"/>
              <w:rPr>
                <w:rFonts w:ascii="宋体" w:hAnsi="宋体" w:cs="宋体"/>
                <w:sz w:val="24"/>
                <w:szCs w:val="24"/>
                <w:highlight w:val="none"/>
              </w:rPr>
            </w:pPr>
            <w:r>
              <w:rPr>
                <w:rFonts w:hint="eastAsia" w:ascii="宋体" w:hAnsi="宋体" w:cs="宋体"/>
                <w:highlight w:val="none"/>
              </w:rPr>
              <w:t>采购人（盖章）</w:t>
            </w:r>
          </w:p>
          <w:p w14:paraId="51602046">
            <w:pPr>
              <w:rPr>
                <w:rFonts w:ascii="宋体" w:hAnsi="宋体" w:cs="宋体"/>
                <w:highlight w:val="none"/>
              </w:rPr>
            </w:pPr>
          </w:p>
          <w:p w14:paraId="4C31C8AF">
            <w:pPr>
              <w:rPr>
                <w:rFonts w:ascii="宋体" w:hAnsi="宋体" w:cs="宋体"/>
                <w:highlight w:val="none"/>
              </w:rPr>
            </w:pPr>
          </w:p>
          <w:p w14:paraId="6AE28FB9">
            <w:pPr>
              <w:jc w:val="left"/>
              <w:rPr>
                <w:rFonts w:ascii="宋体" w:hAnsi="宋体" w:cs="宋体"/>
                <w:highlight w:val="none"/>
              </w:rPr>
            </w:pPr>
            <w:r>
              <w:rPr>
                <w:rFonts w:hint="eastAsia" w:ascii="宋体" w:hAnsi="宋体" w:cs="宋体"/>
                <w:highlight w:val="none"/>
              </w:rPr>
              <w:t>法定代表人或其委托代理人（签字或盖章）</w:t>
            </w:r>
          </w:p>
          <w:p w14:paraId="00DD993E">
            <w:pPr>
              <w:jc w:val="left"/>
              <w:rPr>
                <w:rFonts w:ascii="宋体" w:hAnsi="宋体" w:cs="宋体"/>
                <w:highlight w:val="none"/>
              </w:rPr>
            </w:pPr>
          </w:p>
          <w:p w14:paraId="7978A8EC">
            <w:pPr>
              <w:jc w:val="left"/>
              <w:rPr>
                <w:rFonts w:ascii="宋体" w:hAnsi="宋体" w:cs="宋体"/>
                <w:highlight w:val="none"/>
              </w:rPr>
            </w:pPr>
          </w:p>
          <w:p w14:paraId="33FACEF1">
            <w:pPr>
              <w:jc w:val="right"/>
              <w:rPr>
                <w:rFonts w:ascii="宋体" w:hAnsi="宋体" w:cs="宋体"/>
                <w:sz w:val="24"/>
                <w:szCs w:val="24"/>
                <w:highlight w:val="none"/>
              </w:rPr>
            </w:pPr>
            <w:r>
              <w:rPr>
                <w:rFonts w:hint="eastAsia" w:ascii="宋体" w:hAnsi="宋体" w:cs="宋体"/>
                <w:highlight w:val="none"/>
              </w:rPr>
              <w:t>年 月 日</w:t>
            </w:r>
          </w:p>
        </w:tc>
        <w:tc>
          <w:tcPr>
            <w:tcW w:w="2570" w:type="pct"/>
            <w:gridSpan w:val="3"/>
            <w:tcBorders>
              <w:top w:val="single" w:color="auto" w:sz="4" w:space="0"/>
              <w:left w:val="nil"/>
              <w:bottom w:val="single" w:color="auto" w:sz="4" w:space="0"/>
              <w:right w:val="single" w:color="auto" w:sz="4" w:space="0"/>
            </w:tcBorders>
          </w:tcPr>
          <w:p w14:paraId="1B69CCC8">
            <w:pPr>
              <w:jc w:val="left"/>
              <w:rPr>
                <w:rFonts w:ascii="宋体" w:hAnsi="宋体" w:cs="宋体"/>
                <w:highlight w:val="none"/>
              </w:rPr>
            </w:pPr>
          </w:p>
          <w:p w14:paraId="2BC51A74">
            <w:pPr>
              <w:jc w:val="left"/>
              <w:rPr>
                <w:rFonts w:ascii="宋体" w:hAnsi="宋体" w:cs="宋体"/>
                <w:highlight w:val="none"/>
              </w:rPr>
            </w:pPr>
          </w:p>
          <w:p w14:paraId="453D47DC">
            <w:pPr>
              <w:jc w:val="left"/>
              <w:rPr>
                <w:rFonts w:ascii="宋体" w:hAnsi="宋体" w:cs="宋体"/>
                <w:highlight w:val="none"/>
              </w:rPr>
            </w:pPr>
          </w:p>
          <w:p w14:paraId="39DE1AE8">
            <w:pPr>
              <w:jc w:val="left"/>
              <w:rPr>
                <w:rFonts w:ascii="宋体" w:hAnsi="宋体" w:cs="宋体"/>
                <w:sz w:val="24"/>
                <w:szCs w:val="24"/>
                <w:highlight w:val="none"/>
              </w:rPr>
            </w:pPr>
            <w:r>
              <w:rPr>
                <w:rFonts w:hint="eastAsia" w:ascii="宋体" w:hAnsi="宋体" w:cs="宋体"/>
                <w:highlight w:val="none"/>
              </w:rPr>
              <w:t>采购代理机构（盖章）</w:t>
            </w:r>
          </w:p>
          <w:p w14:paraId="24908E2A">
            <w:pPr>
              <w:jc w:val="left"/>
              <w:rPr>
                <w:rFonts w:ascii="宋体" w:hAnsi="宋体" w:cs="宋体"/>
                <w:highlight w:val="none"/>
              </w:rPr>
            </w:pPr>
          </w:p>
          <w:p w14:paraId="50D19B55">
            <w:pPr>
              <w:jc w:val="left"/>
              <w:rPr>
                <w:rFonts w:ascii="宋体" w:hAnsi="宋体" w:cs="宋体"/>
                <w:highlight w:val="none"/>
              </w:rPr>
            </w:pPr>
          </w:p>
          <w:p w14:paraId="36355B75">
            <w:pPr>
              <w:jc w:val="left"/>
              <w:rPr>
                <w:rFonts w:ascii="宋体" w:hAnsi="宋体" w:cs="宋体"/>
                <w:highlight w:val="none"/>
              </w:rPr>
            </w:pPr>
            <w:r>
              <w:rPr>
                <w:rFonts w:hint="eastAsia" w:ascii="宋体" w:hAnsi="宋体" w:cs="宋体"/>
                <w:highlight w:val="none"/>
              </w:rPr>
              <w:t>法定代表人（签字或盖章）</w:t>
            </w:r>
          </w:p>
          <w:p w14:paraId="16A52379">
            <w:pPr>
              <w:rPr>
                <w:rFonts w:ascii="宋体" w:hAnsi="宋体" w:cs="宋体"/>
                <w:highlight w:val="none"/>
              </w:rPr>
            </w:pPr>
          </w:p>
          <w:p w14:paraId="7FFBFC7C">
            <w:pPr>
              <w:rPr>
                <w:rFonts w:ascii="宋体" w:hAnsi="宋体" w:cs="宋体"/>
                <w:highlight w:val="none"/>
              </w:rPr>
            </w:pPr>
          </w:p>
          <w:p w14:paraId="79D14E5F">
            <w:pPr>
              <w:jc w:val="right"/>
              <w:rPr>
                <w:rFonts w:ascii="宋体" w:hAnsi="宋体" w:cs="宋体"/>
                <w:sz w:val="24"/>
                <w:szCs w:val="24"/>
                <w:highlight w:val="none"/>
              </w:rPr>
            </w:pPr>
            <w:r>
              <w:rPr>
                <w:rFonts w:hint="eastAsia" w:ascii="宋体" w:hAnsi="宋体" w:cs="宋体"/>
                <w:highlight w:val="none"/>
              </w:rPr>
              <w:t>年 月 日</w:t>
            </w:r>
          </w:p>
        </w:tc>
      </w:tr>
    </w:tbl>
    <w:p w14:paraId="0A38C0EE">
      <w:pPr>
        <w:rPr>
          <w:rFonts w:ascii="宋体" w:hAnsi="宋体" w:cs="宋体"/>
          <w:b/>
          <w:bCs/>
          <w:szCs w:val="21"/>
          <w:highlight w:val="none"/>
        </w:rPr>
      </w:pPr>
    </w:p>
    <w:p w14:paraId="03282D9E">
      <w:pPr>
        <w:spacing w:line="400" w:lineRule="exact"/>
        <w:jc w:val="left"/>
        <w:rPr>
          <w:rFonts w:ascii="宋体" w:hAnsi="宋体" w:cs="宋体"/>
          <w:sz w:val="36"/>
          <w:szCs w:val="36"/>
          <w:highlight w:val="none"/>
        </w:rPr>
      </w:pPr>
      <w:r>
        <w:rPr>
          <w:rFonts w:hint="eastAsia" w:ascii="宋体" w:hAnsi="宋体" w:cs="宋体"/>
          <w:szCs w:val="21"/>
          <w:highlight w:val="none"/>
        </w:rPr>
        <w:br w:type="page"/>
      </w:r>
      <w:bookmarkStart w:id="132" w:name="_Toc152045585"/>
      <w:bookmarkStart w:id="133" w:name="_Toc324863682"/>
      <w:bookmarkStart w:id="134" w:name="_Toc152042362"/>
      <w:bookmarkStart w:id="135" w:name="_Toc246996228"/>
      <w:bookmarkStart w:id="136" w:name="_Toc247085743"/>
      <w:bookmarkStart w:id="137" w:name="_Toc144974552"/>
      <w:bookmarkStart w:id="138" w:name="_Toc179632603"/>
      <w:bookmarkStart w:id="139" w:name="_Toc16609"/>
      <w:bookmarkStart w:id="140" w:name="_Toc246996971"/>
      <w:r>
        <w:rPr>
          <w:rFonts w:hint="eastAsia" w:ascii="宋体" w:hAnsi="宋体" w:cs="宋体"/>
          <w:b/>
          <w:sz w:val="32"/>
          <w:szCs w:val="32"/>
          <w:highlight w:val="none"/>
        </w:rPr>
        <w:t>附件</w:t>
      </w:r>
      <w:r>
        <w:rPr>
          <w:rFonts w:hint="eastAsia" w:ascii="宋体" w:hAnsi="宋体" w:cs="宋体"/>
          <w:b/>
          <w:sz w:val="32"/>
          <w:szCs w:val="32"/>
          <w:highlight w:val="none"/>
          <w:lang w:val="en-US" w:eastAsia="zh-CN"/>
        </w:rPr>
        <w:t>四</w:t>
      </w:r>
      <w:r>
        <w:rPr>
          <w:rFonts w:hint="eastAsia" w:ascii="宋体" w:hAnsi="宋体" w:cs="宋体"/>
          <w:b/>
          <w:sz w:val="32"/>
          <w:szCs w:val="32"/>
          <w:highlight w:val="none"/>
        </w:rPr>
        <w:t>：中标结果通知书</w:t>
      </w:r>
      <w:bookmarkEnd w:id="132"/>
      <w:bookmarkEnd w:id="133"/>
      <w:bookmarkEnd w:id="134"/>
      <w:bookmarkEnd w:id="135"/>
      <w:bookmarkEnd w:id="136"/>
      <w:bookmarkEnd w:id="137"/>
      <w:bookmarkEnd w:id="138"/>
      <w:bookmarkEnd w:id="139"/>
      <w:bookmarkEnd w:id="140"/>
    </w:p>
    <w:p w14:paraId="42E76C35">
      <w:pPr>
        <w:spacing w:line="400" w:lineRule="exact"/>
        <w:rPr>
          <w:rFonts w:ascii="宋体" w:hAnsi="宋体" w:cs="宋体"/>
          <w:szCs w:val="21"/>
          <w:highlight w:val="none"/>
        </w:rPr>
      </w:pPr>
    </w:p>
    <w:p w14:paraId="2CDDDCB3">
      <w:pPr>
        <w:spacing w:line="400" w:lineRule="exact"/>
        <w:jc w:val="center"/>
        <w:rPr>
          <w:rFonts w:ascii="宋体" w:hAnsi="宋体" w:cs="宋体"/>
          <w:szCs w:val="21"/>
          <w:highlight w:val="none"/>
        </w:rPr>
      </w:pPr>
      <w:r>
        <w:rPr>
          <w:rFonts w:hint="eastAsia" w:ascii="宋体" w:hAnsi="宋体" w:cs="宋体"/>
          <w:szCs w:val="21"/>
          <w:highlight w:val="none"/>
        </w:rPr>
        <w:t>中标结果通知书</w:t>
      </w:r>
    </w:p>
    <w:p w14:paraId="507786E9">
      <w:pPr>
        <w:spacing w:line="400" w:lineRule="exact"/>
        <w:rPr>
          <w:rFonts w:ascii="宋体" w:hAnsi="宋体" w:cs="宋体"/>
          <w:szCs w:val="21"/>
          <w:highlight w:val="none"/>
        </w:rPr>
      </w:pPr>
    </w:p>
    <w:p w14:paraId="0A83FE29">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（未中标人名称）：</w:t>
      </w:r>
    </w:p>
    <w:p w14:paraId="4E552477">
      <w:pPr>
        <w:spacing w:line="440" w:lineRule="exact"/>
        <w:rPr>
          <w:rFonts w:ascii="宋体" w:hAnsi="宋体" w:cs="宋体"/>
          <w:szCs w:val="21"/>
          <w:highlight w:val="none"/>
        </w:rPr>
      </w:pPr>
      <w:r>
        <w:rPr>
          <w:rFonts w:hint="eastAsia" w:ascii="宋体" w:hAnsi="宋体" w:cs="宋体"/>
          <w:szCs w:val="21"/>
          <w:highlight w:val="none"/>
        </w:rPr>
        <w:t xml:space="preserve">    </w:t>
      </w:r>
    </w:p>
    <w:p w14:paraId="53D54287">
      <w:pPr>
        <w:spacing w:line="440" w:lineRule="exact"/>
        <w:rPr>
          <w:rFonts w:ascii="宋体" w:hAnsi="宋体" w:cs="宋体"/>
          <w:szCs w:val="21"/>
          <w:highlight w:val="none"/>
        </w:rPr>
      </w:pPr>
      <w:r>
        <w:rPr>
          <w:rFonts w:hint="eastAsia" w:ascii="宋体" w:hAnsi="宋体" w:cs="宋体"/>
          <w:szCs w:val="21"/>
          <w:highlight w:val="none"/>
        </w:rPr>
        <w:t>　　我方已接受</w:t>
      </w:r>
      <w:r>
        <w:rPr>
          <w:rFonts w:hint="eastAsia" w:ascii="宋体" w:hAnsi="宋体" w:cs="宋体"/>
          <w:szCs w:val="21"/>
          <w:highlight w:val="none"/>
          <w:u w:val="single"/>
        </w:rPr>
        <w:t xml:space="preserve">              </w:t>
      </w:r>
      <w:r>
        <w:rPr>
          <w:rFonts w:hint="eastAsia" w:ascii="宋体" w:hAnsi="宋体" w:cs="宋体"/>
          <w:szCs w:val="21"/>
          <w:highlight w:val="none"/>
        </w:rPr>
        <w:t>（中标人名称）于</w:t>
      </w:r>
      <w:r>
        <w:rPr>
          <w:rFonts w:hint="eastAsia" w:ascii="宋体" w:hAnsi="宋体" w:cs="宋体"/>
          <w:szCs w:val="21"/>
          <w:highlight w:val="none"/>
          <w:u w:val="single"/>
        </w:rPr>
        <w:t xml:space="preserve">             </w:t>
      </w:r>
      <w:r>
        <w:rPr>
          <w:rFonts w:hint="eastAsia" w:ascii="宋体" w:hAnsi="宋体" w:cs="宋体"/>
          <w:szCs w:val="21"/>
          <w:highlight w:val="none"/>
        </w:rPr>
        <w:t>（开标日期）所递交的</w:t>
      </w:r>
      <w:r>
        <w:rPr>
          <w:rFonts w:hint="eastAsia" w:ascii="宋体" w:hAnsi="宋体" w:cs="宋体"/>
          <w:szCs w:val="21"/>
          <w:highlight w:val="none"/>
          <w:u w:val="single"/>
        </w:rPr>
        <w:t xml:space="preserve">            </w:t>
      </w:r>
      <w:r>
        <w:rPr>
          <w:rFonts w:hint="eastAsia" w:ascii="宋体" w:hAnsi="宋体" w:cs="宋体"/>
          <w:szCs w:val="21"/>
          <w:highlight w:val="none"/>
        </w:rPr>
        <w:t>（项目名称）响应文件，确定</w:t>
      </w:r>
      <w:r>
        <w:rPr>
          <w:rFonts w:hint="eastAsia" w:ascii="宋体" w:hAnsi="宋体" w:cs="宋体"/>
          <w:szCs w:val="21"/>
          <w:highlight w:val="none"/>
          <w:u w:val="single"/>
        </w:rPr>
        <w:t xml:space="preserve">            </w:t>
      </w:r>
      <w:r>
        <w:rPr>
          <w:rFonts w:hint="eastAsia" w:ascii="宋体" w:hAnsi="宋体" w:cs="宋体"/>
          <w:szCs w:val="21"/>
          <w:highlight w:val="none"/>
        </w:rPr>
        <w:t>（中标人名称）为中标人。</w:t>
      </w:r>
    </w:p>
    <w:p w14:paraId="772BF921">
      <w:pPr>
        <w:spacing w:line="440" w:lineRule="exact"/>
        <w:rPr>
          <w:rFonts w:ascii="宋体" w:hAnsi="宋体" w:cs="宋体"/>
          <w:szCs w:val="21"/>
          <w:highlight w:val="none"/>
        </w:rPr>
      </w:pPr>
      <w:r>
        <w:rPr>
          <w:rFonts w:hint="eastAsia" w:ascii="宋体" w:hAnsi="宋体" w:cs="宋体"/>
          <w:szCs w:val="21"/>
          <w:highlight w:val="none"/>
        </w:rPr>
        <w:t>　　</w:t>
      </w:r>
    </w:p>
    <w:p w14:paraId="1DCECDE6">
      <w:pPr>
        <w:spacing w:line="440" w:lineRule="exact"/>
        <w:rPr>
          <w:rFonts w:ascii="宋体" w:hAnsi="宋体" w:cs="宋体"/>
          <w:szCs w:val="21"/>
          <w:highlight w:val="none"/>
        </w:rPr>
      </w:pPr>
      <w:r>
        <w:rPr>
          <w:rFonts w:hint="eastAsia" w:ascii="宋体" w:hAnsi="宋体" w:cs="宋体"/>
          <w:szCs w:val="21"/>
          <w:highlight w:val="none"/>
        </w:rPr>
        <w:t>　　感谢你单位对我们工作的大力支持！</w:t>
      </w:r>
    </w:p>
    <w:p w14:paraId="54AA479B">
      <w:pPr>
        <w:spacing w:line="440" w:lineRule="exact"/>
        <w:rPr>
          <w:rFonts w:ascii="宋体" w:hAnsi="宋体" w:cs="宋体"/>
          <w:szCs w:val="21"/>
          <w:highlight w:val="none"/>
        </w:rPr>
      </w:pPr>
    </w:p>
    <w:p w14:paraId="086D599D">
      <w:pPr>
        <w:spacing w:line="440" w:lineRule="exact"/>
        <w:rPr>
          <w:rFonts w:ascii="宋体" w:hAnsi="宋体" w:cs="宋体"/>
          <w:szCs w:val="21"/>
          <w:highlight w:val="none"/>
        </w:rPr>
      </w:pPr>
    </w:p>
    <w:p w14:paraId="1CEF6EA0">
      <w:pPr>
        <w:spacing w:line="440" w:lineRule="exact"/>
        <w:rPr>
          <w:rFonts w:ascii="宋体" w:hAnsi="宋体" w:cs="宋体"/>
          <w:szCs w:val="21"/>
          <w:highlight w:val="none"/>
        </w:rPr>
      </w:pPr>
    </w:p>
    <w:p w14:paraId="6AFFDD17">
      <w:pPr>
        <w:spacing w:line="440" w:lineRule="exact"/>
        <w:rPr>
          <w:rFonts w:ascii="宋体" w:hAnsi="宋体" w:cs="宋体"/>
          <w:szCs w:val="21"/>
          <w:highlight w:val="none"/>
        </w:rPr>
      </w:pPr>
      <w:r>
        <w:rPr>
          <w:rFonts w:hint="eastAsia" w:ascii="宋体" w:hAnsi="宋体" w:cs="宋体"/>
          <w:szCs w:val="21"/>
          <w:highlight w:val="none"/>
        </w:rPr>
        <w:t xml:space="preserve">                                采购代理机构：</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347892CC">
      <w:pPr>
        <w:spacing w:line="440" w:lineRule="exact"/>
        <w:rPr>
          <w:rFonts w:ascii="宋体" w:hAnsi="宋体" w:cs="宋体"/>
          <w:szCs w:val="21"/>
          <w:highlight w:val="none"/>
        </w:rPr>
      </w:pPr>
    </w:p>
    <w:p w14:paraId="08616393">
      <w:pPr>
        <w:spacing w:line="440" w:lineRule="exact"/>
        <w:rPr>
          <w:rFonts w:ascii="宋体" w:hAnsi="宋体" w:cs="宋体"/>
          <w:szCs w:val="21"/>
          <w:highlight w:val="none"/>
        </w:rPr>
      </w:pPr>
      <w:r>
        <w:rPr>
          <w:rFonts w:hint="eastAsia" w:ascii="宋体" w:hAnsi="宋体" w:cs="宋体"/>
          <w:szCs w:val="21"/>
          <w:highlight w:val="none"/>
        </w:rPr>
        <w:t xml:space="preserve">                               </w:t>
      </w:r>
    </w:p>
    <w:p w14:paraId="2DEE501A">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1E4FC12">
      <w:pPr>
        <w:spacing w:line="400" w:lineRule="exact"/>
        <w:rPr>
          <w:rFonts w:ascii="宋体" w:hAnsi="宋体" w:cs="宋体"/>
          <w:szCs w:val="21"/>
          <w:highlight w:val="none"/>
        </w:rPr>
      </w:pPr>
    </w:p>
    <w:p w14:paraId="606A1528">
      <w:pPr>
        <w:spacing w:line="400" w:lineRule="exact"/>
        <w:jc w:val="left"/>
        <w:rPr>
          <w:rFonts w:ascii="宋体" w:hAnsi="宋体" w:cs="宋体"/>
          <w:sz w:val="36"/>
          <w:szCs w:val="36"/>
          <w:highlight w:val="none"/>
        </w:rPr>
      </w:pPr>
      <w:r>
        <w:rPr>
          <w:rFonts w:hint="eastAsia" w:ascii="宋体" w:hAnsi="宋体" w:cs="宋体"/>
          <w:szCs w:val="21"/>
          <w:highlight w:val="none"/>
        </w:rPr>
        <w:br w:type="page"/>
      </w:r>
      <w:bookmarkStart w:id="141" w:name="_Toc152045586"/>
      <w:bookmarkStart w:id="142" w:name="_Toc246996972"/>
      <w:bookmarkStart w:id="143" w:name="_Toc31351"/>
      <w:bookmarkStart w:id="144" w:name="_Toc179632604"/>
      <w:bookmarkStart w:id="145" w:name="_Toc246996229"/>
      <w:bookmarkStart w:id="146" w:name="_Toc144974553"/>
      <w:bookmarkStart w:id="147" w:name="_Toc324863683"/>
      <w:bookmarkStart w:id="148" w:name="_Toc152042363"/>
      <w:bookmarkStart w:id="149" w:name="_Toc247085744"/>
      <w:r>
        <w:rPr>
          <w:rFonts w:hint="eastAsia" w:ascii="宋体" w:hAnsi="宋体" w:cs="宋体"/>
          <w:b/>
          <w:sz w:val="32"/>
          <w:szCs w:val="32"/>
          <w:highlight w:val="none"/>
        </w:rPr>
        <w:t>附件</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：确认通知</w:t>
      </w:r>
      <w:bookmarkEnd w:id="141"/>
      <w:bookmarkEnd w:id="142"/>
      <w:bookmarkEnd w:id="143"/>
      <w:bookmarkEnd w:id="144"/>
      <w:bookmarkEnd w:id="145"/>
      <w:bookmarkEnd w:id="146"/>
      <w:bookmarkEnd w:id="147"/>
      <w:bookmarkEnd w:id="148"/>
      <w:bookmarkEnd w:id="149"/>
    </w:p>
    <w:p w14:paraId="22465733">
      <w:pPr>
        <w:spacing w:line="400" w:lineRule="exact"/>
        <w:rPr>
          <w:rFonts w:ascii="宋体" w:hAnsi="宋体" w:cs="宋体"/>
          <w:szCs w:val="21"/>
          <w:highlight w:val="none"/>
        </w:rPr>
      </w:pPr>
    </w:p>
    <w:p w14:paraId="1CB904EB">
      <w:pPr>
        <w:spacing w:line="400" w:lineRule="exact"/>
        <w:jc w:val="center"/>
        <w:rPr>
          <w:rFonts w:ascii="宋体" w:hAnsi="宋体" w:cs="宋体"/>
          <w:szCs w:val="21"/>
          <w:highlight w:val="none"/>
        </w:rPr>
      </w:pPr>
      <w:r>
        <w:rPr>
          <w:rFonts w:hint="eastAsia" w:ascii="宋体" w:hAnsi="宋体" w:cs="宋体"/>
          <w:szCs w:val="21"/>
          <w:highlight w:val="none"/>
        </w:rPr>
        <w:t>确认通知</w:t>
      </w:r>
    </w:p>
    <w:p w14:paraId="1052DE73">
      <w:pPr>
        <w:spacing w:line="400" w:lineRule="exact"/>
        <w:rPr>
          <w:rFonts w:ascii="宋体" w:hAnsi="宋体" w:cs="宋体"/>
          <w:szCs w:val="21"/>
          <w:highlight w:val="none"/>
        </w:rPr>
      </w:pPr>
    </w:p>
    <w:p w14:paraId="63B53612">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2BAD80FC">
      <w:pPr>
        <w:spacing w:line="440" w:lineRule="exact"/>
        <w:rPr>
          <w:rFonts w:ascii="宋体" w:hAnsi="宋体" w:cs="宋体"/>
          <w:szCs w:val="21"/>
          <w:highlight w:val="none"/>
        </w:rPr>
      </w:pPr>
      <w:r>
        <w:rPr>
          <w:rFonts w:hint="eastAsia" w:ascii="宋体" w:hAnsi="宋体" w:cs="宋体"/>
          <w:szCs w:val="21"/>
          <w:highlight w:val="none"/>
        </w:rPr>
        <w:t>　　</w:t>
      </w:r>
    </w:p>
    <w:p w14:paraId="188861AE">
      <w:pPr>
        <w:spacing w:line="440" w:lineRule="exact"/>
        <w:ind w:firstLine="420" w:firstLineChars="200"/>
        <w:rPr>
          <w:rFonts w:ascii="宋体" w:hAnsi="宋体" w:cs="宋体"/>
          <w:szCs w:val="21"/>
          <w:highlight w:val="none"/>
        </w:rPr>
      </w:pPr>
      <w:r>
        <w:rPr>
          <w:rFonts w:hint="eastAsia" w:ascii="宋体" w:hAnsi="宋体" w:cs="宋体"/>
          <w:szCs w:val="21"/>
          <w:highlight w:val="none"/>
        </w:rPr>
        <w:t>你方于</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日发出的</w:t>
      </w:r>
      <w:r>
        <w:rPr>
          <w:rFonts w:hint="eastAsia" w:ascii="宋体" w:hAnsi="宋体" w:cs="宋体"/>
          <w:szCs w:val="21"/>
          <w:highlight w:val="none"/>
          <w:u w:val="single"/>
        </w:rPr>
        <w:t xml:space="preserve">           </w:t>
      </w:r>
      <w:r>
        <w:rPr>
          <w:rFonts w:hint="eastAsia" w:ascii="宋体" w:hAnsi="宋体" w:cs="宋体"/>
          <w:szCs w:val="21"/>
          <w:highlight w:val="none"/>
        </w:rPr>
        <w:t>（项目名称）关于</w:t>
      </w:r>
      <w:r>
        <w:rPr>
          <w:rFonts w:hint="eastAsia" w:ascii="宋体" w:hAnsi="宋体" w:cs="宋体"/>
          <w:szCs w:val="21"/>
          <w:highlight w:val="none"/>
          <w:u w:val="single"/>
        </w:rPr>
        <w:t xml:space="preserve">                  </w:t>
      </w:r>
      <w:r>
        <w:rPr>
          <w:rFonts w:hint="eastAsia" w:ascii="宋体" w:hAnsi="宋体" w:cs="宋体"/>
          <w:szCs w:val="21"/>
          <w:highlight w:val="none"/>
        </w:rPr>
        <w:t>的通知，我方已于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日收到。</w:t>
      </w:r>
    </w:p>
    <w:p w14:paraId="70920C0C">
      <w:pPr>
        <w:spacing w:line="440" w:lineRule="exact"/>
        <w:rPr>
          <w:rFonts w:ascii="宋体" w:hAnsi="宋体" w:cs="宋体"/>
          <w:szCs w:val="21"/>
          <w:highlight w:val="none"/>
        </w:rPr>
      </w:pPr>
    </w:p>
    <w:p w14:paraId="21102137">
      <w:pPr>
        <w:spacing w:line="440" w:lineRule="exact"/>
        <w:rPr>
          <w:rFonts w:ascii="宋体" w:hAnsi="宋体" w:cs="宋体"/>
          <w:szCs w:val="21"/>
          <w:highlight w:val="none"/>
        </w:rPr>
      </w:pPr>
      <w:r>
        <w:rPr>
          <w:rFonts w:hint="eastAsia" w:ascii="宋体" w:hAnsi="宋体" w:cs="宋体"/>
          <w:szCs w:val="21"/>
          <w:highlight w:val="none"/>
        </w:rPr>
        <w:t>　　特此确认。</w:t>
      </w:r>
    </w:p>
    <w:p w14:paraId="030BBA08">
      <w:pPr>
        <w:spacing w:line="440" w:lineRule="exact"/>
        <w:rPr>
          <w:rFonts w:ascii="宋体" w:hAnsi="宋体" w:cs="宋体"/>
          <w:szCs w:val="21"/>
          <w:highlight w:val="none"/>
        </w:rPr>
      </w:pPr>
    </w:p>
    <w:p w14:paraId="5AA65F13">
      <w:pPr>
        <w:spacing w:line="440" w:lineRule="exact"/>
        <w:rPr>
          <w:rFonts w:ascii="宋体" w:hAnsi="宋体" w:cs="宋体"/>
          <w:szCs w:val="21"/>
          <w:highlight w:val="none"/>
        </w:rPr>
      </w:pPr>
    </w:p>
    <w:p w14:paraId="0984A9BB">
      <w:pPr>
        <w:spacing w:line="440" w:lineRule="exact"/>
        <w:rPr>
          <w:rFonts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 xml:space="preserve"> （盖单位章）</w:t>
      </w:r>
    </w:p>
    <w:p w14:paraId="34E88D0D">
      <w:pPr>
        <w:spacing w:line="440" w:lineRule="exact"/>
        <w:rPr>
          <w:rFonts w:ascii="宋体" w:hAnsi="宋体" w:cs="宋体"/>
          <w:szCs w:val="21"/>
          <w:highlight w:val="none"/>
        </w:rPr>
      </w:pPr>
    </w:p>
    <w:p w14:paraId="3E4E2B12">
      <w:pPr>
        <w:spacing w:line="40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20E4DA2">
      <w:pPr>
        <w:spacing w:line="400" w:lineRule="exact"/>
        <w:rPr>
          <w:rFonts w:ascii="宋体" w:hAnsi="宋体" w:cs="宋体"/>
          <w:szCs w:val="21"/>
          <w:highlight w:val="none"/>
        </w:rPr>
      </w:pPr>
    </w:p>
    <w:p w14:paraId="6EDF8507">
      <w:pPr>
        <w:spacing w:line="400" w:lineRule="exact"/>
        <w:rPr>
          <w:rFonts w:ascii="宋体" w:hAnsi="宋体" w:cs="宋体"/>
          <w:szCs w:val="21"/>
          <w:highlight w:val="none"/>
        </w:rPr>
      </w:pPr>
    </w:p>
    <w:p w14:paraId="77070B88">
      <w:pPr>
        <w:spacing w:line="400" w:lineRule="exact"/>
        <w:rPr>
          <w:rFonts w:ascii="宋体" w:hAnsi="宋体" w:cs="宋体"/>
          <w:szCs w:val="21"/>
          <w:highlight w:val="none"/>
        </w:rPr>
      </w:pPr>
    </w:p>
    <w:p w14:paraId="3BD1B202">
      <w:pPr>
        <w:spacing w:line="400" w:lineRule="exact"/>
        <w:rPr>
          <w:rFonts w:ascii="宋体" w:hAnsi="宋体" w:cs="宋体"/>
          <w:szCs w:val="21"/>
          <w:highlight w:val="none"/>
        </w:rPr>
      </w:pPr>
    </w:p>
    <w:p w14:paraId="1136F76F">
      <w:pPr>
        <w:spacing w:line="400" w:lineRule="exact"/>
        <w:rPr>
          <w:rFonts w:ascii="宋体" w:hAnsi="宋体" w:cs="宋体"/>
          <w:szCs w:val="21"/>
          <w:highlight w:val="none"/>
        </w:rPr>
      </w:pPr>
    </w:p>
    <w:p w14:paraId="3DD3B6E6">
      <w:pPr>
        <w:spacing w:line="400" w:lineRule="exact"/>
        <w:rPr>
          <w:rFonts w:ascii="宋体" w:hAnsi="宋体" w:cs="宋体"/>
          <w:szCs w:val="21"/>
          <w:highlight w:val="none"/>
        </w:rPr>
      </w:pPr>
    </w:p>
    <w:p w14:paraId="2B2E8C5A">
      <w:pPr>
        <w:spacing w:line="400" w:lineRule="exact"/>
        <w:rPr>
          <w:rFonts w:ascii="宋体" w:hAnsi="宋体" w:cs="宋体"/>
          <w:szCs w:val="21"/>
          <w:highlight w:val="none"/>
        </w:rPr>
      </w:pPr>
    </w:p>
    <w:p w14:paraId="19B5DEDE">
      <w:pPr>
        <w:tabs>
          <w:tab w:val="left" w:pos="1843"/>
        </w:tabs>
        <w:autoSpaceDE w:val="0"/>
        <w:autoSpaceDN w:val="0"/>
        <w:adjustRightInd w:val="0"/>
        <w:snapToGrid w:val="0"/>
        <w:spacing w:after="156" w:afterLines="50"/>
        <w:rPr>
          <w:rFonts w:ascii="宋体" w:hAnsi="宋体" w:cs="宋体"/>
          <w:kern w:val="0"/>
          <w:sz w:val="24"/>
          <w:highlight w:val="none"/>
        </w:rPr>
      </w:pPr>
    </w:p>
    <w:p w14:paraId="36048B34">
      <w:pPr>
        <w:rPr>
          <w:rFonts w:ascii="宋体" w:hAnsi="宋体" w:cs="宋体"/>
          <w:highlight w:val="none"/>
        </w:rPr>
      </w:pPr>
    </w:p>
    <w:p w14:paraId="03CA4895">
      <w:pPr>
        <w:spacing w:line="440" w:lineRule="exact"/>
        <w:rPr>
          <w:rFonts w:ascii="宋体" w:hAnsi="宋体" w:cs="宋体"/>
          <w:b/>
          <w:szCs w:val="21"/>
          <w:highlight w:val="none"/>
        </w:rPr>
      </w:pPr>
      <w:bookmarkStart w:id="150" w:name="_Toc247085740"/>
      <w:bookmarkStart w:id="151" w:name="_Toc179632600"/>
      <w:bookmarkStart w:id="152" w:name="_Toc152045582"/>
      <w:bookmarkStart w:id="153" w:name="_Toc144974549"/>
      <w:bookmarkStart w:id="154" w:name="_Toc23200"/>
      <w:bookmarkStart w:id="155" w:name="_Toc246996225"/>
      <w:bookmarkStart w:id="156" w:name="_Toc246996968"/>
      <w:bookmarkStart w:id="157" w:name="_Toc152042359"/>
      <w:bookmarkStart w:id="158" w:name="_Toc324863679"/>
    </w:p>
    <w:p w14:paraId="67B81715">
      <w:pPr>
        <w:spacing w:line="400" w:lineRule="exact"/>
        <w:jc w:val="left"/>
        <w:rPr>
          <w:rFonts w:ascii="宋体" w:hAnsi="宋体" w:cs="宋体"/>
          <w:b/>
          <w:sz w:val="32"/>
          <w:szCs w:val="32"/>
          <w:highlight w:val="none"/>
        </w:rPr>
        <w:sectPr>
          <w:footerReference r:id="rId11" w:type="default"/>
          <w:pgSz w:w="11906" w:h="16838"/>
          <w:pgMar w:top="1440" w:right="1247" w:bottom="1361" w:left="1247" w:header="851" w:footer="992" w:gutter="0"/>
          <w:pgNumType w:fmt="decimal"/>
          <w:cols w:space="720" w:num="1"/>
          <w:docGrid w:type="lines" w:linePitch="312" w:charSpace="0"/>
        </w:sectPr>
      </w:pPr>
    </w:p>
    <w:bookmarkEnd w:id="10"/>
    <w:bookmarkEnd w:id="150"/>
    <w:bookmarkEnd w:id="151"/>
    <w:bookmarkEnd w:id="152"/>
    <w:bookmarkEnd w:id="153"/>
    <w:bookmarkEnd w:id="154"/>
    <w:bookmarkEnd w:id="155"/>
    <w:bookmarkEnd w:id="156"/>
    <w:bookmarkEnd w:id="157"/>
    <w:bookmarkEnd w:id="158"/>
    <w:p w14:paraId="45A6041B">
      <w:pPr>
        <w:pStyle w:val="2"/>
        <w:snapToGrid w:val="0"/>
        <w:spacing w:before="0" w:after="0" w:line="240" w:lineRule="auto"/>
        <w:jc w:val="center"/>
        <w:rPr>
          <w:rFonts w:ascii="宋体" w:hAnsi="宋体" w:cs="宋体"/>
          <w:highlight w:val="none"/>
        </w:rPr>
      </w:pPr>
      <w:bookmarkStart w:id="159" w:name="_Toc23622"/>
      <w:bookmarkStart w:id="160" w:name="_Toc29547241"/>
      <w:bookmarkStart w:id="161" w:name="_Toc2582"/>
      <w:bookmarkStart w:id="162" w:name="_Toc24197"/>
      <w:bookmarkStart w:id="163" w:name="_Toc21907"/>
      <w:r>
        <w:rPr>
          <w:rFonts w:hint="eastAsia" w:ascii="宋体" w:hAnsi="宋体" w:cs="宋体"/>
          <w:highlight w:val="none"/>
        </w:rPr>
        <w:t xml:space="preserve">第三章  </w:t>
      </w:r>
      <w:bookmarkEnd w:id="159"/>
      <w:bookmarkEnd w:id="160"/>
      <w:bookmarkEnd w:id="161"/>
      <w:r>
        <w:rPr>
          <w:rFonts w:hint="eastAsia" w:ascii="宋体" w:hAnsi="宋体" w:cs="宋体"/>
          <w:bCs/>
          <w:kern w:val="15"/>
          <w:szCs w:val="21"/>
          <w:highlight w:val="none"/>
          <w:lang w:val="en-US" w:eastAsia="zh-CN"/>
        </w:rPr>
        <w:t>评审方法</w:t>
      </w:r>
      <w:r>
        <w:rPr>
          <w:rFonts w:hint="eastAsia" w:ascii="宋体" w:hAnsi="宋体" w:cs="宋体"/>
          <w:highlight w:val="none"/>
        </w:rPr>
        <w:t>（综合评分法）</w:t>
      </w:r>
      <w:bookmarkEnd w:id="162"/>
      <w:bookmarkEnd w:id="163"/>
    </w:p>
    <w:p w14:paraId="1B5A3613">
      <w:pPr>
        <w:snapToGrid w:val="0"/>
        <w:jc w:val="center"/>
        <w:rPr>
          <w:rFonts w:ascii="宋体" w:hAnsi="宋体" w:cs="宋体"/>
          <w:b/>
          <w:sz w:val="28"/>
          <w:szCs w:val="28"/>
          <w:highlight w:val="none"/>
        </w:rPr>
      </w:pPr>
      <w:r>
        <w:rPr>
          <w:rFonts w:hint="eastAsia" w:ascii="宋体" w:hAnsi="宋体" w:cs="宋体"/>
          <w:b/>
          <w:sz w:val="28"/>
          <w:szCs w:val="28"/>
          <w:highlight w:val="none"/>
          <w:lang w:val="en-US" w:eastAsia="zh-CN"/>
        </w:rPr>
        <w:t>评审方法</w:t>
      </w:r>
      <w:r>
        <w:rPr>
          <w:rFonts w:hint="eastAsia" w:ascii="宋体" w:hAnsi="宋体" w:cs="宋体"/>
          <w:b/>
          <w:sz w:val="28"/>
          <w:szCs w:val="28"/>
          <w:highlight w:val="none"/>
        </w:rPr>
        <w:t>前附表（一）</w:t>
      </w:r>
    </w:p>
    <w:p w14:paraId="1457D6C2">
      <w:pPr>
        <w:pStyle w:val="11"/>
        <w:snapToGrid w:val="0"/>
        <w:jc w:val="center"/>
        <w:rPr>
          <w:rFonts w:ascii="宋体" w:hAnsi="宋体" w:eastAsia="宋体" w:cs="宋体"/>
          <w:b/>
          <w:kern w:val="2"/>
          <w:sz w:val="28"/>
          <w:szCs w:val="28"/>
          <w:highlight w:val="none"/>
        </w:rPr>
      </w:pPr>
      <w:r>
        <w:rPr>
          <w:rFonts w:hint="eastAsia" w:ascii="宋体" w:hAnsi="宋体" w:eastAsia="宋体" w:cs="宋体"/>
          <w:b/>
          <w:kern w:val="2"/>
          <w:sz w:val="28"/>
          <w:szCs w:val="28"/>
          <w:highlight w:val="none"/>
        </w:rPr>
        <w:t>资格审查表</w:t>
      </w:r>
    </w:p>
    <w:tbl>
      <w:tblPr>
        <w:tblStyle w:val="31"/>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69"/>
        <w:gridCol w:w="1517"/>
        <w:gridCol w:w="6782"/>
      </w:tblGrid>
      <w:tr w14:paraId="24F6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3" w:type="dxa"/>
            <w:noWrap/>
            <w:vAlign w:val="center"/>
          </w:tcPr>
          <w:p w14:paraId="59B71650">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序号</w:t>
            </w:r>
          </w:p>
        </w:tc>
        <w:tc>
          <w:tcPr>
            <w:tcW w:w="1369" w:type="dxa"/>
            <w:noWrap/>
            <w:vAlign w:val="center"/>
          </w:tcPr>
          <w:p w14:paraId="7B023532">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cs="宋体"/>
                <w:bCs/>
                <w:szCs w:val="21"/>
                <w:highlight w:val="none"/>
                <w:lang w:val="zh-CN"/>
              </w:rPr>
            </w:pPr>
            <w:r>
              <w:rPr>
                <w:rFonts w:hint="eastAsia" w:ascii="宋体" w:hAnsi="宋体" w:cs="宋体"/>
                <w:bCs/>
                <w:color w:val="auto"/>
                <w:szCs w:val="21"/>
                <w:highlight w:val="none"/>
                <w:lang w:val="en-US" w:eastAsia="zh-CN"/>
              </w:rPr>
              <w:t>类型</w:t>
            </w:r>
          </w:p>
        </w:tc>
        <w:tc>
          <w:tcPr>
            <w:tcW w:w="1517" w:type="dxa"/>
            <w:noWrap/>
            <w:vAlign w:val="center"/>
          </w:tcPr>
          <w:p w14:paraId="0574A7E7">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ascii="宋体" w:hAnsi="宋体" w:cs="宋体"/>
                <w:bCs/>
                <w:szCs w:val="21"/>
                <w:highlight w:val="none"/>
                <w:lang w:val="zh-CN"/>
              </w:rPr>
            </w:pPr>
            <w:r>
              <w:rPr>
                <w:rFonts w:hint="eastAsia" w:ascii="宋体" w:hAnsi="宋体" w:eastAsia="宋体" w:cs="宋体"/>
                <w:bCs/>
                <w:color w:val="auto"/>
                <w:szCs w:val="21"/>
                <w:highlight w:val="none"/>
                <w:lang w:val="zh-CN"/>
              </w:rPr>
              <w:t>评审因素</w:t>
            </w:r>
          </w:p>
        </w:tc>
        <w:tc>
          <w:tcPr>
            <w:tcW w:w="6782" w:type="dxa"/>
            <w:noWrap/>
            <w:vAlign w:val="center"/>
          </w:tcPr>
          <w:p w14:paraId="1EDC348F">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ascii="宋体" w:hAnsi="宋体" w:cs="宋体"/>
                <w:bCs/>
                <w:szCs w:val="21"/>
                <w:highlight w:val="none"/>
                <w:lang w:val="zh-CN"/>
              </w:rPr>
            </w:pPr>
            <w:r>
              <w:rPr>
                <w:rFonts w:hint="eastAsia" w:ascii="宋体" w:hAnsi="宋体" w:eastAsia="宋体" w:cs="宋体"/>
                <w:bCs/>
                <w:color w:val="auto"/>
                <w:szCs w:val="21"/>
                <w:highlight w:val="none"/>
                <w:lang w:val="zh-CN"/>
              </w:rPr>
              <w:t>评审标准</w:t>
            </w:r>
          </w:p>
        </w:tc>
      </w:tr>
      <w:tr w14:paraId="74F9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03" w:type="dxa"/>
            <w:noWrap/>
            <w:vAlign w:val="center"/>
          </w:tcPr>
          <w:p w14:paraId="06B26807">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1</w:t>
            </w:r>
          </w:p>
        </w:tc>
        <w:tc>
          <w:tcPr>
            <w:tcW w:w="1369" w:type="dxa"/>
            <w:noWrap/>
            <w:vAlign w:val="center"/>
          </w:tcPr>
          <w:p w14:paraId="03D166F1">
            <w:pPr>
              <w:autoSpaceDE w:val="0"/>
              <w:autoSpaceDN w:val="0"/>
              <w:adjustRightInd w:val="0"/>
              <w:snapToGrid w:val="0"/>
              <w:spacing w:line="264" w:lineRule="auto"/>
              <w:jc w:val="center"/>
              <w:rPr>
                <w:rFonts w:hint="eastAsia" w:ascii="宋体" w:hAnsi="宋体" w:cs="宋体"/>
                <w:bCs/>
                <w:highlight w:val="none"/>
                <w:lang w:val="zh-CN"/>
              </w:rPr>
            </w:pPr>
            <w:r>
              <w:rPr>
                <w:rFonts w:hint="eastAsia" w:ascii="宋体" w:hAnsi="宋体" w:eastAsia="宋体" w:cs="宋体"/>
                <w:sz w:val="21"/>
                <w:szCs w:val="21"/>
                <w:highlight w:val="none"/>
                <w:lang w:eastAsia="zh-CN"/>
              </w:rPr>
              <w:t>营业执照</w:t>
            </w:r>
          </w:p>
        </w:tc>
        <w:tc>
          <w:tcPr>
            <w:tcW w:w="1517" w:type="dxa"/>
            <w:noWrap/>
            <w:vAlign w:val="center"/>
          </w:tcPr>
          <w:p w14:paraId="04719F5D">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eastAsia="宋体" w:cs="宋体"/>
                <w:sz w:val="21"/>
                <w:szCs w:val="21"/>
                <w:highlight w:val="none"/>
                <w:lang w:eastAsia="zh-CN"/>
              </w:rPr>
              <w:t>营业执照</w:t>
            </w:r>
          </w:p>
        </w:tc>
        <w:tc>
          <w:tcPr>
            <w:tcW w:w="6782" w:type="dxa"/>
            <w:noWrap/>
            <w:vAlign w:val="center"/>
          </w:tcPr>
          <w:p w14:paraId="50476F83">
            <w:pPr>
              <w:autoSpaceDE w:val="0"/>
              <w:autoSpaceDN w:val="0"/>
              <w:adjustRightInd w:val="0"/>
              <w:snapToGrid w:val="0"/>
              <w:spacing w:line="264" w:lineRule="auto"/>
              <w:rPr>
                <w:rFonts w:ascii="宋体" w:hAnsi="宋体" w:cs="宋体"/>
                <w:bCs/>
                <w:szCs w:val="21"/>
                <w:highlight w:val="none"/>
                <w:lang w:val="zh-CN"/>
              </w:rPr>
            </w:pPr>
            <w:r>
              <w:rPr>
                <w:rFonts w:hint="eastAsia" w:ascii="宋体" w:hAnsi="宋体" w:eastAsia="宋体" w:cs="宋体"/>
                <w:color w:val="auto"/>
                <w:kern w:val="0"/>
                <w:sz w:val="21"/>
                <w:szCs w:val="21"/>
                <w:highlight w:val="none"/>
                <w:lang w:val="en-US" w:eastAsia="zh-CN"/>
              </w:rPr>
              <w:t>申请人</w:t>
            </w:r>
            <w:r>
              <w:rPr>
                <w:rFonts w:hint="eastAsia" w:ascii="宋体" w:hAnsi="宋体" w:cs="宋体"/>
                <w:color w:val="auto"/>
                <w:kern w:val="0"/>
                <w:sz w:val="21"/>
                <w:szCs w:val="21"/>
                <w:highlight w:val="none"/>
                <w:lang w:val="en-US" w:eastAsia="zh-CN"/>
              </w:rPr>
              <w:t>须</w:t>
            </w:r>
            <w:r>
              <w:rPr>
                <w:rFonts w:hint="eastAsia" w:ascii="宋体" w:hAnsi="宋体" w:eastAsia="宋体" w:cs="宋体"/>
                <w:color w:val="auto"/>
                <w:kern w:val="0"/>
                <w:sz w:val="21"/>
                <w:szCs w:val="21"/>
                <w:highlight w:val="none"/>
                <w:lang w:val="en-US" w:eastAsia="zh-CN"/>
              </w:rPr>
              <w:t>具备独立承担民事行为能力的法人或其他组织，</w:t>
            </w:r>
            <w:r>
              <w:rPr>
                <w:rFonts w:hint="eastAsia" w:ascii="宋体" w:hAnsi="宋体" w:eastAsia="宋体" w:cs="宋体"/>
                <w:color w:val="auto"/>
                <w:kern w:val="0"/>
                <w:szCs w:val="21"/>
                <w:highlight w:val="none"/>
              </w:rPr>
              <w:t>具备有效的营业执照</w:t>
            </w:r>
            <w:r>
              <w:rPr>
                <w:rFonts w:hint="eastAsia" w:ascii="宋体" w:hAnsi="宋体" w:cs="宋体"/>
                <w:kern w:val="0"/>
                <w:szCs w:val="21"/>
                <w:highlight w:val="none"/>
                <w:lang w:bidi="ar"/>
              </w:rPr>
              <w:t>，</w:t>
            </w:r>
            <w:r>
              <w:rPr>
                <w:rFonts w:hint="eastAsia" w:ascii="宋体" w:hAnsi="宋体"/>
                <w:b/>
                <w:bCs/>
                <w:kern w:val="0"/>
                <w:highlight w:val="none"/>
                <w:lang w:val="en-US" w:eastAsia="zh-CN"/>
              </w:rPr>
              <w:t>响应文件</w:t>
            </w:r>
            <w:r>
              <w:rPr>
                <w:rFonts w:hint="eastAsia" w:ascii="宋体" w:hAnsi="宋体"/>
                <w:b/>
                <w:bCs/>
                <w:kern w:val="0"/>
                <w:highlight w:val="none"/>
              </w:rPr>
              <w:t>内附营业执照等证明文件复印件加盖公章。</w:t>
            </w:r>
          </w:p>
        </w:tc>
      </w:tr>
      <w:tr w14:paraId="5AA7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03" w:type="dxa"/>
            <w:noWrap/>
            <w:vAlign w:val="center"/>
          </w:tcPr>
          <w:p w14:paraId="6C8CAFCC">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2</w:t>
            </w:r>
          </w:p>
        </w:tc>
        <w:tc>
          <w:tcPr>
            <w:tcW w:w="1369" w:type="dxa"/>
            <w:noWrap/>
            <w:vAlign w:val="center"/>
          </w:tcPr>
          <w:p w14:paraId="21BC408B">
            <w:pPr>
              <w:autoSpaceDE w:val="0"/>
              <w:autoSpaceDN w:val="0"/>
              <w:adjustRightInd w:val="0"/>
              <w:snapToGrid w:val="0"/>
              <w:spacing w:line="264" w:lineRule="auto"/>
              <w:jc w:val="center"/>
              <w:rPr>
                <w:rFonts w:hint="eastAsia" w:ascii="宋体" w:hAnsi="宋体" w:cs="宋体"/>
                <w:bCs/>
                <w:highlight w:val="none"/>
                <w:lang w:val="zh-CN"/>
              </w:rPr>
            </w:pPr>
            <w:r>
              <w:rPr>
                <w:rFonts w:hint="eastAsia" w:ascii="宋体" w:hAnsi="宋体" w:eastAsia="宋体" w:cs="宋体"/>
                <w:sz w:val="21"/>
                <w:szCs w:val="21"/>
                <w:highlight w:val="none"/>
                <w:lang w:eastAsia="zh-CN"/>
              </w:rPr>
              <w:t>基本资质</w:t>
            </w:r>
          </w:p>
        </w:tc>
        <w:tc>
          <w:tcPr>
            <w:tcW w:w="1517" w:type="dxa"/>
            <w:noWrap/>
            <w:vAlign w:val="center"/>
          </w:tcPr>
          <w:p w14:paraId="0CF825B2">
            <w:pPr>
              <w:autoSpaceDE w:val="0"/>
              <w:autoSpaceDN w:val="0"/>
              <w:adjustRightInd w:val="0"/>
              <w:snapToGrid w:val="0"/>
              <w:spacing w:line="264" w:lineRule="auto"/>
              <w:jc w:val="center"/>
              <w:rPr>
                <w:rFonts w:ascii="宋体" w:hAnsi="宋体" w:cs="宋体"/>
                <w:bCs/>
                <w:highlight w:val="none"/>
                <w:lang w:val="zh-CN"/>
              </w:rPr>
            </w:pPr>
            <w:r>
              <w:rPr>
                <w:rFonts w:hint="eastAsia" w:ascii="宋体" w:hAnsi="宋体" w:cs="宋体"/>
                <w:bCs/>
                <w:highlight w:val="none"/>
                <w:lang w:val="zh-CN"/>
              </w:rPr>
              <w:t>资质证书</w:t>
            </w:r>
          </w:p>
        </w:tc>
        <w:tc>
          <w:tcPr>
            <w:tcW w:w="6782" w:type="dxa"/>
            <w:noWrap/>
            <w:vAlign w:val="center"/>
          </w:tcPr>
          <w:p w14:paraId="28CCC3D7">
            <w:pPr>
              <w:autoSpaceDE w:val="0"/>
              <w:autoSpaceDN w:val="0"/>
              <w:adjustRightInd w:val="0"/>
              <w:snapToGrid w:val="0"/>
              <w:spacing w:line="264" w:lineRule="auto"/>
              <w:rPr>
                <w:rFonts w:hint="eastAsia" w:ascii="宋体" w:hAnsi="宋体"/>
                <w:b/>
                <w:bCs/>
                <w:kern w:val="0"/>
                <w:highlight w:val="none"/>
              </w:rPr>
            </w:pPr>
            <w:r>
              <w:rPr>
                <w:rFonts w:hint="eastAsia" w:ascii="宋体" w:hAnsi="宋体" w:cs="宋体"/>
                <w:kern w:val="0"/>
                <w:szCs w:val="21"/>
                <w:highlight w:val="none"/>
                <w:lang w:bidi="ar"/>
              </w:rPr>
              <w:t>申请人须具备建设行政主管部门核发的</w:t>
            </w:r>
            <w:r>
              <w:rPr>
                <w:rFonts w:hint="eastAsia" w:ascii="宋体" w:hAnsi="宋体" w:cs="宋体"/>
                <w:kern w:val="0"/>
                <w:szCs w:val="21"/>
                <w:highlight w:val="none"/>
                <w:lang w:eastAsia="zh-CN" w:bidi="ar"/>
              </w:rPr>
              <w:t>建筑工程施工总承包叁级</w:t>
            </w:r>
            <w:r>
              <w:rPr>
                <w:rFonts w:hint="eastAsia" w:ascii="宋体" w:hAnsi="宋体" w:cs="宋体"/>
                <w:kern w:val="0"/>
                <w:szCs w:val="21"/>
                <w:highlight w:val="none"/>
                <w:lang w:bidi="ar"/>
              </w:rPr>
              <w:t>及以上资质，具备有效的安全生产许可证，</w:t>
            </w:r>
            <w:r>
              <w:rPr>
                <w:rFonts w:hint="eastAsia" w:ascii="宋体" w:hAnsi="宋体"/>
                <w:b/>
                <w:bCs/>
                <w:kern w:val="0"/>
                <w:highlight w:val="none"/>
                <w:lang w:val="en-US" w:eastAsia="zh-CN"/>
              </w:rPr>
              <w:t>响应文件</w:t>
            </w:r>
            <w:r>
              <w:rPr>
                <w:rFonts w:hint="eastAsia" w:ascii="宋体" w:hAnsi="宋体"/>
                <w:b/>
                <w:bCs/>
                <w:kern w:val="0"/>
                <w:highlight w:val="none"/>
              </w:rPr>
              <w:t>内附</w:t>
            </w:r>
            <w:r>
              <w:rPr>
                <w:rFonts w:hint="eastAsia" w:ascii="宋体" w:hAnsi="宋体"/>
                <w:b/>
                <w:bCs/>
                <w:kern w:val="0"/>
                <w:highlight w:val="none"/>
                <w:lang w:val="en-US" w:eastAsia="zh-CN"/>
              </w:rPr>
              <w:t>相关证书</w:t>
            </w:r>
            <w:r>
              <w:rPr>
                <w:rFonts w:hint="eastAsia" w:ascii="宋体" w:hAnsi="宋体" w:cs="宋体"/>
                <w:b/>
                <w:bCs/>
                <w:kern w:val="0"/>
                <w:szCs w:val="21"/>
                <w:highlight w:val="none"/>
                <w:lang w:bidi="ar"/>
              </w:rPr>
              <w:t>复印件加盖公章</w:t>
            </w:r>
            <w:r>
              <w:rPr>
                <w:rFonts w:hint="eastAsia" w:ascii="宋体" w:hAnsi="宋体"/>
                <w:b/>
                <w:bCs/>
                <w:kern w:val="0"/>
                <w:highlight w:val="none"/>
              </w:rPr>
              <w:t>。</w:t>
            </w:r>
          </w:p>
          <w:p w14:paraId="1BB23FE3">
            <w:pPr>
              <w:autoSpaceDE w:val="0"/>
              <w:autoSpaceDN w:val="0"/>
              <w:adjustRightInd w:val="0"/>
              <w:snapToGrid w:val="0"/>
              <w:spacing w:line="264" w:lineRule="auto"/>
              <w:rPr>
                <w:rFonts w:hint="eastAsia" w:ascii="宋体" w:hAnsi="宋体"/>
                <w:b/>
                <w:bCs/>
                <w:kern w:val="0"/>
                <w:highlight w:val="none"/>
              </w:rPr>
            </w:pPr>
            <w:r>
              <w:rPr>
                <w:rFonts w:hint="eastAsia" w:ascii="宋体" w:hAnsi="宋体"/>
                <w:b/>
                <w:bCs/>
                <w:kern w:val="0"/>
                <w:highlight w:val="none"/>
              </w:rPr>
              <w:t>注：①根据《吉林省住房和城乡建设厅关于建筑业企业资质延续有关事宜的通知》（吉建管[2023]23号)文件要求，吉林省建筑业企业总承包</w:t>
            </w:r>
            <w:r>
              <w:rPr>
                <w:rFonts w:hint="eastAsia" w:ascii="宋体" w:hAnsi="宋体"/>
                <w:b/>
                <w:bCs/>
                <w:kern w:val="0"/>
                <w:highlight w:val="none"/>
                <w:lang w:eastAsia="zh-CN"/>
              </w:rPr>
              <w:t>叁</w:t>
            </w:r>
            <w:r>
              <w:rPr>
                <w:rFonts w:hint="eastAsia" w:ascii="宋体" w:hAnsi="宋体"/>
                <w:b/>
                <w:bCs/>
                <w:kern w:val="0"/>
                <w:highlight w:val="none"/>
              </w:rPr>
              <w:t>级、专业承包</w:t>
            </w:r>
            <w:r>
              <w:rPr>
                <w:rFonts w:hint="eastAsia" w:ascii="宋体" w:hAnsi="宋体"/>
                <w:b/>
                <w:bCs/>
                <w:kern w:val="0"/>
                <w:highlight w:val="none"/>
                <w:lang w:eastAsia="zh-CN"/>
              </w:rPr>
              <w:t>叁</w:t>
            </w:r>
            <w:r>
              <w:rPr>
                <w:rFonts w:hint="eastAsia" w:ascii="宋体" w:hAnsi="宋体"/>
                <w:b/>
                <w:bCs/>
                <w:kern w:val="0"/>
                <w:highlight w:val="none"/>
              </w:rPr>
              <w:t>级资质，自2024年7月1日起，原资质许可机关不再受理资质换证申请，相应证书逾期自动作废。②其他省（市）核发的资质涉及有效期延续、换证问题的，按照当地建设行政主管部门文件执行。响应文件内须提供当地住房和城乡建设部门官方网站发布的有关有效期延期、换证的文件截图及网址，否则不予认定。</w:t>
            </w:r>
          </w:p>
        </w:tc>
      </w:tr>
      <w:tr w14:paraId="0C0C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03" w:type="dxa"/>
            <w:vMerge w:val="restart"/>
            <w:noWrap/>
            <w:vAlign w:val="center"/>
          </w:tcPr>
          <w:p w14:paraId="513CA068">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3</w:t>
            </w:r>
          </w:p>
        </w:tc>
        <w:tc>
          <w:tcPr>
            <w:tcW w:w="1369" w:type="dxa"/>
            <w:vMerge w:val="restart"/>
            <w:noWrap/>
            <w:vAlign w:val="center"/>
          </w:tcPr>
          <w:p w14:paraId="780D9CCC">
            <w:pPr>
              <w:autoSpaceDE w:val="0"/>
              <w:autoSpaceDN w:val="0"/>
              <w:adjustRightInd w:val="0"/>
              <w:snapToGrid w:val="0"/>
              <w:spacing w:line="264" w:lineRule="auto"/>
              <w:jc w:val="center"/>
              <w:rPr>
                <w:rFonts w:hint="eastAsia" w:ascii="宋体" w:hAnsi="宋体" w:cs="宋体"/>
                <w:bCs/>
                <w:highlight w:val="none"/>
              </w:rPr>
            </w:pPr>
            <w:r>
              <w:rPr>
                <w:rFonts w:hint="eastAsia" w:ascii="宋体" w:hAnsi="宋体" w:eastAsia="宋体" w:cs="宋体"/>
                <w:sz w:val="21"/>
                <w:szCs w:val="21"/>
                <w:highlight w:val="none"/>
                <w:lang w:eastAsia="zh-CN"/>
              </w:rPr>
              <w:t>基本资质</w:t>
            </w:r>
          </w:p>
        </w:tc>
        <w:tc>
          <w:tcPr>
            <w:tcW w:w="1517" w:type="dxa"/>
            <w:vMerge w:val="restart"/>
            <w:noWrap/>
            <w:vAlign w:val="center"/>
          </w:tcPr>
          <w:p w14:paraId="0F5C8BCE">
            <w:pPr>
              <w:autoSpaceDE w:val="0"/>
              <w:autoSpaceDN w:val="0"/>
              <w:adjustRightInd w:val="0"/>
              <w:snapToGrid w:val="0"/>
              <w:spacing w:line="264" w:lineRule="auto"/>
              <w:jc w:val="center"/>
              <w:rPr>
                <w:rFonts w:ascii="宋体" w:hAnsi="宋体" w:cs="宋体"/>
                <w:bCs/>
                <w:highlight w:val="none"/>
              </w:rPr>
            </w:pPr>
            <w:r>
              <w:rPr>
                <w:rFonts w:hint="eastAsia" w:ascii="宋体" w:hAnsi="宋体" w:cs="宋体"/>
                <w:bCs/>
                <w:highlight w:val="none"/>
              </w:rPr>
              <w:t>项目经理</w:t>
            </w:r>
          </w:p>
        </w:tc>
        <w:tc>
          <w:tcPr>
            <w:tcW w:w="6782" w:type="dxa"/>
            <w:noWrap/>
            <w:vAlign w:val="center"/>
          </w:tcPr>
          <w:p w14:paraId="6A282926">
            <w:pPr>
              <w:autoSpaceDE w:val="0"/>
              <w:autoSpaceDN w:val="0"/>
              <w:adjustRightInd w:val="0"/>
              <w:snapToGrid w:val="0"/>
              <w:spacing w:line="264" w:lineRule="auto"/>
              <w:rPr>
                <w:rFonts w:ascii="宋体" w:hAnsi="宋体" w:cs="宋体"/>
                <w:kern w:val="0"/>
                <w:szCs w:val="21"/>
                <w:highlight w:val="none"/>
              </w:rPr>
            </w:pPr>
            <w:r>
              <w:rPr>
                <w:rFonts w:hint="eastAsia" w:ascii="宋体" w:hAnsi="宋体" w:cs="宋体"/>
                <w:bCs/>
                <w:szCs w:val="21"/>
                <w:highlight w:val="none"/>
              </w:rPr>
              <w:t>供应商</w:t>
            </w:r>
            <w:r>
              <w:rPr>
                <w:rFonts w:hint="eastAsia" w:ascii="宋体" w:hAnsi="宋体" w:cs="宋体"/>
                <w:bCs/>
                <w:szCs w:val="21"/>
                <w:highlight w:val="none"/>
                <w:lang w:val="zh-CN"/>
              </w:rPr>
              <w:t>拟派项目经理须具备</w:t>
            </w:r>
            <w:r>
              <w:rPr>
                <w:rFonts w:hint="eastAsia" w:ascii="宋体" w:hAnsi="宋体" w:cs="宋体"/>
                <w:bCs/>
                <w:szCs w:val="21"/>
                <w:highlight w:val="none"/>
                <w:lang w:val="zh-CN" w:eastAsia="zh-CN"/>
              </w:rPr>
              <w:t>建筑工程专业二级</w:t>
            </w:r>
            <w:r>
              <w:rPr>
                <w:rFonts w:hint="eastAsia" w:ascii="宋体" w:hAnsi="宋体" w:cs="宋体"/>
                <w:color w:val="000000"/>
                <w:kern w:val="0"/>
                <w:szCs w:val="21"/>
                <w:highlight w:val="none"/>
                <w:lang w:bidi="ar"/>
              </w:rPr>
              <w:t>及以上注册建造师资格</w:t>
            </w:r>
            <w:r>
              <w:rPr>
                <w:rFonts w:hint="eastAsia" w:ascii="宋体" w:hAnsi="宋体" w:cs="宋体"/>
                <w:bCs/>
                <w:szCs w:val="21"/>
                <w:highlight w:val="none"/>
                <w:lang w:val="zh-CN"/>
              </w:rPr>
              <w:t>，具备有效的安全生产考核合格证（B类），</w:t>
            </w:r>
            <w:r>
              <w:rPr>
                <w:rFonts w:hint="eastAsia" w:ascii="宋体" w:hAnsi="宋体"/>
                <w:b/>
                <w:bCs/>
                <w:kern w:val="0"/>
                <w:highlight w:val="none"/>
                <w:lang w:val="en-US" w:eastAsia="zh-CN"/>
              </w:rPr>
              <w:t>响应文件</w:t>
            </w:r>
            <w:r>
              <w:rPr>
                <w:rFonts w:hint="eastAsia" w:ascii="宋体" w:hAnsi="宋体"/>
                <w:b/>
                <w:bCs/>
                <w:kern w:val="0"/>
                <w:highlight w:val="none"/>
              </w:rPr>
              <w:t>内</w:t>
            </w:r>
            <w:r>
              <w:rPr>
                <w:rFonts w:hint="eastAsia" w:ascii="宋体" w:hAnsi="宋体" w:cs="宋体"/>
                <w:b/>
                <w:bCs/>
                <w:szCs w:val="21"/>
                <w:highlight w:val="none"/>
              </w:rPr>
              <w:t>附项目经理相关证书及递交响应文件截止时间前近半年任意一个月社保证明复印件加盖公章。</w:t>
            </w:r>
          </w:p>
        </w:tc>
      </w:tr>
      <w:tr w14:paraId="2D2E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3" w:type="dxa"/>
            <w:vMerge w:val="continue"/>
            <w:noWrap/>
            <w:vAlign w:val="center"/>
          </w:tcPr>
          <w:p w14:paraId="29D92AEE">
            <w:pPr>
              <w:autoSpaceDE w:val="0"/>
              <w:autoSpaceDN w:val="0"/>
              <w:adjustRightInd w:val="0"/>
              <w:snapToGrid w:val="0"/>
              <w:spacing w:line="264" w:lineRule="auto"/>
              <w:jc w:val="center"/>
              <w:rPr>
                <w:rFonts w:hint="eastAsia" w:ascii="宋体" w:hAnsi="宋体" w:cs="宋体"/>
                <w:bCs/>
                <w:szCs w:val="21"/>
                <w:highlight w:val="none"/>
              </w:rPr>
            </w:pPr>
          </w:p>
        </w:tc>
        <w:tc>
          <w:tcPr>
            <w:tcW w:w="1369" w:type="dxa"/>
            <w:vMerge w:val="continue"/>
            <w:noWrap/>
            <w:vAlign w:val="center"/>
          </w:tcPr>
          <w:p w14:paraId="1B74FAFA">
            <w:pPr>
              <w:autoSpaceDE w:val="0"/>
              <w:autoSpaceDN w:val="0"/>
              <w:adjustRightInd w:val="0"/>
              <w:snapToGrid w:val="0"/>
              <w:spacing w:line="264" w:lineRule="auto"/>
              <w:jc w:val="center"/>
              <w:rPr>
                <w:rFonts w:hint="eastAsia" w:ascii="宋体" w:hAnsi="宋体" w:cs="宋体"/>
                <w:bCs/>
                <w:highlight w:val="none"/>
              </w:rPr>
            </w:pPr>
          </w:p>
        </w:tc>
        <w:tc>
          <w:tcPr>
            <w:tcW w:w="1517" w:type="dxa"/>
            <w:vMerge w:val="continue"/>
            <w:noWrap/>
            <w:vAlign w:val="center"/>
          </w:tcPr>
          <w:p w14:paraId="42C01D8E">
            <w:pPr>
              <w:autoSpaceDE w:val="0"/>
              <w:autoSpaceDN w:val="0"/>
              <w:adjustRightInd w:val="0"/>
              <w:snapToGrid w:val="0"/>
              <w:spacing w:line="264" w:lineRule="auto"/>
              <w:jc w:val="center"/>
              <w:rPr>
                <w:rFonts w:hint="eastAsia" w:ascii="宋体" w:hAnsi="宋体" w:cs="宋体"/>
                <w:bCs/>
                <w:highlight w:val="none"/>
              </w:rPr>
            </w:pPr>
          </w:p>
        </w:tc>
        <w:tc>
          <w:tcPr>
            <w:tcW w:w="6782" w:type="dxa"/>
            <w:noWrap/>
            <w:vAlign w:val="center"/>
          </w:tcPr>
          <w:p w14:paraId="07792028">
            <w:pPr>
              <w:autoSpaceDE w:val="0"/>
              <w:autoSpaceDN w:val="0"/>
              <w:adjustRightInd w:val="0"/>
              <w:snapToGrid w:val="0"/>
              <w:spacing w:line="264"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zh-CN"/>
              </w:rPr>
              <w:t>无在建工程，</w:t>
            </w:r>
            <w:r>
              <w:rPr>
                <w:rFonts w:hint="eastAsia" w:ascii="宋体" w:hAnsi="宋体"/>
                <w:b/>
                <w:bCs/>
                <w:kern w:val="0"/>
                <w:highlight w:val="none"/>
                <w:lang w:val="en-US" w:eastAsia="zh-CN"/>
              </w:rPr>
              <w:t>响应文件</w:t>
            </w:r>
            <w:r>
              <w:rPr>
                <w:rFonts w:hint="eastAsia" w:ascii="宋体" w:hAnsi="宋体"/>
                <w:b/>
                <w:bCs/>
                <w:kern w:val="0"/>
                <w:highlight w:val="none"/>
              </w:rPr>
              <w:t>内</w:t>
            </w:r>
            <w:r>
              <w:rPr>
                <w:rFonts w:hint="eastAsia" w:ascii="宋体" w:hAnsi="宋体"/>
                <w:b/>
                <w:bCs/>
                <w:kern w:val="0"/>
                <w:highlight w:val="none"/>
                <w:lang w:val="en-US" w:eastAsia="zh-CN"/>
              </w:rPr>
              <w:t>提供由法定代表人签字及项目经理签字并加盖单位公章的承诺书。</w:t>
            </w:r>
          </w:p>
        </w:tc>
      </w:tr>
      <w:tr w14:paraId="5014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03" w:type="dxa"/>
            <w:noWrap/>
            <w:vAlign w:val="center"/>
          </w:tcPr>
          <w:p w14:paraId="4BFE55FC">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4</w:t>
            </w:r>
          </w:p>
        </w:tc>
        <w:tc>
          <w:tcPr>
            <w:tcW w:w="1369" w:type="dxa"/>
            <w:noWrap/>
            <w:vAlign w:val="center"/>
          </w:tcPr>
          <w:p w14:paraId="7F902C03">
            <w:pPr>
              <w:autoSpaceDE w:val="0"/>
              <w:autoSpaceDN w:val="0"/>
              <w:adjustRightInd w:val="0"/>
              <w:snapToGrid w:val="0"/>
              <w:spacing w:line="264" w:lineRule="auto"/>
              <w:jc w:val="center"/>
              <w:rPr>
                <w:rFonts w:hint="default" w:ascii="宋体" w:hAnsi="宋体" w:cs="宋体"/>
                <w:bCs/>
                <w:szCs w:val="21"/>
                <w:highlight w:val="none"/>
                <w:lang w:val="en-US"/>
              </w:rPr>
            </w:pPr>
            <w:r>
              <w:rPr>
                <w:rFonts w:hint="eastAsia" w:ascii="宋体" w:hAnsi="宋体" w:cs="宋体"/>
                <w:sz w:val="21"/>
                <w:szCs w:val="21"/>
                <w:highlight w:val="none"/>
                <w:lang w:val="en-US" w:eastAsia="zh-CN"/>
              </w:rPr>
              <w:t>财务报告</w:t>
            </w:r>
          </w:p>
        </w:tc>
        <w:tc>
          <w:tcPr>
            <w:tcW w:w="1517" w:type="dxa"/>
            <w:noWrap/>
            <w:vAlign w:val="center"/>
          </w:tcPr>
          <w:p w14:paraId="2D8FA2B0">
            <w:pPr>
              <w:autoSpaceDE w:val="0"/>
              <w:autoSpaceDN w:val="0"/>
              <w:adjustRightInd w:val="0"/>
              <w:snapToGrid w:val="0"/>
              <w:spacing w:line="264" w:lineRule="auto"/>
              <w:jc w:val="center"/>
              <w:rPr>
                <w:rFonts w:ascii="宋体" w:hAnsi="宋体" w:cs="宋体"/>
                <w:bCs/>
                <w:highlight w:val="none"/>
              </w:rPr>
            </w:pPr>
            <w:r>
              <w:rPr>
                <w:rFonts w:hint="eastAsia" w:ascii="宋体" w:hAnsi="宋体" w:cs="宋体"/>
                <w:bCs/>
                <w:szCs w:val="21"/>
                <w:highlight w:val="none"/>
              </w:rPr>
              <w:t>财务状况</w:t>
            </w:r>
          </w:p>
        </w:tc>
        <w:tc>
          <w:tcPr>
            <w:tcW w:w="6782" w:type="dxa"/>
            <w:noWrap/>
            <w:vAlign w:val="center"/>
          </w:tcPr>
          <w:p w14:paraId="5946C8BB">
            <w:pPr>
              <w:keepNext w:val="0"/>
              <w:keepLines w:val="0"/>
              <w:pageBreakBefore w:val="0"/>
              <w:widowControl/>
              <w:kinsoku/>
              <w:wordWrap/>
              <w:overflowPunct/>
              <w:topLinePunct w:val="0"/>
              <w:bidi w:val="0"/>
              <w:spacing w:line="240" w:lineRule="auto"/>
              <w:jc w:val="left"/>
              <w:rPr>
                <w:rFonts w:ascii="宋体" w:hAnsi="宋体" w:cs="宋体"/>
                <w:bCs/>
                <w:szCs w:val="21"/>
                <w:highlight w:val="none"/>
              </w:rPr>
            </w:pPr>
            <w:r>
              <w:rPr>
                <w:rFonts w:hint="eastAsia" w:ascii="宋体" w:hAnsi="宋体" w:cs="宋体"/>
                <w:color w:val="auto"/>
                <w:kern w:val="0"/>
                <w:szCs w:val="21"/>
                <w:highlight w:val="none"/>
                <w:lang w:val="en-US" w:eastAsia="zh-CN"/>
              </w:rPr>
              <w:t>提供2024年度经会计师事务所或审计机构审计的财务审计报告及2025年1月1日至今财务状况良好的承诺。（2024年12月31日以后新成立的公司无财务审计报告的，仅需提供一份财务状况良好承诺）</w:t>
            </w:r>
            <w:r>
              <w:rPr>
                <w:rFonts w:hint="eastAsia" w:ascii="宋体" w:hAnsi="宋体" w:eastAsia="宋体" w:cs="宋体"/>
                <w:color w:val="auto"/>
                <w:kern w:val="0"/>
                <w:szCs w:val="21"/>
                <w:highlight w:val="none"/>
                <w:lang w:eastAsia="zh-CN" w:bidi="ar"/>
              </w:rPr>
              <w:t>，</w:t>
            </w:r>
            <w:r>
              <w:rPr>
                <w:rFonts w:hint="eastAsia" w:ascii="宋体" w:hAnsi="宋体"/>
                <w:b/>
                <w:bCs/>
                <w:kern w:val="0"/>
                <w:highlight w:val="none"/>
                <w:lang w:val="en-US" w:eastAsia="zh-CN"/>
              </w:rPr>
              <w:t>响应文件</w:t>
            </w:r>
            <w:r>
              <w:rPr>
                <w:rFonts w:hint="eastAsia" w:ascii="宋体" w:hAnsi="宋体"/>
                <w:b/>
                <w:bCs/>
                <w:kern w:val="0"/>
                <w:highlight w:val="none"/>
              </w:rPr>
              <w:t>内</w:t>
            </w:r>
            <w:r>
              <w:rPr>
                <w:rFonts w:hint="eastAsia" w:ascii="宋体" w:hAnsi="宋体"/>
                <w:b/>
                <w:bCs/>
                <w:kern w:val="0"/>
                <w:highlight w:val="none"/>
                <w:lang w:val="en-US" w:eastAsia="zh-CN"/>
              </w:rPr>
              <w:t>附财务审计报告复印件及由法定代表人或其委托代理人签字或盖章并加盖公章的财务状况良好承诺书。</w:t>
            </w:r>
          </w:p>
        </w:tc>
      </w:tr>
      <w:tr w14:paraId="365D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3" w:type="dxa"/>
            <w:noWrap/>
            <w:vAlign w:val="center"/>
          </w:tcPr>
          <w:p w14:paraId="3934EC04">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5</w:t>
            </w:r>
          </w:p>
        </w:tc>
        <w:tc>
          <w:tcPr>
            <w:tcW w:w="1369" w:type="dxa"/>
            <w:noWrap/>
            <w:vAlign w:val="center"/>
          </w:tcPr>
          <w:p w14:paraId="0F329AA5">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eastAsia="宋体" w:cs="宋体"/>
                <w:sz w:val="21"/>
                <w:szCs w:val="21"/>
                <w:highlight w:val="none"/>
                <w:lang w:eastAsia="zh-CN"/>
              </w:rPr>
              <w:t>基本资质</w:t>
            </w:r>
          </w:p>
        </w:tc>
        <w:tc>
          <w:tcPr>
            <w:tcW w:w="1517" w:type="dxa"/>
            <w:noWrap/>
            <w:vAlign w:val="center"/>
          </w:tcPr>
          <w:p w14:paraId="19268B8F">
            <w:pPr>
              <w:autoSpaceDE w:val="0"/>
              <w:autoSpaceDN w:val="0"/>
              <w:adjustRightInd w:val="0"/>
              <w:snapToGrid w:val="0"/>
              <w:spacing w:line="264" w:lineRule="auto"/>
              <w:jc w:val="center"/>
              <w:rPr>
                <w:rFonts w:ascii="宋体" w:hAnsi="宋体" w:eastAsia="宋体" w:cs="宋体"/>
                <w:bCs/>
                <w:kern w:val="2"/>
                <w:sz w:val="21"/>
                <w:szCs w:val="21"/>
                <w:highlight w:val="none"/>
                <w:lang w:val="en-US" w:eastAsia="zh-CN" w:bidi="ar-SA"/>
              </w:rPr>
            </w:pPr>
            <w:r>
              <w:rPr>
                <w:rFonts w:hint="eastAsia" w:ascii="宋体" w:hAnsi="宋体" w:cs="宋体"/>
                <w:bCs/>
                <w:szCs w:val="21"/>
                <w:highlight w:val="none"/>
              </w:rPr>
              <w:t>有依法缴纳税收和社会保障资金的良好记录</w:t>
            </w:r>
          </w:p>
        </w:tc>
        <w:tc>
          <w:tcPr>
            <w:tcW w:w="6782" w:type="dxa"/>
            <w:noWrap/>
            <w:vAlign w:val="center"/>
          </w:tcPr>
          <w:p w14:paraId="48A275EA">
            <w:pPr>
              <w:autoSpaceDE w:val="0"/>
              <w:autoSpaceDN w:val="0"/>
              <w:adjustRightInd w:val="0"/>
              <w:snapToGrid w:val="0"/>
              <w:spacing w:line="264" w:lineRule="auto"/>
              <w:rPr>
                <w:rFonts w:ascii="宋体" w:hAnsi="宋体" w:eastAsia="宋体" w:cs="宋体"/>
                <w:bCs/>
                <w:kern w:val="2"/>
                <w:sz w:val="21"/>
                <w:szCs w:val="21"/>
                <w:highlight w:val="none"/>
                <w:lang w:val="en-US" w:eastAsia="zh-CN" w:bidi="ar-SA"/>
              </w:rPr>
            </w:pPr>
            <w:r>
              <w:rPr>
                <w:rFonts w:hint="eastAsia" w:ascii="宋体" w:hAnsi="宋体" w:cs="宋体"/>
                <w:color w:val="auto"/>
                <w:kern w:val="0"/>
                <w:szCs w:val="21"/>
                <w:highlight w:val="none"/>
                <w:lang w:val="en-US" w:eastAsia="zh-CN"/>
              </w:rPr>
              <w:t>提供近半年内（递交响应文件截止时间前）任意一个月依法缴纳税收和社会保障资金良好记录的证明文件，依法免税的提供相关证明材料</w:t>
            </w:r>
            <w:r>
              <w:rPr>
                <w:rFonts w:hint="eastAsia" w:ascii="宋体" w:hAnsi="宋体" w:cs="宋体"/>
                <w:kern w:val="0"/>
                <w:szCs w:val="21"/>
                <w:highlight w:val="none"/>
                <w:lang w:bidi="ar"/>
              </w:rPr>
              <w:t>，</w:t>
            </w:r>
            <w:r>
              <w:rPr>
                <w:rFonts w:hint="eastAsia" w:ascii="宋体" w:hAnsi="宋体"/>
                <w:b/>
                <w:bCs/>
                <w:kern w:val="0"/>
                <w:highlight w:val="none"/>
                <w:lang w:val="en-US" w:eastAsia="zh-CN"/>
              </w:rPr>
              <w:t>响应文件</w:t>
            </w:r>
            <w:r>
              <w:rPr>
                <w:rFonts w:hint="eastAsia" w:ascii="宋体" w:hAnsi="宋体"/>
                <w:b/>
                <w:bCs/>
                <w:kern w:val="0"/>
                <w:highlight w:val="none"/>
              </w:rPr>
              <w:t>内</w:t>
            </w:r>
            <w:r>
              <w:rPr>
                <w:rFonts w:hint="eastAsia" w:ascii="宋体" w:hAnsi="宋体"/>
                <w:b/>
                <w:bCs/>
                <w:kern w:val="0"/>
                <w:highlight w:val="none"/>
                <w:lang w:val="en-US" w:eastAsia="zh-CN"/>
              </w:rPr>
              <w:t>附</w:t>
            </w:r>
            <w:r>
              <w:rPr>
                <w:rFonts w:hint="eastAsia" w:ascii="宋体" w:hAnsi="宋体" w:cs="宋体"/>
                <w:b/>
                <w:bCs/>
                <w:kern w:val="0"/>
                <w:szCs w:val="21"/>
                <w:highlight w:val="none"/>
                <w:lang w:bidi="ar"/>
              </w:rPr>
              <w:t>复印件加盖公章</w:t>
            </w:r>
            <w:r>
              <w:rPr>
                <w:rFonts w:hint="eastAsia" w:ascii="宋体" w:hAnsi="宋体"/>
                <w:b/>
                <w:bCs/>
                <w:kern w:val="0"/>
                <w:highlight w:val="none"/>
              </w:rPr>
              <w:t>。</w:t>
            </w:r>
          </w:p>
        </w:tc>
      </w:tr>
      <w:tr w14:paraId="6183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3" w:type="dxa"/>
            <w:noWrap/>
            <w:vAlign w:val="center"/>
          </w:tcPr>
          <w:p w14:paraId="3BDF2C90">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6</w:t>
            </w:r>
          </w:p>
        </w:tc>
        <w:tc>
          <w:tcPr>
            <w:tcW w:w="1369" w:type="dxa"/>
            <w:noWrap/>
            <w:vAlign w:val="center"/>
          </w:tcPr>
          <w:p w14:paraId="3ED824B7">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eastAsia="宋体" w:cs="宋体"/>
                <w:sz w:val="21"/>
                <w:szCs w:val="21"/>
                <w:highlight w:val="none"/>
                <w:lang w:eastAsia="zh-CN"/>
              </w:rPr>
              <w:t>基本资质</w:t>
            </w:r>
          </w:p>
        </w:tc>
        <w:tc>
          <w:tcPr>
            <w:tcW w:w="1517" w:type="dxa"/>
            <w:noWrap/>
            <w:vAlign w:val="center"/>
          </w:tcPr>
          <w:p w14:paraId="53B39529">
            <w:pPr>
              <w:autoSpaceDE w:val="0"/>
              <w:autoSpaceDN w:val="0"/>
              <w:adjustRightInd w:val="0"/>
              <w:snapToGrid w:val="0"/>
              <w:spacing w:line="264" w:lineRule="auto"/>
              <w:jc w:val="center"/>
              <w:rPr>
                <w:rFonts w:ascii="宋体" w:hAnsi="宋体" w:eastAsia="宋体" w:cs="宋体"/>
                <w:bCs/>
                <w:kern w:val="2"/>
                <w:sz w:val="21"/>
                <w:szCs w:val="21"/>
                <w:highlight w:val="none"/>
                <w:lang w:val="en-US" w:eastAsia="zh-CN" w:bidi="ar-SA"/>
              </w:rPr>
            </w:pPr>
            <w:r>
              <w:rPr>
                <w:rFonts w:hint="eastAsia" w:ascii="宋体" w:hAnsi="宋体" w:cs="宋体"/>
                <w:bCs/>
                <w:szCs w:val="21"/>
                <w:highlight w:val="none"/>
              </w:rPr>
              <w:t>具有履行合同所必需的设备和专业技术能力</w:t>
            </w:r>
          </w:p>
        </w:tc>
        <w:tc>
          <w:tcPr>
            <w:tcW w:w="6782" w:type="dxa"/>
            <w:noWrap/>
            <w:vAlign w:val="center"/>
          </w:tcPr>
          <w:p w14:paraId="6AB5AEA2">
            <w:pPr>
              <w:autoSpaceDE w:val="0"/>
              <w:autoSpaceDN w:val="0"/>
              <w:adjustRightInd w:val="0"/>
              <w:snapToGrid w:val="0"/>
              <w:spacing w:line="264" w:lineRule="auto"/>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提供可充分满足履行合同所需设备和专业技术能力的证明。</w:t>
            </w:r>
            <w:r>
              <w:rPr>
                <w:rFonts w:hint="eastAsia" w:ascii="宋体" w:hAnsi="宋体" w:eastAsia="宋体" w:cs="宋体"/>
                <w:b/>
                <w:bCs w:val="0"/>
                <w:kern w:val="2"/>
                <w:sz w:val="21"/>
                <w:szCs w:val="21"/>
                <w:highlight w:val="none"/>
                <w:lang w:val="en-US" w:eastAsia="zh-CN" w:bidi="ar-SA"/>
              </w:rPr>
              <w:t>响应文件内提供由法定代表人或其委托代理人签字并加盖公章的承诺书。</w:t>
            </w:r>
          </w:p>
        </w:tc>
      </w:tr>
      <w:tr w14:paraId="1971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noWrap/>
            <w:vAlign w:val="center"/>
          </w:tcPr>
          <w:p w14:paraId="0F40DBF1">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7</w:t>
            </w:r>
          </w:p>
        </w:tc>
        <w:tc>
          <w:tcPr>
            <w:tcW w:w="1369" w:type="dxa"/>
            <w:noWrap/>
            <w:vAlign w:val="center"/>
          </w:tcPr>
          <w:p w14:paraId="166A792F">
            <w:pPr>
              <w:adjustRightInd w:val="0"/>
              <w:snapToGrid w:val="0"/>
              <w:spacing w:line="240" w:lineRule="auto"/>
              <w:jc w:val="center"/>
              <w:rPr>
                <w:rFonts w:hint="eastAsia" w:ascii="宋体" w:hAnsi="宋体" w:cs="宋体"/>
                <w:szCs w:val="21"/>
                <w:highlight w:val="none"/>
              </w:rPr>
            </w:pPr>
            <w:r>
              <w:rPr>
                <w:rFonts w:hint="eastAsia" w:ascii="宋体" w:hAnsi="宋体" w:eastAsia="宋体" w:cs="宋体"/>
                <w:sz w:val="21"/>
                <w:szCs w:val="21"/>
                <w:highlight w:val="none"/>
                <w:lang w:eastAsia="zh-CN"/>
              </w:rPr>
              <w:t>基本资质</w:t>
            </w:r>
          </w:p>
        </w:tc>
        <w:tc>
          <w:tcPr>
            <w:tcW w:w="1517" w:type="dxa"/>
            <w:noWrap/>
            <w:vAlign w:val="center"/>
          </w:tcPr>
          <w:p w14:paraId="18A4AC21">
            <w:pPr>
              <w:adjustRightInd w:val="0"/>
              <w:snapToGrid w:val="0"/>
              <w:spacing w:line="240" w:lineRule="auto"/>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信誉要求</w:t>
            </w:r>
          </w:p>
        </w:tc>
        <w:tc>
          <w:tcPr>
            <w:tcW w:w="6782" w:type="dxa"/>
            <w:noWrap/>
            <w:vAlign w:val="center"/>
          </w:tcPr>
          <w:p w14:paraId="5F3E15D4">
            <w:pPr>
              <w:adjustRightInd w:val="0"/>
              <w:snapToGrid w:val="0"/>
              <w:spacing w:line="240" w:lineRule="auto"/>
              <w:rPr>
                <w:rFonts w:hint="eastAsia" w:ascii="宋体" w:hAnsi="宋体"/>
                <w:b w:val="0"/>
                <w:bCs w:val="0"/>
                <w:kern w:val="0"/>
                <w:highlight w:val="none"/>
                <w:lang w:val="en-US" w:eastAsia="zh-CN"/>
              </w:rPr>
            </w:pPr>
            <w:r>
              <w:rPr>
                <w:rFonts w:hint="eastAsia" w:ascii="宋体" w:hAnsi="宋体"/>
                <w:b w:val="0"/>
                <w:bCs w:val="0"/>
                <w:kern w:val="0"/>
                <w:highlight w:val="none"/>
                <w:lang w:val="en-US" w:eastAsia="zh-CN"/>
              </w:rPr>
              <w:t>①拒绝列入政府取消投标资格记录期间的企业或个人投标；</w:t>
            </w:r>
          </w:p>
          <w:p w14:paraId="727399E1">
            <w:pPr>
              <w:adjustRightInd w:val="0"/>
              <w:snapToGrid w:val="0"/>
              <w:spacing w:line="240" w:lineRule="auto"/>
              <w:rPr>
                <w:rFonts w:hint="eastAsia" w:ascii="宋体" w:hAnsi="宋体"/>
                <w:b w:val="0"/>
                <w:bCs w:val="0"/>
                <w:kern w:val="0"/>
                <w:highlight w:val="none"/>
                <w:lang w:val="en-US" w:eastAsia="zh-CN"/>
              </w:rPr>
            </w:pPr>
            <w:r>
              <w:rPr>
                <w:rFonts w:hint="eastAsia" w:ascii="宋体" w:hAnsi="宋体"/>
                <w:b w:val="0"/>
                <w:bCs w:val="0"/>
                <w:kern w:val="0"/>
                <w:highlight w:val="none"/>
                <w:lang w:val="en-US" w:eastAsia="zh-CN"/>
              </w:rPr>
              <w:t>②未被“中国政府采购网”列入政府采购严重违法失信行为记录名单；</w:t>
            </w:r>
          </w:p>
          <w:p w14:paraId="1A67035F">
            <w:pPr>
              <w:adjustRightInd w:val="0"/>
              <w:snapToGrid w:val="0"/>
              <w:spacing w:line="240" w:lineRule="auto"/>
              <w:rPr>
                <w:rFonts w:hint="eastAsia" w:ascii="宋体" w:hAnsi="宋体"/>
                <w:b w:val="0"/>
                <w:bCs w:val="0"/>
                <w:kern w:val="0"/>
                <w:highlight w:val="none"/>
                <w:lang w:val="en-US" w:eastAsia="zh-CN"/>
              </w:rPr>
            </w:pPr>
            <w:r>
              <w:rPr>
                <w:rFonts w:hint="eastAsia" w:ascii="宋体" w:hAnsi="宋体"/>
                <w:b w:val="0"/>
                <w:bCs w:val="0"/>
                <w:kern w:val="0"/>
                <w:highlight w:val="none"/>
                <w:lang w:val="en-US" w:eastAsia="zh-CN"/>
              </w:rPr>
              <w:t>③未被“信用中国”网站中列入失信被执行人或重大税收违法失信主体或政府采购严重违法失信行为记录名单；</w:t>
            </w:r>
          </w:p>
          <w:p w14:paraId="05EA60E0">
            <w:pPr>
              <w:adjustRightInd w:val="0"/>
              <w:snapToGrid w:val="0"/>
              <w:spacing w:line="240" w:lineRule="auto"/>
              <w:rPr>
                <w:rFonts w:hint="eastAsia" w:ascii="宋体" w:hAnsi="宋体"/>
                <w:b w:val="0"/>
                <w:bCs w:val="0"/>
                <w:kern w:val="0"/>
                <w:highlight w:val="none"/>
                <w:lang w:val="en-US" w:eastAsia="zh-CN"/>
              </w:rPr>
            </w:pPr>
            <w:r>
              <w:rPr>
                <w:rFonts w:hint="eastAsia" w:ascii="宋体" w:hAnsi="宋体"/>
                <w:b w:val="0"/>
                <w:bCs w:val="0"/>
                <w:kern w:val="0"/>
                <w:highlight w:val="none"/>
                <w:lang w:val="en-US" w:eastAsia="zh-CN"/>
              </w:rPr>
              <w:t>④近三年(2022年至今）投标人或其法定代表人、拟委任的项目经理未在“中国裁判文书网”上有行贿犯罪行为；</w:t>
            </w:r>
          </w:p>
          <w:p w14:paraId="3E886A1E">
            <w:pPr>
              <w:adjustRightInd w:val="0"/>
              <w:snapToGrid w:val="0"/>
              <w:spacing w:line="240" w:lineRule="auto"/>
              <w:rPr>
                <w:rFonts w:hint="eastAsia" w:ascii="宋体" w:hAnsi="宋体"/>
                <w:b w:val="0"/>
                <w:bCs w:val="0"/>
                <w:kern w:val="0"/>
                <w:highlight w:val="none"/>
                <w:lang w:val="en-US" w:eastAsia="zh-CN"/>
              </w:rPr>
            </w:pPr>
            <w:r>
              <w:rPr>
                <w:rFonts w:hint="eastAsia" w:ascii="宋体" w:hAnsi="宋体"/>
                <w:b w:val="0"/>
                <w:bCs w:val="0"/>
                <w:kern w:val="0"/>
                <w:highlight w:val="none"/>
                <w:lang w:val="en-US" w:eastAsia="zh-CN"/>
              </w:rPr>
              <w:t>⑤参加政府采购活动前三年内，在经营活动中没有重大违法记录（重大违法记录是指供应商因违法经营受到刑事处罚或者责令停产停业、吊销许可证或者执照、较大数额罚款等行政处罚）；</w:t>
            </w:r>
          </w:p>
          <w:p w14:paraId="1CB06CF1">
            <w:pPr>
              <w:adjustRightInd w:val="0"/>
              <w:snapToGrid w:val="0"/>
              <w:spacing w:line="240" w:lineRule="auto"/>
              <w:rPr>
                <w:rFonts w:hint="default" w:ascii="宋体" w:hAnsi="宋体" w:eastAsia="宋体" w:cs="宋体"/>
                <w:kern w:val="2"/>
                <w:sz w:val="21"/>
                <w:szCs w:val="21"/>
                <w:highlight w:val="none"/>
                <w:lang w:val="en-US" w:eastAsia="zh-CN" w:bidi="ar-SA"/>
              </w:rPr>
            </w:pPr>
            <w:r>
              <w:rPr>
                <w:rFonts w:hint="eastAsia" w:ascii="宋体" w:hAnsi="宋体"/>
                <w:b/>
                <w:bCs/>
                <w:kern w:val="0"/>
                <w:highlight w:val="none"/>
                <w:lang w:val="en-US" w:eastAsia="zh-CN"/>
              </w:rPr>
              <w:t>上述内容响应文件内提供由法定代表人或其委托代理人签字并加盖公章的承诺书。</w:t>
            </w:r>
          </w:p>
        </w:tc>
      </w:tr>
      <w:tr w14:paraId="084C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noWrap/>
            <w:vAlign w:val="center"/>
          </w:tcPr>
          <w:p w14:paraId="781E8EEC">
            <w:pPr>
              <w:adjustRightInd w:val="0"/>
              <w:snapToGrid w:val="0"/>
              <w:spacing w:line="264"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1369" w:type="dxa"/>
            <w:noWrap/>
            <w:vAlign w:val="center"/>
          </w:tcPr>
          <w:p w14:paraId="7B31376E">
            <w:pPr>
              <w:adjustRightInd w:val="0"/>
              <w:snapToGrid w:val="0"/>
              <w:jc w:val="center"/>
              <w:rPr>
                <w:rFonts w:hint="eastAsia" w:ascii="宋体" w:hAnsi="宋体" w:cs="宋体"/>
                <w:highlight w:val="none"/>
              </w:rPr>
            </w:pPr>
            <w:r>
              <w:rPr>
                <w:rFonts w:hint="eastAsia" w:ascii="宋体" w:hAnsi="宋体" w:eastAsia="宋体" w:cs="宋体"/>
                <w:sz w:val="21"/>
                <w:szCs w:val="21"/>
                <w:highlight w:val="none"/>
                <w:lang w:eastAsia="zh-CN"/>
              </w:rPr>
              <w:t>基本资质</w:t>
            </w:r>
          </w:p>
        </w:tc>
        <w:tc>
          <w:tcPr>
            <w:tcW w:w="1517" w:type="dxa"/>
            <w:noWrap/>
            <w:vAlign w:val="center"/>
          </w:tcPr>
          <w:p w14:paraId="25F85494">
            <w:pPr>
              <w:adjustRightInd w:val="0"/>
              <w:snapToGrid w:val="0"/>
              <w:jc w:val="center"/>
              <w:rPr>
                <w:rFonts w:ascii="宋体" w:hAnsi="宋体" w:cs="宋体"/>
                <w:highlight w:val="none"/>
              </w:rPr>
            </w:pPr>
            <w:r>
              <w:rPr>
                <w:rFonts w:hint="eastAsia" w:ascii="宋体" w:hAnsi="宋体" w:cs="宋体"/>
                <w:highlight w:val="none"/>
              </w:rPr>
              <w:t>联合体投标</w:t>
            </w:r>
          </w:p>
        </w:tc>
        <w:tc>
          <w:tcPr>
            <w:tcW w:w="6782" w:type="dxa"/>
            <w:noWrap/>
            <w:vAlign w:val="center"/>
          </w:tcPr>
          <w:p w14:paraId="65F14CB5">
            <w:pPr>
              <w:adjustRightInd w:val="0"/>
              <w:snapToGrid w:val="0"/>
              <w:rPr>
                <w:rFonts w:ascii="宋体" w:hAnsi="宋体" w:cs="宋体"/>
                <w:b/>
                <w:kern w:val="0"/>
                <w:szCs w:val="21"/>
                <w:highlight w:val="none"/>
              </w:rPr>
            </w:pPr>
            <w:r>
              <w:rPr>
                <w:rFonts w:hint="eastAsia" w:ascii="宋体" w:hAnsi="宋体" w:cs="宋体"/>
                <w:bCs/>
                <w:kern w:val="0"/>
                <w:szCs w:val="21"/>
                <w:highlight w:val="none"/>
              </w:rPr>
              <w:t>本项目不接受联合体投标</w:t>
            </w:r>
          </w:p>
        </w:tc>
      </w:tr>
      <w:tr w14:paraId="7E46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noWrap/>
            <w:vAlign w:val="center"/>
          </w:tcPr>
          <w:p w14:paraId="01BBB587">
            <w:pPr>
              <w:adjustRightInd w:val="0"/>
              <w:snapToGrid w:val="0"/>
              <w:spacing w:line="264"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9</w:t>
            </w:r>
          </w:p>
        </w:tc>
        <w:tc>
          <w:tcPr>
            <w:tcW w:w="1369" w:type="dxa"/>
            <w:noWrap/>
            <w:vAlign w:val="center"/>
          </w:tcPr>
          <w:p w14:paraId="0B7C4539">
            <w:pPr>
              <w:adjustRightInd w:val="0"/>
              <w:snapToGrid w:val="0"/>
              <w:jc w:val="center"/>
              <w:rPr>
                <w:rFonts w:hint="eastAsia" w:ascii="宋体" w:hAnsi="宋体" w:cs="宋体"/>
                <w:kern w:val="2"/>
                <w:sz w:val="21"/>
                <w:highlight w:val="none"/>
                <w:lang w:val="en-US" w:eastAsia="zh-CN" w:bidi="ar-SA"/>
              </w:rPr>
            </w:pPr>
            <w:r>
              <w:rPr>
                <w:rFonts w:hint="eastAsia" w:ascii="宋体" w:hAnsi="宋体" w:eastAsia="宋体" w:cs="宋体"/>
                <w:sz w:val="21"/>
                <w:szCs w:val="21"/>
                <w:highlight w:val="none"/>
                <w:lang w:eastAsia="zh-CN"/>
              </w:rPr>
              <w:t>基本资质</w:t>
            </w:r>
          </w:p>
        </w:tc>
        <w:tc>
          <w:tcPr>
            <w:tcW w:w="1517" w:type="dxa"/>
            <w:noWrap/>
            <w:vAlign w:val="center"/>
          </w:tcPr>
          <w:p w14:paraId="4ED2185F">
            <w:pPr>
              <w:adjustRightInd w:val="0"/>
              <w:snapToGrid w:val="0"/>
              <w:jc w:val="center"/>
              <w:rPr>
                <w:rFonts w:hint="eastAsia" w:ascii="宋体" w:hAnsi="宋体" w:cs="宋体"/>
                <w:highlight w:val="none"/>
              </w:rPr>
            </w:pPr>
            <w:r>
              <w:rPr>
                <w:rFonts w:hint="eastAsia" w:ascii="宋体" w:hAnsi="宋体" w:cs="宋体"/>
                <w:kern w:val="2"/>
                <w:sz w:val="21"/>
                <w:highlight w:val="none"/>
                <w:lang w:val="en-US" w:eastAsia="zh-CN" w:bidi="ar-SA"/>
              </w:rPr>
              <w:t>分包</w:t>
            </w:r>
          </w:p>
        </w:tc>
        <w:tc>
          <w:tcPr>
            <w:tcW w:w="6782" w:type="dxa"/>
            <w:noWrap/>
            <w:vAlign w:val="center"/>
          </w:tcPr>
          <w:p w14:paraId="1841A775">
            <w:pPr>
              <w:adjustRightInd w:val="0"/>
              <w:snapToGrid w:val="0"/>
              <w:rPr>
                <w:rFonts w:hint="eastAsia" w:ascii="宋体" w:hAnsi="宋体" w:cs="宋体"/>
                <w:bCs/>
                <w:kern w:val="0"/>
                <w:szCs w:val="21"/>
                <w:highlight w:val="none"/>
              </w:rPr>
            </w:pPr>
            <w:r>
              <w:rPr>
                <w:rFonts w:hint="eastAsia" w:ascii="宋体" w:hAnsi="宋体" w:eastAsia="宋体" w:cs="宋体"/>
                <w:color w:val="auto"/>
                <w:kern w:val="0"/>
                <w:szCs w:val="21"/>
                <w:highlight w:val="none"/>
              </w:rPr>
              <w:t>本项目不允许分包</w:t>
            </w:r>
          </w:p>
        </w:tc>
      </w:tr>
      <w:tr w14:paraId="632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3" w:type="dxa"/>
            <w:shd w:val="clear" w:color="auto" w:fill="auto"/>
            <w:noWrap/>
            <w:vAlign w:val="center"/>
          </w:tcPr>
          <w:p w14:paraId="4EF2CD15">
            <w:pPr>
              <w:adjustRightInd w:val="0"/>
              <w:snapToGrid w:val="0"/>
              <w:spacing w:line="264"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w:t>
            </w:r>
          </w:p>
        </w:tc>
        <w:tc>
          <w:tcPr>
            <w:tcW w:w="1369" w:type="dxa"/>
            <w:noWrap/>
            <w:vAlign w:val="center"/>
          </w:tcPr>
          <w:p w14:paraId="33CE2119">
            <w:pPr>
              <w:adjustRightInd w:val="0"/>
              <w:snapToGrid w:val="0"/>
              <w:jc w:val="center"/>
              <w:rPr>
                <w:rFonts w:hint="eastAsia" w:ascii="宋体" w:hAnsi="宋体" w:cs="宋体"/>
                <w:highlight w:val="none"/>
              </w:rPr>
            </w:pPr>
            <w:r>
              <w:rPr>
                <w:rFonts w:hint="eastAsia" w:ascii="宋体" w:hAnsi="宋体" w:eastAsia="宋体" w:cs="宋体"/>
                <w:sz w:val="21"/>
                <w:szCs w:val="21"/>
                <w:highlight w:val="none"/>
                <w:lang w:eastAsia="zh-CN"/>
              </w:rPr>
              <w:t>基本资质</w:t>
            </w:r>
          </w:p>
        </w:tc>
        <w:tc>
          <w:tcPr>
            <w:tcW w:w="1517" w:type="dxa"/>
            <w:noWrap/>
            <w:vAlign w:val="center"/>
          </w:tcPr>
          <w:p w14:paraId="078E8164">
            <w:pPr>
              <w:adjustRightInd w:val="0"/>
              <w:snapToGrid w:val="0"/>
              <w:jc w:val="center"/>
              <w:rPr>
                <w:rFonts w:ascii="宋体" w:hAnsi="宋体" w:cs="宋体"/>
                <w:highlight w:val="none"/>
              </w:rPr>
            </w:pPr>
            <w:r>
              <w:rPr>
                <w:rFonts w:hint="eastAsia" w:ascii="宋体" w:hAnsi="宋体" w:cs="宋体"/>
                <w:highlight w:val="none"/>
              </w:rPr>
              <w:t>其他要求</w:t>
            </w:r>
          </w:p>
        </w:tc>
        <w:tc>
          <w:tcPr>
            <w:tcW w:w="6782" w:type="dxa"/>
            <w:noWrap/>
            <w:vAlign w:val="center"/>
          </w:tcPr>
          <w:p w14:paraId="1B65D1DD">
            <w:pPr>
              <w:adjustRightInd w:val="0"/>
              <w:snapToGrid w:val="0"/>
              <w:rPr>
                <w:rFonts w:hint="eastAsia" w:ascii="宋体" w:hAnsi="宋体" w:cs="宋体"/>
                <w:kern w:val="0"/>
                <w:szCs w:val="21"/>
                <w:highlight w:val="none"/>
                <w:lang w:eastAsia="zh-CN" w:bidi="ar"/>
              </w:rPr>
            </w:pPr>
            <w:r>
              <w:rPr>
                <w:rFonts w:hint="eastAsia" w:ascii="宋体" w:hAnsi="宋体"/>
                <w:b w:val="0"/>
                <w:bCs w:val="0"/>
                <w:kern w:val="0"/>
                <w:highlight w:val="none"/>
                <w:lang w:val="en-US" w:eastAsia="zh-CN"/>
              </w:rPr>
              <w:t>①</w:t>
            </w:r>
            <w:r>
              <w:rPr>
                <w:rFonts w:hint="eastAsia" w:ascii="宋体" w:hAnsi="宋体" w:cs="宋体"/>
                <w:kern w:val="0"/>
                <w:szCs w:val="21"/>
                <w:highlight w:val="none"/>
                <w:lang w:bidi="ar"/>
              </w:rPr>
              <w:t>单位负责人为同一人或者存在直接控股、管理关系的不同供应商，不得参加同一合同项下的政府采购活动。违反上述规定的，相关投标无效</w:t>
            </w:r>
            <w:r>
              <w:rPr>
                <w:rFonts w:hint="eastAsia" w:ascii="宋体" w:hAnsi="宋体" w:cs="宋体"/>
                <w:kern w:val="0"/>
                <w:szCs w:val="21"/>
                <w:highlight w:val="none"/>
                <w:lang w:eastAsia="zh-CN" w:bidi="ar"/>
              </w:rPr>
              <w:t>；</w:t>
            </w:r>
          </w:p>
          <w:p w14:paraId="24CFEB84">
            <w:pPr>
              <w:adjustRightInd w:val="0"/>
              <w:snapToGrid w:val="0"/>
              <w:rPr>
                <w:rFonts w:hint="eastAsia" w:ascii="宋体" w:hAnsi="宋体"/>
                <w:b w:val="0"/>
                <w:bCs w:val="0"/>
                <w:kern w:val="0"/>
                <w:highlight w:val="none"/>
                <w:lang w:val="en-US" w:eastAsia="zh-CN"/>
              </w:rPr>
            </w:pPr>
            <w:r>
              <w:rPr>
                <w:rFonts w:hint="eastAsia" w:ascii="宋体" w:hAnsi="宋体"/>
                <w:b w:val="0"/>
                <w:bCs w:val="0"/>
                <w:kern w:val="0"/>
                <w:highlight w:val="none"/>
                <w:lang w:val="en-US" w:eastAsia="zh-CN"/>
              </w:rPr>
              <w:t>②除单一来源采购项目外，为采购项目提供整体设计、规范编制或者项目管理、监理、检测等服务的供应商，不得再参加该采购项目的其他采购活动。</w:t>
            </w:r>
          </w:p>
          <w:p w14:paraId="41935616">
            <w:pPr>
              <w:adjustRightInd w:val="0"/>
              <w:snapToGrid w:val="0"/>
              <w:rPr>
                <w:rFonts w:hint="eastAsia" w:ascii="宋体" w:hAnsi="宋体" w:eastAsia="宋体" w:cs="宋体"/>
                <w:bCs/>
                <w:kern w:val="0"/>
                <w:szCs w:val="21"/>
                <w:highlight w:val="none"/>
                <w:lang w:eastAsia="zh-CN"/>
              </w:rPr>
            </w:pPr>
            <w:r>
              <w:rPr>
                <w:rFonts w:hint="eastAsia" w:ascii="宋体" w:hAnsi="宋体" w:cs="宋体"/>
                <w:b/>
                <w:bCs w:val="0"/>
                <w:kern w:val="0"/>
                <w:szCs w:val="21"/>
                <w:highlight w:val="none"/>
                <w:lang w:val="en-US" w:eastAsia="zh-CN"/>
              </w:rPr>
              <w:t>上述内容</w:t>
            </w:r>
            <w:r>
              <w:rPr>
                <w:rFonts w:hint="eastAsia" w:ascii="宋体" w:hAnsi="宋体" w:cs="宋体"/>
                <w:b/>
                <w:bCs w:val="0"/>
                <w:kern w:val="0"/>
                <w:szCs w:val="21"/>
                <w:highlight w:val="none"/>
              </w:rPr>
              <w:t>响应文件内提供由法定代表人签字及盖章并加盖公章的承诺书</w:t>
            </w:r>
            <w:r>
              <w:rPr>
                <w:rFonts w:hint="eastAsia" w:ascii="宋体" w:hAnsi="宋体" w:cs="宋体"/>
                <w:b/>
                <w:bCs w:val="0"/>
                <w:kern w:val="0"/>
                <w:szCs w:val="21"/>
                <w:highlight w:val="none"/>
                <w:lang w:eastAsia="zh-CN"/>
              </w:rPr>
              <w:t>。</w:t>
            </w:r>
          </w:p>
        </w:tc>
      </w:tr>
      <w:tr w14:paraId="6E14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shd w:val="clear" w:color="auto" w:fill="auto"/>
            <w:noWrap/>
            <w:vAlign w:val="center"/>
          </w:tcPr>
          <w:p w14:paraId="18AA50A8">
            <w:pPr>
              <w:adjustRightInd w:val="0"/>
              <w:snapToGrid w:val="0"/>
              <w:spacing w:line="264"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w:t>
            </w:r>
          </w:p>
        </w:tc>
        <w:tc>
          <w:tcPr>
            <w:tcW w:w="1369" w:type="dxa"/>
            <w:noWrap/>
            <w:vAlign w:val="center"/>
          </w:tcPr>
          <w:p w14:paraId="2F43800A">
            <w:pPr>
              <w:adjustRightInd w:val="0"/>
              <w:snapToGrid w:val="0"/>
              <w:spacing w:line="264" w:lineRule="auto"/>
              <w:jc w:val="center"/>
              <w:rPr>
                <w:rFonts w:hint="eastAsia" w:ascii="宋体" w:hAnsi="宋体" w:cs="宋体"/>
                <w:szCs w:val="21"/>
                <w:highlight w:val="none"/>
              </w:rPr>
            </w:pPr>
            <w:r>
              <w:rPr>
                <w:rFonts w:hint="eastAsia" w:ascii="宋体" w:hAnsi="宋体" w:eastAsia="宋体" w:cs="宋体"/>
                <w:sz w:val="21"/>
                <w:szCs w:val="21"/>
                <w:highlight w:val="none"/>
                <w:lang w:eastAsia="zh-CN"/>
              </w:rPr>
              <w:t>基本资质</w:t>
            </w:r>
          </w:p>
        </w:tc>
        <w:tc>
          <w:tcPr>
            <w:tcW w:w="1517" w:type="dxa"/>
            <w:noWrap/>
            <w:vAlign w:val="center"/>
          </w:tcPr>
          <w:p w14:paraId="6ADDBA61">
            <w:pPr>
              <w:adjustRightInd w:val="0"/>
              <w:snapToGrid w:val="0"/>
              <w:spacing w:line="264" w:lineRule="auto"/>
              <w:jc w:val="center"/>
              <w:rPr>
                <w:rFonts w:ascii="宋体" w:hAnsi="宋体" w:cs="宋体"/>
                <w:bCs/>
                <w:szCs w:val="21"/>
                <w:highlight w:val="none"/>
              </w:rPr>
            </w:pPr>
            <w:r>
              <w:rPr>
                <w:rFonts w:hint="eastAsia" w:ascii="宋体" w:hAnsi="宋体" w:cs="宋体"/>
                <w:szCs w:val="21"/>
                <w:highlight w:val="none"/>
              </w:rPr>
              <w:t>法律、行政法规规定的其他条件</w:t>
            </w:r>
          </w:p>
        </w:tc>
        <w:tc>
          <w:tcPr>
            <w:tcW w:w="6782" w:type="dxa"/>
            <w:noWrap/>
            <w:vAlign w:val="center"/>
          </w:tcPr>
          <w:p w14:paraId="7D4FA715">
            <w:pPr>
              <w:adjustRightInd w:val="0"/>
              <w:snapToGrid w:val="0"/>
              <w:spacing w:line="264" w:lineRule="auto"/>
              <w:rPr>
                <w:rFonts w:ascii="宋体" w:hAnsi="宋体" w:cs="宋体"/>
                <w:bCs/>
                <w:szCs w:val="21"/>
                <w:highlight w:val="none"/>
              </w:rPr>
            </w:pPr>
            <w:r>
              <w:rPr>
                <w:rFonts w:hint="eastAsia" w:ascii="宋体" w:hAnsi="宋体" w:cs="宋体"/>
                <w:szCs w:val="21"/>
                <w:highlight w:val="none"/>
              </w:rPr>
              <w:t>不存在违反法律、法规的情况</w:t>
            </w:r>
          </w:p>
        </w:tc>
      </w:tr>
      <w:tr w14:paraId="5671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noWrap/>
            <w:vAlign w:val="center"/>
          </w:tcPr>
          <w:p w14:paraId="7BDA5E78">
            <w:pPr>
              <w:adjustRightInd w:val="0"/>
              <w:snapToGrid w:val="0"/>
              <w:spacing w:line="264"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12</w:t>
            </w:r>
          </w:p>
        </w:tc>
        <w:tc>
          <w:tcPr>
            <w:tcW w:w="1369" w:type="dxa"/>
            <w:noWrap/>
            <w:vAlign w:val="center"/>
          </w:tcPr>
          <w:p w14:paraId="15F117E7">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0"/>
                <w:szCs w:val="21"/>
                <w:highlight w:val="none"/>
                <w:lang w:val="en-US" w:eastAsia="zh-CN" w:bidi="ar"/>
              </w:rPr>
            </w:pPr>
            <w:r>
              <w:rPr>
                <w:rFonts w:hint="eastAsia" w:ascii="宋体" w:hAnsi="宋体" w:cs="宋体"/>
                <w:sz w:val="21"/>
                <w:szCs w:val="21"/>
                <w:highlight w:val="none"/>
                <w:lang w:val="en-US" w:eastAsia="zh-CN"/>
              </w:rPr>
              <w:t>采购政策</w:t>
            </w:r>
          </w:p>
        </w:tc>
        <w:tc>
          <w:tcPr>
            <w:tcW w:w="1517" w:type="dxa"/>
            <w:noWrap/>
            <w:vAlign w:val="center"/>
          </w:tcPr>
          <w:p w14:paraId="281910E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0"/>
                <w:szCs w:val="21"/>
                <w:highlight w:val="none"/>
                <w:lang w:val="en-US" w:eastAsia="zh-CN" w:bidi="ar"/>
              </w:rPr>
              <w:t>落实政府采购政策需满足的资格要求</w:t>
            </w:r>
          </w:p>
        </w:tc>
        <w:tc>
          <w:tcPr>
            <w:tcW w:w="6782" w:type="dxa"/>
            <w:noWrap/>
            <w:vAlign w:val="center"/>
          </w:tcPr>
          <w:p w14:paraId="09AEE793">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i w:val="0"/>
                <w:iCs w:val="0"/>
                <w:color w:val="auto"/>
                <w:spacing w:val="6"/>
                <w:sz w:val="21"/>
                <w:szCs w:val="21"/>
                <w:highlight w:val="none"/>
                <w:lang w:eastAsia="zh-CN" w:bidi="ar-SA"/>
              </w:rPr>
              <w:t>本项目专门面向中小企业，</w:t>
            </w:r>
            <w:r>
              <w:rPr>
                <w:rFonts w:hint="eastAsia" w:ascii="宋体" w:hAnsi="宋体" w:cs="宋体"/>
                <w:i w:val="0"/>
                <w:iCs w:val="0"/>
                <w:color w:val="auto"/>
                <w:spacing w:val="6"/>
                <w:sz w:val="21"/>
                <w:szCs w:val="21"/>
                <w:highlight w:val="none"/>
                <w:lang w:val="en-US" w:eastAsia="zh-CN" w:bidi="ar-SA"/>
              </w:rPr>
              <w:t>响应文件内提供中小企业声明函并加盖公章</w:t>
            </w:r>
          </w:p>
        </w:tc>
      </w:tr>
    </w:tbl>
    <w:p w14:paraId="06C3BF09">
      <w:pPr>
        <w:rPr>
          <w:rFonts w:ascii="宋体" w:hAnsi="宋体" w:cs="宋体"/>
          <w:b/>
          <w:szCs w:val="21"/>
          <w:highlight w:val="none"/>
        </w:rPr>
      </w:pPr>
      <w:r>
        <w:rPr>
          <w:rFonts w:hint="eastAsia" w:ascii="宋体" w:hAnsi="宋体" w:cs="宋体"/>
          <w:b/>
          <w:szCs w:val="21"/>
          <w:highlight w:val="none"/>
        </w:rPr>
        <w:br w:type="page"/>
      </w:r>
    </w:p>
    <w:p w14:paraId="3BF0D068">
      <w:pPr>
        <w:pStyle w:val="11"/>
        <w:jc w:val="center"/>
        <w:rPr>
          <w:rFonts w:ascii="宋体" w:hAnsi="宋体" w:eastAsia="宋体" w:cs="宋体"/>
          <w:b/>
          <w:kern w:val="2"/>
          <w:sz w:val="28"/>
          <w:szCs w:val="28"/>
          <w:highlight w:val="none"/>
        </w:rPr>
      </w:pPr>
      <w:r>
        <w:rPr>
          <w:rFonts w:hint="eastAsia" w:ascii="宋体" w:hAnsi="宋体" w:eastAsia="宋体" w:cs="宋体"/>
          <w:b/>
          <w:kern w:val="2"/>
          <w:sz w:val="28"/>
          <w:szCs w:val="28"/>
          <w:highlight w:val="none"/>
        </w:rPr>
        <w:t>符合性审查表</w:t>
      </w:r>
    </w:p>
    <w:tbl>
      <w:tblPr>
        <w:tblStyle w:val="31"/>
        <w:tblW w:w="10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206"/>
        <w:gridCol w:w="1937"/>
        <w:gridCol w:w="6759"/>
      </w:tblGrid>
      <w:tr w14:paraId="7A39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3" w:type="dxa"/>
            <w:noWrap/>
            <w:vAlign w:val="center"/>
          </w:tcPr>
          <w:p w14:paraId="40EB612E">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ascii="宋体" w:hAnsi="宋体" w:cs="宋体"/>
                <w:bCs/>
                <w:szCs w:val="21"/>
                <w:highlight w:val="none"/>
              </w:rPr>
            </w:pPr>
            <w:r>
              <w:rPr>
                <w:rFonts w:hint="eastAsia" w:ascii="宋体" w:hAnsi="宋体" w:eastAsia="宋体" w:cs="宋体"/>
                <w:bCs/>
                <w:color w:val="auto"/>
                <w:szCs w:val="21"/>
                <w:lang w:val="en-US" w:eastAsia="zh-CN"/>
              </w:rPr>
              <w:t>序号</w:t>
            </w:r>
          </w:p>
        </w:tc>
        <w:tc>
          <w:tcPr>
            <w:tcW w:w="1206" w:type="dxa"/>
            <w:noWrap/>
            <w:vAlign w:val="center"/>
          </w:tcPr>
          <w:p w14:paraId="663BE60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cs="宋体"/>
                <w:bCs/>
                <w:szCs w:val="21"/>
                <w:highlight w:val="none"/>
                <w:lang w:val="zh-CN"/>
              </w:rPr>
            </w:pPr>
            <w:r>
              <w:rPr>
                <w:rFonts w:hint="eastAsia" w:ascii="宋体" w:hAnsi="宋体" w:cs="宋体"/>
                <w:bCs/>
                <w:color w:val="auto"/>
                <w:szCs w:val="21"/>
                <w:lang w:val="en-US" w:eastAsia="zh-CN"/>
              </w:rPr>
              <w:t>类型</w:t>
            </w:r>
          </w:p>
        </w:tc>
        <w:tc>
          <w:tcPr>
            <w:tcW w:w="1937" w:type="dxa"/>
            <w:noWrap/>
            <w:vAlign w:val="center"/>
          </w:tcPr>
          <w:p w14:paraId="04C109C6">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ascii="宋体" w:hAnsi="宋体" w:cs="宋体"/>
                <w:bCs/>
                <w:szCs w:val="21"/>
                <w:highlight w:val="none"/>
                <w:lang w:val="zh-CN"/>
              </w:rPr>
            </w:pPr>
            <w:r>
              <w:rPr>
                <w:rFonts w:hint="eastAsia" w:ascii="宋体" w:hAnsi="宋体" w:eastAsia="宋体" w:cs="宋体"/>
                <w:bCs/>
                <w:color w:val="auto"/>
                <w:szCs w:val="21"/>
                <w:lang w:val="zh-CN"/>
              </w:rPr>
              <w:t>评审因素</w:t>
            </w:r>
          </w:p>
        </w:tc>
        <w:tc>
          <w:tcPr>
            <w:tcW w:w="6759" w:type="dxa"/>
            <w:noWrap/>
            <w:vAlign w:val="center"/>
          </w:tcPr>
          <w:p w14:paraId="3995A2EF">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ascii="宋体" w:hAnsi="宋体" w:cs="宋体"/>
                <w:bCs/>
                <w:szCs w:val="21"/>
                <w:highlight w:val="none"/>
                <w:lang w:val="zh-CN"/>
              </w:rPr>
            </w:pPr>
            <w:r>
              <w:rPr>
                <w:rFonts w:hint="eastAsia" w:ascii="宋体" w:hAnsi="宋体" w:eastAsia="宋体" w:cs="宋体"/>
                <w:bCs/>
                <w:color w:val="auto"/>
                <w:szCs w:val="21"/>
                <w:lang w:val="zh-CN"/>
              </w:rPr>
              <w:t>评审标准</w:t>
            </w:r>
          </w:p>
        </w:tc>
      </w:tr>
      <w:tr w14:paraId="5064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3" w:type="dxa"/>
            <w:noWrap/>
            <w:vAlign w:val="center"/>
          </w:tcPr>
          <w:p w14:paraId="6D3B71E6">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1</w:t>
            </w:r>
          </w:p>
        </w:tc>
        <w:tc>
          <w:tcPr>
            <w:tcW w:w="1206" w:type="dxa"/>
            <w:noWrap/>
            <w:vAlign w:val="center"/>
          </w:tcPr>
          <w:p w14:paraId="3BD36D4C">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lang w:eastAsia="zh-CN"/>
              </w:rPr>
              <w:t>商务</w:t>
            </w:r>
          </w:p>
        </w:tc>
        <w:tc>
          <w:tcPr>
            <w:tcW w:w="1937" w:type="dxa"/>
            <w:noWrap/>
            <w:vAlign w:val="center"/>
          </w:tcPr>
          <w:p w14:paraId="2AEA333E">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供应商名称</w:t>
            </w:r>
          </w:p>
        </w:tc>
        <w:tc>
          <w:tcPr>
            <w:tcW w:w="6759" w:type="dxa"/>
            <w:noWrap/>
            <w:vAlign w:val="center"/>
          </w:tcPr>
          <w:p w14:paraId="663028F0">
            <w:pPr>
              <w:autoSpaceDE w:val="0"/>
              <w:autoSpaceDN w:val="0"/>
              <w:adjustRightInd w:val="0"/>
              <w:snapToGrid w:val="0"/>
              <w:spacing w:line="264" w:lineRule="auto"/>
              <w:rPr>
                <w:rFonts w:ascii="宋体" w:hAnsi="宋体" w:cs="宋体"/>
                <w:bCs/>
                <w:szCs w:val="21"/>
                <w:highlight w:val="none"/>
                <w:lang w:val="zh-CN"/>
              </w:rPr>
            </w:pPr>
            <w:r>
              <w:rPr>
                <w:rFonts w:hint="eastAsia" w:ascii="宋体" w:hAnsi="宋体" w:cs="宋体"/>
                <w:bCs/>
                <w:szCs w:val="21"/>
                <w:highlight w:val="none"/>
                <w:lang w:val="zh-CN"/>
              </w:rPr>
              <w:t>与磋商文件获取、营业执照、资质证书</w:t>
            </w:r>
            <w:r>
              <w:rPr>
                <w:rFonts w:hint="eastAsia" w:ascii="宋体" w:hAnsi="宋体" w:cs="宋体"/>
                <w:highlight w:val="none"/>
              </w:rPr>
              <w:t>等证明文件</w:t>
            </w:r>
            <w:r>
              <w:rPr>
                <w:rFonts w:hint="eastAsia" w:ascii="宋体" w:hAnsi="宋体" w:cs="宋体"/>
                <w:bCs/>
                <w:szCs w:val="21"/>
                <w:highlight w:val="none"/>
                <w:lang w:val="zh-CN"/>
              </w:rPr>
              <w:t>一致（</w:t>
            </w:r>
            <w:r>
              <w:rPr>
                <w:rFonts w:hint="eastAsia" w:ascii="宋体" w:hAnsi="宋体" w:cs="宋体"/>
                <w:szCs w:val="21"/>
                <w:highlight w:val="none"/>
              </w:rPr>
              <w:t>符合法定工商变更程序除外</w:t>
            </w:r>
            <w:r>
              <w:rPr>
                <w:rFonts w:hint="eastAsia" w:ascii="宋体" w:hAnsi="宋体" w:cs="宋体"/>
                <w:bCs/>
                <w:szCs w:val="21"/>
                <w:highlight w:val="none"/>
                <w:lang w:val="zh-CN"/>
              </w:rPr>
              <w:t>）</w:t>
            </w:r>
          </w:p>
        </w:tc>
      </w:tr>
      <w:tr w14:paraId="338E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3" w:type="dxa"/>
            <w:noWrap/>
            <w:vAlign w:val="center"/>
          </w:tcPr>
          <w:p w14:paraId="1060F6E6">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2</w:t>
            </w:r>
          </w:p>
        </w:tc>
        <w:tc>
          <w:tcPr>
            <w:tcW w:w="1206" w:type="dxa"/>
            <w:noWrap/>
            <w:vAlign w:val="center"/>
          </w:tcPr>
          <w:p w14:paraId="1D0EDC62">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lang w:eastAsia="zh-CN"/>
              </w:rPr>
              <w:t>商务</w:t>
            </w:r>
          </w:p>
        </w:tc>
        <w:tc>
          <w:tcPr>
            <w:tcW w:w="1937" w:type="dxa"/>
            <w:noWrap/>
            <w:vAlign w:val="center"/>
          </w:tcPr>
          <w:p w14:paraId="5646E523">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签字盖章</w:t>
            </w:r>
          </w:p>
        </w:tc>
        <w:tc>
          <w:tcPr>
            <w:tcW w:w="6759" w:type="dxa"/>
            <w:noWrap/>
            <w:vAlign w:val="center"/>
          </w:tcPr>
          <w:p w14:paraId="49B0CB5B">
            <w:pPr>
              <w:autoSpaceDE w:val="0"/>
              <w:autoSpaceDN w:val="0"/>
              <w:adjustRightInd w:val="0"/>
              <w:snapToGrid w:val="0"/>
              <w:spacing w:line="264" w:lineRule="auto"/>
              <w:rPr>
                <w:rFonts w:ascii="宋体" w:hAnsi="宋体" w:cs="宋体"/>
                <w:bCs/>
                <w:szCs w:val="21"/>
                <w:highlight w:val="none"/>
                <w:lang w:val="zh-CN"/>
              </w:rPr>
            </w:pPr>
            <w:r>
              <w:rPr>
                <w:rFonts w:hint="eastAsia" w:ascii="宋体" w:hAnsi="宋体" w:cs="宋体"/>
                <w:bCs/>
                <w:szCs w:val="21"/>
                <w:highlight w:val="none"/>
                <w:lang w:val="zh-CN"/>
              </w:rPr>
              <w:t>符合磋商文件要求</w:t>
            </w:r>
          </w:p>
        </w:tc>
      </w:tr>
      <w:tr w14:paraId="7AA4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23" w:type="dxa"/>
            <w:noWrap/>
            <w:vAlign w:val="center"/>
          </w:tcPr>
          <w:p w14:paraId="583AA607">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3</w:t>
            </w:r>
          </w:p>
        </w:tc>
        <w:tc>
          <w:tcPr>
            <w:tcW w:w="1206" w:type="dxa"/>
            <w:noWrap/>
            <w:vAlign w:val="center"/>
          </w:tcPr>
          <w:p w14:paraId="7FB98E2D">
            <w:pPr>
              <w:autoSpaceDE w:val="0"/>
              <w:autoSpaceDN w:val="0"/>
              <w:adjustRightInd w:val="0"/>
              <w:snapToGrid w:val="0"/>
              <w:spacing w:line="264" w:lineRule="auto"/>
              <w:jc w:val="center"/>
              <w:rPr>
                <w:rFonts w:hint="eastAsia" w:ascii="宋体" w:hAnsi="宋体" w:cs="宋体"/>
                <w:highlight w:val="none"/>
              </w:rPr>
            </w:pPr>
            <w:r>
              <w:rPr>
                <w:rFonts w:hint="eastAsia" w:ascii="宋体" w:hAnsi="宋体" w:eastAsia="宋体" w:cs="宋体"/>
                <w:sz w:val="21"/>
                <w:szCs w:val="21"/>
                <w:highlight w:val="none"/>
                <w:lang w:val="en-US" w:eastAsia="zh-CN"/>
              </w:rPr>
              <w:t>报价</w:t>
            </w:r>
          </w:p>
        </w:tc>
        <w:tc>
          <w:tcPr>
            <w:tcW w:w="1937" w:type="dxa"/>
            <w:noWrap/>
            <w:vAlign w:val="center"/>
          </w:tcPr>
          <w:p w14:paraId="0394D0D6">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highlight w:val="none"/>
              </w:rPr>
              <w:t>报价唯一</w:t>
            </w:r>
          </w:p>
        </w:tc>
        <w:tc>
          <w:tcPr>
            <w:tcW w:w="6759" w:type="dxa"/>
            <w:noWrap/>
            <w:vAlign w:val="center"/>
          </w:tcPr>
          <w:p w14:paraId="06BC75A2">
            <w:pPr>
              <w:autoSpaceDE w:val="0"/>
              <w:autoSpaceDN w:val="0"/>
              <w:adjustRightInd w:val="0"/>
              <w:snapToGrid w:val="0"/>
              <w:spacing w:line="264" w:lineRule="auto"/>
              <w:rPr>
                <w:rFonts w:ascii="宋体" w:hAnsi="宋体" w:cs="宋体"/>
                <w:bCs/>
                <w:szCs w:val="21"/>
                <w:highlight w:val="none"/>
                <w:lang w:val="zh-CN"/>
              </w:rPr>
            </w:pPr>
            <w:r>
              <w:rPr>
                <w:rFonts w:hint="eastAsia" w:ascii="宋体" w:hAnsi="宋体" w:cs="宋体"/>
                <w:szCs w:val="21"/>
                <w:highlight w:val="none"/>
                <w:lang w:val="en-US" w:eastAsia="zh-CN"/>
              </w:rPr>
              <w:t>每轮</w:t>
            </w:r>
            <w:r>
              <w:rPr>
                <w:rFonts w:hint="eastAsia" w:ascii="宋体" w:hAnsi="宋体" w:cs="宋体"/>
                <w:szCs w:val="21"/>
                <w:highlight w:val="none"/>
              </w:rPr>
              <w:t>只能有一个有效报价，且报价未超过预算金额（磋商文件有最高限价的，报价未超过最高限价）</w:t>
            </w:r>
          </w:p>
        </w:tc>
      </w:tr>
      <w:tr w14:paraId="719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3" w:type="dxa"/>
            <w:noWrap/>
            <w:vAlign w:val="center"/>
          </w:tcPr>
          <w:p w14:paraId="43832162">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4</w:t>
            </w:r>
          </w:p>
        </w:tc>
        <w:tc>
          <w:tcPr>
            <w:tcW w:w="1206" w:type="dxa"/>
            <w:noWrap/>
            <w:vAlign w:val="center"/>
          </w:tcPr>
          <w:p w14:paraId="4837117A">
            <w:pPr>
              <w:autoSpaceDE w:val="0"/>
              <w:autoSpaceDN w:val="0"/>
              <w:adjustRightInd w:val="0"/>
              <w:snapToGrid w:val="0"/>
              <w:spacing w:line="264" w:lineRule="auto"/>
              <w:jc w:val="center"/>
              <w:rPr>
                <w:rFonts w:hint="eastAsia" w:ascii="宋体" w:hAnsi="宋体" w:cs="宋体"/>
                <w:highlight w:val="none"/>
              </w:rPr>
            </w:pPr>
            <w:r>
              <w:rPr>
                <w:rFonts w:hint="eastAsia" w:ascii="宋体" w:hAnsi="宋体" w:eastAsia="宋体" w:cs="宋体"/>
                <w:sz w:val="21"/>
                <w:szCs w:val="21"/>
                <w:highlight w:val="none"/>
                <w:lang w:eastAsia="zh-CN"/>
              </w:rPr>
              <w:t>商务</w:t>
            </w:r>
          </w:p>
        </w:tc>
        <w:tc>
          <w:tcPr>
            <w:tcW w:w="1937" w:type="dxa"/>
            <w:noWrap/>
            <w:vAlign w:val="center"/>
          </w:tcPr>
          <w:p w14:paraId="53DE331B">
            <w:pPr>
              <w:autoSpaceDE w:val="0"/>
              <w:autoSpaceDN w:val="0"/>
              <w:adjustRightInd w:val="0"/>
              <w:snapToGrid w:val="0"/>
              <w:spacing w:line="264" w:lineRule="auto"/>
              <w:jc w:val="center"/>
              <w:rPr>
                <w:rFonts w:ascii="宋体" w:hAnsi="宋体" w:cs="宋体"/>
                <w:highlight w:val="none"/>
              </w:rPr>
            </w:pPr>
            <w:r>
              <w:rPr>
                <w:rFonts w:hint="eastAsia" w:ascii="宋体" w:hAnsi="宋体" w:cs="宋体"/>
                <w:highlight w:val="none"/>
              </w:rPr>
              <w:t>采购需求</w:t>
            </w:r>
          </w:p>
        </w:tc>
        <w:tc>
          <w:tcPr>
            <w:tcW w:w="6759" w:type="dxa"/>
            <w:noWrap/>
            <w:vAlign w:val="center"/>
          </w:tcPr>
          <w:p w14:paraId="627C6E04">
            <w:pPr>
              <w:autoSpaceDE w:val="0"/>
              <w:autoSpaceDN w:val="0"/>
              <w:adjustRightInd w:val="0"/>
              <w:snapToGrid w:val="0"/>
              <w:spacing w:line="264" w:lineRule="auto"/>
              <w:rPr>
                <w:rFonts w:ascii="宋体" w:hAnsi="宋体" w:cs="宋体"/>
                <w:szCs w:val="21"/>
                <w:highlight w:val="none"/>
              </w:rPr>
            </w:pPr>
            <w:r>
              <w:rPr>
                <w:rFonts w:hint="eastAsia" w:ascii="宋体" w:hAnsi="宋体" w:cs="宋体"/>
                <w:szCs w:val="21"/>
                <w:highlight w:val="none"/>
                <w:lang w:val="en-US" w:eastAsia="zh-CN"/>
              </w:rPr>
              <w:t>附属设施项目（</w:t>
            </w:r>
            <w:r>
              <w:rPr>
                <w:rFonts w:hint="eastAsia" w:ascii="宋体" w:hAnsi="宋体" w:cs="宋体"/>
                <w:szCs w:val="21"/>
                <w:highlight w:val="none"/>
                <w:lang w:eastAsia="zh-CN"/>
              </w:rPr>
              <w:t>工程量清单及图纸所含全部内容）</w:t>
            </w:r>
          </w:p>
        </w:tc>
      </w:tr>
      <w:tr w14:paraId="3D5C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3" w:type="dxa"/>
            <w:noWrap/>
            <w:vAlign w:val="center"/>
          </w:tcPr>
          <w:p w14:paraId="78C21857">
            <w:pPr>
              <w:autoSpaceDE w:val="0"/>
              <w:autoSpaceDN w:val="0"/>
              <w:adjustRightInd w:val="0"/>
              <w:snapToGrid w:val="0"/>
              <w:spacing w:line="264" w:lineRule="auto"/>
              <w:jc w:val="center"/>
              <w:rPr>
                <w:rFonts w:ascii="宋体" w:hAnsi="宋体" w:cs="宋体"/>
                <w:highlight w:val="none"/>
              </w:rPr>
            </w:pPr>
            <w:r>
              <w:rPr>
                <w:rFonts w:hint="eastAsia" w:ascii="宋体" w:hAnsi="宋体" w:cs="宋体"/>
                <w:highlight w:val="none"/>
              </w:rPr>
              <w:t>5</w:t>
            </w:r>
          </w:p>
        </w:tc>
        <w:tc>
          <w:tcPr>
            <w:tcW w:w="1206" w:type="dxa"/>
            <w:noWrap/>
            <w:vAlign w:val="center"/>
          </w:tcPr>
          <w:p w14:paraId="4E9686B7">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highlight w:val="none"/>
                <w:lang w:eastAsia="zh-CN"/>
              </w:rPr>
              <w:t>商务</w:t>
            </w:r>
          </w:p>
        </w:tc>
        <w:tc>
          <w:tcPr>
            <w:tcW w:w="1937" w:type="dxa"/>
            <w:noWrap/>
            <w:vAlign w:val="center"/>
          </w:tcPr>
          <w:p w14:paraId="0F21FC76">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响应文件格式</w:t>
            </w:r>
          </w:p>
        </w:tc>
        <w:tc>
          <w:tcPr>
            <w:tcW w:w="6759" w:type="dxa"/>
            <w:noWrap/>
            <w:vAlign w:val="center"/>
          </w:tcPr>
          <w:p w14:paraId="6085D3CD">
            <w:pPr>
              <w:autoSpaceDE w:val="0"/>
              <w:autoSpaceDN w:val="0"/>
              <w:adjustRightInd w:val="0"/>
              <w:snapToGrid w:val="0"/>
              <w:spacing w:line="264" w:lineRule="auto"/>
              <w:rPr>
                <w:rFonts w:ascii="宋体" w:hAnsi="宋体" w:cs="宋体"/>
                <w:bCs/>
                <w:szCs w:val="21"/>
                <w:highlight w:val="none"/>
                <w:lang w:val="zh-CN"/>
              </w:rPr>
            </w:pPr>
            <w:r>
              <w:rPr>
                <w:rFonts w:hint="eastAsia" w:ascii="宋体" w:hAnsi="宋体" w:cs="宋体"/>
                <w:bCs/>
                <w:szCs w:val="21"/>
                <w:highlight w:val="none"/>
                <w:lang w:val="zh-CN"/>
              </w:rPr>
              <w:t>符合第六章“响应文件构成、要求及格式”的要求</w:t>
            </w:r>
          </w:p>
        </w:tc>
      </w:tr>
      <w:tr w14:paraId="1447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3" w:type="dxa"/>
            <w:noWrap/>
            <w:vAlign w:val="center"/>
          </w:tcPr>
          <w:p w14:paraId="76B04594">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6</w:t>
            </w:r>
          </w:p>
        </w:tc>
        <w:tc>
          <w:tcPr>
            <w:tcW w:w="1206" w:type="dxa"/>
            <w:noWrap/>
            <w:vAlign w:val="center"/>
          </w:tcPr>
          <w:p w14:paraId="439BC248">
            <w:pPr>
              <w:autoSpaceDE w:val="0"/>
              <w:autoSpaceDN w:val="0"/>
              <w:adjustRightInd w:val="0"/>
              <w:snapToGrid w:val="0"/>
              <w:spacing w:line="264" w:lineRule="auto"/>
              <w:jc w:val="center"/>
              <w:rPr>
                <w:rFonts w:hint="eastAsia" w:ascii="宋体" w:hAnsi="宋体" w:eastAsia="宋体" w:cs="宋体"/>
                <w:b w:val="0"/>
                <w:bCs w:val="0"/>
                <w:color w:val="auto"/>
                <w:kern w:val="0"/>
                <w:szCs w:val="21"/>
                <w:highlight w:val="none"/>
              </w:rPr>
            </w:pPr>
            <w:r>
              <w:rPr>
                <w:rFonts w:hint="eastAsia" w:ascii="宋体" w:hAnsi="宋体" w:eastAsia="宋体" w:cs="宋体"/>
                <w:sz w:val="21"/>
                <w:szCs w:val="21"/>
                <w:highlight w:val="none"/>
                <w:lang w:eastAsia="zh-CN"/>
              </w:rPr>
              <w:t>商务</w:t>
            </w:r>
          </w:p>
        </w:tc>
        <w:tc>
          <w:tcPr>
            <w:tcW w:w="1937" w:type="dxa"/>
            <w:noWrap/>
            <w:vAlign w:val="center"/>
          </w:tcPr>
          <w:p w14:paraId="2F1C7F70">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b w:val="0"/>
                <w:bCs w:val="0"/>
                <w:color w:val="auto"/>
                <w:kern w:val="0"/>
                <w:szCs w:val="21"/>
                <w:highlight w:val="none"/>
              </w:rPr>
              <w:t>合同履行期限</w:t>
            </w:r>
          </w:p>
        </w:tc>
        <w:tc>
          <w:tcPr>
            <w:tcW w:w="6759" w:type="dxa"/>
            <w:noWrap/>
            <w:vAlign w:val="center"/>
          </w:tcPr>
          <w:p w14:paraId="213E8FD3">
            <w:pPr>
              <w:autoSpaceDE w:val="0"/>
              <w:autoSpaceDN w:val="0"/>
              <w:adjustRightInd w:val="0"/>
              <w:snapToGrid w:val="0"/>
              <w:spacing w:line="264" w:lineRule="auto"/>
              <w:rPr>
                <w:rFonts w:hint="eastAsia" w:ascii="宋体" w:hAnsi="宋体" w:cs="宋体"/>
                <w:bCs/>
                <w:szCs w:val="21"/>
                <w:highlight w:val="none"/>
                <w:lang w:val="zh-CN"/>
              </w:rPr>
            </w:pPr>
            <w:r>
              <w:rPr>
                <w:rFonts w:hint="eastAsia" w:ascii="宋体" w:hAnsi="宋体" w:cs="宋体"/>
                <w:highlight w:val="none"/>
                <w:lang w:val="zh-CN" w:eastAsia="zh-CN"/>
              </w:rPr>
              <w:t>自合同签订之日起一个月内</w:t>
            </w:r>
          </w:p>
        </w:tc>
      </w:tr>
      <w:tr w14:paraId="38AB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3" w:type="dxa"/>
            <w:noWrap/>
            <w:vAlign w:val="center"/>
          </w:tcPr>
          <w:p w14:paraId="3C07C992">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7</w:t>
            </w:r>
          </w:p>
        </w:tc>
        <w:tc>
          <w:tcPr>
            <w:tcW w:w="1206" w:type="dxa"/>
            <w:noWrap/>
            <w:vAlign w:val="center"/>
          </w:tcPr>
          <w:p w14:paraId="35E75280">
            <w:pPr>
              <w:autoSpaceDE w:val="0"/>
              <w:autoSpaceDN w:val="0"/>
              <w:adjustRightInd w:val="0"/>
              <w:snapToGrid w:val="0"/>
              <w:spacing w:line="264" w:lineRule="auto"/>
              <w:jc w:val="center"/>
              <w:rPr>
                <w:rFonts w:hint="eastAsia" w:ascii="宋体" w:hAnsi="宋体" w:cs="宋体"/>
                <w:highlight w:val="none"/>
              </w:rPr>
            </w:pPr>
            <w:r>
              <w:rPr>
                <w:rFonts w:hint="eastAsia" w:ascii="宋体" w:hAnsi="宋体" w:eastAsia="宋体" w:cs="宋体"/>
                <w:sz w:val="21"/>
                <w:szCs w:val="21"/>
                <w:highlight w:val="none"/>
                <w:lang w:eastAsia="zh-CN"/>
              </w:rPr>
              <w:t>商务</w:t>
            </w:r>
          </w:p>
        </w:tc>
        <w:tc>
          <w:tcPr>
            <w:tcW w:w="1937" w:type="dxa"/>
            <w:noWrap/>
            <w:vAlign w:val="center"/>
          </w:tcPr>
          <w:p w14:paraId="6F8C5E9E">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highlight w:val="none"/>
              </w:rPr>
              <w:t>质量要求</w:t>
            </w:r>
          </w:p>
        </w:tc>
        <w:tc>
          <w:tcPr>
            <w:tcW w:w="6759" w:type="dxa"/>
            <w:noWrap/>
            <w:vAlign w:val="center"/>
          </w:tcPr>
          <w:p w14:paraId="50F88A7D">
            <w:pPr>
              <w:autoSpaceDE w:val="0"/>
              <w:autoSpaceDN w:val="0"/>
              <w:adjustRightInd w:val="0"/>
              <w:snapToGrid w:val="0"/>
              <w:spacing w:line="264" w:lineRule="auto"/>
              <w:rPr>
                <w:rFonts w:ascii="宋体" w:hAnsi="宋体" w:cs="宋体"/>
                <w:bCs/>
                <w:szCs w:val="21"/>
                <w:highlight w:val="none"/>
              </w:rPr>
            </w:pPr>
            <w:r>
              <w:rPr>
                <w:rFonts w:hint="eastAsia" w:ascii="宋体" w:hAnsi="宋体" w:cs="宋体"/>
                <w:bCs/>
                <w:szCs w:val="21"/>
                <w:highlight w:val="none"/>
                <w:lang w:val="en-US" w:eastAsia="zh-CN"/>
              </w:rPr>
              <w:t>符合国家现行工程施工质量验收规范标准的合格工程</w:t>
            </w:r>
          </w:p>
        </w:tc>
      </w:tr>
      <w:tr w14:paraId="1831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3" w:type="dxa"/>
            <w:noWrap/>
            <w:vAlign w:val="center"/>
          </w:tcPr>
          <w:p w14:paraId="5D37226E">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cs="宋体"/>
                <w:bCs/>
                <w:kern w:val="2"/>
                <w:sz w:val="21"/>
                <w:szCs w:val="21"/>
                <w:highlight w:val="none"/>
                <w:lang w:val="en-US" w:eastAsia="zh-CN" w:bidi="ar-SA"/>
              </w:rPr>
              <w:t>8</w:t>
            </w:r>
          </w:p>
        </w:tc>
        <w:tc>
          <w:tcPr>
            <w:tcW w:w="1206" w:type="dxa"/>
            <w:noWrap/>
            <w:vAlign w:val="center"/>
          </w:tcPr>
          <w:p w14:paraId="71097928">
            <w:pPr>
              <w:autoSpaceDE w:val="0"/>
              <w:autoSpaceDN w:val="0"/>
              <w:adjustRightInd w:val="0"/>
              <w:snapToGrid w:val="0"/>
              <w:spacing w:line="264"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w:t>
            </w:r>
          </w:p>
        </w:tc>
        <w:tc>
          <w:tcPr>
            <w:tcW w:w="1937" w:type="dxa"/>
            <w:noWrap/>
            <w:vAlign w:val="center"/>
          </w:tcPr>
          <w:p w14:paraId="63A30A75">
            <w:pPr>
              <w:autoSpaceDE w:val="0"/>
              <w:autoSpaceDN w:val="0"/>
              <w:adjustRightInd w:val="0"/>
              <w:spacing w:line="320" w:lineRule="exact"/>
              <w:jc w:val="center"/>
              <w:rPr>
                <w:rFonts w:hint="eastAsia" w:ascii="宋体" w:hAnsi="宋体" w:cs="宋体"/>
                <w:highlight w:val="none"/>
              </w:rPr>
            </w:pPr>
            <w:r>
              <w:rPr>
                <w:rFonts w:hint="eastAsia" w:ascii="宋体" w:hAnsi="宋体" w:cs="宋体"/>
                <w:bCs/>
                <w:szCs w:val="21"/>
                <w:highlight w:val="none"/>
                <w:lang w:val="zh-CN"/>
              </w:rPr>
              <w:t>保修期</w:t>
            </w:r>
          </w:p>
        </w:tc>
        <w:tc>
          <w:tcPr>
            <w:tcW w:w="6759" w:type="dxa"/>
            <w:noWrap/>
            <w:vAlign w:val="center"/>
          </w:tcPr>
          <w:p w14:paraId="53310367">
            <w:pPr>
              <w:autoSpaceDE w:val="0"/>
              <w:autoSpaceDN w:val="0"/>
              <w:adjustRightInd w:val="0"/>
              <w:spacing w:line="320" w:lineRule="exact"/>
              <w:jc w:val="left"/>
              <w:rPr>
                <w:rFonts w:hint="eastAsia" w:ascii="宋体" w:hAnsi="宋体" w:cs="宋体"/>
                <w:bCs/>
                <w:szCs w:val="21"/>
                <w:highlight w:val="none"/>
                <w:lang w:val="en-US" w:eastAsia="zh-CN"/>
              </w:rPr>
            </w:pPr>
            <w:r>
              <w:rPr>
                <w:rFonts w:hint="eastAsia" w:ascii="宋体" w:hAnsi="宋体" w:cs="宋体"/>
                <w:bCs/>
                <w:szCs w:val="21"/>
                <w:highlight w:val="none"/>
                <w:lang w:val="zh-CN"/>
              </w:rPr>
              <w:t>按照建设工程质量管理条例执行</w:t>
            </w:r>
          </w:p>
        </w:tc>
      </w:tr>
      <w:tr w14:paraId="23F7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3" w:type="dxa"/>
            <w:shd w:val="clear" w:color="auto" w:fill="auto"/>
            <w:noWrap/>
            <w:vAlign w:val="center"/>
          </w:tcPr>
          <w:p w14:paraId="0F9E1515">
            <w:pPr>
              <w:autoSpaceDE w:val="0"/>
              <w:autoSpaceDN w:val="0"/>
              <w:adjustRightInd w:val="0"/>
              <w:snapToGrid w:val="0"/>
              <w:spacing w:line="264" w:lineRule="auto"/>
              <w:jc w:val="center"/>
              <w:rPr>
                <w:rFonts w:hint="default" w:ascii="宋体" w:hAnsi="宋体" w:eastAsia="宋体" w:cs="宋体"/>
                <w:bCs/>
                <w:kern w:val="2"/>
                <w:sz w:val="21"/>
                <w:szCs w:val="21"/>
                <w:highlight w:val="none"/>
                <w:lang w:val="en-US" w:eastAsia="zh-CN" w:bidi="ar-SA"/>
              </w:rPr>
            </w:pPr>
            <w:r>
              <w:rPr>
                <w:rFonts w:hint="eastAsia" w:ascii="宋体" w:hAnsi="宋体" w:cs="宋体"/>
                <w:bCs/>
                <w:szCs w:val="21"/>
                <w:highlight w:val="none"/>
              </w:rPr>
              <w:t>9</w:t>
            </w:r>
          </w:p>
        </w:tc>
        <w:tc>
          <w:tcPr>
            <w:tcW w:w="1206" w:type="dxa"/>
            <w:noWrap/>
            <w:vAlign w:val="center"/>
          </w:tcPr>
          <w:p w14:paraId="761F5CAA">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highlight w:val="none"/>
                <w:lang w:eastAsia="zh-CN"/>
              </w:rPr>
              <w:t>商务</w:t>
            </w:r>
          </w:p>
        </w:tc>
        <w:tc>
          <w:tcPr>
            <w:tcW w:w="1937" w:type="dxa"/>
            <w:noWrap/>
            <w:vAlign w:val="center"/>
          </w:tcPr>
          <w:p w14:paraId="34544E79">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磋商有效期</w:t>
            </w:r>
          </w:p>
        </w:tc>
        <w:tc>
          <w:tcPr>
            <w:tcW w:w="6759" w:type="dxa"/>
            <w:noWrap/>
            <w:vAlign w:val="center"/>
          </w:tcPr>
          <w:p w14:paraId="09A86268">
            <w:pPr>
              <w:autoSpaceDE w:val="0"/>
              <w:autoSpaceDN w:val="0"/>
              <w:adjustRightInd w:val="0"/>
              <w:snapToGrid w:val="0"/>
              <w:spacing w:line="264" w:lineRule="auto"/>
              <w:rPr>
                <w:rFonts w:ascii="宋体" w:hAnsi="宋体" w:cs="宋体"/>
                <w:bCs/>
                <w:szCs w:val="21"/>
                <w:highlight w:val="none"/>
                <w:lang w:val="zh-CN"/>
              </w:rPr>
            </w:pPr>
            <w:r>
              <w:rPr>
                <w:rFonts w:hint="eastAsia" w:ascii="宋体" w:hAnsi="宋体" w:cs="宋体"/>
                <w:bCs/>
                <w:szCs w:val="21"/>
                <w:highlight w:val="none"/>
                <w:lang w:val="zh-CN"/>
              </w:rPr>
              <w:t>投标截止之日</w:t>
            </w:r>
            <w:r>
              <w:rPr>
                <w:rFonts w:hint="eastAsia" w:ascii="宋体" w:hAnsi="宋体" w:cs="宋体"/>
                <w:bCs/>
                <w:szCs w:val="21"/>
                <w:highlight w:val="none"/>
              </w:rPr>
              <w:t>起</w:t>
            </w:r>
            <w:r>
              <w:rPr>
                <w:rFonts w:hint="eastAsia" w:ascii="宋体" w:hAnsi="宋体" w:cs="宋体"/>
                <w:bCs/>
                <w:szCs w:val="21"/>
                <w:highlight w:val="none"/>
                <w:lang w:val="zh-CN"/>
              </w:rPr>
              <w:t>90天（日历天）</w:t>
            </w:r>
          </w:p>
        </w:tc>
      </w:tr>
      <w:tr w14:paraId="43D7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23" w:type="dxa"/>
            <w:shd w:val="clear" w:color="auto" w:fill="auto"/>
            <w:noWrap/>
            <w:vAlign w:val="center"/>
          </w:tcPr>
          <w:p w14:paraId="69EE213B">
            <w:pPr>
              <w:autoSpaceDE w:val="0"/>
              <w:autoSpaceDN w:val="0"/>
              <w:adjustRightInd w:val="0"/>
              <w:snapToGrid w:val="0"/>
              <w:spacing w:line="264" w:lineRule="auto"/>
              <w:jc w:val="center"/>
              <w:rPr>
                <w:rFonts w:ascii="宋体" w:hAnsi="宋体" w:eastAsia="宋体" w:cs="宋体"/>
                <w:bCs/>
                <w:kern w:val="2"/>
                <w:sz w:val="21"/>
                <w:szCs w:val="21"/>
                <w:highlight w:val="none"/>
                <w:lang w:val="en-US" w:eastAsia="zh-CN" w:bidi="ar-SA"/>
              </w:rPr>
            </w:pPr>
            <w:r>
              <w:rPr>
                <w:rFonts w:hint="eastAsia" w:ascii="宋体" w:hAnsi="宋体" w:cs="宋体"/>
                <w:bCs/>
                <w:szCs w:val="21"/>
                <w:highlight w:val="none"/>
              </w:rPr>
              <w:t>10</w:t>
            </w:r>
          </w:p>
        </w:tc>
        <w:tc>
          <w:tcPr>
            <w:tcW w:w="1206" w:type="dxa"/>
            <w:noWrap/>
            <w:vAlign w:val="center"/>
          </w:tcPr>
          <w:p w14:paraId="390332E9">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highlight w:val="none"/>
                <w:lang w:eastAsia="zh-CN"/>
              </w:rPr>
              <w:t>商务</w:t>
            </w:r>
          </w:p>
        </w:tc>
        <w:tc>
          <w:tcPr>
            <w:tcW w:w="1937" w:type="dxa"/>
            <w:noWrap/>
            <w:vAlign w:val="center"/>
          </w:tcPr>
          <w:p w14:paraId="64EF359F">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磋商保证金</w:t>
            </w:r>
          </w:p>
        </w:tc>
        <w:tc>
          <w:tcPr>
            <w:tcW w:w="6759" w:type="dxa"/>
            <w:noWrap/>
            <w:vAlign w:val="center"/>
          </w:tcPr>
          <w:p w14:paraId="7015F749">
            <w:pPr>
              <w:rPr>
                <w:rFonts w:ascii="宋体" w:hAnsi="宋体" w:cs="宋体"/>
                <w:szCs w:val="21"/>
                <w:highlight w:val="none"/>
              </w:rPr>
            </w:pPr>
            <w:r>
              <w:rPr>
                <w:rFonts w:hint="eastAsia" w:ascii="宋体" w:hAnsi="宋体" w:cs="宋体"/>
                <w:szCs w:val="21"/>
                <w:highlight w:val="none"/>
              </w:rPr>
              <w:t>符合第二章“</w:t>
            </w:r>
            <w:r>
              <w:rPr>
                <w:rFonts w:hint="eastAsia" w:ascii="宋体" w:hAnsi="宋体" w:cs="宋体"/>
                <w:bCs/>
                <w:szCs w:val="21"/>
                <w:highlight w:val="none"/>
              </w:rPr>
              <w:t>供应商须知前附表</w:t>
            </w:r>
            <w:r>
              <w:rPr>
                <w:rFonts w:hint="eastAsia" w:ascii="宋体" w:hAnsi="宋体" w:cs="宋体"/>
                <w:szCs w:val="21"/>
                <w:highlight w:val="none"/>
              </w:rPr>
              <w:t>”</w:t>
            </w:r>
            <w:r>
              <w:rPr>
                <w:rFonts w:hint="eastAsia" w:ascii="宋体" w:hAnsi="宋体" w:cs="宋体"/>
                <w:bCs/>
                <w:szCs w:val="21"/>
                <w:highlight w:val="none"/>
              </w:rPr>
              <w:t>磋商保证金</w:t>
            </w:r>
            <w:r>
              <w:rPr>
                <w:rFonts w:hint="eastAsia" w:ascii="宋体" w:hAnsi="宋体" w:cs="宋体"/>
                <w:szCs w:val="21"/>
                <w:highlight w:val="none"/>
              </w:rPr>
              <w:t>的规定，标书内附基本账户开户许可证及</w:t>
            </w:r>
            <w:r>
              <w:rPr>
                <w:rFonts w:hint="eastAsia" w:ascii="宋体" w:hAnsi="宋体" w:cs="宋体"/>
                <w:bCs/>
                <w:szCs w:val="21"/>
                <w:highlight w:val="none"/>
              </w:rPr>
              <w:t>磋商保证金</w:t>
            </w:r>
            <w:r>
              <w:rPr>
                <w:rFonts w:hint="eastAsia" w:ascii="宋体" w:hAnsi="宋体" w:cs="宋体"/>
                <w:szCs w:val="21"/>
                <w:highlight w:val="none"/>
              </w:rPr>
              <w:t>汇款凭证</w:t>
            </w:r>
            <w:r>
              <w:rPr>
                <w:rFonts w:hint="eastAsia" w:ascii="宋体" w:hAnsi="宋体" w:cs="宋体"/>
                <w:szCs w:val="21"/>
                <w:highlight w:val="none"/>
                <w:lang w:eastAsia="zh-CN"/>
              </w:rPr>
              <w:t>（</w:t>
            </w:r>
            <w:r>
              <w:rPr>
                <w:rFonts w:hint="eastAsia" w:ascii="宋体" w:hAnsi="宋体" w:cs="宋体"/>
                <w:szCs w:val="21"/>
                <w:highlight w:val="none"/>
                <w:lang w:val="en-US" w:eastAsia="zh-CN"/>
              </w:rPr>
              <w:t>或保函</w:t>
            </w:r>
            <w:r>
              <w:rPr>
                <w:rFonts w:hint="eastAsia" w:ascii="宋体" w:hAnsi="宋体" w:cs="宋体"/>
                <w:szCs w:val="21"/>
                <w:highlight w:val="none"/>
                <w:lang w:eastAsia="zh-CN"/>
              </w:rPr>
              <w:t>）</w:t>
            </w:r>
            <w:r>
              <w:rPr>
                <w:rFonts w:hint="eastAsia" w:ascii="宋体" w:hAnsi="宋体" w:cs="宋体"/>
                <w:szCs w:val="21"/>
                <w:highlight w:val="none"/>
              </w:rPr>
              <w:t>等相关证明文件复印件加盖公章。</w:t>
            </w:r>
          </w:p>
          <w:p w14:paraId="0215042B">
            <w:pPr>
              <w:autoSpaceDE w:val="0"/>
              <w:autoSpaceDN w:val="0"/>
              <w:adjustRightInd w:val="0"/>
              <w:snapToGrid w:val="0"/>
              <w:spacing w:line="264" w:lineRule="auto"/>
              <w:rPr>
                <w:rFonts w:ascii="宋体" w:hAnsi="宋体" w:cs="宋体"/>
                <w:bCs/>
                <w:szCs w:val="21"/>
                <w:highlight w:val="none"/>
                <w:lang w:val="zh-CN"/>
              </w:rPr>
            </w:pPr>
            <w:r>
              <w:rPr>
                <w:rFonts w:hint="eastAsia" w:ascii="宋体" w:hAnsi="宋体" w:cs="宋体"/>
                <w:szCs w:val="21"/>
                <w:highlight w:val="none"/>
              </w:rPr>
              <w:t>注：基本账户开户许可取消后新开立基本账户的供应商可以按照中国人民银行的相关文件规定提交银行打印的《基本存款账户信息》。</w:t>
            </w:r>
          </w:p>
        </w:tc>
      </w:tr>
      <w:tr w14:paraId="7F25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23" w:type="dxa"/>
            <w:shd w:val="clear" w:color="auto" w:fill="auto"/>
            <w:noWrap/>
            <w:vAlign w:val="center"/>
          </w:tcPr>
          <w:p w14:paraId="765E388E">
            <w:pPr>
              <w:autoSpaceDE w:val="0"/>
              <w:autoSpaceDN w:val="0"/>
              <w:adjustRightInd w:val="0"/>
              <w:snapToGrid w:val="0"/>
              <w:spacing w:line="264" w:lineRule="auto"/>
              <w:jc w:val="center"/>
              <w:rPr>
                <w:rFonts w:ascii="宋体" w:hAnsi="宋体" w:eastAsia="宋体" w:cs="宋体"/>
                <w:bCs/>
                <w:kern w:val="2"/>
                <w:sz w:val="21"/>
                <w:szCs w:val="21"/>
                <w:highlight w:val="none"/>
                <w:lang w:val="en-US" w:eastAsia="zh-CN" w:bidi="ar-SA"/>
              </w:rPr>
            </w:pPr>
            <w:r>
              <w:rPr>
                <w:rFonts w:hint="eastAsia" w:ascii="宋体" w:hAnsi="宋体" w:cs="宋体"/>
                <w:bCs/>
                <w:szCs w:val="21"/>
                <w:highlight w:val="none"/>
              </w:rPr>
              <w:t>11</w:t>
            </w:r>
          </w:p>
        </w:tc>
        <w:tc>
          <w:tcPr>
            <w:tcW w:w="1206" w:type="dxa"/>
            <w:noWrap/>
            <w:vAlign w:val="center"/>
          </w:tcPr>
          <w:p w14:paraId="70A1A9A7">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highlight w:val="none"/>
                <w:lang w:eastAsia="zh-CN"/>
              </w:rPr>
              <w:t>商务</w:t>
            </w:r>
          </w:p>
        </w:tc>
        <w:tc>
          <w:tcPr>
            <w:tcW w:w="1937" w:type="dxa"/>
            <w:noWrap/>
            <w:vAlign w:val="center"/>
          </w:tcPr>
          <w:p w14:paraId="5300370D">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权利义务</w:t>
            </w:r>
          </w:p>
        </w:tc>
        <w:tc>
          <w:tcPr>
            <w:tcW w:w="6759" w:type="dxa"/>
            <w:noWrap/>
            <w:vAlign w:val="center"/>
          </w:tcPr>
          <w:p w14:paraId="51D116CE">
            <w:pPr>
              <w:autoSpaceDE w:val="0"/>
              <w:autoSpaceDN w:val="0"/>
              <w:adjustRightInd w:val="0"/>
              <w:snapToGrid w:val="0"/>
              <w:spacing w:line="264" w:lineRule="auto"/>
              <w:rPr>
                <w:rFonts w:ascii="宋体" w:hAnsi="宋体" w:cs="宋体"/>
                <w:bCs/>
                <w:szCs w:val="21"/>
                <w:highlight w:val="none"/>
              </w:rPr>
            </w:pPr>
            <w:r>
              <w:rPr>
                <w:rFonts w:hint="eastAsia" w:ascii="宋体" w:hAnsi="宋体" w:cs="宋体"/>
                <w:bCs/>
                <w:szCs w:val="21"/>
                <w:highlight w:val="none"/>
              </w:rPr>
              <w:t>符合第四章“合同条款及格式”规定</w:t>
            </w:r>
          </w:p>
        </w:tc>
      </w:tr>
      <w:tr w14:paraId="0D96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3" w:type="dxa"/>
            <w:shd w:val="clear" w:color="auto" w:fill="auto"/>
            <w:noWrap/>
            <w:vAlign w:val="center"/>
          </w:tcPr>
          <w:p w14:paraId="6F5A3EAC">
            <w:pPr>
              <w:adjustRightInd w:val="0"/>
              <w:snapToGrid w:val="0"/>
              <w:spacing w:line="264" w:lineRule="auto"/>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12</w:t>
            </w:r>
          </w:p>
        </w:tc>
        <w:tc>
          <w:tcPr>
            <w:tcW w:w="1206" w:type="dxa"/>
            <w:noWrap/>
            <w:vAlign w:val="center"/>
          </w:tcPr>
          <w:p w14:paraId="4D45B4C6">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highlight w:val="none"/>
                <w:lang w:eastAsia="zh-CN"/>
              </w:rPr>
              <w:t>商务</w:t>
            </w:r>
          </w:p>
        </w:tc>
        <w:tc>
          <w:tcPr>
            <w:tcW w:w="1937" w:type="dxa"/>
            <w:noWrap/>
            <w:vAlign w:val="center"/>
          </w:tcPr>
          <w:p w14:paraId="133F7FA8">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响应文件装订方式</w:t>
            </w:r>
          </w:p>
        </w:tc>
        <w:tc>
          <w:tcPr>
            <w:tcW w:w="6759" w:type="dxa"/>
            <w:noWrap/>
            <w:vAlign w:val="center"/>
          </w:tcPr>
          <w:p w14:paraId="1B50FF16">
            <w:pPr>
              <w:autoSpaceDE w:val="0"/>
              <w:autoSpaceDN w:val="0"/>
              <w:adjustRightInd w:val="0"/>
              <w:snapToGrid w:val="0"/>
              <w:spacing w:line="264" w:lineRule="auto"/>
              <w:rPr>
                <w:rFonts w:ascii="宋体" w:hAnsi="宋体" w:cs="宋体"/>
                <w:bCs/>
                <w:szCs w:val="21"/>
                <w:highlight w:val="none"/>
              </w:rPr>
            </w:pPr>
            <w:r>
              <w:rPr>
                <w:rFonts w:hint="eastAsia" w:ascii="宋体" w:hAnsi="宋体" w:cs="宋体"/>
                <w:bCs/>
                <w:szCs w:val="21"/>
                <w:highlight w:val="none"/>
              </w:rPr>
              <w:t>符合磋商文件要求</w:t>
            </w:r>
          </w:p>
        </w:tc>
      </w:tr>
      <w:tr w14:paraId="5077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3" w:type="dxa"/>
            <w:shd w:val="clear" w:color="auto" w:fill="auto"/>
            <w:noWrap/>
            <w:vAlign w:val="center"/>
          </w:tcPr>
          <w:p w14:paraId="55EC65ED">
            <w:pPr>
              <w:autoSpaceDE w:val="0"/>
              <w:autoSpaceDN w:val="0"/>
              <w:adjustRightInd w:val="0"/>
              <w:snapToGrid w:val="0"/>
              <w:spacing w:line="264" w:lineRule="auto"/>
              <w:jc w:val="center"/>
              <w:rPr>
                <w:rFonts w:ascii="宋体" w:hAnsi="宋体" w:eastAsia="宋体" w:cs="宋体"/>
                <w:bCs/>
                <w:kern w:val="2"/>
                <w:sz w:val="21"/>
                <w:szCs w:val="21"/>
                <w:highlight w:val="none"/>
                <w:lang w:val="en-US" w:eastAsia="zh-CN" w:bidi="ar-SA"/>
              </w:rPr>
            </w:pPr>
            <w:r>
              <w:rPr>
                <w:rFonts w:hint="eastAsia" w:ascii="宋体" w:hAnsi="宋体" w:cs="宋体"/>
                <w:bCs/>
                <w:szCs w:val="21"/>
                <w:highlight w:val="none"/>
              </w:rPr>
              <w:t>13</w:t>
            </w:r>
          </w:p>
        </w:tc>
        <w:tc>
          <w:tcPr>
            <w:tcW w:w="1206" w:type="dxa"/>
            <w:noWrap/>
            <w:vAlign w:val="center"/>
          </w:tcPr>
          <w:p w14:paraId="7102B03D">
            <w:pPr>
              <w:autoSpaceDE w:val="0"/>
              <w:autoSpaceDN w:val="0"/>
              <w:adjustRightInd w:val="0"/>
              <w:snapToGrid w:val="0"/>
              <w:spacing w:line="264" w:lineRule="auto"/>
              <w:jc w:val="center"/>
              <w:rPr>
                <w:rFonts w:hint="eastAsia" w:ascii="宋体" w:hAnsi="宋体" w:cs="宋体"/>
                <w:bCs/>
                <w:szCs w:val="21"/>
                <w:highlight w:val="none"/>
                <w:lang w:val="zh-CN"/>
              </w:rPr>
            </w:pPr>
            <w:r>
              <w:rPr>
                <w:rFonts w:hint="eastAsia" w:ascii="宋体" w:hAnsi="宋体" w:eastAsia="宋体" w:cs="宋体"/>
                <w:sz w:val="21"/>
                <w:szCs w:val="21"/>
                <w:highlight w:val="none"/>
                <w:lang w:eastAsia="zh-CN"/>
              </w:rPr>
              <w:t>商务</w:t>
            </w:r>
          </w:p>
        </w:tc>
        <w:tc>
          <w:tcPr>
            <w:tcW w:w="1937" w:type="dxa"/>
            <w:noWrap/>
            <w:vAlign w:val="center"/>
          </w:tcPr>
          <w:p w14:paraId="1FB7A322">
            <w:pPr>
              <w:autoSpaceDE w:val="0"/>
              <w:autoSpaceDN w:val="0"/>
              <w:adjustRightInd w:val="0"/>
              <w:snapToGrid w:val="0"/>
              <w:spacing w:line="264" w:lineRule="auto"/>
              <w:jc w:val="center"/>
              <w:rPr>
                <w:rFonts w:ascii="宋体" w:hAnsi="宋体" w:cs="宋体"/>
                <w:bCs/>
                <w:szCs w:val="21"/>
                <w:highlight w:val="none"/>
                <w:lang w:val="zh-CN"/>
              </w:rPr>
            </w:pPr>
            <w:r>
              <w:rPr>
                <w:rFonts w:hint="eastAsia" w:ascii="宋体" w:hAnsi="宋体" w:cs="宋体"/>
                <w:bCs/>
                <w:szCs w:val="21"/>
                <w:highlight w:val="none"/>
                <w:lang w:val="zh-CN"/>
              </w:rPr>
              <w:t>建设地点</w:t>
            </w:r>
          </w:p>
        </w:tc>
        <w:tc>
          <w:tcPr>
            <w:tcW w:w="6759" w:type="dxa"/>
            <w:noWrap/>
            <w:vAlign w:val="center"/>
          </w:tcPr>
          <w:p w14:paraId="7C8A25F4">
            <w:pPr>
              <w:autoSpaceDE w:val="0"/>
              <w:autoSpaceDN w:val="0"/>
              <w:adjustRightInd w:val="0"/>
              <w:snapToGrid w:val="0"/>
              <w:spacing w:line="264" w:lineRule="auto"/>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吉林省长白山保护开发区</w:t>
            </w:r>
          </w:p>
        </w:tc>
      </w:tr>
      <w:tr w14:paraId="1EBA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23" w:type="dxa"/>
            <w:shd w:val="clear" w:color="auto" w:fill="auto"/>
            <w:noWrap/>
            <w:vAlign w:val="center"/>
          </w:tcPr>
          <w:p w14:paraId="1D57652C">
            <w:pPr>
              <w:autoSpaceDE w:val="0"/>
              <w:autoSpaceDN w:val="0"/>
              <w:adjustRightInd w:val="0"/>
              <w:snapToGrid w:val="0"/>
              <w:spacing w:line="264"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14</w:t>
            </w:r>
          </w:p>
        </w:tc>
        <w:tc>
          <w:tcPr>
            <w:tcW w:w="1206" w:type="dxa"/>
            <w:noWrap/>
            <w:vAlign w:val="center"/>
          </w:tcPr>
          <w:p w14:paraId="42B61599">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eastAsia="宋体" w:cs="宋体"/>
                <w:sz w:val="21"/>
                <w:szCs w:val="21"/>
                <w:highlight w:val="none"/>
                <w:lang w:eastAsia="zh-CN"/>
              </w:rPr>
              <w:t>商务</w:t>
            </w:r>
          </w:p>
        </w:tc>
        <w:tc>
          <w:tcPr>
            <w:tcW w:w="1937" w:type="dxa"/>
            <w:noWrap/>
            <w:vAlign w:val="center"/>
          </w:tcPr>
          <w:p w14:paraId="66FD205B">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备选方案</w:t>
            </w:r>
          </w:p>
        </w:tc>
        <w:tc>
          <w:tcPr>
            <w:tcW w:w="6759" w:type="dxa"/>
            <w:noWrap/>
            <w:vAlign w:val="center"/>
          </w:tcPr>
          <w:p w14:paraId="72A258BE">
            <w:pPr>
              <w:autoSpaceDE w:val="0"/>
              <w:autoSpaceDN w:val="0"/>
              <w:adjustRightInd w:val="0"/>
              <w:snapToGrid w:val="0"/>
              <w:spacing w:line="264" w:lineRule="auto"/>
              <w:rPr>
                <w:rFonts w:ascii="宋体" w:hAnsi="宋体" w:cs="宋体"/>
                <w:bCs/>
                <w:szCs w:val="21"/>
                <w:highlight w:val="none"/>
              </w:rPr>
            </w:pPr>
            <w:r>
              <w:rPr>
                <w:rFonts w:hint="eastAsia" w:ascii="宋体" w:hAnsi="宋体" w:cs="宋体"/>
                <w:bCs/>
                <w:szCs w:val="21"/>
                <w:highlight w:val="none"/>
              </w:rPr>
              <w:t>供应商不得提交两份或者多份内容不同的响应文件，或者在同一份响应文件中对同一招标项目有两个或者多个报价。</w:t>
            </w:r>
          </w:p>
        </w:tc>
      </w:tr>
      <w:tr w14:paraId="429D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23" w:type="dxa"/>
            <w:shd w:val="clear" w:color="auto" w:fill="auto"/>
            <w:noWrap/>
            <w:vAlign w:val="center"/>
          </w:tcPr>
          <w:p w14:paraId="1458C9E4">
            <w:pPr>
              <w:autoSpaceDE w:val="0"/>
              <w:autoSpaceDN w:val="0"/>
              <w:adjustRightInd w:val="0"/>
              <w:snapToGrid w:val="0"/>
              <w:spacing w:line="264"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15</w:t>
            </w:r>
          </w:p>
        </w:tc>
        <w:tc>
          <w:tcPr>
            <w:tcW w:w="1206" w:type="dxa"/>
            <w:noWrap/>
            <w:vAlign w:val="center"/>
          </w:tcPr>
          <w:p w14:paraId="1D71916C">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eastAsia="宋体" w:cs="宋体"/>
                <w:sz w:val="21"/>
                <w:szCs w:val="21"/>
                <w:highlight w:val="none"/>
                <w:lang w:eastAsia="zh-CN"/>
              </w:rPr>
              <w:t>商务</w:t>
            </w:r>
          </w:p>
        </w:tc>
        <w:tc>
          <w:tcPr>
            <w:tcW w:w="1937" w:type="dxa"/>
            <w:noWrap/>
            <w:vAlign w:val="center"/>
          </w:tcPr>
          <w:p w14:paraId="076B5951">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cs="宋体"/>
                <w:bCs/>
                <w:szCs w:val="21"/>
                <w:highlight w:val="none"/>
              </w:rPr>
              <w:t>付款方式</w:t>
            </w:r>
          </w:p>
        </w:tc>
        <w:tc>
          <w:tcPr>
            <w:tcW w:w="6759" w:type="dxa"/>
            <w:noWrap/>
            <w:vAlign w:val="center"/>
          </w:tcPr>
          <w:p w14:paraId="365C09B5">
            <w:pPr>
              <w:autoSpaceDE w:val="0"/>
              <w:autoSpaceDN w:val="0"/>
              <w:adjustRightInd w:val="0"/>
              <w:snapToGrid w:val="0"/>
              <w:spacing w:line="264" w:lineRule="auto"/>
              <w:rPr>
                <w:rFonts w:hint="eastAsia" w:ascii="宋体" w:hAnsi="宋体" w:cs="宋体"/>
                <w:bCs/>
                <w:szCs w:val="21"/>
                <w:highlight w:val="none"/>
              </w:rPr>
            </w:pPr>
            <w:r>
              <w:rPr>
                <w:rFonts w:hint="eastAsia" w:ascii="宋体" w:hAnsi="宋体" w:cs="宋体"/>
                <w:bCs/>
                <w:szCs w:val="21"/>
                <w:highlight w:val="none"/>
              </w:rPr>
              <w:t>分二次付款，一、合同签订后7日内支付合同价款的30%预付款（在支付预付款前，乙方应同时提供对应金额的预付款担保）二、工程验收合格后，经有资质的第三方公司出具结算报告，作为工程最终结算依据，并支付剩余全部工程款。</w:t>
            </w:r>
          </w:p>
        </w:tc>
      </w:tr>
      <w:tr w14:paraId="048A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23" w:type="dxa"/>
            <w:shd w:val="clear" w:color="auto" w:fill="auto"/>
            <w:noWrap/>
            <w:vAlign w:val="center"/>
          </w:tcPr>
          <w:p w14:paraId="724B9E8E">
            <w:pPr>
              <w:autoSpaceDE w:val="0"/>
              <w:autoSpaceDN w:val="0"/>
              <w:adjustRightInd w:val="0"/>
              <w:snapToGrid w:val="0"/>
              <w:spacing w:line="264"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16</w:t>
            </w:r>
          </w:p>
        </w:tc>
        <w:tc>
          <w:tcPr>
            <w:tcW w:w="1206" w:type="dxa"/>
            <w:noWrap/>
            <w:vAlign w:val="center"/>
          </w:tcPr>
          <w:p w14:paraId="5D8459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报价</w:t>
            </w:r>
          </w:p>
        </w:tc>
        <w:tc>
          <w:tcPr>
            <w:tcW w:w="1937" w:type="dxa"/>
            <w:noWrap/>
            <w:vAlign w:val="center"/>
          </w:tcPr>
          <w:p w14:paraId="19335B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szCs w:val="21"/>
                <w:highlight w:val="none"/>
              </w:rPr>
            </w:pPr>
            <w:r>
              <w:rPr>
                <w:rFonts w:hint="eastAsia" w:ascii="宋体" w:hAnsi="宋体" w:cs="宋体"/>
                <w:sz w:val="21"/>
                <w:szCs w:val="21"/>
                <w:highlight w:val="none"/>
                <w:lang w:val="en-US" w:eastAsia="zh-CN"/>
              </w:rPr>
              <w:t>报价要求</w:t>
            </w:r>
          </w:p>
        </w:tc>
        <w:tc>
          <w:tcPr>
            <w:tcW w:w="6759" w:type="dxa"/>
            <w:noWrap/>
            <w:vAlign w:val="center"/>
          </w:tcPr>
          <w:p w14:paraId="32640FD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bCs/>
                <w:szCs w:val="21"/>
                <w:highlight w:val="none"/>
              </w:rPr>
            </w:pPr>
            <w:r>
              <w:rPr>
                <w:rFonts w:hint="eastAsia" w:ascii="宋体" w:hAnsi="宋体" w:cs="宋体"/>
                <w:szCs w:val="21"/>
                <w:highlight w:val="none"/>
              </w:rPr>
              <w:t>符合第二章“</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须知前附表</w:t>
            </w:r>
            <w:r>
              <w:rPr>
                <w:rFonts w:hint="eastAsia" w:ascii="宋体" w:hAnsi="宋体" w:cs="宋体"/>
                <w:szCs w:val="21"/>
                <w:highlight w:val="none"/>
              </w:rPr>
              <w:t>”</w:t>
            </w:r>
            <w:r>
              <w:rPr>
                <w:rFonts w:hint="eastAsia" w:ascii="宋体" w:hAnsi="宋体" w:eastAsia="宋体" w:cs="宋体"/>
                <w:color w:val="auto"/>
                <w:highlight w:val="none"/>
              </w:rPr>
              <w:t>投标报价</w:t>
            </w:r>
            <w:r>
              <w:rPr>
                <w:rFonts w:hint="eastAsia" w:ascii="宋体" w:hAnsi="宋体" w:cs="宋体"/>
                <w:szCs w:val="21"/>
                <w:highlight w:val="none"/>
                <w:lang w:eastAsia="zh-CN"/>
              </w:rPr>
              <w:t>的</w:t>
            </w:r>
            <w:r>
              <w:rPr>
                <w:rFonts w:hint="eastAsia" w:ascii="宋体" w:hAnsi="宋体" w:cs="宋体"/>
                <w:szCs w:val="21"/>
                <w:highlight w:val="none"/>
              </w:rPr>
              <w:t>规定</w:t>
            </w:r>
          </w:p>
        </w:tc>
      </w:tr>
      <w:tr w14:paraId="3A81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23" w:type="dxa"/>
            <w:shd w:val="clear" w:color="auto" w:fill="auto"/>
            <w:noWrap/>
            <w:vAlign w:val="center"/>
          </w:tcPr>
          <w:p w14:paraId="3BE35304">
            <w:pPr>
              <w:autoSpaceDE w:val="0"/>
              <w:autoSpaceDN w:val="0"/>
              <w:adjustRightInd w:val="0"/>
              <w:snapToGrid w:val="0"/>
              <w:spacing w:line="264" w:lineRule="auto"/>
              <w:jc w:val="center"/>
              <w:rPr>
                <w:rFonts w:hint="default" w:ascii="宋体" w:hAnsi="宋体" w:eastAsia="宋体" w:cs="宋体"/>
                <w:bCs/>
                <w:kern w:val="2"/>
                <w:sz w:val="21"/>
                <w:szCs w:val="21"/>
                <w:highlight w:val="none"/>
                <w:lang w:val="en-US" w:eastAsia="zh-CN" w:bidi="ar-SA"/>
              </w:rPr>
            </w:pPr>
            <w:r>
              <w:rPr>
                <w:rFonts w:hint="eastAsia" w:ascii="宋体" w:hAnsi="宋体" w:cs="宋体"/>
                <w:bCs/>
                <w:szCs w:val="21"/>
                <w:highlight w:val="none"/>
                <w:lang w:val="en-US" w:eastAsia="zh-CN"/>
              </w:rPr>
              <w:t>17</w:t>
            </w:r>
          </w:p>
        </w:tc>
        <w:tc>
          <w:tcPr>
            <w:tcW w:w="1206" w:type="dxa"/>
            <w:noWrap/>
            <w:vAlign w:val="center"/>
          </w:tcPr>
          <w:p w14:paraId="43228F92">
            <w:pPr>
              <w:adjustRightInd w:val="0"/>
              <w:snapToGrid w:val="0"/>
              <w:jc w:val="center"/>
              <w:rPr>
                <w:rFonts w:hint="eastAsia" w:ascii="宋体" w:hAnsi="宋体" w:cs="宋体"/>
                <w:szCs w:val="21"/>
                <w:highlight w:val="none"/>
              </w:rPr>
            </w:pPr>
            <w:r>
              <w:rPr>
                <w:rFonts w:hint="eastAsia" w:ascii="宋体" w:hAnsi="宋体" w:cs="宋体"/>
                <w:sz w:val="21"/>
                <w:szCs w:val="21"/>
                <w:highlight w:val="none"/>
                <w:lang w:val="en-US" w:eastAsia="zh-CN"/>
              </w:rPr>
              <w:t>报价</w:t>
            </w:r>
          </w:p>
        </w:tc>
        <w:tc>
          <w:tcPr>
            <w:tcW w:w="1937" w:type="dxa"/>
            <w:noWrap/>
            <w:vAlign w:val="center"/>
          </w:tcPr>
          <w:p w14:paraId="6B4E36CC">
            <w:pPr>
              <w:adjustRightInd w:val="0"/>
              <w:snapToGrid w:val="0"/>
              <w:jc w:val="center"/>
              <w:rPr>
                <w:rFonts w:ascii="宋体" w:hAnsi="宋体" w:cs="宋体"/>
                <w:szCs w:val="21"/>
                <w:highlight w:val="none"/>
              </w:rPr>
            </w:pPr>
            <w:r>
              <w:rPr>
                <w:rFonts w:hint="eastAsia" w:ascii="宋体" w:hAnsi="宋体" w:cs="宋体"/>
                <w:szCs w:val="21"/>
                <w:highlight w:val="none"/>
              </w:rPr>
              <w:t>已标价工程量清单</w:t>
            </w:r>
          </w:p>
        </w:tc>
        <w:tc>
          <w:tcPr>
            <w:tcW w:w="6759" w:type="dxa"/>
            <w:noWrap/>
            <w:vAlign w:val="center"/>
          </w:tcPr>
          <w:p w14:paraId="3C1E2CDB">
            <w:pPr>
              <w:adjustRightInd w:val="0"/>
              <w:snapToGrid w:val="0"/>
              <w:rPr>
                <w:rFonts w:hint="eastAsia" w:ascii="宋体" w:hAnsi="宋体" w:eastAsia="宋体" w:cs="宋体"/>
                <w:bCs/>
                <w:color w:val="auto"/>
                <w:kern w:val="2"/>
                <w:sz w:val="21"/>
                <w:szCs w:val="21"/>
                <w:highlight w:val="none"/>
                <w:lang w:val="zh-CN" w:eastAsia="zh-CN"/>
              </w:rPr>
            </w:pPr>
            <w:r>
              <w:rPr>
                <w:rFonts w:hint="eastAsia" w:ascii="宋体" w:hAnsi="宋体" w:cs="宋体"/>
                <w:szCs w:val="21"/>
                <w:highlight w:val="none"/>
              </w:rPr>
              <w:t>符合第五章“工程量清单”给出的子目编码、子目名称、子目特征、计量单位和工程量，加盖注册</w:t>
            </w:r>
            <w:r>
              <w:rPr>
                <w:rFonts w:hint="eastAsia" w:ascii="宋体" w:hAnsi="宋体" w:cs="宋体"/>
                <w:sz w:val="21"/>
                <w:szCs w:val="21"/>
                <w:highlight w:val="none"/>
              </w:rPr>
              <w:t>造价师执业印章并签字。</w:t>
            </w:r>
            <w:r>
              <w:rPr>
                <w:rFonts w:hint="eastAsia" w:ascii="宋体" w:hAnsi="宋体" w:eastAsia="宋体" w:cs="宋体"/>
                <w:bCs/>
                <w:color w:val="auto"/>
                <w:kern w:val="2"/>
                <w:sz w:val="21"/>
                <w:szCs w:val="21"/>
                <w:highlight w:val="none"/>
                <w:lang w:val="zh-CN" w:eastAsia="zh-CN"/>
              </w:rPr>
              <w:t>同一单位的造价人员在本招标项目中不能为两个及两个以上的投标单位编制工程量清单。</w:t>
            </w:r>
          </w:p>
          <w:p w14:paraId="2C46E0BF">
            <w:pPr>
              <w:adjustRightInd w:val="0"/>
              <w:snapToGrid w:val="0"/>
              <w:jc w:val="left"/>
              <w:rPr>
                <w:rFonts w:ascii="宋体" w:hAnsi="宋体" w:cs="宋体"/>
                <w:szCs w:val="21"/>
                <w:highlight w:val="none"/>
              </w:rPr>
            </w:pPr>
            <w:r>
              <w:rPr>
                <w:rFonts w:hint="eastAsia" w:ascii="宋体" w:hAnsi="宋体" w:cs="宋体"/>
                <w:b/>
                <w:bCs/>
                <w:kern w:val="0"/>
                <w:sz w:val="21"/>
                <w:szCs w:val="21"/>
                <w:highlight w:val="none"/>
                <w:lang w:val="en-US" w:eastAsia="zh-CN" w:bidi="ar"/>
              </w:rPr>
              <w:t>响应文件内</w:t>
            </w:r>
            <w:r>
              <w:rPr>
                <w:rFonts w:hint="eastAsia" w:ascii="宋体" w:hAnsi="宋体" w:eastAsia="宋体" w:cs="宋体"/>
                <w:b/>
                <w:bCs w:val="0"/>
                <w:color w:val="auto"/>
                <w:kern w:val="2"/>
                <w:sz w:val="21"/>
                <w:szCs w:val="21"/>
                <w:highlight w:val="none"/>
                <w:lang w:val="zh-CN" w:eastAsia="zh-CN"/>
              </w:rPr>
              <w:t>附造价人员的资格证书复印件，否则其投标将被否决。非本单位的造价人员，须同时附投标单位与其造价人员所在的注册单位（工程造价咨询服务机构）签订的造价委托合同复印件</w:t>
            </w:r>
            <w:r>
              <w:rPr>
                <w:rFonts w:hint="eastAsia" w:ascii="宋体" w:hAnsi="宋体" w:cs="宋体"/>
                <w:b/>
                <w:bCs w:val="0"/>
                <w:color w:val="auto"/>
                <w:kern w:val="2"/>
                <w:sz w:val="21"/>
                <w:szCs w:val="21"/>
                <w:highlight w:val="none"/>
                <w:lang w:val="zh-CN" w:eastAsia="zh-CN"/>
              </w:rPr>
              <w:t>。</w:t>
            </w:r>
            <w:r>
              <w:rPr>
                <w:rFonts w:hint="eastAsia" w:ascii="宋体" w:hAnsi="宋体" w:cs="宋体"/>
                <w:b/>
                <w:bCs/>
                <w:color w:val="auto"/>
                <w:kern w:val="0"/>
                <w:sz w:val="21"/>
                <w:szCs w:val="21"/>
                <w:highlight w:val="none"/>
              </w:rPr>
              <w:t>规费及税金按相关法律法规的规定计取。</w:t>
            </w:r>
          </w:p>
        </w:tc>
      </w:tr>
      <w:tr w14:paraId="12A3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3" w:type="dxa"/>
            <w:shd w:val="clear" w:color="auto" w:fill="auto"/>
            <w:noWrap/>
            <w:vAlign w:val="center"/>
          </w:tcPr>
          <w:p w14:paraId="02B6352F">
            <w:pPr>
              <w:autoSpaceDE w:val="0"/>
              <w:autoSpaceDN w:val="0"/>
              <w:adjustRightInd w:val="0"/>
              <w:snapToGrid w:val="0"/>
              <w:spacing w:line="264" w:lineRule="auto"/>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18</w:t>
            </w:r>
          </w:p>
        </w:tc>
        <w:tc>
          <w:tcPr>
            <w:tcW w:w="1206" w:type="dxa"/>
            <w:noWrap/>
            <w:vAlign w:val="center"/>
          </w:tcPr>
          <w:p w14:paraId="0387DA46">
            <w:pPr>
              <w:adjustRightInd w:val="0"/>
              <w:snapToGrid w:val="0"/>
              <w:spacing w:line="264" w:lineRule="auto"/>
              <w:jc w:val="center"/>
              <w:rPr>
                <w:rFonts w:hint="eastAsia" w:ascii="宋体" w:hAnsi="宋体" w:cs="宋体"/>
                <w:szCs w:val="21"/>
                <w:highlight w:val="none"/>
              </w:rPr>
            </w:pPr>
            <w:r>
              <w:rPr>
                <w:rFonts w:hint="eastAsia" w:ascii="宋体" w:hAnsi="宋体" w:eastAsia="宋体" w:cs="宋体"/>
                <w:sz w:val="21"/>
                <w:szCs w:val="21"/>
                <w:highlight w:val="none"/>
                <w:lang w:eastAsia="zh-CN"/>
              </w:rPr>
              <w:t>商务</w:t>
            </w:r>
          </w:p>
        </w:tc>
        <w:tc>
          <w:tcPr>
            <w:tcW w:w="1937" w:type="dxa"/>
            <w:noWrap/>
            <w:vAlign w:val="center"/>
          </w:tcPr>
          <w:p w14:paraId="7B2B4B4C">
            <w:pPr>
              <w:adjustRightInd w:val="0"/>
              <w:snapToGrid w:val="0"/>
              <w:spacing w:line="264" w:lineRule="auto"/>
              <w:jc w:val="center"/>
              <w:rPr>
                <w:rFonts w:ascii="宋体" w:hAnsi="宋体" w:cs="宋体"/>
                <w:bCs/>
                <w:szCs w:val="21"/>
                <w:highlight w:val="none"/>
              </w:rPr>
            </w:pPr>
            <w:r>
              <w:rPr>
                <w:rFonts w:hint="eastAsia" w:ascii="宋体" w:hAnsi="宋体" w:cs="宋体"/>
                <w:szCs w:val="21"/>
                <w:highlight w:val="none"/>
              </w:rPr>
              <w:t>其他要求</w:t>
            </w:r>
          </w:p>
        </w:tc>
        <w:tc>
          <w:tcPr>
            <w:tcW w:w="6759" w:type="dxa"/>
            <w:noWrap/>
            <w:vAlign w:val="center"/>
          </w:tcPr>
          <w:p w14:paraId="5B900E11">
            <w:pPr>
              <w:adjustRightInd w:val="0"/>
              <w:snapToGrid w:val="0"/>
              <w:spacing w:line="264" w:lineRule="auto"/>
              <w:rPr>
                <w:rFonts w:ascii="宋体" w:hAnsi="宋体" w:cs="宋体"/>
                <w:bCs/>
                <w:szCs w:val="21"/>
                <w:highlight w:val="none"/>
              </w:rPr>
            </w:pPr>
            <w:r>
              <w:rPr>
                <w:rFonts w:hint="eastAsia" w:ascii="宋体" w:hAnsi="宋体" w:cs="宋体"/>
                <w:szCs w:val="21"/>
                <w:highlight w:val="none"/>
              </w:rPr>
              <w:t>满足磋商文件其他实质性要求及相关法律法规规定</w:t>
            </w:r>
          </w:p>
        </w:tc>
      </w:tr>
      <w:tr w14:paraId="4690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3" w:type="dxa"/>
            <w:shd w:val="clear" w:color="auto" w:fill="auto"/>
            <w:noWrap/>
            <w:vAlign w:val="center"/>
          </w:tcPr>
          <w:p w14:paraId="43E1EC5C">
            <w:pPr>
              <w:autoSpaceDE w:val="0"/>
              <w:autoSpaceDN w:val="0"/>
              <w:adjustRightInd w:val="0"/>
              <w:snapToGrid w:val="0"/>
              <w:spacing w:line="264" w:lineRule="auto"/>
              <w:jc w:val="center"/>
              <w:rPr>
                <w:rFonts w:hint="default" w:ascii="宋体" w:hAnsi="宋体" w:eastAsia="宋体" w:cs="宋体"/>
                <w:bCs/>
                <w:kern w:val="2"/>
                <w:sz w:val="21"/>
                <w:szCs w:val="21"/>
                <w:highlight w:val="none"/>
                <w:lang w:val="en-US" w:eastAsia="zh-CN" w:bidi="ar-SA"/>
              </w:rPr>
            </w:pPr>
            <w:r>
              <w:rPr>
                <w:rFonts w:hint="eastAsia" w:ascii="宋体" w:hAnsi="宋体" w:cs="宋体"/>
                <w:bCs/>
                <w:szCs w:val="21"/>
                <w:highlight w:val="none"/>
                <w:lang w:val="en-US" w:eastAsia="zh-CN"/>
              </w:rPr>
              <w:t>19</w:t>
            </w:r>
          </w:p>
        </w:tc>
        <w:tc>
          <w:tcPr>
            <w:tcW w:w="1206" w:type="dxa"/>
            <w:noWrap/>
            <w:vAlign w:val="center"/>
          </w:tcPr>
          <w:p w14:paraId="49553612">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eastAsia="宋体" w:cs="宋体"/>
                <w:sz w:val="21"/>
                <w:szCs w:val="21"/>
                <w:highlight w:val="none"/>
                <w:lang w:eastAsia="zh-CN"/>
              </w:rPr>
              <w:t>商务</w:t>
            </w:r>
          </w:p>
        </w:tc>
        <w:tc>
          <w:tcPr>
            <w:tcW w:w="1937" w:type="dxa"/>
            <w:noWrap/>
            <w:vAlign w:val="center"/>
          </w:tcPr>
          <w:p w14:paraId="3908A322">
            <w:pPr>
              <w:autoSpaceDE w:val="0"/>
              <w:autoSpaceDN w:val="0"/>
              <w:adjustRightInd w:val="0"/>
              <w:snapToGrid w:val="0"/>
              <w:spacing w:line="264" w:lineRule="auto"/>
              <w:jc w:val="center"/>
              <w:rPr>
                <w:rFonts w:ascii="宋体" w:hAnsi="宋体" w:cs="宋体"/>
                <w:bCs/>
                <w:szCs w:val="21"/>
                <w:highlight w:val="none"/>
              </w:rPr>
            </w:pPr>
            <w:r>
              <w:rPr>
                <w:rFonts w:hint="eastAsia" w:ascii="宋体" w:hAnsi="宋体" w:cs="宋体"/>
                <w:bCs/>
                <w:szCs w:val="21"/>
                <w:highlight w:val="none"/>
              </w:rPr>
              <w:t>附加条件</w:t>
            </w:r>
          </w:p>
        </w:tc>
        <w:tc>
          <w:tcPr>
            <w:tcW w:w="6759" w:type="dxa"/>
            <w:noWrap/>
            <w:vAlign w:val="center"/>
          </w:tcPr>
          <w:p w14:paraId="4DE34F33">
            <w:pPr>
              <w:autoSpaceDE w:val="0"/>
              <w:autoSpaceDN w:val="0"/>
              <w:adjustRightInd w:val="0"/>
              <w:snapToGrid w:val="0"/>
              <w:spacing w:line="264" w:lineRule="auto"/>
              <w:rPr>
                <w:rFonts w:ascii="宋体" w:hAnsi="宋体" w:cs="宋体"/>
                <w:bCs/>
                <w:szCs w:val="21"/>
                <w:highlight w:val="none"/>
              </w:rPr>
            </w:pPr>
            <w:r>
              <w:rPr>
                <w:rFonts w:hint="eastAsia" w:ascii="宋体" w:hAnsi="宋体" w:cs="宋体"/>
                <w:bCs/>
                <w:szCs w:val="21"/>
                <w:highlight w:val="none"/>
              </w:rPr>
              <w:t>响应文件未含有采购人不能接受的附加条件</w:t>
            </w:r>
          </w:p>
        </w:tc>
      </w:tr>
      <w:tr w14:paraId="36F7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23" w:type="dxa"/>
            <w:shd w:val="clear" w:color="auto" w:fill="auto"/>
            <w:noWrap/>
            <w:vAlign w:val="center"/>
          </w:tcPr>
          <w:p w14:paraId="36E5E7E1">
            <w:pPr>
              <w:autoSpaceDE w:val="0"/>
              <w:autoSpaceDN w:val="0"/>
              <w:adjustRightInd w:val="0"/>
              <w:snapToGrid w:val="0"/>
              <w:spacing w:line="264"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1206" w:type="dxa"/>
            <w:noWrap/>
            <w:vAlign w:val="center"/>
          </w:tcPr>
          <w:p w14:paraId="6793D8C8">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eastAsia="宋体" w:cs="宋体"/>
                <w:sz w:val="21"/>
                <w:szCs w:val="21"/>
                <w:highlight w:val="none"/>
                <w:lang w:eastAsia="zh-CN"/>
              </w:rPr>
              <w:t>商务</w:t>
            </w:r>
          </w:p>
        </w:tc>
        <w:tc>
          <w:tcPr>
            <w:tcW w:w="1937" w:type="dxa"/>
            <w:noWrap/>
            <w:vAlign w:val="center"/>
          </w:tcPr>
          <w:p w14:paraId="2E579294">
            <w:pPr>
              <w:autoSpaceDE w:val="0"/>
              <w:autoSpaceDN w:val="0"/>
              <w:adjustRightInd w:val="0"/>
              <w:snapToGrid w:val="0"/>
              <w:spacing w:line="264" w:lineRule="auto"/>
              <w:jc w:val="center"/>
              <w:rPr>
                <w:rFonts w:hint="eastAsia" w:ascii="宋体" w:hAnsi="宋体" w:cs="宋体"/>
                <w:bCs/>
                <w:color w:val="auto"/>
                <w:szCs w:val="21"/>
                <w:highlight w:val="none"/>
                <w:lang w:val="en-US" w:eastAsia="zh-CN"/>
              </w:rPr>
            </w:pPr>
            <w:r>
              <w:rPr>
                <w:rFonts w:hint="eastAsia" w:ascii="宋体" w:hAnsi="宋体" w:cs="宋体"/>
                <w:bCs/>
                <w:szCs w:val="21"/>
                <w:highlight w:val="none"/>
              </w:rPr>
              <w:t>质量保证金</w:t>
            </w:r>
          </w:p>
        </w:tc>
        <w:tc>
          <w:tcPr>
            <w:tcW w:w="6759" w:type="dxa"/>
            <w:noWrap/>
            <w:vAlign w:val="center"/>
          </w:tcPr>
          <w:p w14:paraId="5D6DE97E">
            <w:pPr>
              <w:autoSpaceDE w:val="0"/>
              <w:autoSpaceDN w:val="0"/>
              <w:adjustRightInd w:val="0"/>
              <w:snapToGrid w:val="0"/>
              <w:spacing w:line="264" w:lineRule="auto"/>
              <w:rPr>
                <w:rFonts w:hint="eastAsia" w:ascii="宋体" w:hAnsi="宋体" w:cs="宋体"/>
                <w:bCs/>
                <w:szCs w:val="21"/>
                <w:highlight w:val="none"/>
              </w:rPr>
            </w:pPr>
            <w:r>
              <w:rPr>
                <w:rFonts w:hint="eastAsia" w:ascii="宋体" w:hAnsi="宋体" w:cs="宋体"/>
                <w:bCs/>
                <w:szCs w:val="21"/>
                <w:highlight w:val="none"/>
              </w:rPr>
              <w:t>在甲方支付剩余工程款前，乙方缴纳尾款的3%作为质保金。质保期满后一次性返还。</w:t>
            </w:r>
          </w:p>
        </w:tc>
      </w:tr>
      <w:tr w14:paraId="3B02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23" w:type="dxa"/>
            <w:shd w:val="clear" w:color="auto" w:fill="auto"/>
            <w:noWrap/>
            <w:vAlign w:val="center"/>
          </w:tcPr>
          <w:p w14:paraId="29B619E2">
            <w:pPr>
              <w:autoSpaceDE w:val="0"/>
              <w:autoSpaceDN w:val="0"/>
              <w:adjustRightInd w:val="0"/>
              <w:snapToGrid w:val="0"/>
              <w:spacing w:line="264"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21</w:t>
            </w:r>
          </w:p>
        </w:tc>
        <w:tc>
          <w:tcPr>
            <w:tcW w:w="1206" w:type="dxa"/>
            <w:noWrap/>
            <w:vAlign w:val="center"/>
          </w:tcPr>
          <w:p w14:paraId="57254299">
            <w:pPr>
              <w:autoSpaceDE w:val="0"/>
              <w:autoSpaceDN w:val="0"/>
              <w:adjustRightInd w:val="0"/>
              <w:snapToGrid w:val="0"/>
              <w:spacing w:line="264"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w:t>
            </w:r>
          </w:p>
        </w:tc>
        <w:tc>
          <w:tcPr>
            <w:tcW w:w="1937" w:type="dxa"/>
            <w:noWrap/>
            <w:vAlign w:val="center"/>
          </w:tcPr>
          <w:p w14:paraId="162069FF">
            <w:pPr>
              <w:autoSpaceDE w:val="0"/>
              <w:autoSpaceDN w:val="0"/>
              <w:adjustRightInd w:val="0"/>
              <w:snapToGrid w:val="0"/>
              <w:spacing w:line="264" w:lineRule="auto"/>
              <w:jc w:val="center"/>
              <w:rPr>
                <w:rFonts w:hint="eastAsia" w:ascii="宋体" w:hAnsi="宋体" w:cs="宋体"/>
                <w:bCs/>
                <w:szCs w:val="21"/>
                <w:highlight w:val="none"/>
              </w:rPr>
            </w:pPr>
            <w:r>
              <w:rPr>
                <w:rFonts w:hint="eastAsia" w:ascii="宋体" w:hAnsi="宋体" w:cs="宋体"/>
                <w:bCs/>
                <w:szCs w:val="21"/>
                <w:highlight w:val="none"/>
              </w:rPr>
              <w:t>履约保证金</w:t>
            </w:r>
          </w:p>
        </w:tc>
        <w:tc>
          <w:tcPr>
            <w:tcW w:w="6759" w:type="dxa"/>
            <w:noWrap/>
            <w:vAlign w:val="center"/>
          </w:tcPr>
          <w:p w14:paraId="79EEC9B7">
            <w:pPr>
              <w:autoSpaceDE w:val="0"/>
              <w:autoSpaceDN w:val="0"/>
              <w:adjustRightInd w:val="0"/>
              <w:snapToGrid w:val="0"/>
              <w:spacing w:line="264" w:lineRule="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金额：签约合同价的5%；</w:t>
            </w:r>
          </w:p>
          <w:p w14:paraId="08838771">
            <w:pPr>
              <w:autoSpaceDE w:val="0"/>
              <w:autoSpaceDN w:val="0"/>
              <w:adjustRightInd w:val="0"/>
              <w:snapToGrid w:val="0"/>
              <w:spacing w:line="264" w:lineRule="auto"/>
              <w:rPr>
                <w:rFonts w:hint="eastAsia" w:ascii="宋体" w:hAnsi="宋体" w:cs="宋体"/>
                <w:bCs/>
                <w:szCs w:val="21"/>
                <w:highlight w:val="none"/>
              </w:rPr>
            </w:pPr>
            <w:r>
              <w:rPr>
                <w:rFonts w:hint="eastAsia" w:ascii="宋体" w:hAnsi="宋体" w:cs="宋体"/>
                <w:bCs/>
                <w:szCs w:val="21"/>
                <w:highlight w:val="none"/>
                <w:lang w:val="en-US" w:eastAsia="zh-CN"/>
              </w:rPr>
              <w:t>方式：</w:t>
            </w:r>
            <w:r>
              <w:rPr>
                <w:rFonts w:hint="eastAsia" w:ascii="宋体" w:hAnsi="宋体" w:cs="宋体"/>
                <w:bCs/>
                <w:szCs w:val="21"/>
                <w:highlight w:val="none"/>
              </w:rPr>
              <w:t>银行或专业担保公司或保险公司出具的保函、转账、电汇等形式提交；</w:t>
            </w:r>
          </w:p>
          <w:p w14:paraId="1571960E">
            <w:pPr>
              <w:autoSpaceDE w:val="0"/>
              <w:autoSpaceDN w:val="0"/>
              <w:adjustRightInd w:val="0"/>
              <w:snapToGrid w:val="0"/>
              <w:spacing w:line="264" w:lineRule="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递交时间：中标人在合同签订时间前；</w:t>
            </w:r>
          </w:p>
          <w:p w14:paraId="4F656243">
            <w:pPr>
              <w:autoSpaceDE w:val="0"/>
              <w:autoSpaceDN w:val="0"/>
              <w:adjustRightInd w:val="0"/>
              <w:snapToGrid w:val="0"/>
              <w:spacing w:line="264" w:lineRule="auto"/>
              <w:rPr>
                <w:rFonts w:hint="eastAsia" w:ascii="宋体" w:hAnsi="宋体" w:cs="宋体"/>
                <w:bCs/>
                <w:szCs w:val="21"/>
                <w:highlight w:val="none"/>
              </w:rPr>
            </w:pPr>
            <w:r>
              <w:rPr>
                <w:rFonts w:hint="eastAsia" w:ascii="宋体" w:hAnsi="宋体" w:cs="宋体"/>
                <w:bCs/>
                <w:szCs w:val="21"/>
                <w:highlight w:val="none"/>
                <w:lang w:val="en-US" w:eastAsia="zh-CN"/>
              </w:rPr>
              <w:t>返还时间：工程验收合格后10日返还。</w:t>
            </w:r>
          </w:p>
        </w:tc>
      </w:tr>
    </w:tbl>
    <w:p w14:paraId="77BF7F67">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D2B07D0">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1、符合磋商文件要求用“√”表示，不符合用“×”表示。有一项不符合要求，结论为不合格。</w:t>
      </w:r>
    </w:p>
    <w:p w14:paraId="6747DE4C">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2、有下列情形之一的，视为供应商相互串通投标：</w:t>
      </w:r>
    </w:p>
    <w:p w14:paraId="221D8F31">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（1）不同投标人的投标文件由同一单位或者个人编制；</w:t>
      </w:r>
    </w:p>
    <w:p w14:paraId="60616B67">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（2）不同投标人委托同一单位或者个人办理投标事宜；</w:t>
      </w:r>
    </w:p>
    <w:p w14:paraId="0F56B57E">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（3）不同投标人的投标文件载明的项目管理成员或者联系人员为同一人；</w:t>
      </w:r>
    </w:p>
    <w:p w14:paraId="2089A980">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（4）不同投标人的投标文件异常一致或者投标报价呈规律性差异；</w:t>
      </w:r>
    </w:p>
    <w:p w14:paraId="0E8C7A48">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（5）不同投标人的投标文件相互混装；</w:t>
      </w:r>
    </w:p>
    <w:p w14:paraId="1640AB83">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（6）不同投标人的</w:t>
      </w:r>
      <w:r>
        <w:rPr>
          <w:rFonts w:hint="eastAsia" w:ascii="宋体" w:hAnsi="宋体" w:eastAsia="宋体" w:cs="宋体"/>
          <w:b/>
          <w:color w:val="auto"/>
          <w:szCs w:val="21"/>
          <w:highlight w:val="none"/>
          <w:lang w:val="zh-CN"/>
        </w:rPr>
        <w:t>磋商保证金</w:t>
      </w:r>
      <w:r>
        <w:rPr>
          <w:rFonts w:hint="eastAsia" w:ascii="宋体" w:hAnsi="宋体" w:eastAsia="宋体" w:cs="宋体"/>
          <w:b/>
          <w:color w:val="auto"/>
          <w:szCs w:val="21"/>
          <w:highlight w:val="none"/>
        </w:rPr>
        <w:t>从同一单位或者个人的账户转出。</w:t>
      </w:r>
    </w:p>
    <w:p w14:paraId="116B0E62">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3、有下列情形之一的，属于提供虚假材料谋取中标的行为：</w:t>
      </w:r>
    </w:p>
    <w:p w14:paraId="6FAEEE9F">
      <w:pPr>
        <w:tabs>
          <w:tab w:val="left" w:pos="1260"/>
          <w:tab w:val="left" w:pos="1620"/>
        </w:tabs>
        <w:adjustRightInd w:val="0"/>
        <w:snapToGrid w:val="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（1）使用伪造、变造的许可证件；</w:t>
      </w:r>
    </w:p>
    <w:p w14:paraId="61232235">
      <w:pPr>
        <w:tabs>
          <w:tab w:val="left" w:pos="1260"/>
          <w:tab w:val="left" w:pos="1620"/>
        </w:tabs>
        <w:adjustRightInd w:val="0"/>
        <w:snapToGrid w:val="0"/>
        <w:spacing w:line="240" w:lineRule="auto"/>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（2）提供虚假的财务状况或者业绩；</w:t>
      </w:r>
    </w:p>
    <w:p w14:paraId="0C9308D2">
      <w:pPr>
        <w:tabs>
          <w:tab w:val="left" w:pos="1260"/>
          <w:tab w:val="left" w:pos="1620"/>
        </w:tabs>
        <w:adjustRightInd w:val="0"/>
        <w:snapToGrid w:val="0"/>
        <w:spacing w:line="240" w:lineRule="auto"/>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（3）提供虚假的项目负责人或者主要技术人员简历、劳动关系证明；</w:t>
      </w:r>
    </w:p>
    <w:p w14:paraId="5E1963C3">
      <w:pPr>
        <w:tabs>
          <w:tab w:val="left" w:pos="1260"/>
          <w:tab w:val="left" w:pos="1620"/>
        </w:tabs>
        <w:adjustRightInd w:val="0"/>
        <w:snapToGrid w:val="0"/>
        <w:spacing w:line="240" w:lineRule="auto"/>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（4）提供虚假的信用状况；</w:t>
      </w:r>
    </w:p>
    <w:p w14:paraId="69749828">
      <w:pPr>
        <w:spacing w:line="24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（5）其他弄虚作假的行为。</w:t>
      </w:r>
    </w:p>
    <w:p w14:paraId="63645C5D">
      <w:pPr>
        <w:wordWrap w:val="0"/>
        <w:spacing w:line="360" w:lineRule="auto"/>
        <w:jc w:val="center"/>
        <w:outlineLvl w:val="2"/>
        <w:rPr>
          <w:rFonts w:ascii="宋体" w:hAnsi="宋体" w:cs="宋体"/>
          <w:b/>
          <w:sz w:val="30"/>
          <w:szCs w:val="30"/>
          <w:highlight w:val="none"/>
        </w:rPr>
      </w:pPr>
      <w:r>
        <w:rPr>
          <w:rFonts w:hint="eastAsia" w:ascii="宋体" w:hAnsi="宋体" w:cs="宋体"/>
          <w:sz w:val="22"/>
          <w:szCs w:val="22"/>
          <w:highlight w:val="none"/>
        </w:rPr>
        <w:br w:type="page"/>
      </w:r>
      <w:r>
        <w:rPr>
          <w:rFonts w:hint="eastAsia" w:ascii="宋体" w:hAnsi="宋体" w:cs="宋体"/>
          <w:b/>
          <w:sz w:val="30"/>
          <w:szCs w:val="30"/>
          <w:highlight w:val="none"/>
          <w:lang w:val="en-US" w:eastAsia="zh-CN"/>
        </w:rPr>
        <w:t>评审方法</w:t>
      </w:r>
      <w:r>
        <w:rPr>
          <w:rFonts w:hint="eastAsia" w:ascii="宋体" w:hAnsi="宋体" w:cs="宋体"/>
          <w:b/>
          <w:sz w:val="30"/>
          <w:szCs w:val="30"/>
          <w:highlight w:val="none"/>
        </w:rPr>
        <w:t>前附表（二）</w:t>
      </w:r>
    </w:p>
    <w:tbl>
      <w:tblPr>
        <w:tblStyle w:val="31"/>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49"/>
        <w:gridCol w:w="1480"/>
        <w:gridCol w:w="5260"/>
        <w:gridCol w:w="817"/>
        <w:gridCol w:w="855"/>
      </w:tblGrid>
      <w:tr w14:paraId="3185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1999" w:type="dxa"/>
            <w:gridSpan w:val="2"/>
            <w:vAlign w:val="center"/>
          </w:tcPr>
          <w:p w14:paraId="1013A25E">
            <w:pPr>
              <w:adjustRightInd w:val="0"/>
              <w:snapToGrid w:val="0"/>
              <w:jc w:val="center"/>
              <w:rPr>
                <w:rFonts w:ascii="宋体" w:hAnsi="宋体" w:cs="宋体"/>
                <w:b/>
                <w:highlight w:val="none"/>
              </w:rPr>
            </w:pPr>
            <w:r>
              <w:rPr>
                <w:rFonts w:hint="eastAsia" w:ascii="宋体" w:hAnsi="宋体" w:cs="宋体"/>
                <w:b/>
                <w:highlight w:val="none"/>
              </w:rPr>
              <w:t>条款号</w:t>
            </w:r>
          </w:p>
        </w:tc>
        <w:tc>
          <w:tcPr>
            <w:tcW w:w="1480" w:type="dxa"/>
            <w:vAlign w:val="center"/>
          </w:tcPr>
          <w:p w14:paraId="4D69946D">
            <w:pPr>
              <w:adjustRightInd w:val="0"/>
              <w:snapToGrid w:val="0"/>
              <w:jc w:val="center"/>
              <w:rPr>
                <w:rFonts w:ascii="宋体" w:hAnsi="宋体" w:cs="宋体"/>
                <w:b/>
                <w:highlight w:val="none"/>
              </w:rPr>
            </w:pPr>
            <w:r>
              <w:rPr>
                <w:rFonts w:hint="eastAsia" w:ascii="宋体" w:hAnsi="宋体" w:cs="宋体"/>
                <w:b/>
                <w:highlight w:val="none"/>
              </w:rPr>
              <w:t>条款内容</w:t>
            </w:r>
          </w:p>
        </w:tc>
        <w:tc>
          <w:tcPr>
            <w:tcW w:w="6932" w:type="dxa"/>
            <w:gridSpan w:val="3"/>
            <w:vAlign w:val="center"/>
          </w:tcPr>
          <w:p w14:paraId="5819615A">
            <w:pPr>
              <w:adjustRightInd w:val="0"/>
              <w:snapToGrid w:val="0"/>
              <w:jc w:val="center"/>
              <w:rPr>
                <w:rFonts w:ascii="宋体" w:hAnsi="宋体" w:cs="宋体"/>
                <w:b/>
                <w:highlight w:val="none"/>
              </w:rPr>
            </w:pPr>
            <w:r>
              <w:rPr>
                <w:rFonts w:hint="eastAsia" w:ascii="宋体" w:hAnsi="宋体" w:cs="宋体"/>
                <w:b/>
                <w:highlight w:val="none"/>
              </w:rPr>
              <w:t>编列内容</w:t>
            </w:r>
          </w:p>
        </w:tc>
      </w:tr>
      <w:tr w14:paraId="40ED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99" w:type="dxa"/>
            <w:gridSpan w:val="2"/>
            <w:vAlign w:val="center"/>
          </w:tcPr>
          <w:p w14:paraId="463E8587">
            <w:pPr>
              <w:adjustRightInd w:val="0"/>
              <w:snapToGrid w:val="0"/>
              <w:jc w:val="center"/>
              <w:rPr>
                <w:rFonts w:ascii="宋体" w:hAnsi="宋体" w:cs="宋体"/>
                <w:highlight w:val="none"/>
              </w:rPr>
            </w:pPr>
            <w:r>
              <w:rPr>
                <w:rFonts w:hint="eastAsia" w:ascii="宋体" w:hAnsi="宋体" w:cs="宋体"/>
                <w:highlight w:val="none"/>
              </w:rPr>
              <w:t>2.2.1</w:t>
            </w:r>
          </w:p>
        </w:tc>
        <w:tc>
          <w:tcPr>
            <w:tcW w:w="1480" w:type="dxa"/>
            <w:vAlign w:val="center"/>
          </w:tcPr>
          <w:p w14:paraId="28743EC7">
            <w:pPr>
              <w:adjustRightInd w:val="0"/>
              <w:snapToGrid w:val="0"/>
              <w:jc w:val="center"/>
              <w:rPr>
                <w:rFonts w:ascii="宋体" w:hAnsi="宋体" w:cs="宋体"/>
                <w:highlight w:val="none"/>
              </w:rPr>
            </w:pPr>
            <w:r>
              <w:rPr>
                <w:rFonts w:hint="eastAsia" w:ascii="宋体" w:hAnsi="宋体" w:cs="宋体"/>
                <w:highlight w:val="none"/>
              </w:rPr>
              <w:t>分值构成</w:t>
            </w:r>
          </w:p>
          <w:p w14:paraId="6BCE545C">
            <w:pPr>
              <w:adjustRightInd w:val="0"/>
              <w:snapToGrid w:val="0"/>
              <w:jc w:val="center"/>
              <w:rPr>
                <w:rFonts w:ascii="宋体" w:hAnsi="宋体" w:cs="宋体"/>
                <w:highlight w:val="none"/>
              </w:rPr>
            </w:pPr>
            <w:r>
              <w:rPr>
                <w:rFonts w:hint="eastAsia" w:ascii="宋体" w:hAnsi="宋体" w:cs="宋体"/>
                <w:highlight w:val="none"/>
              </w:rPr>
              <w:t>(总分100分)</w:t>
            </w:r>
          </w:p>
        </w:tc>
        <w:tc>
          <w:tcPr>
            <w:tcW w:w="6932" w:type="dxa"/>
            <w:gridSpan w:val="3"/>
            <w:vAlign w:val="center"/>
          </w:tcPr>
          <w:p w14:paraId="11CEFAF7">
            <w:pPr>
              <w:adjustRightInd w:val="0"/>
              <w:snapToGrid w:val="0"/>
              <w:spacing w:line="0" w:lineRule="atLeast"/>
              <w:rPr>
                <w:rFonts w:ascii="宋体" w:hAnsi="宋体"/>
                <w:highlight w:val="none"/>
              </w:rPr>
            </w:pPr>
            <w:r>
              <w:rPr>
                <w:rFonts w:ascii="宋体" w:hAnsi="宋体"/>
                <w:highlight w:val="none"/>
              </w:rPr>
              <w:t>报价</w:t>
            </w:r>
            <w:r>
              <w:rPr>
                <w:rFonts w:hint="eastAsia" w:ascii="宋体" w:hAnsi="宋体"/>
                <w:highlight w:val="none"/>
              </w:rPr>
              <w:t>部分</w:t>
            </w:r>
            <w:r>
              <w:rPr>
                <w:rFonts w:ascii="宋体" w:hAnsi="宋体"/>
                <w:highlight w:val="none"/>
              </w:rPr>
              <w:t>：</w:t>
            </w:r>
            <w:r>
              <w:rPr>
                <w:rFonts w:hint="eastAsia" w:ascii="宋体" w:hAnsi="宋体"/>
                <w:highlight w:val="none"/>
                <w:u w:val="single"/>
                <w:lang w:val="en-US" w:eastAsia="zh-CN"/>
              </w:rPr>
              <w:t>30</w:t>
            </w:r>
            <w:r>
              <w:rPr>
                <w:rFonts w:ascii="宋体" w:hAnsi="宋体"/>
                <w:highlight w:val="none"/>
              </w:rPr>
              <w:t>分</w:t>
            </w:r>
          </w:p>
          <w:p w14:paraId="484375AE">
            <w:pPr>
              <w:adjustRightInd w:val="0"/>
              <w:snapToGrid w:val="0"/>
              <w:spacing w:line="0" w:lineRule="atLeast"/>
              <w:rPr>
                <w:rFonts w:ascii="宋体" w:hAnsi="宋体"/>
                <w:highlight w:val="none"/>
              </w:rPr>
            </w:pPr>
            <w:r>
              <w:rPr>
                <w:rFonts w:hint="eastAsia" w:ascii="宋体" w:hAnsi="宋体"/>
                <w:highlight w:val="none"/>
              </w:rPr>
              <w:t>商务部分</w:t>
            </w:r>
            <w:r>
              <w:rPr>
                <w:rFonts w:ascii="宋体" w:hAnsi="宋体"/>
                <w:highlight w:val="none"/>
              </w:rPr>
              <w:t>：</w:t>
            </w:r>
            <w:r>
              <w:rPr>
                <w:rFonts w:hint="eastAsia" w:ascii="宋体" w:hAnsi="宋体"/>
                <w:highlight w:val="none"/>
                <w:u w:val="single"/>
                <w:lang w:val="en-US" w:eastAsia="zh-CN"/>
              </w:rPr>
              <w:t>15</w:t>
            </w:r>
            <w:r>
              <w:rPr>
                <w:rFonts w:ascii="宋体" w:hAnsi="宋体"/>
                <w:highlight w:val="none"/>
                <w:u w:val="single"/>
              </w:rPr>
              <w:t>分</w:t>
            </w:r>
          </w:p>
          <w:p w14:paraId="082804A6">
            <w:pPr>
              <w:adjustRightInd w:val="0"/>
              <w:snapToGrid w:val="0"/>
              <w:spacing w:line="0" w:lineRule="atLeast"/>
              <w:rPr>
                <w:rFonts w:ascii="宋体" w:hAnsi="宋体"/>
                <w:highlight w:val="none"/>
              </w:rPr>
            </w:pPr>
            <w:r>
              <w:rPr>
                <w:rFonts w:hint="eastAsia" w:ascii="宋体" w:hAnsi="宋体"/>
                <w:highlight w:val="none"/>
              </w:rPr>
              <w:t>技术部分</w:t>
            </w:r>
            <w:r>
              <w:rPr>
                <w:rFonts w:ascii="宋体" w:hAnsi="宋体"/>
                <w:highlight w:val="none"/>
              </w:rPr>
              <w:t>：</w:t>
            </w:r>
            <w:r>
              <w:rPr>
                <w:rFonts w:hint="eastAsia" w:ascii="宋体" w:hAnsi="宋体"/>
                <w:highlight w:val="none"/>
                <w:u w:val="single"/>
                <w:lang w:val="en-US" w:eastAsia="zh-CN"/>
              </w:rPr>
              <w:t>50</w:t>
            </w:r>
            <w:r>
              <w:rPr>
                <w:rFonts w:hint="eastAsia" w:ascii="宋体" w:hAnsi="宋体"/>
                <w:highlight w:val="none"/>
                <w:u w:val="single"/>
              </w:rPr>
              <w:t>分</w:t>
            </w:r>
          </w:p>
          <w:p w14:paraId="69CA4A30">
            <w:pPr>
              <w:adjustRightInd w:val="0"/>
              <w:snapToGrid w:val="0"/>
              <w:rPr>
                <w:rFonts w:ascii="宋体" w:hAnsi="宋体" w:cs="宋体"/>
                <w:highlight w:val="none"/>
              </w:rPr>
            </w:pPr>
            <w:r>
              <w:rPr>
                <w:rFonts w:hint="eastAsia" w:ascii="宋体" w:hAnsi="宋体"/>
                <w:highlight w:val="none"/>
              </w:rPr>
              <w:t>其他部分：</w:t>
            </w:r>
            <w:r>
              <w:rPr>
                <w:rFonts w:hint="eastAsia" w:ascii="宋体" w:hAnsi="宋体"/>
                <w:highlight w:val="none"/>
                <w:u w:val="single"/>
                <w:lang w:val="en-US" w:eastAsia="zh-CN"/>
              </w:rPr>
              <w:t>5</w:t>
            </w:r>
            <w:r>
              <w:rPr>
                <w:rFonts w:hint="eastAsia" w:ascii="宋体" w:hAnsi="宋体"/>
                <w:highlight w:val="none"/>
              </w:rPr>
              <w:t>分</w:t>
            </w:r>
          </w:p>
        </w:tc>
      </w:tr>
      <w:tr w14:paraId="0E9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99" w:type="dxa"/>
            <w:gridSpan w:val="2"/>
            <w:vAlign w:val="center"/>
          </w:tcPr>
          <w:p w14:paraId="5843592C">
            <w:pPr>
              <w:adjustRightInd w:val="0"/>
              <w:snapToGrid w:val="0"/>
              <w:jc w:val="center"/>
              <w:rPr>
                <w:rFonts w:ascii="宋体" w:hAnsi="宋体" w:cs="宋体"/>
                <w:highlight w:val="none"/>
              </w:rPr>
            </w:pPr>
            <w:r>
              <w:rPr>
                <w:rFonts w:hint="eastAsia" w:ascii="宋体" w:hAnsi="宋体" w:cs="宋体"/>
                <w:highlight w:val="none"/>
              </w:rPr>
              <w:t>2.2.2</w:t>
            </w:r>
          </w:p>
        </w:tc>
        <w:tc>
          <w:tcPr>
            <w:tcW w:w="1480" w:type="dxa"/>
            <w:vAlign w:val="center"/>
          </w:tcPr>
          <w:p w14:paraId="59BBE8D8">
            <w:pPr>
              <w:adjustRightInd w:val="0"/>
              <w:snapToGrid w:val="0"/>
              <w:jc w:val="center"/>
              <w:rPr>
                <w:rFonts w:ascii="宋体" w:hAnsi="宋体" w:cs="宋体"/>
                <w:highlight w:val="none"/>
              </w:rPr>
            </w:pPr>
            <w:r>
              <w:rPr>
                <w:rFonts w:hint="eastAsia" w:ascii="宋体" w:hAnsi="宋体" w:cs="宋体"/>
                <w:highlight w:val="none"/>
              </w:rPr>
              <w:t>评标基准价</w:t>
            </w:r>
          </w:p>
          <w:p w14:paraId="3FFA1D0E">
            <w:pPr>
              <w:adjustRightInd w:val="0"/>
              <w:snapToGrid w:val="0"/>
              <w:jc w:val="center"/>
              <w:rPr>
                <w:rFonts w:ascii="宋体" w:hAnsi="宋体" w:cs="宋体"/>
                <w:highlight w:val="none"/>
              </w:rPr>
            </w:pPr>
            <w:r>
              <w:rPr>
                <w:rFonts w:hint="eastAsia" w:ascii="宋体" w:hAnsi="宋体" w:cs="宋体"/>
                <w:highlight w:val="none"/>
              </w:rPr>
              <w:t>计算方法</w:t>
            </w:r>
          </w:p>
        </w:tc>
        <w:tc>
          <w:tcPr>
            <w:tcW w:w="6932" w:type="dxa"/>
            <w:gridSpan w:val="3"/>
            <w:vAlign w:val="center"/>
          </w:tcPr>
          <w:p w14:paraId="00283B0E">
            <w:pPr>
              <w:rPr>
                <w:rFonts w:ascii="宋体" w:hAnsi="宋体" w:cs="宋体"/>
                <w:b/>
                <w:bCs/>
                <w:highlight w:val="none"/>
              </w:rPr>
            </w:pPr>
            <w:r>
              <w:rPr>
                <w:rFonts w:hint="eastAsia" w:ascii="宋体" w:hAnsi="宋体" w:cs="宋体"/>
                <w:bCs/>
                <w:szCs w:val="21"/>
                <w:highlight w:val="none"/>
              </w:rPr>
              <w:t>满足磋商文件初步评审要求的各供应商最后报价最低的价格作为评审基准价。</w:t>
            </w:r>
          </w:p>
        </w:tc>
      </w:tr>
      <w:tr w14:paraId="630F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99" w:type="dxa"/>
            <w:gridSpan w:val="2"/>
            <w:vAlign w:val="center"/>
          </w:tcPr>
          <w:p w14:paraId="50AFA6F8">
            <w:pPr>
              <w:adjustRightInd w:val="0"/>
              <w:snapToGrid w:val="0"/>
              <w:jc w:val="center"/>
              <w:rPr>
                <w:rFonts w:ascii="宋体" w:hAnsi="宋体" w:cs="宋体"/>
                <w:b/>
                <w:highlight w:val="none"/>
              </w:rPr>
            </w:pPr>
            <w:r>
              <w:rPr>
                <w:rFonts w:hint="eastAsia" w:ascii="宋体" w:hAnsi="宋体" w:cs="宋体"/>
                <w:b/>
                <w:highlight w:val="none"/>
              </w:rPr>
              <w:t>条款号</w:t>
            </w:r>
          </w:p>
        </w:tc>
        <w:tc>
          <w:tcPr>
            <w:tcW w:w="1480" w:type="dxa"/>
            <w:vAlign w:val="center"/>
          </w:tcPr>
          <w:p w14:paraId="04A91156">
            <w:pPr>
              <w:adjustRightInd w:val="0"/>
              <w:snapToGrid w:val="0"/>
              <w:jc w:val="center"/>
              <w:rPr>
                <w:rFonts w:ascii="宋体" w:hAnsi="宋体" w:cs="宋体"/>
                <w:b/>
                <w:highlight w:val="none"/>
              </w:rPr>
            </w:pPr>
            <w:r>
              <w:rPr>
                <w:rFonts w:hint="eastAsia" w:ascii="宋体" w:hAnsi="宋体" w:cs="宋体"/>
                <w:b/>
                <w:highlight w:val="none"/>
              </w:rPr>
              <w:t>评分因素</w:t>
            </w:r>
          </w:p>
        </w:tc>
        <w:tc>
          <w:tcPr>
            <w:tcW w:w="5260" w:type="dxa"/>
            <w:vAlign w:val="center"/>
          </w:tcPr>
          <w:p w14:paraId="4BE69065">
            <w:pPr>
              <w:adjustRightInd w:val="0"/>
              <w:snapToGrid w:val="0"/>
              <w:jc w:val="center"/>
              <w:rPr>
                <w:rFonts w:ascii="宋体" w:hAnsi="宋体" w:cs="宋体"/>
                <w:b/>
                <w:highlight w:val="none"/>
              </w:rPr>
            </w:pPr>
            <w:r>
              <w:rPr>
                <w:rFonts w:hint="eastAsia" w:ascii="宋体" w:hAnsi="宋体" w:cs="宋体"/>
                <w:b/>
                <w:highlight w:val="none"/>
              </w:rPr>
              <w:t>评分标准</w:t>
            </w:r>
          </w:p>
        </w:tc>
        <w:tc>
          <w:tcPr>
            <w:tcW w:w="817" w:type="dxa"/>
            <w:vAlign w:val="center"/>
          </w:tcPr>
          <w:p w14:paraId="0900C047">
            <w:pPr>
              <w:adjustRightInd w:val="0"/>
              <w:snapToGrid w:val="0"/>
              <w:jc w:val="center"/>
              <w:rPr>
                <w:rFonts w:ascii="宋体" w:hAnsi="宋体" w:cs="宋体"/>
                <w:highlight w:val="none"/>
              </w:rPr>
            </w:pPr>
            <w:r>
              <w:rPr>
                <w:rFonts w:hint="eastAsia" w:ascii="宋体" w:hAnsi="宋体" w:cs="宋体"/>
                <w:b/>
                <w:bCs/>
                <w:highlight w:val="none"/>
              </w:rPr>
              <w:t>得分</w:t>
            </w:r>
          </w:p>
        </w:tc>
        <w:tc>
          <w:tcPr>
            <w:tcW w:w="855" w:type="dxa"/>
            <w:vAlign w:val="center"/>
          </w:tcPr>
          <w:p w14:paraId="31795095">
            <w:pPr>
              <w:adjustRightInd w:val="0"/>
              <w:snapToGrid w:val="0"/>
              <w:jc w:val="center"/>
              <w:rPr>
                <w:rFonts w:hint="eastAsia" w:ascii="宋体" w:hAnsi="宋体" w:cs="宋体"/>
                <w:b/>
                <w:bCs/>
                <w:highlight w:val="none"/>
              </w:rPr>
            </w:pPr>
            <w:r>
              <w:rPr>
                <w:rFonts w:hint="eastAsia" w:ascii="宋体" w:hAnsi="宋体" w:eastAsia="宋体" w:cs="宋体"/>
                <w:b/>
              </w:rPr>
              <w:t>主、客观项</w:t>
            </w:r>
          </w:p>
        </w:tc>
      </w:tr>
      <w:tr w14:paraId="1441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0" w:type="dxa"/>
            <w:vAlign w:val="center"/>
          </w:tcPr>
          <w:p w14:paraId="28E89C70">
            <w:pPr>
              <w:adjustRightInd w:val="0"/>
              <w:snapToGrid w:val="0"/>
              <w:jc w:val="center"/>
              <w:rPr>
                <w:rFonts w:ascii="宋体" w:hAnsi="宋体" w:cs="宋体"/>
                <w:highlight w:val="none"/>
              </w:rPr>
            </w:pPr>
            <w:r>
              <w:rPr>
                <w:rFonts w:hint="eastAsia" w:ascii="宋体" w:hAnsi="宋体" w:cs="宋体"/>
                <w:highlight w:val="none"/>
              </w:rPr>
              <w:t>2.2.4（1）</w:t>
            </w:r>
          </w:p>
        </w:tc>
        <w:tc>
          <w:tcPr>
            <w:tcW w:w="1149" w:type="dxa"/>
            <w:vAlign w:val="center"/>
          </w:tcPr>
          <w:p w14:paraId="413F92D3">
            <w:pPr>
              <w:adjustRightInd w:val="0"/>
              <w:snapToGrid w:val="0"/>
              <w:jc w:val="center"/>
              <w:rPr>
                <w:rFonts w:ascii="宋体" w:hAnsi="宋体"/>
                <w:highlight w:val="none"/>
              </w:rPr>
            </w:pPr>
            <w:r>
              <w:rPr>
                <w:rFonts w:ascii="宋体" w:hAnsi="宋体"/>
                <w:highlight w:val="none"/>
              </w:rPr>
              <w:t>报价</w:t>
            </w:r>
            <w:r>
              <w:rPr>
                <w:rFonts w:hint="eastAsia" w:ascii="宋体" w:hAnsi="宋体"/>
                <w:highlight w:val="none"/>
              </w:rPr>
              <w:t>部分</w:t>
            </w:r>
          </w:p>
          <w:p w14:paraId="493927D3">
            <w:pPr>
              <w:adjustRightInd w:val="0"/>
              <w:snapToGrid w:val="0"/>
              <w:jc w:val="center"/>
              <w:rPr>
                <w:rFonts w:ascii="宋体" w:hAnsi="宋体" w:cs="宋体"/>
                <w:highlight w:val="none"/>
              </w:rPr>
            </w:pPr>
            <w:r>
              <w:rPr>
                <w:rFonts w:hint="eastAsia" w:ascii="宋体" w:hAnsi="宋体"/>
                <w:highlight w:val="none"/>
              </w:rPr>
              <w:t>（</w:t>
            </w:r>
            <w:r>
              <w:rPr>
                <w:rFonts w:hint="eastAsia" w:ascii="宋体" w:hAnsi="宋体"/>
                <w:highlight w:val="none"/>
                <w:lang w:val="en-US" w:eastAsia="zh-CN"/>
              </w:rPr>
              <w:t>30</w:t>
            </w:r>
            <w:r>
              <w:rPr>
                <w:rFonts w:hint="eastAsia" w:ascii="宋体" w:hAnsi="宋体"/>
                <w:highlight w:val="none"/>
              </w:rPr>
              <w:t>分）</w:t>
            </w:r>
          </w:p>
        </w:tc>
        <w:tc>
          <w:tcPr>
            <w:tcW w:w="1480" w:type="dxa"/>
            <w:vAlign w:val="center"/>
          </w:tcPr>
          <w:p w14:paraId="2F1B67EF">
            <w:pPr>
              <w:jc w:val="center"/>
              <w:rPr>
                <w:rFonts w:ascii="宋体" w:hAnsi="宋体"/>
                <w:highlight w:val="none"/>
              </w:rPr>
            </w:pPr>
            <w:r>
              <w:rPr>
                <w:rFonts w:ascii="宋体" w:hAnsi="宋体"/>
                <w:highlight w:val="none"/>
              </w:rPr>
              <w:t>报价</w:t>
            </w:r>
            <w:r>
              <w:rPr>
                <w:rFonts w:hint="eastAsia" w:ascii="宋体" w:hAnsi="宋体"/>
                <w:highlight w:val="none"/>
              </w:rPr>
              <w:t>得分</w:t>
            </w:r>
          </w:p>
          <w:p w14:paraId="40CCD71B">
            <w:pPr>
              <w:jc w:val="center"/>
              <w:rPr>
                <w:rFonts w:ascii="宋体" w:hAnsi="宋体" w:cs="宋体"/>
                <w:highlight w:val="none"/>
              </w:rPr>
            </w:pPr>
            <w:r>
              <w:rPr>
                <w:rFonts w:hint="eastAsia" w:ascii="宋体" w:hAnsi="宋体"/>
                <w:highlight w:val="none"/>
              </w:rPr>
              <w:t>（</w:t>
            </w:r>
            <w:r>
              <w:rPr>
                <w:rFonts w:hint="eastAsia" w:ascii="宋体" w:hAnsi="宋体"/>
                <w:highlight w:val="none"/>
                <w:lang w:val="en-US" w:eastAsia="zh-CN"/>
              </w:rPr>
              <w:t>30</w:t>
            </w:r>
            <w:r>
              <w:rPr>
                <w:rFonts w:hint="eastAsia" w:ascii="宋体" w:hAnsi="宋体"/>
                <w:highlight w:val="none"/>
              </w:rPr>
              <w:t>分）</w:t>
            </w:r>
          </w:p>
        </w:tc>
        <w:tc>
          <w:tcPr>
            <w:tcW w:w="5260" w:type="dxa"/>
            <w:vAlign w:val="center"/>
          </w:tcPr>
          <w:p w14:paraId="4F312A6A">
            <w:pPr>
              <w:adjustRightInd w:val="0"/>
              <w:snapToGrid w:val="0"/>
              <w:spacing w:line="0" w:lineRule="atLeast"/>
              <w:jc w:val="left"/>
              <w:rPr>
                <w:rFonts w:hint="default" w:ascii="宋体" w:hAnsi="宋体" w:eastAsia="宋体" w:cs="宋体"/>
                <w:highlight w:val="none"/>
                <w:lang w:val="en-US" w:eastAsia="zh-CN"/>
              </w:rPr>
            </w:pPr>
            <w:r>
              <w:rPr>
                <w:rFonts w:hint="eastAsia" w:ascii="宋体" w:hAnsi="宋体" w:cs="宋体"/>
                <w:szCs w:val="21"/>
                <w:highlight w:val="none"/>
              </w:rPr>
              <w:t>供应商最后报价等于评审基准价时得满分。其他报价得分=（评审基准价/最后报价）×</w:t>
            </w:r>
            <w:r>
              <w:rPr>
                <w:rFonts w:hint="eastAsia" w:ascii="宋体" w:hAnsi="宋体" w:cs="宋体"/>
                <w:szCs w:val="21"/>
                <w:highlight w:val="none"/>
                <w:lang w:val="en-US" w:eastAsia="zh-CN"/>
              </w:rPr>
              <w:t>30</w:t>
            </w:r>
          </w:p>
        </w:tc>
        <w:tc>
          <w:tcPr>
            <w:tcW w:w="817" w:type="dxa"/>
            <w:vAlign w:val="center"/>
          </w:tcPr>
          <w:p w14:paraId="3E164313">
            <w:pPr>
              <w:widowControl/>
              <w:adjustRightInd w:val="0"/>
              <w:snapToGrid w:val="0"/>
              <w:jc w:val="center"/>
              <w:rPr>
                <w:rFonts w:hint="default" w:ascii="宋体" w:hAnsi="宋体" w:eastAsia="宋体" w:cs="宋体"/>
                <w:highlight w:val="none"/>
                <w:lang w:val="en-US" w:eastAsia="zh-CN"/>
              </w:rPr>
            </w:pPr>
            <w:r>
              <w:rPr>
                <w:rFonts w:hint="eastAsia" w:ascii="宋体" w:hAnsi="宋体" w:cs="宋体"/>
                <w:highlight w:val="none"/>
              </w:rPr>
              <w:t>0-</w:t>
            </w:r>
            <w:r>
              <w:rPr>
                <w:rFonts w:hint="eastAsia" w:ascii="宋体" w:hAnsi="宋体" w:cs="宋体"/>
                <w:highlight w:val="none"/>
                <w:lang w:val="en-US" w:eastAsia="zh-CN"/>
              </w:rPr>
              <w:t>30</w:t>
            </w:r>
          </w:p>
        </w:tc>
        <w:tc>
          <w:tcPr>
            <w:tcW w:w="855" w:type="dxa"/>
            <w:vAlign w:val="center"/>
          </w:tcPr>
          <w:p w14:paraId="65004ED9">
            <w:pPr>
              <w:widowControl/>
              <w:adjustRightInd w:val="0"/>
              <w:snapToGrid w:val="0"/>
              <w:jc w:val="center"/>
              <w:rPr>
                <w:rFonts w:hint="eastAsia" w:ascii="宋体" w:hAnsi="宋体" w:cs="宋体"/>
                <w:highlight w:val="none"/>
              </w:rPr>
            </w:pPr>
            <w:r>
              <w:rPr>
                <w:rFonts w:hint="eastAsia" w:ascii="宋体" w:hAnsi="宋体" w:eastAsia="宋体" w:cs="宋体"/>
                <w:sz w:val="21"/>
                <w:szCs w:val="21"/>
                <w:highlight w:val="none"/>
                <w:lang w:val="en-US" w:eastAsia="zh-CN"/>
              </w:rPr>
              <w:t>客观项</w:t>
            </w:r>
          </w:p>
        </w:tc>
      </w:tr>
      <w:tr w14:paraId="2EEB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0" w:type="dxa"/>
            <w:vMerge w:val="restart"/>
            <w:vAlign w:val="center"/>
          </w:tcPr>
          <w:p w14:paraId="0AB4CFA6">
            <w:pPr>
              <w:adjustRightInd w:val="0"/>
              <w:snapToGrid w:val="0"/>
              <w:jc w:val="center"/>
              <w:rPr>
                <w:rFonts w:ascii="宋体" w:hAnsi="宋体" w:cs="宋体"/>
                <w:highlight w:val="none"/>
              </w:rPr>
            </w:pPr>
            <w:r>
              <w:rPr>
                <w:rFonts w:hint="eastAsia" w:ascii="宋体" w:hAnsi="宋体" w:cs="宋体"/>
                <w:highlight w:val="none"/>
              </w:rPr>
              <w:t>2.2.4（2）</w:t>
            </w:r>
          </w:p>
        </w:tc>
        <w:tc>
          <w:tcPr>
            <w:tcW w:w="1149" w:type="dxa"/>
            <w:vMerge w:val="restart"/>
            <w:vAlign w:val="center"/>
          </w:tcPr>
          <w:p w14:paraId="2710AE5C">
            <w:pPr>
              <w:adjustRightInd w:val="0"/>
              <w:snapToGrid w:val="0"/>
              <w:jc w:val="center"/>
              <w:rPr>
                <w:rFonts w:ascii="宋体" w:hAnsi="宋体" w:cs="宋体"/>
                <w:szCs w:val="21"/>
                <w:highlight w:val="none"/>
              </w:rPr>
            </w:pPr>
            <w:r>
              <w:rPr>
                <w:rFonts w:hint="eastAsia" w:ascii="宋体" w:hAnsi="宋体" w:cs="宋体"/>
                <w:szCs w:val="21"/>
                <w:highlight w:val="none"/>
              </w:rPr>
              <w:t>商务部分</w:t>
            </w:r>
          </w:p>
          <w:p w14:paraId="31A10C7B">
            <w:pPr>
              <w:adjustRightInd w:val="0"/>
              <w:snapToGrid w:val="0"/>
              <w:jc w:val="center"/>
              <w:rPr>
                <w:rFonts w:ascii="宋体" w:hAnsi="宋体" w:cs="宋体"/>
                <w:highlight w:val="none"/>
              </w:rPr>
            </w:pPr>
            <w:r>
              <w:rPr>
                <w:rFonts w:hint="eastAsia" w:ascii="宋体" w:hAnsi="宋体" w:cs="宋体"/>
                <w:szCs w:val="21"/>
                <w:highlight w:val="none"/>
              </w:rPr>
              <w:t>（</w:t>
            </w:r>
            <w:r>
              <w:rPr>
                <w:rFonts w:hint="eastAsia" w:ascii="宋体" w:hAnsi="宋体" w:cs="宋体"/>
                <w:szCs w:val="21"/>
                <w:highlight w:val="none"/>
                <w:lang w:val="en-US" w:eastAsia="zh-CN"/>
              </w:rPr>
              <w:t>15</w:t>
            </w:r>
            <w:r>
              <w:rPr>
                <w:rFonts w:hint="eastAsia" w:ascii="宋体" w:hAnsi="宋体" w:cs="宋体"/>
                <w:szCs w:val="21"/>
                <w:highlight w:val="none"/>
              </w:rPr>
              <w:t>分）</w:t>
            </w:r>
          </w:p>
        </w:tc>
        <w:tc>
          <w:tcPr>
            <w:tcW w:w="1480" w:type="dxa"/>
            <w:vAlign w:val="center"/>
          </w:tcPr>
          <w:p w14:paraId="163C5E0E">
            <w:pPr>
              <w:adjustRightInd w:val="0"/>
              <w:snapToGrid w:val="0"/>
              <w:jc w:val="center"/>
              <w:rPr>
                <w:rFonts w:ascii="宋体" w:hAnsi="宋体" w:cs="宋体"/>
                <w:szCs w:val="21"/>
                <w:highlight w:val="none"/>
              </w:rPr>
            </w:pPr>
            <w:r>
              <w:rPr>
                <w:rFonts w:hint="eastAsia" w:ascii="宋体" w:hAnsi="宋体" w:cs="宋体"/>
                <w:szCs w:val="21"/>
                <w:highlight w:val="none"/>
              </w:rPr>
              <w:t>类似项目业绩</w:t>
            </w:r>
          </w:p>
          <w:p w14:paraId="369B6308">
            <w:pPr>
              <w:adjustRightInd w:val="0"/>
              <w:snapToGrid w:val="0"/>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260" w:type="dxa"/>
            <w:tcBorders>
              <w:bottom w:val="single" w:color="auto" w:sz="4" w:space="0"/>
            </w:tcBorders>
            <w:vAlign w:val="center"/>
          </w:tcPr>
          <w:p w14:paraId="0920D791">
            <w:pPr>
              <w:adjustRightInd w:val="0"/>
              <w:snapToGrid w:val="0"/>
              <w:rPr>
                <w:rFonts w:ascii="宋体" w:hAnsi="宋体" w:cs="宋体"/>
                <w:szCs w:val="21"/>
                <w:highlight w:val="none"/>
              </w:rPr>
            </w:pPr>
            <w:r>
              <w:rPr>
                <w:rFonts w:hint="eastAsia" w:ascii="宋体" w:hAnsi="宋体" w:cs="宋体"/>
                <w:szCs w:val="21"/>
                <w:highlight w:val="none"/>
              </w:rPr>
              <w:t>近三年（20</w:t>
            </w:r>
            <w:r>
              <w:rPr>
                <w:rFonts w:hint="eastAsia" w:ascii="宋体" w:hAnsi="宋体" w:cs="宋体"/>
                <w:szCs w:val="21"/>
                <w:highlight w:val="none"/>
                <w:lang w:val="en-US" w:eastAsia="zh-CN"/>
              </w:rPr>
              <w:t>22</w:t>
            </w:r>
            <w:r>
              <w:rPr>
                <w:rFonts w:hint="eastAsia" w:ascii="宋体" w:hAnsi="宋体" w:cs="宋体"/>
                <w:szCs w:val="21"/>
                <w:highlight w:val="none"/>
              </w:rPr>
              <w:t>至今）具有与本项目相类似的</w:t>
            </w:r>
            <w:r>
              <w:rPr>
                <w:rFonts w:hint="eastAsia" w:ascii="宋体" w:hAnsi="宋体" w:cs="宋体"/>
                <w:szCs w:val="21"/>
                <w:highlight w:val="none"/>
                <w:lang w:val="en-US" w:eastAsia="zh-CN"/>
              </w:rPr>
              <w:t>企业</w:t>
            </w:r>
            <w:r>
              <w:rPr>
                <w:rFonts w:hint="eastAsia" w:ascii="宋体" w:hAnsi="宋体" w:cs="宋体"/>
                <w:szCs w:val="21"/>
                <w:highlight w:val="none"/>
              </w:rPr>
              <w:t>业绩，每提供一项得</w:t>
            </w:r>
            <w:r>
              <w:rPr>
                <w:rFonts w:hint="eastAsia" w:ascii="宋体" w:hAnsi="宋体" w:cs="宋体"/>
                <w:szCs w:val="21"/>
                <w:highlight w:val="none"/>
                <w:lang w:val="en-US" w:eastAsia="zh-CN"/>
              </w:rPr>
              <w:t>1</w:t>
            </w:r>
            <w:r>
              <w:rPr>
                <w:rFonts w:hint="eastAsia" w:ascii="宋体" w:hAnsi="宋体" w:cs="宋体"/>
                <w:szCs w:val="21"/>
                <w:highlight w:val="none"/>
              </w:rPr>
              <w:t>分，满分</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b/>
                <w:bCs/>
                <w:szCs w:val="21"/>
                <w:highlight w:val="none"/>
              </w:rPr>
              <w:t>响应文件内</w:t>
            </w:r>
            <w:r>
              <w:rPr>
                <w:rFonts w:hint="eastAsia" w:ascii="宋体" w:hAnsi="宋体" w:cs="宋体"/>
                <w:b/>
                <w:bCs/>
                <w:color w:val="000000"/>
                <w:szCs w:val="21"/>
                <w:highlight w:val="none"/>
              </w:rPr>
              <w:t>附</w:t>
            </w:r>
            <w:r>
              <w:rPr>
                <w:rFonts w:hint="eastAsia" w:ascii="宋体" w:hAnsi="宋体" w:cs="宋体"/>
                <w:b/>
                <w:bCs/>
                <w:color w:val="000000"/>
                <w:szCs w:val="21"/>
                <w:highlight w:val="none"/>
                <w:lang w:val="zh-CN"/>
              </w:rPr>
              <w:t>中标通知书或合同协议书或工程竣工验收证书</w:t>
            </w:r>
            <w:r>
              <w:rPr>
                <w:rFonts w:hint="eastAsia" w:ascii="宋体" w:hAnsi="宋体" w:cs="宋体"/>
                <w:b/>
                <w:bCs/>
                <w:color w:val="000000"/>
                <w:szCs w:val="21"/>
                <w:highlight w:val="none"/>
              </w:rPr>
              <w:t>复印件加盖公章</w:t>
            </w:r>
            <w:r>
              <w:rPr>
                <w:rFonts w:hint="eastAsia" w:ascii="宋体" w:hAnsi="宋体" w:cs="宋体"/>
                <w:color w:val="000000"/>
                <w:szCs w:val="21"/>
                <w:highlight w:val="none"/>
              </w:rPr>
              <w:t>。</w:t>
            </w:r>
          </w:p>
        </w:tc>
        <w:tc>
          <w:tcPr>
            <w:tcW w:w="817" w:type="dxa"/>
            <w:vAlign w:val="center"/>
          </w:tcPr>
          <w:p w14:paraId="6040F9AC">
            <w:pPr>
              <w:widowControl/>
              <w:adjustRightInd w:val="0"/>
              <w:snapToGrid w:val="0"/>
              <w:jc w:val="center"/>
              <w:rPr>
                <w:rFonts w:hint="default" w:ascii="宋体" w:hAnsi="宋体" w:eastAsia="宋体" w:cs="宋体"/>
                <w:kern w:val="0"/>
                <w:highlight w:val="none"/>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p>
        </w:tc>
        <w:tc>
          <w:tcPr>
            <w:tcW w:w="855" w:type="dxa"/>
            <w:vAlign w:val="center"/>
          </w:tcPr>
          <w:p w14:paraId="38FB5820">
            <w:pPr>
              <w:widowControl/>
              <w:adjustRightInd w:val="0"/>
              <w:snapToGrid w:val="0"/>
              <w:jc w:val="center"/>
              <w:rPr>
                <w:rFonts w:hint="eastAsia" w:ascii="宋体" w:hAnsi="宋体" w:cs="宋体"/>
                <w:szCs w:val="21"/>
                <w:highlight w:val="none"/>
              </w:rPr>
            </w:pPr>
            <w:r>
              <w:rPr>
                <w:rFonts w:hint="eastAsia" w:ascii="宋体" w:hAnsi="宋体" w:eastAsia="宋体" w:cs="宋体"/>
                <w:sz w:val="21"/>
                <w:szCs w:val="21"/>
                <w:highlight w:val="none"/>
                <w:lang w:val="en-US" w:eastAsia="zh-CN"/>
              </w:rPr>
              <w:t>客观项</w:t>
            </w:r>
          </w:p>
        </w:tc>
      </w:tr>
      <w:tr w14:paraId="7442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850" w:type="dxa"/>
            <w:vMerge w:val="continue"/>
            <w:vAlign w:val="center"/>
          </w:tcPr>
          <w:p w14:paraId="63AFDA05">
            <w:pPr>
              <w:adjustRightInd w:val="0"/>
              <w:snapToGrid w:val="0"/>
              <w:jc w:val="center"/>
              <w:rPr>
                <w:rFonts w:ascii="宋体" w:hAnsi="宋体" w:cs="宋体"/>
                <w:highlight w:val="none"/>
              </w:rPr>
            </w:pPr>
          </w:p>
        </w:tc>
        <w:tc>
          <w:tcPr>
            <w:tcW w:w="1149" w:type="dxa"/>
            <w:vMerge w:val="continue"/>
            <w:vAlign w:val="center"/>
          </w:tcPr>
          <w:p w14:paraId="79B76E90">
            <w:pPr>
              <w:adjustRightInd w:val="0"/>
              <w:snapToGrid w:val="0"/>
              <w:jc w:val="center"/>
              <w:rPr>
                <w:rFonts w:ascii="宋体" w:hAnsi="宋体" w:cs="宋体"/>
                <w:szCs w:val="21"/>
                <w:highlight w:val="none"/>
              </w:rPr>
            </w:pPr>
          </w:p>
        </w:tc>
        <w:tc>
          <w:tcPr>
            <w:tcW w:w="1480" w:type="dxa"/>
            <w:vAlign w:val="center"/>
          </w:tcPr>
          <w:p w14:paraId="306A3BEF">
            <w:pPr>
              <w:adjustRightInd w:val="0"/>
              <w:snapToGrid w:val="0"/>
              <w:jc w:val="center"/>
              <w:rPr>
                <w:rFonts w:ascii="宋体" w:hAnsi="宋体" w:cs="宋体"/>
                <w:szCs w:val="21"/>
                <w:highlight w:val="none"/>
              </w:rPr>
            </w:pPr>
            <w:r>
              <w:rPr>
                <w:rFonts w:hint="eastAsia" w:ascii="宋体" w:hAnsi="宋体" w:cs="宋体"/>
                <w:szCs w:val="21"/>
                <w:highlight w:val="none"/>
              </w:rPr>
              <w:t>项目经理业绩</w:t>
            </w:r>
          </w:p>
          <w:p w14:paraId="118D57BE">
            <w:pPr>
              <w:adjustRightInd w:val="0"/>
              <w:snapToGrid w:val="0"/>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5260" w:type="dxa"/>
            <w:tcBorders>
              <w:bottom w:val="single" w:color="auto" w:sz="4" w:space="0"/>
            </w:tcBorders>
            <w:vAlign w:val="center"/>
          </w:tcPr>
          <w:p w14:paraId="3C5870CF">
            <w:pPr>
              <w:adjustRightInd w:val="0"/>
              <w:snapToGrid w:val="0"/>
              <w:rPr>
                <w:rFonts w:ascii="宋体" w:hAnsi="宋体" w:cs="宋体"/>
                <w:szCs w:val="21"/>
                <w:highlight w:val="none"/>
              </w:rPr>
            </w:pPr>
            <w:r>
              <w:rPr>
                <w:rFonts w:hint="eastAsia" w:ascii="宋体" w:hAnsi="宋体" w:cs="宋体"/>
                <w:szCs w:val="21"/>
                <w:highlight w:val="none"/>
              </w:rPr>
              <w:t>近</w:t>
            </w:r>
            <w:r>
              <w:rPr>
                <w:rFonts w:hint="eastAsia" w:ascii="宋体" w:hAnsi="宋体" w:cs="宋体"/>
                <w:szCs w:val="21"/>
                <w:highlight w:val="none"/>
                <w:lang w:val="en-US" w:eastAsia="zh-CN"/>
              </w:rPr>
              <w:t>三</w:t>
            </w:r>
            <w:r>
              <w:rPr>
                <w:rFonts w:hint="eastAsia" w:ascii="宋体" w:hAnsi="宋体" w:cs="宋体"/>
                <w:szCs w:val="21"/>
                <w:highlight w:val="none"/>
              </w:rPr>
              <w:t>年（20</w:t>
            </w:r>
            <w:r>
              <w:rPr>
                <w:rFonts w:hint="eastAsia" w:ascii="宋体" w:hAnsi="宋体" w:cs="宋体"/>
                <w:szCs w:val="21"/>
                <w:highlight w:val="none"/>
                <w:lang w:val="en-US" w:eastAsia="zh-CN"/>
              </w:rPr>
              <w:t>22</w:t>
            </w:r>
            <w:r>
              <w:rPr>
                <w:rFonts w:hint="eastAsia" w:ascii="宋体" w:hAnsi="宋体" w:cs="宋体"/>
                <w:szCs w:val="21"/>
                <w:highlight w:val="none"/>
              </w:rPr>
              <w:t>至今）承担过类似项目，每有一项得</w:t>
            </w:r>
            <w:r>
              <w:rPr>
                <w:rFonts w:hint="eastAsia" w:ascii="宋体" w:hAnsi="宋体" w:cs="宋体"/>
                <w:szCs w:val="21"/>
                <w:highlight w:val="none"/>
                <w:lang w:val="en-US" w:eastAsia="zh-CN"/>
              </w:rPr>
              <w:t>2</w:t>
            </w:r>
            <w:r>
              <w:rPr>
                <w:rFonts w:hint="eastAsia" w:ascii="宋体" w:hAnsi="宋体" w:cs="宋体"/>
                <w:szCs w:val="21"/>
                <w:highlight w:val="none"/>
              </w:rPr>
              <w:t>分，满分</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b/>
                <w:color w:val="000000"/>
                <w:szCs w:val="21"/>
                <w:highlight w:val="none"/>
              </w:rPr>
              <w:t>响应文件内附</w:t>
            </w:r>
            <w:r>
              <w:rPr>
                <w:rFonts w:hint="eastAsia" w:ascii="宋体" w:hAnsi="宋体" w:cs="宋体"/>
                <w:b/>
                <w:color w:val="000000"/>
                <w:szCs w:val="21"/>
                <w:highlight w:val="none"/>
                <w:lang w:val="zh-CN"/>
              </w:rPr>
              <w:t>中标通知书或合同协议书或工程竣工验收证书</w:t>
            </w:r>
            <w:r>
              <w:rPr>
                <w:rFonts w:hint="eastAsia" w:ascii="宋体" w:hAnsi="宋体" w:cs="宋体"/>
                <w:b/>
                <w:color w:val="000000"/>
                <w:szCs w:val="21"/>
                <w:highlight w:val="none"/>
              </w:rPr>
              <w:t>复印件加盖公章（须体现项目经理姓名）。</w:t>
            </w:r>
          </w:p>
        </w:tc>
        <w:tc>
          <w:tcPr>
            <w:tcW w:w="817" w:type="dxa"/>
            <w:vAlign w:val="center"/>
          </w:tcPr>
          <w:p w14:paraId="11B7236E">
            <w:pPr>
              <w:adjustRightInd w:val="0"/>
              <w:snapToGrid w:val="0"/>
              <w:jc w:val="center"/>
              <w:rPr>
                <w:rFonts w:hint="eastAsia" w:ascii="宋体" w:hAnsi="宋体" w:eastAsia="宋体" w:cs="宋体"/>
                <w:kern w:val="0"/>
                <w:highlight w:val="none"/>
                <w:lang w:val="en-US" w:eastAsia="zh-CN"/>
              </w:rPr>
            </w:pPr>
            <w:r>
              <w:rPr>
                <w:rFonts w:hint="eastAsia" w:ascii="宋体" w:hAnsi="宋体" w:cs="宋体"/>
                <w:kern w:val="0"/>
                <w:highlight w:val="none"/>
              </w:rPr>
              <w:t>0-</w:t>
            </w:r>
            <w:r>
              <w:rPr>
                <w:rFonts w:hint="eastAsia" w:ascii="宋体" w:hAnsi="宋体" w:cs="宋体"/>
                <w:kern w:val="0"/>
                <w:highlight w:val="none"/>
                <w:lang w:val="en-US" w:eastAsia="zh-CN"/>
              </w:rPr>
              <w:t>4</w:t>
            </w:r>
          </w:p>
        </w:tc>
        <w:tc>
          <w:tcPr>
            <w:tcW w:w="855" w:type="dxa"/>
            <w:vAlign w:val="center"/>
          </w:tcPr>
          <w:p w14:paraId="448B86D1">
            <w:pPr>
              <w:adjustRightInd w:val="0"/>
              <w:snapToGrid w:val="0"/>
              <w:jc w:val="center"/>
              <w:rPr>
                <w:rFonts w:hint="eastAsia" w:ascii="宋体" w:hAnsi="宋体" w:cs="宋体"/>
                <w:kern w:val="0"/>
                <w:highlight w:val="none"/>
              </w:rPr>
            </w:pPr>
            <w:r>
              <w:rPr>
                <w:rFonts w:hint="eastAsia" w:ascii="宋体" w:hAnsi="宋体" w:eastAsia="宋体" w:cs="宋体"/>
                <w:sz w:val="21"/>
                <w:szCs w:val="21"/>
                <w:highlight w:val="none"/>
                <w:lang w:val="en-US" w:eastAsia="zh-CN"/>
              </w:rPr>
              <w:t>客观项</w:t>
            </w:r>
          </w:p>
        </w:tc>
      </w:tr>
      <w:tr w14:paraId="4966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0" w:type="dxa"/>
            <w:vMerge w:val="continue"/>
            <w:vAlign w:val="center"/>
          </w:tcPr>
          <w:p w14:paraId="12FF15E9">
            <w:pPr>
              <w:adjustRightInd w:val="0"/>
              <w:snapToGrid w:val="0"/>
              <w:jc w:val="center"/>
              <w:rPr>
                <w:rFonts w:ascii="宋体" w:hAnsi="宋体" w:cs="宋体"/>
                <w:highlight w:val="none"/>
              </w:rPr>
            </w:pPr>
          </w:p>
        </w:tc>
        <w:tc>
          <w:tcPr>
            <w:tcW w:w="1149" w:type="dxa"/>
            <w:vMerge w:val="continue"/>
            <w:vAlign w:val="center"/>
          </w:tcPr>
          <w:p w14:paraId="362FAA2A">
            <w:pPr>
              <w:adjustRightInd w:val="0"/>
              <w:snapToGrid w:val="0"/>
              <w:jc w:val="center"/>
              <w:rPr>
                <w:rFonts w:ascii="宋体" w:hAnsi="宋体" w:cs="宋体"/>
                <w:highlight w:val="none"/>
              </w:rPr>
            </w:pPr>
          </w:p>
        </w:tc>
        <w:tc>
          <w:tcPr>
            <w:tcW w:w="1480" w:type="dxa"/>
            <w:vAlign w:val="center"/>
          </w:tcPr>
          <w:p w14:paraId="0B3940D8">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项目管理机构配置（</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5260" w:type="dxa"/>
            <w:tcBorders>
              <w:bottom w:val="single" w:color="auto" w:sz="4" w:space="0"/>
            </w:tcBorders>
            <w:vAlign w:val="center"/>
          </w:tcPr>
          <w:p w14:paraId="1FAE9D27">
            <w:pPr>
              <w:adjustRightInd w:val="0"/>
              <w:snapToGrid w:val="0"/>
              <w:rPr>
                <w:rFonts w:ascii="宋体" w:hAnsi="宋体" w:cs="宋体"/>
                <w:color w:val="auto"/>
                <w:szCs w:val="21"/>
                <w:highlight w:val="none"/>
              </w:rPr>
            </w:pPr>
            <w:r>
              <w:rPr>
                <w:rFonts w:hint="eastAsia" w:ascii="宋体" w:hAnsi="宋体" w:cs="宋体"/>
                <w:color w:val="auto"/>
                <w:szCs w:val="21"/>
                <w:highlight w:val="none"/>
              </w:rPr>
              <w:t>拟派出的项目管理机构中具有技术负责人、施工员、质量员、安全员、标准员、材料员、机械员、劳务员、资料员，上述岗位人员均提供得6分，每少一人减1分，最低得0分，</w:t>
            </w:r>
            <w:r>
              <w:rPr>
                <w:rFonts w:hint="eastAsia" w:ascii="宋体" w:hAnsi="宋体" w:cs="宋体"/>
                <w:b/>
                <w:bCs/>
                <w:color w:val="auto"/>
                <w:szCs w:val="21"/>
                <w:highlight w:val="none"/>
                <w:lang w:val="en-US" w:eastAsia="zh-CN"/>
              </w:rPr>
              <w:t>响应文件内附证书（</w:t>
            </w:r>
            <w:r>
              <w:rPr>
                <w:rFonts w:hint="eastAsia" w:ascii="宋体" w:hAnsi="宋体" w:cs="宋体"/>
                <w:b/>
                <w:bCs/>
                <w:color w:val="auto"/>
                <w:szCs w:val="21"/>
                <w:highlight w:val="none"/>
              </w:rPr>
              <w:t>技术负责人提供职称证书、其他人员提供岗位证</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及</w:t>
            </w:r>
            <w:r>
              <w:rPr>
                <w:rFonts w:hint="eastAsia" w:ascii="宋体" w:hAnsi="宋体" w:cs="宋体"/>
                <w:b/>
                <w:bCs/>
                <w:color w:val="auto"/>
                <w:szCs w:val="21"/>
                <w:highlight w:val="none"/>
                <w:lang w:val="en-US" w:eastAsia="zh-CN"/>
              </w:rPr>
              <w:t>递交响应文件截止时间前近半年任意一个月</w:t>
            </w:r>
            <w:r>
              <w:rPr>
                <w:rFonts w:hint="eastAsia" w:ascii="宋体" w:hAnsi="宋体" w:cs="宋体"/>
                <w:b/>
                <w:bCs/>
                <w:color w:val="auto"/>
                <w:szCs w:val="21"/>
                <w:highlight w:val="none"/>
              </w:rPr>
              <w:t>社保证明复印件加盖公章。</w:t>
            </w:r>
          </w:p>
        </w:tc>
        <w:tc>
          <w:tcPr>
            <w:tcW w:w="817" w:type="dxa"/>
            <w:vAlign w:val="center"/>
          </w:tcPr>
          <w:p w14:paraId="6E3D9C21">
            <w:pPr>
              <w:adjustRightInd w:val="0"/>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6</w:t>
            </w:r>
          </w:p>
        </w:tc>
        <w:tc>
          <w:tcPr>
            <w:tcW w:w="855" w:type="dxa"/>
            <w:vAlign w:val="center"/>
          </w:tcPr>
          <w:p w14:paraId="58FA0360">
            <w:pPr>
              <w:adjustRightInd w:val="0"/>
              <w:snapToGrid w:val="0"/>
              <w:jc w:val="center"/>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 xml:space="preserve">客观项 </w:t>
            </w:r>
          </w:p>
        </w:tc>
      </w:tr>
      <w:tr w14:paraId="5E08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50" w:type="dxa"/>
            <w:vMerge w:val="restart"/>
            <w:tcBorders>
              <w:top w:val="single" w:color="auto" w:sz="4" w:space="0"/>
              <w:left w:val="single" w:color="auto" w:sz="4" w:space="0"/>
              <w:right w:val="single" w:color="auto" w:sz="4" w:space="0"/>
            </w:tcBorders>
            <w:vAlign w:val="center"/>
          </w:tcPr>
          <w:p w14:paraId="5F066FB5">
            <w:pPr>
              <w:pStyle w:val="11"/>
              <w:jc w:val="center"/>
              <w:rPr>
                <w:highlight w:val="none"/>
              </w:rPr>
            </w:pPr>
            <w:r>
              <w:rPr>
                <w:rFonts w:hint="eastAsia" w:ascii="宋体" w:hAnsi="宋体" w:eastAsia="宋体" w:cs="宋体"/>
                <w:kern w:val="2"/>
                <w:sz w:val="21"/>
                <w:highlight w:val="none"/>
              </w:rPr>
              <w:t>2.2.4（3）</w:t>
            </w:r>
          </w:p>
        </w:tc>
        <w:tc>
          <w:tcPr>
            <w:tcW w:w="1149" w:type="dxa"/>
            <w:vMerge w:val="restart"/>
            <w:tcBorders>
              <w:top w:val="single" w:color="auto" w:sz="4" w:space="0"/>
              <w:left w:val="single" w:color="auto" w:sz="4" w:space="0"/>
              <w:right w:val="single" w:color="auto" w:sz="4" w:space="0"/>
            </w:tcBorders>
            <w:vAlign w:val="center"/>
          </w:tcPr>
          <w:p w14:paraId="1E9F03ED">
            <w:pPr>
              <w:adjustRightInd w:val="0"/>
              <w:snapToGrid w:val="0"/>
              <w:jc w:val="center"/>
              <w:rPr>
                <w:rFonts w:ascii="宋体" w:hAnsi="宋体" w:cs="宋体"/>
                <w:highlight w:val="none"/>
              </w:rPr>
            </w:pPr>
            <w:r>
              <w:rPr>
                <w:rFonts w:hint="eastAsia" w:ascii="宋体" w:hAnsi="宋体" w:cs="宋体"/>
                <w:szCs w:val="21"/>
                <w:highlight w:val="none"/>
              </w:rPr>
              <w:t>技术部分（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480" w:type="dxa"/>
            <w:tcBorders>
              <w:left w:val="single" w:color="auto" w:sz="4" w:space="0"/>
            </w:tcBorders>
            <w:shd w:val="clear" w:color="auto" w:fill="auto"/>
            <w:vAlign w:val="center"/>
          </w:tcPr>
          <w:p w14:paraId="2FC1CE44">
            <w:pPr>
              <w:adjustRightInd w:val="0"/>
              <w:snapToGrid w:val="0"/>
              <w:jc w:val="center"/>
              <w:rPr>
                <w:rFonts w:hint="eastAsia" w:ascii="宋体" w:hAnsi="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施工</w:t>
            </w:r>
            <w:r>
              <w:rPr>
                <w:rFonts w:hint="eastAsia" w:ascii="宋体" w:hAnsi="宋体" w:cs="宋体"/>
                <w:b w:val="0"/>
                <w:kern w:val="2"/>
                <w:sz w:val="21"/>
                <w:highlight w:val="none"/>
                <w:lang w:val="en-US" w:eastAsia="zh-CN" w:bidi="ar-SA"/>
              </w:rPr>
              <w:t>方案</w:t>
            </w:r>
            <w:r>
              <w:rPr>
                <w:rFonts w:hint="eastAsia" w:ascii="宋体" w:hAnsi="宋体" w:eastAsia="宋体" w:cs="宋体"/>
                <w:b w:val="0"/>
                <w:kern w:val="2"/>
                <w:sz w:val="21"/>
                <w:highlight w:val="none"/>
                <w:lang w:val="en-US" w:eastAsia="zh-CN" w:bidi="ar-SA"/>
              </w:rPr>
              <w:t>及</w:t>
            </w:r>
            <w:r>
              <w:rPr>
                <w:rFonts w:hint="eastAsia" w:ascii="宋体" w:hAnsi="宋体" w:cs="宋体"/>
                <w:b w:val="0"/>
                <w:kern w:val="2"/>
                <w:sz w:val="21"/>
                <w:highlight w:val="none"/>
                <w:lang w:val="en-US" w:eastAsia="zh-CN" w:bidi="ar-SA"/>
              </w:rPr>
              <w:t>技术措施</w:t>
            </w:r>
          </w:p>
          <w:p w14:paraId="08FD0191">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eastAsia="宋体" w:cs="宋体"/>
                <w:b w:val="0"/>
                <w:kern w:val="2"/>
                <w:sz w:val="21"/>
                <w:highlight w:val="none"/>
                <w:lang w:val="en-US" w:eastAsia="zh-CN" w:bidi="ar-SA"/>
              </w:rPr>
              <w:t>（</w:t>
            </w:r>
            <w:r>
              <w:rPr>
                <w:rFonts w:hint="eastAsia" w:ascii="宋体" w:hAnsi="宋体" w:cs="宋体"/>
                <w:b w:val="0"/>
                <w:kern w:val="2"/>
                <w:sz w:val="21"/>
                <w:highlight w:val="none"/>
                <w:lang w:val="en-US" w:eastAsia="zh-CN" w:bidi="ar-SA"/>
              </w:rPr>
              <w:t>6</w:t>
            </w:r>
            <w:r>
              <w:rPr>
                <w:rFonts w:hint="eastAsia" w:ascii="宋体" w:hAnsi="宋体" w:eastAsia="宋体" w:cs="宋体"/>
                <w:b w:val="0"/>
                <w:kern w:val="2"/>
                <w:sz w:val="21"/>
                <w:highlight w:val="none"/>
                <w:lang w:val="en-US" w:eastAsia="zh-CN" w:bidi="ar-SA"/>
              </w:rPr>
              <w:t>分）</w:t>
            </w:r>
          </w:p>
        </w:tc>
        <w:tc>
          <w:tcPr>
            <w:tcW w:w="5260" w:type="dxa"/>
            <w:tcBorders>
              <w:bottom w:val="single" w:color="auto" w:sz="4" w:space="0"/>
            </w:tcBorders>
            <w:shd w:val="clear" w:color="auto" w:fill="auto"/>
            <w:vAlign w:val="center"/>
          </w:tcPr>
          <w:p w14:paraId="41B10205">
            <w:pPr>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1.施工内容完整性</w:t>
            </w:r>
            <w:r>
              <w:rPr>
                <w:rFonts w:hint="eastAsia" w:ascii="宋体" w:hAnsi="宋体" w:cs="宋体"/>
                <w:b w:val="0"/>
                <w:kern w:val="2"/>
                <w:sz w:val="21"/>
                <w:highlight w:val="none"/>
                <w:lang w:val="en-US" w:eastAsia="zh-CN" w:bidi="ar-SA"/>
              </w:rPr>
              <w:t>，涵盖了采购文件要求的全部施工内容</w:t>
            </w:r>
            <w:r>
              <w:rPr>
                <w:rFonts w:hint="eastAsia" w:ascii="宋体" w:hAnsi="宋体" w:eastAsia="宋体" w:cs="宋体"/>
                <w:b w:val="0"/>
                <w:kern w:val="2"/>
                <w:sz w:val="21"/>
                <w:highlight w:val="none"/>
                <w:lang w:val="en-US" w:eastAsia="zh-CN" w:bidi="ar-SA"/>
              </w:rPr>
              <w:t>，无遗漏项</w:t>
            </w:r>
            <w:r>
              <w:rPr>
                <w:rFonts w:hint="eastAsia" w:ascii="宋体" w:hAnsi="宋体" w:cs="宋体"/>
                <w:b w:val="0"/>
                <w:kern w:val="2"/>
                <w:sz w:val="21"/>
                <w:highlight w:val="none"/>
                <w:lang w:val="en-US" w:eastAsia="zh-CN" w:bidi="ar-SA"/>
              </w:rPr>
              <w:t>，</w:t>
            </w:r>
            <w:r>
              <w:rPr>
                <w:rFonts w:hint="eastAsia" w:ascii="宋体" w:hAnsi="宋体" w:eastAsia="宋体" w:cs="宋体"/>
                <w:b w:val="0"/>
                <w:kern w:val="2"/>
                <w:sz w:val="21"/>
                <w:highlight w:val="none"/>
                <w:lang w:val="en-US" w:eastAsia="zh-CN" w:bidi="ar-SA"/>
              </w:rPr>
              <w:t>满分 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 xml:space="preserve">。 </w:t>
            </w:r>
          </w:p>
          <w:p w14:paraId="5E438E0E">
            <w:pPr>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2.施工方法适用性</w:t>
            </w:r>
            <w:r>
              <w:rPr>
                <w:rFonts w:hint="eastAsia" w:ascii="宋体" w:hAnsi="宋体" w:cs="宋体"/>
                <w:b w:val="0"/>
                <w:kern w:val="2"/>
                <w:sz w:val="21"/>
                <w:highlight w:val="none"/>
                <w:lang w:val="en-US" w:eastAsia="zh-CN" w:bidi="ar-SA"/>
              </w:rPr>
              <w:t>（施工方法与工程特点、施工条件完全匹配）、先进性（采用新技术、新工艺、新设备的情况，以及对提高工程质量和效率的作用）</w:t>
            </w:r>
            <w:r>
              <w:rPr>
                <w:rFonts w:hint="eastAsia" w:ascii="宋体" w:hAnsi="宋体" w:eastAsia="宋体" w:cs="宋体"/>
                <w:b w:val="0"/>
                <w:kern w:val="2"/>
                <w:sz w:val="21"/>
                <w:highlight w:val="none"/>
                <w:lang w:val="en-US" w:eastAsia="zh-CN" w:bidi="ar-SA"/>
              </w:rPr>
              <w:t>，满分2分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 xml:space="preserve">。 </w:t>
            </w:r>
          </w:p>
          <w:p w14:paraId="12F238EB">
            <w:pPr>
              <w:adjustRightInd w:val="0"/>
              <w:snapToGrid w:val="0"/>
              <w:rPr>
                <w:rFonts w:hint="eastAsia" w:ascii="宋体" w:hAnsi="宋体" w:eastAsia="宋体" w:cs="宋体"/>
                <w:b w:val="0"/>
                <w:color w:val="auto"/>
                <w:kern w:val="2"/>
                <w:sz w:val="21"/>
                <w:highlight w:val="none"/>
                <w:lang w:val="en-US" w:eastAsia="zh-CN" w:bidi="ar-SA"/>
              </w:rPr>
            </w:pPr>
            <w:r>
              <w:rPr>
                <w:rFonts w:hint="eastAsia" w:ascii="宋体" w:hAnsi="宋体" w:eastAsia="宋体" w:cs="宋体"/>
                <w:b w:val="0"/>
                <w:kern w:val="2"/>
                <w:sz w:val="21"/>
                <w:highlight w:val="none"/>
                <w:lang w:val="en-US" w:eastAsia="zh-CN" w:bidi="ar-SA"/>
              </w:rPr>
              <w:t>3.施工流程完整性</w:t>
            </w:r>
            <w:r>
              <w:rPr>
                <w:rFonts w:hint="eastAsia" w:ascii="宋体" w:hAnsi="宋体" w:cs="宋体"/>
                <w:b w:val="0"/>
                <w:kern w:val="2"/>
                <w:sz w:val="21"/>
                <w:highlight w:val="none"/>
                <w:lang w:val="en-US" w:eastAsia="zh-CN" w:bidi="ar-SA"/>
              </w:rPr>
              <w:t>（涵盖了从施工准备到竣工验收的所有必要环节）、工序衔接流畅性（相邻工序之间的交接顺畅，不存在等待时间过长或交叉作业冲突等问题）</w:t>
            </w:r>
            <w:r>
              <w:rPr>
                <w:rFonts w:hint="eastAsia" w:ascii="宋体" w:hAnsi="宋体" w:eastAsia="宋体" w:cs="宋体"/>
                <w:b w:val="0"/>
                <w:color w:val="auto"/>
                <w:kern w:val="2"/>
                <w:sz w:val="21"/>
                <w:highlight w:val="none"/>
                <w:lang w:val="en-US" w:eastAsia="zh-CN" w:bidi="ar-SA"/>
              </w:rPr>
              <w:t>，满分2分</w:t>
            </w:r>
            <w:r>
              <w:rPr>
                <w:rFonts w:hint="eastAsia" w:ascii="宋体" w:hAnsi="宋体" w:cs="宋体"/>
                <w:b w:val="0"/>
                <w:color w:val="auto"/>
                <w:kern w:val="2"/>
                <w:sz w:val="21"/>
                <w:highlight w:val="none"/>
                <w:lang w:val="en-US" w:eastAsia="zh-CN" w:bidi="ar-SA"/>
              </w:rPr>
              <w:t>，无不得分</w:t>
            </w:r>
            <w:r>
              <w:rPr>
                <w:rFonts w:hint="eastAsia" w:ascii="宋体" w:hAnsi="宋体" w:eastAsia="宋体" w:cs="宋体"/>
                <w:b w:val="0"/>
                <w:color w:val="auto"/>
                <w:kern w:val="2"/>
                <w:sz w:val="21"/>
                <w:highlight w:val="none"/>
                <w:lang w:val="en-US" w:eastAsia="zh-CN" w:bidi="ar-SA"/>
              </w:rPr>
              <w:t xml:space="preserve">。 </w:t>
            </w:r>
          </w:p>
          <w:p w14:paraId="3858DF7D">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4D19E78F">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331BA947">
            <w:pPr>
              <w:adjustRightInd w:val="0"/>
              <w:snapToGrid w:val="0"/>
              <w:jc w:val="center"/>
              <w:rPr>
                <w:rFonts w:hint="default" w:ascii="宋体" w:hAnsi="宋体" w:eastAsia="宋体" w:cs="宋体"/>
                <w:kern w:val="2"/>
                <w:sz w:val="21"/>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6</w:t>
            </w:r>
          </w:p>
        </w:tc>
        <w:tc>
          <w:tcPr>
            <w:tcW w:w="855" w:type="dxa"/>
            <w:shd w:val="clear" w:color="auto" w:fill="auto"/>
            <w:vAlign w:val="center"/>
          </w:tcPr>
          <w:p w14:paraId="64028B64">
            <w:pPr>
              <w:adjustRightInd w:val="0"/>
              <w:snapToGrid w:val="0"/>
              <w:jc w:val="center"/>
              <w:rPr>
                <w:rFonts w:hint="eastAsia" w:ascii="宋体" w:hAnsi="宋体" w:eastAsia="宋体" w:cs="宋体"/>
                <w:kern w:val="2"/>
                <w:sz w:val="21"/>
                <w:highlight w:val="none"/>
                <w:lang w:val="en-US" w:eastAsia="zh-CN" w:bidi="ar-SA"/>
              </w:rPr>
            </w:pPr>
            <w:r>
              <w:rPr>
                <w:rFonts w:hint="eastAsia" w:ascii="宋体" w:hAnsi="宋体" w:eastAsia="宋体" w:cs="宋体"/>
                <w:sz w:val="21"/>
                <w:szCs w:val="21"/>
                <w:highlight w:val="none"/>
                <w:lang w:val="en-US" w:eastAsia="zh-CN"/>
              </w:rPr>
              <w:t>主观项</w:t>
            </w:r>
          </w:p>
        </w:tc>
      </w:tr>
      <w:tr w14:paraId="13EF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50" w:type="dxa"/>
            <w:vMerge w:val="continue"/>
            <w:tcBorders>
              <w:left w:val="single" w:color="auto" w:sz="4" w:space="0"/>
              <w:right w:val="single" w:color="auto" w:sz="4" w:space="0"/>
            </w:tcBorders>
            <w:vAlign w:val="center"/>
          </w:tcPr>
          <w:p w14:paraId="3F97A2B2">
            <w:pPr>
              <w:pStyle w:val="11"/>
              <w:jc w:val="center"/>
              <w:rPr>
                <w:rFonts w:hint="eastAsia" w:ascii="宋体" w:hAnsi="宋体" w:eastAsia="宋体" w:cs="宋体"/>
                <w:kern w:val="2"/>
                <w:sz w:val="21"/>
                <w:highlight w:val="none"/>
              </w:rPr>
            </w:pPr>
          </w:p>
        </w:tc>
        <w:tc>
          <w:tcPr>
            <w:tcW w:w="1149" w:type="dxa"/>
            <w:vMerge w:val="continue"/>
            <w:tcBorders>
              <w:left w:val="single" w:color="auto" w:sz="4" w:space="0"/>
              <w:right w:val="single" w:color="auto" w:sz="4" w:space="0"/>
            </w:tcBorders>
            <w:vAlign w:val="center"/>
          </w:tcPr>
          <w:p w14:paraId="67C13C5E">
            <w:pPr>
              <w:adjustRightInd w:val="0"/>
              <w:snapToGrid w:val="0"/>
              <w:jc w:val="center"/>
              <w:rPr>
                <w:rFonts w:hint="eastAsia" w:ascii="宋体" w:hAnsi="宋体" w:cs="宋体"/>
                <w:szCs w:val="21"/>
                <w:highlight w:val="none"/>
              </w:rPr>
            </w:pPr>
          </w:p>
        </w:tc>
        <w:tc>
          <w:tcPr>
            <w:tcW w:w="1480" w:type="dxa"/>
            <w:tcBorders>
              <w:left w:val="single" w:color="auto" w:sz="4" w:space="0"/>
            </w:tcBorders>
            <w:shd w:val="clear" w:color="auto" w:fill="auto"/>
            <w:vAlign w:val="center"/>
          </w:tcPr>
          <w:p w14:paraId="268609CB">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cs="宋体"/>
                <w:highlight w:val="none"/>
              </w:rPr>
              <w:t>质量</w:t>
            </w:r>
            <w:r>
              <w:rPr>
                <w:rFonts w:hint="eastAsia" w:ascii="宋体" w:hAnsi="宋体" w:cs="宋体"/>
                <w:highlight w:val="none"/>
                <w:lang w:val="en-US" w:eastAsia="zh-CN"/>
              </w:rPr>
              <w:t>管理体系和措施</w:t>
            </w:r>
            <w:r>
              <w:rPr>
                <w:rFonts w:hint="eastAsia" w:ascii="宋体" w:hAnsi="宋体" w:eastAsia="宋体" w:cs="宋体"/>
                <w:b w:val="0"/>
                <w:kern w:val="2"/>
                <w:sz w:val="21"/>
                <w:highlight w:val="none"/>
                <w:lang w:val="zh-CN" w:eastAsia="zh-CN" w:bidi="ar-SA"/>
              </w:rPr>
              <w:t>（</w:t>
            </w:r>
            <w:r>
              <w:rPr>
                <w:rFonts w:hint="eastAsia" w:ascii="宋体" w:hAnsi="宋体" w:eastAsia="宋体" w:cs="宋体"/>
                <w:b w:val="0"/>
                <w:kern w:val="2"/>
                <w:sz w:val="21"/>
                <w:highlight w:val="none"/>
                <w:lang w:val="en-US" w:eastAsia="zh-CN" w:bidi="ar-SA"/>
              </w:rPr>
              <w:t>6</w:t>
            </w:r>
            <w:r>
              <w:rPr>
                <w:rFonts w:hint="eastAsia" w:ascii="宋体" w:hAnsi="宋体" w:eastAsia="宋体" w:cs="宋体"/>
                <w:b w:val="0"/>
                <w:kern w:val="2"/>
                <w:sz w:val="21"/>
                <w:highlight w:val="none"/>
                <w:lang w:val="zh-CN" w:eastAsia="zh-CN" w:bidi="ar-SA"/>
              </w:rPr>
              <w:t>分）</w:t>
            </w:r>
          </w:p>
        </w:tc>
        <w:tc>
          <w:tcPr>
            <w:tcW w:w="5260" w:type="dxa"/>
            <w:tcBorders>
              <w:bottom w:val="single" w:color="auto" w:sz="4" w:space="0"/>
            </w:tcBorders>
            <w:shd w:val="clear" w:color="auto" w:fill="auto"/>
            <w:vAlign w:val="center"/>
          </w:tcPr>
          <w:p w14:paraId="40095AEF">
            <w:pPr>
              <w:adjustRightInd w:val="0"/>
              <w:snapToGrid w:val="0"/>
              <w:rPr>
                <w:rFonts w:hint="eastAsia" w:ascii="宋体" w:hAnsi="宋体" w:eastAsia="宋体" w:cs="宋体"/>
                <w:highlight w:val="none"/>
              </w:rPr>
            </w:pPr>
            <w:r>
              <w:rPr>
                <w:rFonts w:hint="eastAsia" w:ascii="宋体" w:hAnsi="宋体" w:eastAsia="宋体" w:cs="宋体"/>
                <w:highlight w:val="none"/>
              </w:rPr>
              <w:t>1.建立质量管理组织机构，明确机构中各重要岗位的职 责，满分2分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r>
              <w:rPr>
                <w:rFonts w:hint="eastAsia" w:ascii="宋体" w:hAnsi="宋体" w:eastAsia="宋体" w:cs="宋体"/>
                <w:highlight w:val="none"/>
              </w:rPr>
              <w:t xml:space="preserve"> </w:t>
            </w:r>
          </w:p>
          <w:p w14:paraId="57C9454A">
            <w:pPr>
              <w:adjustRightInd w:val="0"/>
              <w:snapToGrid w:val="0"/>
              <w:rPr>
                <w:rFonts w:hint="eastAsia" w:ascii="宋体" w:hAnsi="宋体" w:eastAsia="宋体" w:cs="宋体"/>
                <w:highlight w:val="none"/>
              </w:rPr>
            </w:pPr>
            <w:r>
              <w:rPr>
                <w:rFonts w:hint="eastAsia" w:ascii="宋体" w:hAnsi="宋体" w:eastAsia="宋体" w:cs="宋体"/>
                <w:highlight w:val="none"/>
              </w:rPr>
              <w:t>2.制定有效措施，确保项目质量目标的实现，满分2分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r>
              <w:rPr>
                <w:rFonts w:hint="eastAsia" w:ascii="宋体" w:hAnsi="宋体" w:eastAsia="宋体" w:cs="宋体"/>
                <w:highlight w:val="none"/>
              </w:rPr>
              <w:t xml:space="preserve"> </w:t>
            </w:r>
          </w:p>
          <w:p w14:paraId="0357BF82">
            <w:pPr>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highlight w:val="none"/>
              </w:rPr>
              <w:t>3.建立质量或过程检查、验收以及质量责任制等相关制 度，对质量检查和验收标准做出规定，满分2分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p>
          <w:p w14:paraId="75D1EA23">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5EED5D21">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4DF0F75D">
            <w:pPr>
              <w:adjustRightInd w:val="0"/>
              <w:snapToGrid w:val="0"/>
              <w:jc w:val="center"/>
              <w:rPr>
                <w:rFonts w:hint="eastAsia" w:ascii="宋体" w:hAnsi="宋体" w:eastAsia="宋体" w:cs="宋体"/>
                <w:kern w:val="2"/>
                <w:sz w:val="21"/>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6</w:t>
            </w:r>
          </w:p>
        </w:tc>
        <w:tc>
          <w:tcPr>
            <w:tcW w:w="855" w:type="dxa"/>
            <w:shd w:val="clear" w:color="auto" w:fill="auto"/>
            <w:vAlign w:val="center"/>
          </w:tcPr>
          <w:p w14:paraId="522A9078">
            <w:pPr>
              <w:adjustRightInd w:val="0"/>
              <w:snapToGrid w:val="0"/>
              <w:jc w:val="center"/>
              <w:rPr>
                <w:rFonts w:hint="eastAsia" w:ascii="宋体" w:hAnsi="宋体" w:eastAsia="宋体" w:cs="宋体"/>
                <w:kern w:val="2"/>
                <w:sz w:val="21"/>
                <w:highlight w:val="none"/>
                <w:lang w:val="en-US" w:eastAsia="zh-CN" w:bidi="ar-SA"/>
              </w:rPr>
            </w:pPr>
            <w:r>
              <w:rPr>
                <w:rFonts w:hint="eastAsia" w:ascii="宋体" w:hAnsi="宋体" w:eastAsia="宋体" w:cs="宋体"/>
                <w:sz w:val="21"/>
                <w:szCs w:val="21"/>
                <w:highlight w:val="none"/>
                <w:lang w:val="en-US" w:eastAsia="zh-CN"/>
              </w:rPr>
              <w:t>主观项</w:t>
            </w:r>
          </w:p>
        </w:tc>
      </w:tr>
      <w:tr w14:paraId="25EA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5FA03D43">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51AF0663">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5C12D3A9">
            <w:pPr>
              <w:autoSpaceDE w:val="0"/>
              <w:autoSpaceDN w:val="0"/>
              <w:adjustRightInd w:val="0"/>
              <w:snapToGrid w:val="0"/>
              <w:jc w:val="center"/>
              <w:rPr>
                <w:rFonts w:hint="eastAsia" w:ascii="宋体" w:hAnsi="宋体" w:cs="宋体"/>
                <w:szCs w:val="21"/>
                <w:highlight w:val="none"/>
              </w:rPr>
            </w:pPr>
            <w:r>
              <w:rPr>
                <w:rFonts w:hint="eastAsia" w:ascii="宋体" w:hAnsi="宋体" w:cs="宋体"/>
                <w:szCs w:val="21"/>
                <w:highlight w:val="none"/>
              </w:rPr>
              <w:t>安全管理体系与措施</w:t>
            </w:r>
          </w:p>
          <w:p w14:paraId="410FDC75">
            <w:pPr>
              <w:autoSpaceDE w:val="0"/>
              <w:autoSpaceDN w:val="0"/>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kern w:val="2"/>
                <w:sz w:val="21"/>
                <w:highlight w:val="none"/>
                <w:lang w:val="zh-CN" w:eastAsia="zh-CN" w:bidi="ar-SA"/>
              </w:rPr>
              <w:t>（</w:t>
            </w:r>
            <w:r>
              <w:rPr>
                <w:rFonts w:hint="eastAsia" w:ascii="宋体" w:hAnsi="宋体" w:eastAsia="宋体" w:cs="宋体"/>
                <w:b w:val="0"/>
                <w:kern w:val="2"/>
                <w:sz w:val="21"/>
                <w:highlight w:val="none"/>
                <w:lang w:val="en-US" w:eastAsia="zh-CN" w:bidi="ar-SA"/>
              </w:rPr>
              <w:t>6</w:t>
            </w:r>
            <w:r>
              <w:rPr>
                <w:rFonts w:hint="eastAsia" w:ascii="宋体" w:hAnsi="宋体" w:eastAsia="宋体" w:cs="宋体"/>
                <w:b w:val="0"/>
                <w:kern w:val="2"/>
                <w:sz w:val="21"/>
                <w:highlight w:val="none"/>
                <w:lang w:val="zh-CN" w:eastAsia="zh-CN" w:bidi="ar-SA"/>
              </w:rPr>
              <w:t>分）</w:t>
            </w:r>
          </w:p>
        </w:tc>
        <w:tc>
          <w:tcPr>
            <w:tcW w:w="5260" w:type="dxa"/>
            <w:tcBorders>
              <w:bottom w:val="single" w:color="auto" w:sz="4" w:space="0"/>
            </w:tcBorders>
            <w:shd w:val="clear" w:color="auto" w:fill="auto"/>
            <w:vAlign w:val="center"/>
          </w:tcPr>
          <w:p w14:paraId="3705EABB">
            <w:pPr>
              <w:adjustRightInd w:val="0"/>
              <w:snapToGrid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1.建立有管理层次的项目安全管理组织机构并明确职 责，建立具有针对性的安全生产管理体制和职工安全教 育培训计划，满分2分</w:t>
            </w:r>
            <w:r>
              <w:rPr>
                <w:rFonts w:hint="eastAsia" w:ascii="宋体" w:hAnsi="宋体" w:eastAsia="宋体" w:cs="宋体"/>
                <w:highlight w:val="none"/>
                <w:lang w:val="en-US" w:eastAsia="zh-CN"/>
              </w:rPr>
              <w:t>，无不得分</w:t>
            </w:r>
            <w:r>
              <w:rPr>
                <w:rFonts w:hint="default" w:ascii="宋体" w:hAnsi="宋体" w:eastAsia="宋体" w:cs="宋体"/>
                <w:highlight w:val="none"/>
                <w:lang w:val="en-US" w:eastAsia="zh-CN"/>
              </w:rPr>
              <w:t xml:space="preserve">。 </w:t>
            </w:r>
          </w:p>
          <w:p w14:paraId="0B97F1E0">
            <w:pPr>
              <w:adjustRightInd w:val="0"/>
              <w:snapToGrid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2.针对项目重要危险源，制定相应的安全技术措施，满 分2分</w:t>
            </w:r>
            <w:r>
              <w:rPr>
                <w:rFonts w:hint="eastAsia" w:ascii="宋体" w:hAnsi="宋体" w:eastAsia="宋体" w:cs="宋体"/>
                <w:highlight w:val="none"/>
                <w:lang w:val="en-US" w:eastAsia="zh-CN"/>
              </w:rPr>
              <w:t>，无不得分</w:t>
            </w:r>
            <w:r>
              <w:rPr>
                <w:rFonts w:hint="default" w:ascii="宋体" w:hAnsi="宋体" w:eastAsia="宋体" w:cs="宋体"/>
                <w:highlight w:val="none"/>
                <w:lang w:val="en-US" w:eastAsia="zh-CN"/>
              </w:rPr>
              <w:t xml:space="preserve">。 </w:t>
            </w:r>
          </w:p>
          <w:p w14:paraId="7A72EEC1">
            <w:pPr>
              <w:adjustRightInd w:val="0"/>
              <w:snapToGrid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3.建立现场安全检查制度，并对安全事故的应急处理做 出预案，满分2分</w:t>
            </w:r>
            <w:r>
              <w:rPr>
                <w:rFonts w:hint="eastAsia" w:ascii="宋体" w:hAnsi="宋体" w:eastAsia="宋体" w:cs="宋体"/>
                <w:highlight w:val="none"/>
                <w:lang w:val="en-US" w:eastAsia="zh-CN"/>
              </w:rPr>
              <w:t>，无不得分</w:t>
            </w:r>
            <w:r>
              <w:rPr>
                <w:rFonts w:hint="default" w:ascii="宋体" w:hAnsi="宋体" w:eastAsia="宋体" w:cs="宋体"/>
                <w:highlight w:val="none"/>
                <w:lang w:val="en-US" w:eastAsia="zh-CN"/>
              </w:rPr>
              <w:t>。</w:t>
            </w:r>
          </w:p>
          <w:p w14:paraId="4254D8E6">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6799FA92">
            <w:pPr>
              <w:adjustRightInd w:val="0"/>
              <w:snapToGrid w:val="0"/>
              <w:rPr>
                <w:rFonts w:hint="eastAsia" w:ascii="宋体" w:hAnsi="宋体" w:eastAsia="宋体" w:cs="宋体"/>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0806AE29">
            <w:pPr>
              <w:adjustRightInd w:val="0"/>
              <w:snapToGrid w:val="0"/>
              <w:jc w:val="center"/>
              <w:rPr>
                <w:rFonts w:hint="eastAsia" w:ascii="宋体" w:hAnsi="宋体" w:eastAsia="宋体" w:cs="宋体"/>
                <w:kern w:val="2"/>
                <w:sz w:val="21"/>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6</w:t>
            </w:r>
          </w:p>
        </w:tc>
        <w:tc>
          <w:tcPr>
            <w:tcW w:w="855" w:type="dxa"/>
            <w:shd w:val="clear" w:color="auto" w:fill="auto"/>
            <w:vAlign w:val="center"/>
          </w:tcPr>
          <w:p w14:paraId="0C738384">
            <w:pPr>
              <w:adjustRightInd w:val="0"/>
              <w:snapToGrid w:val="0"/>
              <w:jc w:val="center"/>
              <w:rPr>
                <w:rFonts w:hint="eastAsia" w:ascii="宋体" w:hAnsi="宋体" w:eastAsia="宋体" w:cs="宋体"/>
                <w:kern w:val="2"/>
                <w:sz w:val="21"/>
                <w:highlight w:val="none"/>
                <w:lang w:val="en-US" w:eastAsia="zh-CN" w:bidi="ar-SA"/>
              </w:rPr>
            </w:pPr>
            <w:r>
              <w:rPr>
                <w:rFonts w:hint="eastAsia" w:ascii="宋体" w:hAnsi="宋体" w:eastAsia="宋体" w:cs="宋体"/>
                <w:sz w:val="21"/>
                <w:szCs w:val="21"/>
                <w:highlight w:val="none"/>
                <w:lang w:val="en-US" w:eastAsia="zh-CN"/>
              </w:rPr>
              <w:t>主观项</w:t>
            </w:r>
          </w:p>
        </w:tc>
      </w:tr>
      <w:tr w14:paraId="5436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7E4F1E57">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25B04046">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02636D57">
            <w:pPr>
              <w:keepNext w:val="0"/>
              <w:keepLines w:val="0"/>
              <w:pageBreakBefore w:val="0"/>
              <w:widowControl/>
              <w:kinsoku/>
              <w:wordWrap/>
              <w:overflowPunct/>
              <w:topLinePunct w:val="0"/>
              <w:autoSpaceDE/>
              <w:autoSpaceDN/>
              <w:bidi w:val="0"/>
              <w:adjustRightInd/>
              <w:snapToGrid/>
              <w:ind w:right="0"/>
              <w:jc w:val="center"/>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环境保护管理体系与措施</w:t>
            </w:r>
          </w:p>
          <w:p w14:paraId="0ADDE0C0">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zh-CN" w:eastAsia="zh-CN" w:bidi="ar-SA"/>
              </w:rPr>
              <w:t>（</w:t>
            </w:r>
            <w:r>
              <w:rPr>
                <w:rFonts w:hint="eastAsia" w:ascii="宋体" w:hAnsi="宋体" w:eastAsia="宋体" w:cs="宋体"/>
                <w:b w:val="0"/>
                <w:kern w:val="2"/>
                <w:sz w:val="21"/>
                <w:highlight w:val="none"/>
                <w:lang w:val="en-US" w:eastAsia="zh-CN" w:bidi="ar-SA"/>
              </w:rPr>
              <w:t>8</w:t>
            </w:r>
            <w:r>
              <w:rPr>
                <w:rFonts w:hint="eastAsia" w:ascii="宋体" w:hAnsi="宋体" w:eastAsia="宋体" w:cs="宋体"/>
                <w:b w:val="0"/>
                <w:kern w:val="2"/>
                <w:sz w:val="21"/>
                <w:highlight w:val="none"/>
                <w:lang w:val="zh-CN" w:eastAsia="zh-CN" w:bidi="ar-SA"/>
              </w:rPr>
              <w:t>分）</w:t>
            </w:r>
          </w:p>
        </w:tc>
        <w:tc>
          <w:tcPr>
            <w:tcW w:w="5260" w:type="dxa"/>
            <w:tcBorders>
              <w:bottom w:val="single" w:color="auto" w:sz="4" w:space="0"/>
            </w:tcBorders>
            <w:shd w:val="clear" w:color="auto" w:fill="auto"/>
            <w:vAlign w:val="center"/>
          </w:tcPr>
          <w:p w14:paraId="46F957DE">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1.制定项目环境管理目标以及组织机构，满分2分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 xml:space="preserve">。 </w:t>
            </w:r>
          </w:p>
          <w:p w14:paraId="7864A8F0">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2.根据项目特点，进行环境保护方面的资源配置，满分2 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 xml:space="preserve">。 </w:t>
            </w:r>
          </w:p>
          <w:p w14:paraId="7839AB75">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3.制定现场环境保护的控制措施，满分2分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 xml:space="preserve">。 </w:t>
            </w:r>
          </w:p>
          <w:p w14:paraId="7BB8A65C">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4.建立现场环境检查制度，并对环境事故的处理做出相 应规定，满分2分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p>
          <w:p w14:paraId="17F59570">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4F713F0F">
            <w:pPr>
              <w:autoSpaceDE w:val="0"/>
              <w:autoSpaceDN w:val="0"/>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467DD0E2">
            <w:pPr>
              <w:adjustRightInd w:val="0"/>
              <w:snapToGrid w:val="0"/>
              <w:jc w:val="center"/>
              <w:rPr>
                <w:rFonts w:hint="eastAsia" w:ascii="宋体" w:hAnsi="宋体" w:eastAsia="宋体" w:cs="宋体"/>
                <w:kern w:val="2"/>
                <w:sz w:val="21"/>
                <w:highlight w:val="none"/>
                <w:lang w:val="en-US" w:eastAsia="zh-CN" w:bidi="ar-SA"/>
              </w:rPr>
            </w:pPr>
            <w:r>
              <w:rPr>
                <w:rFonts w:hint="eastAsia" w:ascii="宋体" w:hAnsi="宋体" w:cs="宋体"/>
                <w:highlight w:val="none"/>
                <w:lang w:val="en-US" w:eastAsia="zh-CN"/>
              </w:rPr>
              <w:t>0-8</w:t>
            </w:r>
          </w:p>
        </w:tc>
        <w:tc>
          <w:tcPr>
            <w:tcW w:w="855" w:type="dxa"/>
            <w:shd w:val="clear" w:color="auto" w:fill="auto"/>
            <w:vAlign w:val="center"/>
          </w:tcPr>
          <w:p w14:paraId="4D63D2F9">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4EA6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5DAAF470">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4657EF48">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26D694F7">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宋体" w:hAnsi="宋体" w:eastAsia="宋体" w:cs="宋体"/>
                <w:b w:val="0"/>
                <w:kern w:val="2"/>
                <w:sz w:val="21"/>
                <w:highlight w:val="none"/>
                <w:lang w:val="en-US" w:eastAsia="zh-CN" w:bidi="ar-SA"/>
              </w:rPr>
            </w:pPr>
            <w:r>
              <w:rPr>
                <w:rFonts w:hint="eastAsia" w:ascii="宋体" w:hAnsi="宋体" w:eastAsia="宋体"/>
                <w:color w:val="auto"/>
                <w:sz w:val="21"/>
                <w:szCs w:val="21"/>
                <w:highlight w:val="none"/>
                <w:lang w:val="en-US" w:eastAsia="zh-CN"/>
              </w:rPr>
              <w:t>工程进度计划与措施</w:t>
            </w:r>
            <w:r>
              <w:rPr>
                <w:rFonts w:hint="eastAsia" w:ascii="宋体" w:hAnsi="宋体" w:eastAsia="宋体" w:cs="宋体"/>
                <w:b w:val="0"/>
                <w:kern w:val="2"/>
                <w:sz w:val="21"/>
                <w:highlight w:val="none"/>
                <w:lang w:val="zh-CN" w:eastAsia="zh-CN" w:bidi="ar-SA"/>
              </w:rPr>
              <w:t>（</w:t>
            </w:r>
            <w:r>
              <w:rPr>
                <w:rFonts w:hint="eastAsia" w:ascii="宋体" w:hAnsi="宋体" w:eastAsia="宋体" w:cs="宋体"/>
                <w:b w:val="0"/>
                <w:kern w:val="2"/>
                <w:sz w:val="21"/>
                <w:highlight w:val="none"/>
                <w:lang w:val="en-US" w:eastAsia="zh-CN" w:bidi="ar-SA"/>
              </w:rPr>
              <w:t>4</w:t>
            </w:r>
            <w:r>
              <w:rPr>
                <w:rFonts w:hint="eastAsia" w:ascii="宋体" w:hAnsi="宋体" w:eastAsia="宋体" w:cs="宋体"/>
                <w:b w:val="0"/>
                <w:kern w:val="2"/>
                <w:sz w:val="21"/>
                <w:highlight w:val="none"/>
                <w:lang w:val="zh-CN" w:eastAsia="zh-CN" w:bidi="ar-SA"/>
              </w:rPr>
              <w:t>分）</w:t>
            </w:r>
          </w:p>
        </w:tc>
        <w:tc>
          <w:tcPr>
            <w:tcW w:w="5260" w:type="dxa"/>
            <w:tcBorders>
              <w:bottom w:val="single" w:color="auto" w:sz="4" w:space="0"/>
            </w:tcBorders>
            <w:shd w:val="clear" w:color="auto" w:fill="auto"/>
            <w:vAlign w:val="center"/>
          </w:tcPr>
          <w:p w14:paraId="434BA4A8">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响应文件应按照进度计划列出横道图，标明各施工区段 及各工序之间时间和空间上的搭接关系、施工期限和开 始、结束时间，并对各工序人员、工种、数量、设备安 排做出详细说明，满分4分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p>
          <w:p w14:paraId="6A2081E3">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095BD7FC">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4E0DFB05">
            <w:pPr>
              <w:adjustRightInd w:val="0"/>
              <w:snapToGrid w:val="0"/>
              <w:jc w:val="center"/>
              <w:rPr>
                <w:rFonts w:hint="default" w:ascii="宋体" w:hAnsi="宋体" w:eastAsia="宋体" w:cs="宋体"/>
                <w:highlight w:val="none"/>
                <w:lang w:val="en-US" w:eastAsia="zh-CN"/>
              </w:rPr>
            </w:pPr>
            <w:r>
              <w:rPr>
                <w:rFonts w:hint="eastAsia" w:ascii="宋体" w:hAnsi="宋体" w:cs="宋体"/>
                <w:highlight w:val="none"/>
                <w:lang w:val="en-US" w:eastAsia="zh-CN"/>
              </w:rPr>
              <w:t>0-4</w:t>
            </w:r>
          </w:p>
        </w:tc>
        <w:tc>
          <w:tcPr>
            <w:tcW w:w="855" w:type="dxa"/>
            <w:shd w:val="clear" w:color="auto" w:fill="auto"/>
            <w:vAlign w:val="center"/>
          </w:tcPr>
          <w:p w14:paraId="6C6BC274">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主观项</w:t>
            </w:r>
          </w:p>
        </w:tc>
      </w:tr>
      <w:tr w14:paraId="261F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37844F77">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1FA34F28">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53D1947F">
            <w:pPr>
              <w:keepNext w:val="0"/>
              <w:keepLines w:val="0"/>
              <w:pageBreakBefore w:val="0"/>
              <w:widowControl/>
              <w:kinsoku/>
              <w:wordWrap/>
              <w:overflowPunct/>
              <w:topLinePunct w:val="0"/>
              <w:autoSpaceDE/>
              <w:autoSpaceDN/>
              <w:bidi w:val="0"/>
              <w:adjustRightInd/>
              <w:snapToGrid/>
              <w:ind w:right="0" w:rightChars="0"/>
              <w:jc w:val="center"/>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资源配备计划</w:t>
            </w:r>
            <w:r>
              <w:rPr>
                <w:rFonts w:hint="eastAsia" w:ascii="宋体" w:hAnsi="宋体" w:eastAsia="宋体" w:cs="宋体"/>
                <w:b w:val="0"/>
                <w:kern w:val="2"/>
                <w:sz w:val="21"/>
                <w:highlight w:val="none"/>
                <w:lang w:val="zh-CN" w:eastAsia="zh-CN" w:bidi="ar-SA"/>
              </w:rPr>
              <w:t>（</w:t>
            </w:r>
            <w:r>
              <w:rPr>
                <w:rFonts w:hint="eastAsia" w:ascii="宋体" w:hAnsi="宋体" w:eastAsia="宋体" w:cs="宋体"/>
                <w:b w:val="0"/>
                <w:kern w:val="2"/>
                <w:sz w:val="21"/>
                <w:highlight w:val="none"/>
                <w:lang w:val="en-US" w:eastAsia="zh-CN" w:bidi="ar-SA"/>
              </w:rPr>
              <w:t>4</w:t>
            </w:r>
            <w:r>
              <w:rPr>
                <w:rFonts w:hint="eastAsia" w:ascii="宋体" w:hAnsi="宋体" w:eastAsia="宋体" w:cs="宋体"/>
                <w:b w:val="0"/>
                <w:kern w:val="2"/>
                <w:sz w:val="21"/>
                <w:highlight w:val="none"/>
                <w:lang w:val="zh-CN" w:eastAsia="zh-CN" w:bidi="ar-SA"/>
              </w:rPr>
              <w:t>分）</w:t>
            </w:r>
          </w:p>
        </w:tc>
        <w:tc>
          <w:tcPr>
            <w:tcW w:w="5260" w:type="dxa"/>
            <w:tcBorders>
              <w:bottom w:val="single" w:color="auto" w:sz="4" w:space="0"/>
            </w:tcBorders>
            <w:shd w:val="clear" w:color="auto" w:fill="auto"/>
            <w:vAlign w:val="center"/>
          </w:tcPr>
          <w:p w14:paraId="408603FA">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olor w:val="auto"/>
                <w:sz w:val="21"/>
                <w:szCs w:val="21"/>
                <w:highlight w:val="none"/>
                <w:lang w:val="en-US" w:eastAsia="zh-CN"/>
              </w:rPr>
              <w:t>资源配备计划</w:t>
            </w:r>
            <w:r>
              <w:rPr>
                <w:rFonts w:hint="eastAsia" w:ascii="宋体" w:hAnsi="宋体" w:eastAsia="宋体" w:cs="宋体"/>
                <w:b w:val="0"/>
                <w:kern w:val="2"/>
                <w:sz w:val="21"/>
                <w:highlight w:val="none"/>
                <w:lang w:val="en-US" w:eastAsia="zh-CN" w:bidi="ar-SA"/>
              </w:rPr>
              <w:t>包括工程材料和设备配置计划、施工机具配置计划以及计量、测量和检验仪器配置计划等， 满分4分，无不得分。</w:t>
            </w:r>
          </w:p>
          <w:p w14:paraId="4A4936F5">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0647EA72">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189203F2">
            <w:pPr>
              <w:adjustRightInd w:val="0"/>
              <w:snapToGrid w:val="0"/>
              <w:jc w:val="center"/>
              <w:rPr>
                <w:rFonts w:hint="default" w:ascii="宋体" w:hAnsi="宋体" w:eastAsia="宋体" w:cs="宋体"/>
                <w:kern w:val="2"/>
                <w:sz w:val="21"/>
                <w:highlight w:val="none"/>
                <w:lang w:val="en-US" w:eastAsia="zh-CN" w:bidi="ar-SA"/>
              </w:rPr>
            </w:pPr>
            <w:r>
              <w:rPr>
                <w:rFonts w:hint="eastAsia" w:ascii="宋体" w:hAnsi="宋体" w:cs="宋体"/>
                <w:highlight w:val="none"/>
                <w:lang w:val="en-US" w:eastAsia="zh-CN"/>
              </w:rPr>
              <w:t>0-4</w:t>
            </w:r>
          </w:p>
        </w:tc>
        <w:tc>
          <w:tcPr>
            <w:tcW w:w="855" w:type="dxa"/>
            <w:shd w:val="clear" w:color="auto" w:fill="auto"/>
            <w:vAlign w:val="center"/>
          </w:tcPr>
          <w:p w14:paraId="35018DF4">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224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2C9D6C48">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58969CC9">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645B40DF">
            <w:pPr>
              <w:autoSpaceDE w:val="0"/>
              <w:autoSpaceDN w:val="0"/>
              <w:adjustRightInd w:val="0"/>
              <w:snapToGrid w:val="0"/>
              <w:jc w:val="center"/>
              <w:rPr>
                <w:rFonts w:hint="default" w:ascii="宋体" w:hAnsi="宋体" w:eastAsia="宋体" w:cs="宋体"/>
                <w:b w:val="0"/>
                <w:kern w:val="2"/>
                <w:sz w:val="21"/>
                <w:highlight w:val="none"/>
                <w:lang w:val="en-US" w:eastAsia="zh-CN" w:bidi="ar-SA"/>
              </w:rPr>
            </w:pPr>
            <w:r>
              <w:rPr>
                <w:rFonts w:hint="eastAsia" w:ascii="宋体" w:hAnsi="宋体"/>
                <w:color w:val="auto"/>
                <w:sz w:val="21"/>
                <w:szCs w:val="21"/>
                <w:highlight w:val="none"/>
                <w:lang w:val="en-US" w:eastAsia="zh-CN"/>
              </w:rPr>
              <w:t>成品保护和工程保修工作的管理措施和承诺（</w:t>
            </w:r>
            <w:r>
              <w:rPr>
                <w:rFonts w:hint="eastAsia" w:ascii="宋体" w:hAnsi="宋体" w:eastAsia="宋体" w:cs="宋体"/>
                <w:b w:val="0"/>
                <w:kern w:val="2"/>
                <w:sz w:val="21"/>
                <w:highlight w:val="none"/>
                <w:lang w:val="en-US" w:eastAsia="zh-CN" w:bidi="ar-SA"/>
              </w:rPr>
              <w:t>4</w:t>
            </w:r>
            <w:r>
              <w:rPr>
                <w:rFonts w:hint="eastAsia" w:ascii="宋体" w:hAnsi="宋体" w:eastAsia="宋体" w:cs="宋体"/>
                <w:b w:val="0"/>
                <w:kern w:val="2"/>
                <w:sz w:val="21"/>
                <w:highlight w:val="none"/>
                <w:lang w:val="zh-CN" w:eastAsia="zh-CN" w:bidi="ar-SA"/>
              </w:rPr>
              <w:t>分</w:t>
            </w:r>
            <w:r>
              <w:rPr>
                <w:rFonts w:hint="eastAsia" w:ascii="宋体" w:hAnsi="宋体"/>
                <w:color w:val="auto"/>
                <w:sz w:val="21"/>
                <w:szCs w:val="21"/>
                <w:highlight w:val="none"/>
                <w:lang w:val="en-US" w:eastAsia="zh-CN"/>
              </w:rPr>
              <w:t>）</w:t>
            </w:r>
          </w:p>
        </w:tc>
        <w:tc>
          <w:tcPr>
            <w:tcW w:w="5260" w:type="dxa"/>
            <w:tcBorders>
              <w:bottom w:val="single" w:color="auto" w:sz="4" w:space="0"/>
            </w:tcBorders>
            <w:shd w:val="clear" w:color="auto" w:fill="auto"/>
            <w:vAlign w:val="center"/>
          </w:tcPr>
          <w:p w14:paraId="18D8B9FD">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1.建立成品、半成品保护工作的组织机构，明确机构人 员职责，满分2分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 xml:space="preserve">。 </w:t>
            </w:r>
          </w:p>
          <w:p w14:paraId="7473292F">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eastAsia="宋体" w:cs="宋体"/>
                <w:b w:val="0"/>
                <w:kern w:val="2"/>
                <w:sz w:val="21"/>
                <w:highlight w:val="none"/>
                <w:lang w:val="en-US" w:eastAsia="zh-CN" w:bidi="ar-SA"/>
              </w:rPr>
              <w:t>2.建立成品、半成品保护相关的制度，杜绝成品交叉污 染、破坏等现象，满分2分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 xml:space="preserve">。 </w:t>
            </w:r>
          </w:p>
          <w:p w14:paraId="716A1D57">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562132D2">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42BE6692">
            <w:pPr>
              <w:adjustRightInd w:val="0"/>
              <w:snapToGrid w:val="0"/>
              <w:jc w:val="center"/>
              <w:rPr>
                <w:rFonts w:hint="default" w:ascii="宋体" w:hAnsi="宋体" w:eastAsia="宋体" w:cs="宋体"/>
                <w:kern w:val="2"/>
                <w:sz w:val="21"/>
                <w:highlight w:val="none"/>
                <w:lang w:val="en-US" w:eastAsia="zh-CN" w:bidi="ar-SA"/>
              </w:rPr>
            </w:pPr>
            <w:r>
              <w:rPr>
                <w:rFonts w:hint="eastAsia" w:ascii="宋体" w:hAnsi="宋体" w:cs="宋体"/>
                <w:highlight w:val="none"/>
                <w:lang w:val="en-US" w:eastAsia="zh-CN"/>
              </w:rPr>
              <w:t>0-4</w:t>
            </w:r>
          </w:p>
        </w:tc>
        <w:tc>
          <w:tcPr>
            <w:tcW w:w="855" w:type="dxa"/>
            <w:shd w:val="clear" w:color="auto" w:fill="auto"/>
            <w:vAlign w:val="center"/>
          </w:tcPr>
          <w:p w14:paraId="1D7D94CE">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05CE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3730F502">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0A265E82">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0DD6ED9C">
            <w:pPr>
              <w:autoSpaceDE w:val="0"/>
              <w:autoSpaceDN w:val="0"/>
              <w:adjustRightInd w:val="0"/>
              <w:snapToGrid w:val="0"/>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sz w:val="21"/>
                <w:szCs w:val="21"/>
                <w:highlight w:val="none"/>
                <w:lang w:val="en-US" w:eastAsia="zh-CN"/>
              </w:rPr>
              <w:t>紧急情况的处理措施、预案以及抵抗风险的措施（4</w:t>
            </w:r>
            <w:r>
              <w:rPr>
                <w:rFonts w:hint="eastAsia" w:ascii="宋体" w:hAnsi="宋体" w:eastAsia="宋体" w:cs="Times New Roman"/>
                <w:color w:val="auto"/>
                <w:sz w:val="21"/>
                <w:szCs w:val="21"/>
                <w:highlight w:val="none"/>
                <w:lang w:val="zh-CN" w:eastAsia="zh-CN"/>
              </w:rPr>
              <w:t>分</w:t>
            </w:r>
            <w:r>
              <w:rPr>
                <w:rFonts w:hint="eastAsia" w:ascii="宋体" w:hAnsi="宋体" w:eastAsia="宋体" w:cs="Times New Roman"/>
                <w:color w:val="auto"/>
                <w:sz w:val="21"/>
                <w:szCs w:val="21"/>
                <w:highlight w:val="none"/>
                <w:lang w:val="en-US" w:eastAsia="zh-CN"/>
              </w:rPr>
              <w:t>）</w:t>
            </w:r>
          </w:p>
        </w:tc>
        <w:tc>
          <w:tcPr>
            <w:tcW w:w="5260" w:type="dxa"/>
            <w:tcBorders>
              <w:bottom w:val="single" w:color="auto" w:sz="4" w:space="0"/>
            </w:tcBorders>
            <w:shd w:val="clear" w:color="auto" w:fill="auto"/>
            <w:vAlign w:val="center"/>
          </w:tcPr>
          <w:p w14:paraId="5B7251C4">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包括但不限于：紧急情况的应急预案、紧急情况的处理措施、抵抗风险的措施等</w:t>
            </w:r>
            <w:r>
              <w:rPr>
                <w:rFonts w:hint="eastAsia" w:ascii="宋体" w:hAnsi="宋体" w:eastAsia="宋体" w:cs="宋体"/>
                <w:b w:val="0"/>
                <w:kern w:val="2"/>
                <w:sz w:val="21"/>
                <w:highlight w:val="none"/>
                <w:lang w:val="en-US" w:eastAsia="zh-CN" w:bidi="ar-SA"/>
              </w:rPr>
              <w:t>，</w:t>
            </w:r>
            <w:r>
              <w:rPr>
                <w:rFonts w:hint="eastAsia" w:ascii="宋体" w:hAnsi="宋体" w:cs="宋体"/>
                <w:highlight w:val="none"/>
                <w:lang w:val="zh-CN"/>
              </w:rPr>
              <w:t>上述方案具有针对性和可行性、清晰明确、内容全面合理、满足采购人实际需求。</w:t>
            </w:r>
            <w:r>
              <w:rPr>
                <w:rFonts w:hint="eastAsia" w:ascii="宋体" w:hAnsi="宋体" w:cs="宋体"/>
                <w:highlight w:val="none"/>
                <w:lang w:val="en-US" w:eastAsia="zh-CN"/>
              </w:rPr>
              <w:t>满分4分，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p>
          <w:p w14:paraId="30D642C8">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384B0BCB">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42410A3D">
            <w:pPr>
              <w:adjustRightInd w:val="0"/>
              <w:snapToGrid w:val="0"/>
              <w:jc w:val="center"/>
              <w:rPr>
                <w:rFonts w:hint="default" w:ascii="宋体" w:hAnsi="宋体" w:eastAsia="宋体" w:cs="宋体"/>
                <w:kern w:val="2"/>
                <w:sz w:val="21"/>
                <w:highlight w:val="none"/>
                <w:lang w:val="en-US" w:eastAsia="zh-CN" w:bidi="ar-SA"/>
              </w:rPr>
            </w:pPr>
            <w:r>
              <w:rPr>
                <w:rFonts w:hint="eastAsia" w:ascii="宋体" w:hAnsi="宋体" w:cs="宋体"/>
                <w:highlight w:val="none"/>
                <w:lang w:val="en-US" w:eastAsia="zh-CN"/>
              </w:rPr>
              <w:t>0-4</w:t>
            </w:r>
          </w:p>
        </w:tc>
        <w:tc>
          <w:tcPr>
            <w:tcW w:w="855" w:type="dxa"/>
            <w:shd w:val="clear" w:color="auto" w:fill="auto"/>
            <w:vAlign w:val="center"/>
          </w:tcPr>
          <w:p w14:paraId="21A1CB99">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300B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7E400C51">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5B952ADA">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1264A434">
            <w:pPr>
              <w:autoSpaceDE w:val="0"/>
              <w:autoSpaceDN w:val="0"/>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施工现场平面图（</w:t>
            </w:r>
            <w:r>
              <w:rPr>
                <w:rFonts w:hint="eastAsia" w:ascii="宋体" w:hAnsi="宋体" w:cs="宋体"/>
                <w:b w:val="0"/>
                <w:kern w:val="2"/>
                <w:sz w:val="21"/>
                <w:highlight w:val="none"/>
                <w:lang w:val="en-US" w:eastAsia="zh-CN" w:bidi="ar-SA"/>
              </w:rPr>
              <w:t>4</w:t>
            </w:r>
            <w:r>
              <w:rPr>
                <w:rFonts w:hint="eastAsia" w:ascii="宋体" w:hAnsi="宋体" w:eastAsia="宋体" w:cs="宋体"/>
                <w:b w:val="0"/>
                <w:kern w:val="2"/>
                <w:sz w:val="21"/>
                <w:highlight w:val="none"/>
                <w:lang w:val="zh-CN" w:eastAsia="zh-CN" w:bidi="ar-SA"/>
              </w:rPr>
              <w:t>分</w:t>
            </w:r>
            <w:r>
              <w:rPr>
                <w:rFonts w:hint="eastAsia" w:ascii="宋体" w:hAnsi="宋体"/>
                <w:color w:val="auto"/>
                <w:sz w:val="21"/>
                <w:szCs w:val="21"/>
                <w:highlight w:val="none"/>
                <w:lang w:val="en-US" w:eastAsia="zh-CN"/>
              </w:rPr>
              <w:t>）</w:t>
            </w:r>
          </w:p>
        </w:tc>
        <w:tc>
          <w:tcPr>
            <w:tcW w:w="5260" w:type="dxa"/>
            <w:tcBorders>
              <w:bottom w:val="single" w:color="auto" w:sz="4" w:space="0"/>
            </w:tcBorders>
            <w:shd w:val="clear" w:color="auto" w:fill="auto"/>
            <w:vAlign w:val="center"/>
          </w:tcPr>
          <w:p w14:paraId="392F1457">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包括但不限于：</w:t>
            </w:r>
            <w:r>
              <w:rPr>
                <w:rFonts w:hint="eastAsia" w:ascii="宋体" w:hAnsi="宋体" w:eastAsia="宋体" w:cs="宋体"/>
                <w:b w:val="0"/>
                <w:kern w:val="2"/>
                <w:sz w:val="21"/>
                <w:highlight w:val="none"/>
                <w:lang w:val="en-US" w:eastAsia="zh-CN" w:bidi="ar-SA"/>
              </w:rPr>
              <w:t>场地布局合理性（各类区域划分清晰合理，避免相互干扰）、临时设施布置（临时办公室、宿舍、食堂、厕所等设施的数量和面积满足施工人员的基本生活和工作需求。临时水电线路的布置合理，符合安全规范，且不影响施工和人员通行），满分</w:t>
            </w:r>
            <w:r>
              <w:rPr>
                <w:rFonts w:hint="eastAsia" w:ascii="宋体" w:hAnsi="宋体" w:cs="宋体"/>
                <w:b w:val="0"/>
                <w:kern w:val="2"/>
                <w:sz w:val="21"/>
                <w:highlight w:val="none"/>
                <w:lang w:val="en-US" w:eastAsia="zh-CN" w:bidi="ar-SA"/>
              </w:rPr>
              <w:t>4</w:t>
            </w:r>
            <w:r>
              <w:rPr>
                <w:rFonts w:hint="eastAsia"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p>
          <w:p w14:paraId="4C272BDD">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516FBACA">
            <w:pPr>
              <w:autoSpaceDE w:val="0"/>
              <w:autoSpaceDN w:val="0"/>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7AAAB60A">
            <w:pPr>
              <w:adjustRightInd w:val="0"/>
              <w:snapToGrid w:val="0"/>
              <w:jc w:val="center"/>
              <w:rPr>
                <w:rFonts w:hint="default" w:ascii="宋体" w:hAnsi="宋体" w:eastAsia="宋体" w:cs="宋体"/>
                <w:kern w:val="2"/>
                <w:sz w:val="21"/>
                <w:highlight w:val="none"/>
                <w:lang w:val="en-US" w:eastAsia="zh-CN" w:bidi="ar-SA"/>
              </w:rPr>
            </w:pPr>
            <w:r>
              <w:rPr>
                <w:rFonts w:hint="eastAsia" w:ascii="宋体" w:hAnsi="宋体" w:cs="宋体"/>
                <w:highlight w:val="none"/>
                <w:lang w:val="en-US" w:eastAsia="zh-CN"/>
              </w:rPr>
              <w:t>0-4</w:t>
            </w:r>
          </w:p>
        </w:tc>
        <w:tc>
          <w:tcPr>
            <w:tcW w:w="855" w:type="dxa"/>
            <w:shd w:val="clear" w:color="auto" w:fill="auto"/>
            <w:vAlign w:val="center"/>
          </w:tcPr>
          <w:p w14:paraId="65A12315">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4C77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0" w:type="dxa"/>
            <w:vMerge w:val="continue"/>
            <w:tcBorders>
              <w:left w:val="single" w:color="auto" w:sz="4" w:space="0"/>
              <w:right w:val="single" w:color="auto" w:sz="4" w:space="0"/>
            </w:tcBorders>
            <w:vAlign w:val="center"/>
          </w:tcPr>
          <w:p w14:paraId="7913A1D3">
            <w:pPr>
              <w:pStyle w:val="11"/>
              <w:jc w:val="center"/>
              <w:rPr>
                <w:rFonts w:ascii="宋体" w:hAnsi="宋体" w:cs="宋体"/>
                <w:highlight w:val="none"/>
              </w:rPr>
            </w:pPr>
          </w:p>
        </w:tc>
        <w:tc>
          <w:tcPr>
            <w:tcW w:w="1149" w:type="dxa"/>
            <w:vMerge w:val="continue"/>
            <w:tcBorders>
              <w:left w:val="single" w:color="auto" w:sz="4" w:space="0"/>
              <w:right w:val="single" w:color="auto" w:sz="4" w:space="0"/>
            </w:tcBorders>
            <w:vAlign w:val="center"/>
          </w:tcPr>
          <w:p w14:paraId="179F93DD">
            <w:pPr>
              <w:adjustRightInd w:val="0"/>
              <w:snapToGrid w:val="0"/>
              <w:jc w:val="center"/>
              <w:rPr>
                <w:rFonts w:ascii="宋体" w:hAnsi="宋体" w:cs="宋体"/>
                <w:highlight w:val="none"/>
              </w:rPr>
            </w:pPr>
          </w:p>
        </w:tc>
        <w:tc>
          <w:tcPr>
            <w:tcW w:w="1480" w:type="dxa"/>
            <w:tcBorders>
              <w:left w:val="single" w:color="auto" w:sz="4" w:space="0"/>
            </w:tcBorders>
            <w:shd w:val="clear" w:color="auto" w:fill="auto"/>
            <w:vAlign w:val="center"/>
          </w:tcPr>
          <w:p w14:paraId="0111DB60">
            <w:pPr>
              <w:autoSpaceDE w:val="0"/>
              <w:autoSpaceDN w:val="0"/>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施工进度计划横道图或网络图（</w:t>
            </w:r>
            <w:r>
              <w:rPr>
                <w:rFonts w:hint="eastAsia" w:ascii="宋体" w:hAnsi="宋体" w:cs="宋体"/>
                <w:b w:val="0"/>
                <w:kern w:val="2"/>
                <w:sz w:val="21"/>
                <w:highlight w:val="none"/>
                <w:lang w:val="en-US" w:eastAsia="zh-CN" w:bidi="ar-SA"/>
              </w:rPr>
              <w:t>4</w:t>
            </w:r>
            <w:r>
              <w:rPr>
                <w:rFonts w:hint="eastAsia" w:ascii="宋体" w:hAnsi="宋体" w:eastAsia="宋体" w:cs="宋体"/>
                <w:b w:val="0"/>
                <w:kern w:val="2"/>
                <w:sz w:val="21"/>
                <w:highlight w:val="none"/>
                <w:lang w:val="zh-CN" w:eastAsia="zh-CN" w:bidi="ar-SA"/>
              </w:rPr>
              <w:t>分</w:t>
            </w:r>
            <w:r>
              <w:rPr>
                <w:rFonts w:hint="eastAsia" w:ascii="宋体" w:hAnsi="宋体"/>
                <w:color w:val="auto"/>
                <w:sz w:val="21"/>
                <w:szCs w:val="21"/>
                <w:highlight w:val="none"/>
                <w:lang w:val="en-US" w:eastAsia="zh-CN"/>
              </w:rPr>
              <w:t>）</w:t>
            </w:r>
          </w:p>
        </w:tc>
        <w:tc>
          <w:tcPr>
            <w:tcW w:w="5260" w:type="dxa"/>
            <w:tcBorders>
              <w:bottom w:val="single" w:color="auto" w:sz="4" w:space="0"/>
            </w:tcBorders>
            <w:shd w:val="clear" w:color="auto" w:fill="auto"/>
            <w:vAlign w:val="center"/>
          </w:tcPr>
          <w:p w14:paraId="2FBA535A">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包括但不限于：合理性</w:t>
            </w:r>
            <w:r>
              <w:rPr>
                <w:rFonts w:hint="eastAsia" w:ascii="宋体" w:hAnsi="宋体" w:eastAsia="宋体" w:cs="宋体"/>
                <w:b w:val="0"/>
                <w:kern w:val="2"/>
                <w:sz w:val="21"/>
                <w:highlight w:val="none"/>
                <w:lang w:val="en-US" w:eastAsia="zh-CN" w:bidi="ar-SA"/>
              </w:rPr>
              <w:t>（工作顺序安排符合施工工艺和逻辑）、可行性（充分考虑了人力、物力、财力等资源的限制，计划中的工作强度和节奏在可实现的范围内。合理安排了施工设备的进场、退场时间，以及设备的使用和维护计划）、规范性（横道图或网络图的绘制符合相关标准和规范，图面清晰、整洁、易于理解。各项标注准确、完整，包括工作名称、持续时间、时间坐标等），满分</w:t>
            </w:r>
            <w:r>
              <w:rPr>
                <w:rFonts w:hint="eastAsia" w:ascii="宋体" w:hAnsi="宋体" w:cs="宋体"/>
                <w:b w:val="0"/>
                <w:kern w:val="2"/>
                <w:sz w:val="21"/>
                <w:highlight w:val="none"/>
                <w:lang w:val="en-US" w:eastAsia="zh-CN" w:bidi="ar-SA"/>
              </w:rPr>
              <w:t>4</w:t>
            </w:r>
            <w:r>
              <w:rPr>
                <w:rFonts w:hint="eastAsia"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p>
          <w:p w14:paraId="01820BAD">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06ACF50A">
            <w:pPr>
              <w:autoSpaceDE w:val="0"/>
              <w:autoSpaceDN w:val="0"/>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p>
        </w:tc>
        <w:tc>
          <w:tcPr>
            <w:tcW w:w="817" w:type="dxa"/>
            <w:shd w:val="clear" w:color="auto" w:fill="auto"/>
            <w:vAlign w:val="center"/>
          </w:tcPr>
          <w:p w14:paraId="756C3653">
            <w:pPr>
              <w:adjustRightInd w:val="0"/>
              <w:snapToGrid w:val="0"/>
              <w:jc w:val="center"/>
              <w:rPr>
                <w:rFonts w:hint="default" w:ascii="宋体" w:hAnsi="宋体" w:eastAsia="宋体" w:cs="宋体"/>
                <w:kern w:val="2"/>
                <w:sz w:val="21"/>
                <w:highlight w:val="none"/>
                <w:lang w:val="en-US" w:eastAsia="zh-CN" w:bidi="ar-SA"/>
              </w:rPr>
            </w:pPr>
            <w:r>
              <w:rPr>
                <w:rFonts w:hint="eastAsia" w:ascii="宋体" w:hAnsi="宋体" w:cs="宋体"/>
                <w:highlight w:val="none"/>
                <w:lang w:val="en-US" w:eastAsia="zh-CN"/>
              </w:rPr>
              <w:t>0-4</w:t>
            </w:r>
          </w:p>
        </w:tc>
        <w:tc>
          <w:tcPr>
            <w:tcW w:w="855" w:type="dxa"/>
            <w:shd w:val="clear" w:color="auto" w:fill="auto"/>
            <w:vAlign w:val="center"/>
          </w:tcPr>
          <w:p w14:paraId="1B2BAF1F">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0292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50" w:type="dxa"/>
            <w:tcBorders>
              <w:top w:val="single" w:color="auto" w:sz="4" w:space="0"/>
            </w:tcBorders>
            <w:vAlign w:val="center"/>
          </w:tcPr>
          <w:p w14:paraId="316BEF23">
            <w:pPr>
              <w:adjustRightInd w:val="0"/>
              <w:snapToGrid w:val="0"/>
              <w:jc w:val="center"/>
              <w:rPr>
                <w:rFonts w:ascii="宋体" w:hAnsi="宋体" w:cs="宋体"/>
                <w:szCs w:val="21"/>
                <w:highlight w:val="none"/>
              </w:rPr>
            </w:pPr>
            <w:r>
              <w:rPr>
                <w:rFonts w:hint="eastAsia" w:ascii="宋体" w:hAnsi="宋体" w:cs="宋体"/>
                <w:highlight w:val="none"/>
              </w:rPr>
              <w:t>2.2.4（4）</w:t>
            </w:r>
          </w:p>
        </w:tc>
        <w:tc>
          <w:tcPr>
            <w:tcW w:w="1149" w:type="dxa"/>
            <w:tcBorders>
              <w:top w:val="single" w:color="auto" w:sz="4" w:space="0"/>
            </w:tcBorders>
            <w:vAlign w:val="center"/>
          </w:tcPr>
          <w:p w14:paraId="630494BB">
            <w:pPr>
              <w:adjustRightInd w:val="0"/>
              <w:snapToGrid w:val="0"/>
              <w:jc w:val="center"/>
              <w:rPr>
                <w:rFonts w:ascii="宋体" w:hAnsi="宋体" w:cs="宋体"/>
                <w:szCs w:val="21"/>
                <w:highlight w:val="none"/>
              </w:rPr>
            </w:pPr>
            <w:r>
              <w:rPr>
                <w:rFonts w:hint="eastAsia" w:ascii="宋体" w:hAnsi="宋体" w:cs="宋体"/>
                <w:szCs w:val="21"/>
                <w:highlight w:val="none"/>
              </w:rPr>
              <w:t>其他部分（</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480" w:type="dxa"/>
            <w:vAlign w:val="center"/>
          </w:tcPr>
          <w:p w14:paraId="668EBDBA">
            <w:pPr>
              <w:adjustRightInd w:val="0"/>
              <w:snapToGrid w:val="0"/>
              <w:jc w:val="center"/>
              <w:rPr>
                <w:rFonts w:ascii="宋体" w:hAnsi="宋体" w:cs="宋体"/>
                <w:highlight w:val="none"/>
              </w:rPr>
            </w:pPr>
            <w:r>
              <w:rPr>
                <w:rFonts w:ascii="宋体" w:hAnsi="宋体" w:cs="宋体"/>
                <w:highlight w:val="none"/>
              </w:rPr>
              <w:t>验收后服务 （</w:t>
            </w:r>
            <w:r>
              <w:rPr>
                <w:rFonts w:hint="eastAsia" w:ascii="宋体" w:hAnsi="宋体" w:cs="宋体"/>
                <w:highlight w:val="none"/>
                <w:lang w:val="en-US" w:eastAsia="zh-CN"/>
              </w:rPr>
              <w:t>5</w:t>
            </w:r>
            <w:r>
              <w:rPr>
                <w:rFonts w:ascii="宋体" w:hAnsi="宋体" w:cs="宋体"/>
                <w:highlight w:val="none"/>
              </w:rPr>
              <w:t>分）</w:t>
            </w:r>
          </w:p>
        </w:tc>
        <w:tc>
          <w:tcPr>
            <w:tcW w:w="5260" w:type="dxa"/>
            <w:vAlign w:val="center"/>
          </w:tcPr>
          <w:p w14:paraId="5E4E7C6D">
            <w:pPr>
              <w:autoSpaceDE w:val="0"/>
              <w:autoSpaceDN w:val="0"/>
              <w:adjustRightInd w:val="0"/>
              <w:snapToGrid w:val="0"/>
              <w:rPr>
                <w:rFonts w:hint="eastAsia" w:ascii="宋体" w:hAnsi="宋体" w:eastAsia="宋体" w:cs="宋体"/>
                <w:b w:val="0"/>
                <w:kern w:val="2"/>
                <w:sz w:val="21"/>
                <w:highlight w:val="none"/>
                <w:lang w:val="en-US" w:eastAsia="zh-CN" w:bidi="ar-SA"/>
              </w:rPr>
            </w:pPr>
            <w:r>
              <w:rPr>
                <w:rFonts w:hint="eastAsia" w:ascii="宋体" w:hAnsi="宋体"/>
                <w:spacing w:val="-6"/>
                <w:szCs w:val="21"/>
                <w:highlight w:val="none"/>
                <w:lang w:val="en-US" w:eastAsia="zh-CN"/>
              </w:rPr>
              <w:t>供应商</w:t>
            </w:r>
            <w:r>
              <w:rPr>
                <w:rFonts w:ascii="宋体" w:hAnsi="宋体"/>
                <w:spacing w:val="-6"/>
                <w:szCs w:val="21"/>
                <w:highlight w:val="none"/>
              </w:rPr>
              <w:t>提供针对本项目工程交验后服务及保修承诺和措施的，</w:t>
            </w:r>
            <w:r>
              <w:rPr>
                <w:rFonts w:hint="eastAsia" w:ascii="宋体" w:hAnsi="宋体"/>
                <w:spacing w:val="-6"/>
                <w:szCs w:val="21"/>
                <w:highlight w:val="none"/>
              </w:rPr>
              <w:t>响应及时性</w:t>
            </w:r>
            <w:r>
              <w:rPr>
                <w:rFonts w:hint="eastAsia" w:ascii="宋体" w:hAnsi="宋体"/>
                <w:spacing w:val="-6"/>
                <w:szCs w:val="21"/>
                <w:highlight w:val="none"/>
                <w:lang w:eastAsia="zh-CN"/>
              </w:rPr>
              <w:t>（在接到客户反馈的问题后，服务人员能在</w:t>
            </w:r>
            <w:r>
              <w:rPr>
                <w:rFonts w:hint="eastAsia" w:ascii="宋体" w:hAnsi="宋体"/>
                <w:spacing w:val="-6"/>
                <w:szCs w:val="21"/>
                <w:highlight w:val="none"/>
                <w:lang w:val="en-US" w:eastAsia="zh-CN"/>
              </w:rPr>
              <w:t>1小时</w:t>
            </w:r>
            <w:r>
              <w:rPr>
                <w:rFonts w:hint="eastAsia" w:ascii="宋体" w:hAnsi="宋体"/>
                <w:spacing w:val="-6"/>
                <w:szCs w:val="21"/>
                <w:highlight w:val="none"/>
                <w:lang w:eastAsia="zh-CN"/>
              </w:rPr>
              <w:t>内</w:t>
            </w:r>
            <w:r>
              <w:rPr>
                <w:rFonts w:hint="eastAsia" w:ascii="宋体" w:hAnsi="宋体"/>
                <w:spacing w:val="-6"/>
                <w:szCs w:val="21"/>
                <w:highlight w:val="none"/>
                <w:lang w:val="en-US" w:eastAsia="zh-CN"/>
              </w:rPr>
              <w:t>作出</w:t>
            </w:r>
            <w:r>
              <w:rPr>
                <w:rFonts w:hint="eastAsia" w:ascii="宋体" w:hAnsi="宋体"/>
                <w:spacing w:val="-6"/>
                <w:szCs w:val="21"/>
                <w:highlight w:val="none"/>
                <w:lang w:eastAsia="zh-CN"/>
              </w:rPr>
              <w:t>电话响应，</w:t>
            </w:r>
            <w:r>
              <w:rPr>
                <w:rFonts w:hint="eastAsia" w:ascii="宋体" w:hAnsi="宋体"/>
                <w:spacing w:val="-6"/>
                <w:szCs w:val="21"/>
                <w:highlight w:val="none"/>
                <w:lang w:val="en-US" w:eastAsia="zh-CN"/>
              </w:rPr>
              <w:t>12</w:t>
            </w:r>
            <w:r>
              <w:rPr>
                <w:rFonts w:hint="eastAsia" w:ascii="宋体" w:hAnsi="宋体"/>
                <w:spacing w:val="-6"/>
                <w:szCs w:val="21"/>
                <w:highlight w:val="none"/>
                <w:lang w:eastAsia="zh-CN"/>
              </w:rPr>
              <w:t>小时</w:t>
            </w:r>
            <w:r>
              <w:rPr>
                <w:rFonts w:hint="eastAsia" w:ascii="宋体" w:hAnsi="宋体"/>
                <w:spacing w:val="-6"/>
                <w:szCs w:val="21"/>
                <w:highlight w:val="none"/>
                <w:lang w:val="en-US" w:eastAsia="zh-CN"/>
              </w:rPr>
              <w:t>内作出</w:t>
            </w:r>
            <w:r>
              <w:rPr>
                <w:rFonts w:hint="eastAsia" w:ascii="宋体" w:hAnsi="宋体"/>
                <w:spacing w:val="-6"/>
                <w:szCs w:val="21"/>
                <w:highlight w:val="none"/>
                <w:lang w:eastAsia="zh-CN"/>
              </w:rPr>
              <w:t>书面响应）、问题解决率（对于复杂问题，</w:t>
            </w:r>
            <w:r>
              <w:rPr>
                <w:rFonts w:hint="eastAsia" w:ascii="宋体" w:hAnsi="宋体"/>
                <w:spacing w:val="-6"/>
                <w:szCs w:val="21"/>
                <w:highlight w:val="none"/>
                <w:lang w:val="en-US" w:eastAsia="zh-CN"/>
              </w:rPr>
              <w:t>具有</w:t>
            </w:r>
            <w:r>
              <w:rPr>
                <w:rFonts w:hint="eastAsia" w:ascii="宋体" w:hAnsi="宋体"/>
                <w:spacing w:val="-6"/>
                <w:szCs w:val="21"/>
                <w:highlight w:val="none"/>
                <w:lang w:eastAsia="zh-CN"/>
              </w:rPr>
              <w:t>有效的解决方案和跟进措施，直至问题彻底解决。对遗留问题有明确的记录、跟踪和处理结果反馈），</w:t>
            </w:r>
            <w:r>
              <w:rPr>
                <w:rFonts w:ascii="宋体" w:hAnsi="宋体"/>
                <w:spacing w:val="-6"/>
                <w:szCs w:val="21"/>
                <w:highlight w:val="none"/>
              </w:rPr>
              <w:t>满分</w:t>
            </w:r>
            <w:r>
              <w:rPr>
                <w:rFonts w:hint="eastAsia" w:ascii="宋体" w:hAnsi="宋体"/>
                <w:spacing w:val="-6"/>
                <w:szCs w:val="21"/>
                <w:highlight w:val="none"/>
                <w:lang w:val="en-US" w:eastAsia="zh-CN"/>
              </w:rPr>
              <w:t>5</w:t>
            </w:r>
            <w:r>
              <w:rPr>
                <w:rFonts w:ascii="宋体" w:hAnsi="宋体"/>
                <w:spacing w:val="-6"/>
                <w:szCs w:val="21"/>
                <w:highlight w:val="none"/>
              </w:rPr>
              <w:t>分</w:t>
            </w:r>
            <w:r>
              <w:rPr>
                <w:rFonts w:hint="eastAsia" w:ascii="宋体" w:hAnsi="宋体" w:eastAsia="宋体" w:cs="宋体"/>
                <w:b w:val="0"/>
                <w:kern w:val="2"/>
                <w:sz w:val="21"/>
                <w:highlight w:val="none"/>
                <w:lang w:val="en-US" w:eastAsia="zh-CN" w:bidi="ar-SA"/>
              </w:rPr>
              <w:t>，</w:t>
            </w:r>
            <w:r>
              <w:rPr>
                <w:rFonts w:hint="eastAsia" w:ascii="宋体" w:hAnsi="宋体" w:cs="宋体"/>
                <w:b w:val="0"/>
                <w:kern w:val="2"/>
                <w:sz w:val="21"/>
                <w:highlight w:val="none"/>
                <w:lang w:val="en-US" w:eastAsia="zh-CN" w:bidi="ar-SA"/>
              </w:rPr>
              <w:t>无不得分</w:t>
            </w:r>
            <w:r>
              <w:rPr>
                <w:rFonts w:hint="eastAsia" w:ascii="宋体" w:hAnsi="宋体" w:eastAsia="宋体" w:cs="宋体"/>
                <w:b w:val="0"/>
                <w:kern w:val="2"/>
                <w:sz w:val="21"/>
                <w:highlight w:val="none"/>
                <w:lang w:val="en-US" w:eastAsia="zh-CN" w:bidi="ar-SA"/>
              </w:rPr>
              <w:t>。</w:t>
            </w:r>
          </w:p>
          <w:p w14:paraId="1B27A2A0">
            <w:pPr>
              <w:adjustRightInd w:val="0"/>
              <w:snapToGrid w:val="0"/>
              <w:rPr>
                <w:rFonts w:hint="default" w:ascii="宋体" w:hAnsi="宋体" w:eastAsia="宋体" w:cs="宋体"/>
                <w:b w:val="0"/>
                <w:kern w:val="2"/>
                <w:sz w:val="21"/>
                <w:highlight w:val="none"/>
                <w:lang w:val="en-US" w:eastAsia="zh-CN" w:bidi="ar-SA"/>
              </w:rPr>
            </w:pPr>
            <w:r>
              <w:rPr>
                <w:rFonts w:hint="default" w:ascii="宋体" w:hAnsi="宋体" w:eastAsia="宋体" w:cs="宋体"/>
                <w:b w:val="0"/>
                <w:kern w:val="2"/>
                <w:sz w:val="21"/>
                <w:highlight w:val="none"/>
                <w:lang w:val="en-US" w:eastAsia="zh-CN" w:bidi="ar-SA"/>
              </w:rPr>
              <w:t>每</w:t>
            </w:r>
            <w:r>
              <w:rPr>
                <w:rFonts w:hint="eastAsia" w:ascii="宋体" w:hAnsi="宋体" w:cs="宋体"/>
                <w:b w:val="0"/>
                <w:kern w:val="2"/>
                <w:sz w:val="21"/>
                <w:highlight w:val="none"/>
                <w:lang w:val="en-US" w:eastAsia="zh-CN" w:bidi="ar-SA"/>
              </w:rPr>
              <w:t>有</w:t>
            </w:r>
            <w:r>
              <w:rPr>
                <w:rFonts w:hint="default" w:ascii="宋体" w:hAnsi="宋体" w:eastAsia="宋体" w:cs="宋体"/>
                <w:b w:val="0"/>
                <w:kern w:val="2"/>
                <w:sz w:val="21"/>
                <w:highlight w:val="none"/>
                <w:lang w:val="en-US" w:eastAsia="zh-CN" w:bidi="ar-SA"/>
              </w:rPr>
              <w:t>1项内容存在缺陷或不足扣</w:t>
            </w:r>
            <w:r>
              <w:rPr>
                <w:rFonts w:hint="eastAsia" w:ascii="宋体" w:hAnsi="宋体" w:cs="宋体"/>
                <w:b w:val="0"/>
                <w:kern w:val="2"/>
                <w:sz w:val="21"/>
                <w:highlight w:val="none"/>
                <w:lang w:val="en-US" w:eastAsia="zh-CN" w:bidi="ar-SA"/>
              </w:rPr>
              <w:t>1</w:t>
            </w:r>
            <w:r>
              <w:rPr>
                <w:rFonts w:hint="default" w:ascii="宋体" w:hAnsi="宋体" w:eastAsia="宋体" w:cs="宋体"/>
                <w:b w:val="0"/>
                <w:kern w:val="2"/>
                <w:sz w:val="21"/>
                <w:highlight w:val="none"/>
                <w:lang w:val="en-US" w:eastAsia="zh-CN" w:bidi="ar-SA"/>
              </w:rPr>
              <w:t>分</w:t>
            </w:r>
            <w:r>
              <w:rPr>
                <w:rFonts w:hint="eastAsia" w:ascii="宋体" w:hAnsi="宋体" w:cs="宋体"/>
                <w:b w:val="0"/>
                <w:kern w:val="2"/>
                <w:sz w:val="21"/>
                <w:highlight w:val="none"/>
                <w:lang w:val="en-US" w:eastAsia="zh-CN" w:bidi="ar-SA"/>
              </w:rPr>
              <w:t>，扣完为止</w:t>
            </w:r>
            <w:r>
              <w:rPr>
                <w:rFonts w:hint="default" w:ascii="宋体" w:hAnsi="宋体" w:eastAsia="宋体" w:cs="宋体"/>
                <w:b w:val="0"/>
                <w:kern w:val="2"/>
                <w:sz w:val="21"/>
                <w:highlight w:val="none"/>
                <w:lang w:val="en-US" w:eastAsia="zh-CN" w:bidi="ar-SA"/>
              </w:rPr>
              <w:t>。</w:t>
            </w:r>
          </w:p>
          <w:p w14:paraId="27108DFB">
            <w:pPr>
              <w:adjustRightInd w:val="0"/>
              <w:snapToGrid w:val="0"/>
              <w:rPr>
                <w:rFonts w:hint="eastAsia" w:ascii="宋体" w:hAnsi="宋体" w:eastAsia="宋体"/>
                <w:spacing w:val="-6"/>
                <w:szCs w:val="21"/>
                <w:highlight w:val="none"/>
                <w:lang w:eastAsia="zh-CN"/>
              </w:rPr>
            </w:pPr>
            <w:r>
              <w:rPr>
                <w:rFonts w:hint="default" w:ascii="宋体" w:hAnsi="宋体" w:eastAsia="宋体" w:cs="宋体"/>
                <w:b w:val="0"/>
                <w:kern w:val="2"/>
                <w:sz w:val="21"/>
                <w:highlight w:val="none"/>
                <w:lang w:val="en-US" w:eastAsia="zh-CN" w:bidi="ar-SA"/>
              </w:rPr>
              <w:t>注：方案内容存在缺陷或不足是指以下任意一种情形：方案内容不切合行业实际、不符合国家法规政策，或方案内容生编硬造，与实际情况不符，存在偏差，或方案内容过于简略</w:t>
            </w:r>
            <w:r>
              <w:rPr>
                <w:rFonts w:hint="eastAsia" w:ascii="宋体" w:hAnsi="宋体" w:cs="宋体"/>
                <w:b w:val="0"/>
                <w:kern w:val="2"/>
                <w:sz w:val="21"/>
                <w:highlight w:val="none"/>
                <w:lang w:val="en-US" w:eastAsia="zh-CN" w:bidi="ar-SA"/>
              </w:rPr>
              <w:t>或缺失</w:t>
            </w:r>
            <w:r>
              <w:rPr>
                <w:rFonts w:hint="default" w:ascii="宋体" w:hAnsi="宋体" w:eastAsia="宋体" w:cs="宋体"/>
                <w:b w:val="0"/>
                <w:kern w:val="2"/>
                <w:sz w:val="21"/>
                <w:highlight w:val="none"/>
                <w:lang w:val="en-US" w:eastAsia="zh-CN" w:bidi="ar-SA"/>
              </w:rPr>
              <w:t>，或存在与项目无关的文字内容，或内容不适用项目实际情况，或内容逻辑</w:t>
            </w:r>
            <w:r>
              <w:rPr>
                <w:rFonts w:hint="eastAsia" w:ascii="宋体" w:hAnsi="宋体" w:cs="宋体"/>
                <w:b w:val="0"/>
                <w:kern w:val="2"/>
                <w:sz w:val="21"/>
                <w:highlight w:val="none"/>
                <w:lang w:val="en-US" w:eastAsia="zh-CN" w:bidi="ar-SA"/>
              </w:rPr>
              <w:t>混乱</w:t>
            </w:r>
            <w:r>
              <w:rPr>
                <w:rFonts w:hint="default" w:ascii="宋体" w:hAnsi="宋体" w:eastAsia="宋体" w:cs="宋体"/>
                <w:b w:val="0"/>
                <w:kern w:val="2"/>
                <w:sz w:val="21"/>
                <w:highlight w:val="none"/>
                <w:lang w:val="en-US" w:eastAsia="zh-CN" w:bidi="ar-SA"/>
              </w:rPr>
              <w:t>或原理错误</w:t>
            </w:r>
            <w:r>
              <w:rPr>
                <w:rFonts w:hint="eastAsia" w:ascii="宋体" w:hAnsi="宋体"/>
                <w:spacing w:val="-6"/>
                <w:szCs w:val="21"/>
                <w:highlight w:val="none"/>
                <w:lang w:eastAsia="zh-CN"/>
              </w:rPr>
              <w:t>。</w:t>
            </w:r>
          </w:p>
        </w:tc>
        <w:tc>
          <w:tcPr>
            <w:tcW w:w="817" w:type="dxa"/>
            <w:vAlign w:val="center"/>
          </w:tcPr>
          <w:p w14:paraId="58496D12">
            <w:pPr>
              <w:widowControl/>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p>
        </w:tc>
        <w:tc>
          <w:tcPr>
            <w:tcW w:w="855" w:type="dxa"/>
            <w:vAlign w:val="center"/>
          </w:tcPr>
          <w:p w14:paraId="1CD4FE39">
            <w:pPr>
              <w:widowControl/>
              <w:adjustRightInd w:val="0"/>
              <w:snapToGrid w:val="0"/>
              <w:jc w:val="center"/>
              <w:rPr>
                <w:rFonts w:hint="eastAsia" w:ascii="宋体" w:hAnsi="宋体" w:cs="宋体"/>
                <w:szCs w:val="21"/>
                <w:highlight w:val="none"/>
              </w:rPr>
            </w:pPr>
            <w:r>
              <w:rPr>
                <w:rFonts w:hint="eastAsia" w:ascii="宋体" w:hAnsi="宋体" w:eastAsia="宋体" w:cs="宋体"/>
                <w:sz w:val="21"/>
                <w:szCs w:val="21"/>
                <w:highlight w:val="none"/>
                <w:lang w:val="en-US" w:eastAsia="zh-CN"/>
              </w:rPr>
              <w:t xml:space="preserve">主观项 </w:t>
            </w:r>
          </w:p>
        </w:tc>
      </w:tr>
    </w:tbl>
    <w:p w14:paraId="02AC5E3B">
      <w:pPr>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br w:type="page"/>
      </w:r>
    </w:p>
    <w:p w14:paraId="0E4198D7">
      <w:pPr>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1.评审</w:t>
      </w:r>
      <w:r>
        <w:rPr>
          <w:rFonts w:hint="eastAsia" w:ascii="宋体" w:hAnsi="宋体" w:cs="宋体"/>
          <w:szCs w:val="21"/>
          <w:highlight w:val="none"/>
          <w:shd w:val="clear" w:color="auto" w:fill="FFFFFF"/>
          <w:lang w:val="en-US" w:eastAsia="zh-CN"/>
        </w:rPr>
        <w:t>方</w:t>
      </w:r>
      <w:r>
        <w:rPr>
          <w:rFonts w:hint="eastAsia" w:ascii="宋体" w:hAnsi="宋体" w:cs="宋体"/>
          <w:szCs w:val="21"/>
          <w:highlight w:val="none"/>
          <w:shd w:val="clear" w:color="auto" w:fill="FFFFFF"/>
          <w:lang w:val="zh-CN"/>
        </w:rPr>
        <w:t>法</w:t>
      </w:r>
    </w:p>
    <w:p w14:paraId="6AD95C16">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本次评</w:t>
      </w:r>
      <w:r>
        <w:rPr>
          <w:rFonts w:hint="eastAsia" w:ascii="宋体" w:hAnsi="宋体" w:cs="宋体"/>
          <w:szCs w:val="21"/>
          <w:highlight w:val="none"/>
          <w:shd w:val="clear" w:color="auto" w:fill="FFFFFF"/>
        </w:rPr>
        <w:t>审</w:t>
      </w:r>
      <w:r>
        <w:rPr>
          <w:rFonts w:hint="eastAsia" w:ascii="宋体" w:hAnsi="宋体" w:cs="宋体"/>
          <w:szCs w:val="21"/>
          <w:highlight w:val="none"/>
          <w:shd w:val="clear" w:color="auto" w:fill="FFFFFF"/>
          <w:lang w:val="zh-CN"/>
        </w:rPr>
        <w:t>采用综合评分法。评</w:t>
      </w:r>
      <w:r>
        <w:rPr>
          <w:rFonts w:hint="eastAsia" w:ascii="宋体" w:hAnsi="宋体" w:cs="宋体"/>
          <w:szCs w:val="21"/>
          <w:highlight w:val="none"/>
          <w:shd w:val="clear" w:color="auto" w:fill="FFFFFF"/>
        </w:rPr>
        <w:t>审</w:t>
      </w:r>
      <w:r>
        <w:rPr>
          <w:rFonts w:hint="eastAsia" w:ascii="宋体" w:hAnsi="宋体" w:cs="宋体"/>
          <w:szCs w:val="21"/>
          <w:highlight w:val="none"/>
          <w:shd w:val="clear" w:color="auto" w:fill="FFFFFF"/>
          <w:lang w:val="zh-CN"/>
        </w:rPr>
        <w:t>结果按评审后得分由高到低顺序排列。得分相同的，按</w:t>
      </w:r>
      <w:r>
        <w:rPr>
          <w:rFonts w:hint="eastAsia" w:ascii="宋体" w:hAnsi="宋体" w:cs="宋体"/>
          <w:szCs w:val="21"/>
          <w:highlight w:val="none"/>
          <w:shd w:val="clear" w:color="auto" w:fill="FFFFFF"/>
        </w:rPr>
        <w:t>最后</w:t>
      </w:r>
      <w:r>
        <w:rPr>
          <w:rFonts w:hint="eastAsia" w:ascii="宋体" w:hAnsi="宋体" w:cs="宋体"/>
          <w:szCs w:val="21"/>
          <w:highlight w:val="none"/>
          <w:shd w:val="clear" w:color="auto" w:fill="FFFFFF"/>
          <w:lang w:val="zh-CN"/>
        </w:rPr>
        <w:t>报价由低到高顺序排列。得分且</w:t>
      </w:r>
      <w:r>
        <w:rPr>
          <w:rFonts w:hint="eastAsia" w:ascii="宋体" w:hAnsi="宋体" w:cs="宋体"/>
          <w:szCs w:val="21"/>
          <w:highlight w:val="none"/>
          <w:shd w:val="clear" w:color="auto" w:fill="FFFFFF"/>
        </w:rPr>
        <w:t>最后</w:t>
      </w:r>
      <w:r>
        <w:rPr>
          <w:rFonts w:hint="eastAsia" w:ascii="宋体" w:hAnsi="宋体" w:cs="宋体"/>
          <w:szCs w:val="21"/>
          <w:highlight w:val="none"/>
          <w:shd w:val="clear" w:color="auto" w:fill="FFFFFF"/>
          <w:lang w:val="zh-CN"/>
        </w:rPr>
        <w:t>报价相同的，按</w:t>
      </w:r>
      <w:r>
        <w:rPr>
          <w:rFonts w:hint="eastAsia" w:ascii="宋体" w:hAnsi="宋体" w:cs="宋体"/>
          <w:szCs w:val="21"/>
          <w:highlight w:val="none"/>
        </w:rPr>
        <w:t>技术部分</w:t>
      </w:r>
      <w:r>
        <w:rPr>
          <w:rFonts w:hint="eastAsia" w:ascii="宋体" w:hAnsi="宋体" w:cs="宋体"/>
          <w:szCs w:val="21"/>
          <w:highlight w:val="none"/>
          <w:shd w:val="clear" w:color="auto" w:fill="FFFFFF"/>
          <w:lang w:val="zh-CN"/>
        </w:rPr>
        <w:t>优劣顺序排列。响应文件满足磋商文件全部实质性要求，且按照评审因素的量化指标评审得分最高的供应商为排名第一的</w:t>
      </w:r>
      <w:r>
        <w:rPr>
          <w:rFonts w:hint="eastAsia" w:ascii="宋体" w:hAnsi="宋体" w:cs="宋体"/>
          <w:szCs w:val="21"/>
          <w:highlight w:val="none"/>
          <w:shd w:val="clear" w:color="auto" w:fill="FFFFFF"/>
        </w:rPr>
        <w:t>成交供应商</w:t>
      </w:r>
      <w:r>
        <w:rPr>
          <w:rFonts w:hint="eastAsia" w:ascii="宋体" w:hAnsi="宋体" w:cs="宋体"/>
          <w:szCs w:val="21"/>
          <w:highlight w:val="none"/>
          <w:shd w:val="clear" w:color="auto" w:fill="FFFFFF"/>
          <w:lang w:val="zh-CN"/>
        </w:rPr>
        <w:t>。</w:t>
      </w:r>
    </w:p>
    <w:p w14:paraId="42FCDB69">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2.评审标准</w:t>
      </w:r>
    </w:p>
    <w:p w14:paraId="64647D1F">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2.1初步评审标准</w:t>
      </w:r>
    </w:p>
    <w:p w14:paraId="10C4C4F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2.1.1 资格评审标准：见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73A2F646">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2.1.2 符合性评审标准：见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39E030E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2.2 分值构成与评分标准</w:t>
      </w:r>
    </w:p>
    <w:p w14:paraId="12C826F3">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2.2.1 分值构成</w:t>
      </w:r>
    </w:p>
    <w:p w14:paraId="699D121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(1)报价部分：见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6DF0EDD1">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(2)商务部分：见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59C6C1F6">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(3)技术部分：见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263CF102">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(4)其他部分：见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7EC01CED">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 xml:space="preserve">2.2.2 </w:t>
      </w:r>
      <w:r>
        <w:rPr>
          <w:rFonts w:hint="eastAsia" w:ascii="宋体" w:hAnsi="宋体" w:cs="宋体"/>
          <w:szCs w:val="21"/>
          <w:highlight w:val="none"/>
          <w:shd w:val="clear" w:color="auto" w:fill="FFFFFF"/>
          <w:lang w:val="zh-CN" w:eastAsia="zh-CN"/>
        </w:rPr>
        <w:t>磋商</w:t>
      </w:r>
      <w:r>
        <w:rPr>
          <w:rFonts w:hint="eastAsia" w:ascii="宋体" w:hAnsi="宋体" w:cs="宋体"/>
          <w:szCs w:val="21"/>
          <w:highlight w:val="none"/>
          <w:shd w:val="clear" w:color="auto" w:fill="FFFFFF"/>
          <w:lang w:val="zh-CN"/>
        </w:rPr>
        <w:t>基准价计算</w:t>
      </w:r>
    </w:p>
    <w:p w14:paraId="33B4D413">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eastAsia="zh-CN"/>
        </w:rPr>
        <w:t>磋商</w:t>
      </w:r>
      <w:r>
        <w:rPr>
          <w:rFonts w:hint="eastAsia" w:ascii="宋体" w:hAnsi="宋体" w:cs="宋体"/>
          <w:szCs w:val="21"/>
          <w:highlight w:val="none"/>
          <w:shd w:val="clear" w:color="auto" w:fill="FFFFFF"/>
          <w:lang w:val="zh-CN"/>
        </w:rPr>
        <w:t>基准价计算方法：见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7E34F8A7">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2.2.3 评分标准</w:t>
      </w:r>
    </w:p>
    <w:p w14:paraId="158047BC">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(1)报价部分评分标准：见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1B57954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(2)商务部分评分标准：见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56E69E23">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(3)技术部分评分标准：见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66CD15E9">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(4)其他部分评分标准：见</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w:t>
      </w:r>
    </w:p>
    <w:p w14:paraId="5D809030">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w:t>
      </w:r>
      <w:r>
        <w:rPr>
          <w:rFonts w:hint="eastAsia" w:ascii="宋体" w:hAnsi="宋体" w:cs="宋体"/>
          <w:szCs w:val="21"/>
          <w:highlight w:val="none"/>
          <w:shd w:val="clear" w:color="auto" w:fill="FFFFFF"/>
        </w:rPr>
        <w:t>评审</w:t>
      </w:r>
      <w:r>
        <w:rPr>
          <w:rFonts w:hint="eastAsia" w:ascii="宋体" w:hAnsi="宋体" w:cs="宋体"/>
          <w:szCs w:val="21"/>
          <w:highlight w:val="none"/>
          <w:shd w:val="clear" w:color="auto" w:fill="FFFFFF"/>
          <w:lang w:val="zh-CN"/>
        </w:rPr>
        <w:t>程序</w:t>
      </w:r>
    </w:p>
    <w:p w14:paraId="50D4095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3.1资格审查及符合性审查</w:t>
      </w:r>
    </w:p>
    <w:p w14:paraId="5CBF2300">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3.1.1磋商小组按</w:t>
      </w:r>
      <w:r>
        <w:rPr>
          <w:rFonts w:hint="eastAsia" w:ascii="宋体" w:hAnsi="宋体" w:cs="宋体"/>
          <w:szCs w:val="21"/>
          <w:highlight w:val="none"/>
          <w:shd w:val="clear" w:color="auto" w:fill="FFFFFF"/>
          <w:lang w:val="zh-CN" w:eastAsia="zh-CN"/>
        </w:rPr>
        <w:t>评审方法</w:t>
      </w:r>
      <w:r>
        <w:rPr>
          <w:rFonts w:hint="eastAsia" w:ascii="宋体" w:hAnsi="宋体" w:cs="宋体"/>
          <w:szCs w:val="21"/>
          <w:highlight w:val="none"/>
          <w:shd w:val="clear" w:color="auto" w:fill="FFFFFF"/>
          <w:lang w:val="zh-CN"/>
        </w:rPr>
        <w:t>前附表一所列审查标准，对供应商资格及符合性进行审查，以确定供应商是否具备磋商资格。</w:t>
      </w:r>
    </w:p>
    <w:p w14:paraId="29B0FBD2">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3.1.2磋商小组在资格审查及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FE65BE3">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磋商小组不接受供应商主动提出的澄清、说明或补正。</w:t>
      </w:r>
    </w:p>
    <w:p w14:paraId="4F5423C2">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供应商的书面澄清、说明和补正属于响应文件的组成部分。</w:t>
      </w:r>
    </w:p>
    <w:p w14:paraId="4CE4C2E5">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磋商小组对供应商提交的澄清、说明或补正有疑问的，可以要求供应商进一步澄清、说明或补正，直至满足评审小组的要求。</w:t>
      </w:r>
    </w:p>
    <w:p w14:paraId="1D5C4C4D">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3.1.3不具备磋商文件要求的资格或未通过符合性审查的供应商，不参与磋商，由磋商小组告知该供应商。</w:t>
      </w:r>
    </w:p>
    <w:p w14:paraId="3424CC94">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3.1.4通过资格审查及符合性审查的合格供应商不足3家的，不再进行评审和磋商。</w:t>
      </w:r>
    </w:p>
    <w:p w14:paraId="34AACE91">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3.2磋商</w:t>
      </w:r>
    </w:p>
    <w:p w14:paraId="5B8F153F">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3.2.1按“供应商须知”规定，由磋商小组与供应商进行磋商。</w:t>
      </w:r>
    </w:p>
    <w:p w14:paraId="0AB3D8D4">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3.2.2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295C8C83">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3.2.3磋商结束后，磋商小组可以要求所有继续参加磋商的供应商在规定时间内提交</w:t>
      </w:r>
      <w:r>
        <w:rPr>
          <w:rFonts w:hint="eastAsia" w:ascii="宋体" w:hAnsi="宋体" w:cs="宋体"/>
          <w:szCs w:val="21"/>
          <w:highlight w:val="none"/>
          <w:shd w:val="clear" w:color="auto" w:fill="FFFFFF"/>
        </w:rPr>
        <w:t>最后</w:t>
      </w:r>
      <w:r>
        <w:rPr>
          <w:rFonts w:hint="eastAsia" w:ascii="宋体" w:hAnsi="宋体" w:cs="宋体"/>
          <w:szCs w:val="21"/>
          <w:highlight w:val="none"/>
          <w:shd w:val="clear" w:color="auto" w:fill="FFFFFF"/>
          <w:lang w:val="zh-CN"/>
        </w:rPr>
        <w:t>报价函，提交最</w:t>
      </w:r>
      <w:r>
        <w:rPr>
          <w:rFonts w:hint="eastAsia" w:ascii="宋体" w:hAnsi="宋体" w:cs="宋体"/>
          <w:szCs w:val="21"/>
          <w:highlight w:val="none"/>
          <w:shd w:val="clear" w:color="auto" w:fill="FFFFFF"/>
        </w:rPr>
        <w:t>后</w:t>
      </w:r>
      <w:r>
        <w:rPr>
          <w:rFonts w:hint="eastAsia" w:ascii="宋体" w:hAnsi="宋体" w:cs="宋体"/>
          <w:szCs w:val="21"/>
          <w:highlight w:val="none"/>
          <w:shd w:val="clear" w:color="auto" w:fill="FFFFFF"/>
          <w:lang w:val="zh-CN"/>
        </w:rPr>
        <w:t>报价函的供应商不得少于3家，但市场竞争不充分的科研项目以及需要扶持的科技成果转化项目除外。</w:t>
      </w:r>
    </w:p>
    <w:p w14:paraId="5D7BC1DD">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3.3 评审</w:t>
      </w:r>
    </w:p>
    <w:p w14:paraId="0EBDF61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3.3.1 比较与评价</w:t>
      </w:r>
    </w:p>
    <w:p w14:paraId="025A879E">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磋商小组按本章第2.2款[分值构成与评分标准]对供应商提交的响应文件（包括最后报价函）进行商务、技术及其他</w:t>
      </w:r>
      <w:r>
        <w:rPr>
          <w:rFonts w:hint="eastAsia" w:ascii="宋体" w:hAnsi="宋体" w:cs="宋体"/>
          <w:szCs w:val="21"/>
          <w:highlight w:val="none"/>
          <w:shd w:val="clear" w:color="auto" w:fill="FFFFFF"/>
        </w:rPr>
        <w:t>部分</w:t>
      </w:r>
      <w:r>
        <w:rPr>
          <w:rFonts w:hint="eastAsia" w:ascii="宋体" w:hAnsi="宋体" w:cs="宋体"/>
          <w:szCs w:val="21"/>
          <w:highlight w:val="none"/>
          <w:shd w:val="clear" w:color="auto" w:fill="FFFFFF"/>
          <w:lang w:val="zh-CN"/>
        </w:rPr>
        <w:t>评估，综合比较与评价。</w:t>
      </w:r>
    </w:p>
    <w:p w14:paraId="6B51FBA8">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磋商小组认为供应商的报价明显低于其他参与最</w:t>
      </w:r>
      <w:r>
        <w:rPr>
          <w:rFonts w:hint="eastAsia" w:ascii="宋体" w:hAnsi="宋体" w:cs="宋体"/>
          <w:szCs w:val="21"/>
          <w:highlight w:val="none"/>
          <w:shd w:val="clear" w:color="auto" w:fill="FFFFFF"/>
        </w:rPr>
        <w:t>后</w:t>
      </w:r>
      <w:r>
        <w:rPr>
          <w:rFonts w:hint="eastAsia" w:ascii="宋体" w:hAnsi="宋体" w:cs="宋体"/>
          <w:szCs w:val="21"/>
          <w:highlight w:val="none"/>
          <w:shd w:val="clear" w:color="auto" w:fill="FFFFFF"/>
          <w:lang w:val="zh-CN"/>
        </w:rPr>
        <w:t>报价供应商的报价或明显低于采购预算时，有可能影响产品质量或者不能诚信履约的，应当要求其在合理的时间内提供书面说明，</w:t>
      </w:r>
      <w:r>
        <w:rPr>
          <w:rFonts w:hint="eastAsia" w:ascii="宋体" w:hAnsi="宋体" w:cs="宋体"/>
          <w:szCs w:val="21"/>
          <w:highlight w:val="none"/>
          <w:shd w:val="clear" w:color="auto" w:fill="FFFFFF"/>
        </w:rPr>
        <w:t>并</w:t>
      </w:r>
      <w:r>
        <w:rPr>
          <w:rFonts w:hint="eastAsia" w:ascii="宋体" w:hAnsi="宋体" w:cs="宋体"/>
          <w:szCs w:val="21"/>
          <w:highlight w:val="none"/>
          <w:shd w:val="clear" w:color="auto" w:fill="FFFFFF"/>
          <w:lang w:val="zh-CN"/>
        </w:rPr>
        <w:t>提交相关证明材料；供应商不能证明其报价合理性的，磋商小组应当将其作为无效处理。</w:t>
      </w:r>
    </w:p>
    <w:p w14:paraId="4BA7C2E3">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3.3.2 磋商小组按本章第2.2款规定的量化因素和分值进行打分，并计算出综合评估得分。</w:t>
      </w:r>
    </w:p>
    <w:p w14:paraId="5E416E21">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(1)按本章报价</w:t>
      </w:r>
      <w:r>
        <w:rPr>
          <w:rFonts w:hint="eastAsia" w:ascii="宋体" w:hAnsi="宋体" w:cs="宋体"/>
          <w:szCs w:val="21"/>
          <w:highlight w:val="none"/>
          <w:shd w:val="clear" w:color="auto" w:fill="FFFFFF"/>
        </w:rPr>
        <w:t>部分</w:t>
      </w:r>
      <w:r>
        <w:rPr>
          <w:rFonts w:hint="eastAsia" w:ascii="宋体" w:hAnsi="宋体" w:cs="宋体"/>
          <w:szCs w:val="21"/>
          <w:highlight w:val="none"/>
          <w:shd w:val="clear" w:color="auto" w:fill="FFFFFF"/>
          <w:lang w:val="zh-CN"/>
        </w:rPr>
        <w:t>目规定的评审因素和分值对报价部分计算出得分A；</w:t>
      </w:r>
    </w:p>
    <w:p w14:paraId="0BC895E9">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(2)按本章商务</w:t>
      </w:r>
      <w:r>
        <w:rPr>
          <w:rFonts w:hint="eastAsia" w:ascii="宋体" w:hAnsi="宋体" w:cs="宋体"/>
          <w:szCs w:val="21"/>
          <w:highlight w:val="none"/>
          <w:shd w:val="clear" w:color="auto" w:fill="FFFFFF"/>
        </w:rPr>
        <w:t>部分</w:t>
      </w:r>
      <w:r>
        <w:rPr>
          <w:rFonts w:hint="eastAsia" w:ascii="宋体" w:hAnsi="宋体" w:cs="宋体"/>
          <w:szCs w:val="21"/>
          <w:highlight w:val="none"/>
          <w:shd w:val="clear" w:color="auto" w:fill="FFFFFF"/>
          <w:lang w:val="zh-CN"/>
        </w:rPr>
        <w:t>目规定的评审因素和分值对商务部分计算出得分B；</w:t>
      </w:r>
    </w:p>
    <w:p w14:paraId="595E3E01">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(3)按本章技术部分目规定的评审因素和分值对技术部分计算出得分</w:t>
      </w:r>
      <w:r>
        <w:rPr>
          <w:rFonts w:hint="eastAsia" w:ascii="宋体" w:hAnsi="宋体" w:cs="宋体"/>
          <w:szCs w:val="21"/>
          <w:highlight w:val="none"/>
          <w:shd w:val="clear" w:color="auto" w:fill="FFFFFF"/>
        </w:rPr>
        <w:t>C</w:t>
      </w:r>
      <w:r>
        <w:rPr>
          <w:rFonts w:hint="eastAsia" w:ascii="宋体" w:hAnsi="宋体" w:cs="宋体"/>
          <w:szCs w:val="21"/>
          <w:highlight w:val="none"/>
          <w:shd w:val="clear" w:color="auto" w:fill="FFFFFF"/>
          <w:lang w:val="zh-CN"/>
        </w:rPr>
        <w:t>；</w:t>
      </w:r>
    </w:p>
    <w:p w14:paraId="174B831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(4)按本章其他</w:t>
      </w:r>
      <w:r>
        <w:rPr>
          <w:rFonts w:hint="eastAsia" w:ascii="宋体" w:hAnsi="宋体" w:cs="宋体"/>
          <w:szCs w:val="21"/>
          <w:highlight w:val="none"/>
          <w:shd w:val="clear" w:color="auto" w:fill="FFFFFF"/>
        </w:rPr>
        <w:t>部分</w:t>
      </w:r>
      <w:r>
        <w:rPr>
          <w:rFonts w:hint="eastAsia" w:ascii="宋体" w:hAnsi="宋体" w:cs="宋体"/>
          <w:szCs w:val="21"/>
          <w:highlight w:val="none"/>
          <w:shd w:val="clear" w:color="auto" w:fill="FFFFFF"/>
          <w:lang w:val="zh-CN"/>
        </w:rPr>
        <w:t>目规定的评审因素和分值对其他部分计算出得分D；</w:t>
      </w:r>
    </w:p>
    <w:p w14:paraId="37A333F6">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3.3.3 评分分值计算保留小数点后两位，小数点后第三位“四舍五入”。</w:t>
      </w:r>
    </w:p>
    <w:p w14:paraId="323CAA3A">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3.3.4 供应商得分汇总E=A+B+C+D。</w:t>
      </w:r>
    </w:p>
    <w:p w14:paraId="71F6C829">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3.3.5 供应商最终得分=（E1+ E2+ E3）/3。</w:t>
      </w:r>
    </w:p>
    <w:p w14:paraId="14B8107F">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4.</w:t>
      </w:r>
      <w:r>
        <w:rPr>
          <w:rFonts w:hint="eastAsia" w:ascii="宋体" w:hAnsi="宋体" w:cs="宋体"/>
          <w:szCs w:val="21"/>
          <w:highlight w:val="none"/>
          <w:shd w:val="clear" w:color="auto" w:fill="FFFFFF"/>
          <w:lang w:val="zh-CN"/>
        </w:rPr>
        <w:tab/>
      </w:r>
      <w:r>
        <w:rPr>
          <w:rFonts w:hint="eastAsia" w:ascii="宋体" w:hAnsi="宋体" w:cs="宋体"/>
          <w:szCs w:val="21"/>
          <w:highlight w:val="none"/>
          <w:shd w:val="clear" w:color="auto" w:fill="FFFFFF"/>
          <w:lang w:val="zh-CN"/>
        </w:rPr>
        <w:t>评审结果</w:t>
      </w:r>
    </w:p>
    <w:p w14:paraId="40795FAF">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4.1 磋商小组按照得分由高到低的顺序推荐3名成交候选人，评审得分相同的，以</w:t>
      </w:r>
      <w:r>
        <w:rPr>
          <w:rFonts w:hint="eastAsia" w:ascii="宋体" w:hAnsi="宋体" w:cs="宋体"/>
          <w:szCs w:val="21"/>
          <w:highlight w:val="none"/>
          <w:shd w:val="clear" w:color="auto" w:fill="FFFFFF"/>
        </w:rPr>
        <w:t>最后</w:t>
      </w:r>
      <w:r>
        <w:rPr>
          <w:rFonts w:hint="eastAsia" w:ascii="宋体" w:hAnsi="宋体" w:cs="宋体"/>
          <w:szCs w:val="21"/>
          <w:highlight w:val="none"/>
          <w:shd w:val="clear" w:color="auto" w:fill="FFFFFF"/>
          <w:lang w:val="zh-CN"/>
        </w:rPr>
        <w:t>报价低的优先，</w:t>
      </w:r>
      <w:r>
        <w:rPr>
          <w:rFonts w:hint="eastAsia" w:ascii="宋体" w:hAnsi="宋体" w:cs="宋体"/>
          <w:szCs w:val="21"/>
          <w:highlight w:val="none"/>
          <w:shd w:val="clear" w:color="auto" w:fill="FFFFFF"/>
        </w:rPr>
        <w:t>最后</w:t>
      </w:r>
      <w:r>
        <w:rPr>
          <w:rFonts w:hint="eastAsia" w:ascii="宋体" w:hAnsi="宋体" w:cs="宋体"/>
          <w:szCs w:val="21"/>
          <w:highlight w:val="none"/>
          <w:shd w:val="clear" w:color="auto" w:fill="FFFFFF"/>
          <w:lang w:val="zh-CN"/>
        </w:rPr>
        <w:t>报价也相同的，以技术部分得分高的优先，技术部分得分也相同的，由采购人或者采购人委托磋商小组采取随机抽取方式确定。</w:t>
      </w:r>
    </w:p>
    <w:p w14:paraId="42E3B249">
      <w:pPr>
        <w:autoSpaceDE w:val="0"/>
        <w:autoSpaceDN w:val="0"/>
        <w:adjustRightInd w:val="0"/>
        <w:spacing w:line="360" w:lineRule="auto"/>
        <w:ind w:firstLine="420" w:firstLineChars="200"/>
        <w:jc w:val="left"/>
        <w:rPr>
          <w:rFonts w:ascii="宋体" w:hAnsi="宋体" w:cs="宋体"/>
          <w:szCs w:val="21"/>
          <w:highlight w:val="none"/>
          <w:shd w:val="clear" w:color="auto" w:fill="FFFFFF"/>
          <w:lang w:val="zh-CN"/>
        </w:rPr>
      </w:pPr>
      <w:r>
        <w:rPr>
          <w:rFonts w:hint="eastAsia" w:ascii="宋体" w:hAnsi="宋体" w:cs="宋体"/>
          <w:szCs w:val="21"/>
          <w:highlight w:val="none"/>
          <w:shd w:val="clear" w:color="auto" w:fill="FFFFFF"/>
          <w:lang w:val="zh-CN"/>
        </w:rPr>
        <w:t>4.2 磋商小组完成评审后，应当向采购人提交书面评审报告。</w:t>
      </w:r>
    </w:p>
    <w:p w14:paraId="273344D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lang w:val="en-US" w:eastAsia="zh-CN"/>
        </w:rPr>
        <w:t>出现下列情形之一的，采购人或者采购代理机构应当终止竞争性磋商采购活动，发布项目终止公告并说明原因，重新开展采购活动：</w:t>
      </w:r>
    </w:p>
    <w:p w14:paraId="35EEF9E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（一）因情况变化，不再符合规定的竞争性磋商采购方式适用情形的；</w:t>
      </w:r>
    </w:p>
    <w:p w14:paraId="2030700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（二）出现影响采购公正的违法、违规行为的；</w:t>
      </w:r>
    </w:p>
    <w:p w14:paraId="52D3C8A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（三）除本办法第二十一条第三款规定的情形外，在采购过程中符合要求的供应商或者报价未超过采购预算的供应商不足3家的。</w:t>
      </w:r>
    </w:p>
    <w:p w14:paraId="22A38766">
      <w:pPr>
        <w:rPr>
          <w:rFonts w:ascii="宋体" w:hAnsi="宋体" w:cs="宋体"/>
          <w:b/>
          <w:sz w:val="30"/>
          <w:szCs w:val="30"/>
          <w:highlight w:val="none"/>
        </w:rPr>
      </w:pPr>
    </w:p>
    <w:p w14:paraId="5103BC2B">
      <w:pPr>
        <w:rPr>
          <w:rFonts w:ascii="宋体" w:hAnsi="宋体" w:cs="宋体"/>
          <w:b/>
          <w:sz w:val="30"/>
          <w:szCs w:val="30"/>
          <w:highlight w:val="none"/>
        </w:rPr>
      </w:pPr>
      <w:r>
        <w:rPr>
          <w:rFonts w:hint="eastAsia" w:ascii="宋体" w:hAnsi="宋体" w:cs="宋体"/>
          <w:b/>
          <w:sz w:val="30"/>
          <w:szCs w:val="30"/>
          <w:highlight w:val="none"/>
        </w:rPr>
        <w:br w:type="page"/>
      </w:r>
    </w:p>
    <w:p w14:paraId="2EBCF512">
      <w:pPr>
        <w:autoSpaceDE w:val="0"/>
        <w:autoSpaceDN w:val="0"/>
        <w:adjustRightInd w:val="0"/>
        <w:spacing w:line="360" w:lineRule="auto"/>
        <w:jc w:val="center"/>
        <w:rPr>
          <w:rFonts w:ascii="宋体" w:hAnsi="宋体" w:cs="宋体"/>
          <w:szCs w:val="21"/>
          <w:highlight w:val="none"/>
          <w:shd w:val="clear" w:color="auto" w:fill="FFFFFF"/>
        </w:rPr>
      </w:pPr>
      <w:r>
        <w:rPr>
          <w:rFonts w:hint="eastAsia" w:ascii="宋体" w:hAnsi="宋体" w:cs="宋体"/>
          <w:b/>
          <w:sz w:val="30"/>
          <w:szCs w:val="30"/>
          <w:highlight w:val="none"/>
        </w:rPr>
        <w:t>政府采购政策</w:t>
      </w:r>
    </w:p>
    <w:p w14:paraId="31FE3A86">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一、促进中小企业发展政策</w:t>
      </w:r>
    </w:p>
    <w:p w14:paraId="1E11D70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（一）政策依据</w:t>
      </w:r>
    </w:p>
    <w:p w14:paraId="532CAF3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财政部 工业和信息化部《政府采购促进中小企业发展管理办法》（财库﹝2020﹞46号）、财政部《关于进一步加大政府采购支持中小企业力度的通知》（财库﹝2022﹞19号）。</w:t>
      </w:r>
    </w:p>
    <w:p w14:paraId="22F8BA9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（二）中小企业的认定</w:t>
      </w:r>
    </w:p>
    <w:p w14:paraId="050D5F1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1、在中华人民共和国境内依法设立，依据国务院批准的中小企业划分标准确定的中型企业、小型企业和微型企业，但与大企业的负责人为同一人，或者与大企业存在直接控股、管理关系的除外。</w:t>
      </w:r>
    </w:p>
    <w:p w14:paraId="75594581">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2、符合中小企业划分标准的个体工商户，在政府采购活动中视同中小企业。</w:t>
      </w:r>
    </w:p>
    <w:p w14:paraId="3FECDEE7">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3、以联合体形式参加政府采购活动，联合体各方均为中小企业的，联合体视同中小企业。其中，联合体各方均为小微企业的，联合体视同小微企业。</w:t>
      </w:r>
    </w:p>
    <w:p w14:paraId="3D078EDD">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（三）中小企业需提供的证明材料</w:t>
      </w:r>
    </w:p>
    <w:p w14:paraId="7ACE8167">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中小企业参加政府采购活动，应当出具本采购文件规定的《中小企业声明函》，否则不得享受相关中小企业扶持政策。任何单位和个人不得要求供应商提供《中小企业声明函》之外的中小企业身份证明文件。</w:t>
      </w:r>
    </w:p>
    <w:p w14:paraId="736F77E0">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（四）中小企业扶持政策享受情形</w:t>
      </w:r>
    </w:p>
    <w:p w14:paraId="7497905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在政府采购活动中，供应商提供的货物、工程或者服务符合下列情形的，享受相关中小企业扶持政策：</w:t>
      </w:r>
    </w:p>
    <w:p w14:paraId="4910995B">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1、在货物采购项目中，货物由中小企业制造，即货物由中小企业生产且使用该中小企业商号或者注册商标；</w:t>
      </w:r>
    </w:p>
    <w:p w14:paraId="2BDF4E77">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2、在工程采购项目中，工程由中小企业承建，即工程施工单位为中小企业；</w:t>
      </w:r>
    </w:p>
    <w:p w14:paraId="27082398">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3、在服务采购项目中，服务由中小企业承接，即提供服务的人员为中小企业依照《中华人民共和国劳动合同法》订立劳动合同的从业人员。</w:t>
      </w:r>
    </w:p>
    <w:p w14:paraId="073A1CBB">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在货物采购项目中，供应商提供的货物既有中小企业制造货物，也有大型企业制造货物的，不享受中小企业扶持政策。</w:t>
      </w:r>
    </w:p>
    <w:p w14:paraId="758F19F4">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（五）中小企业扶持政策</w:t>
      </w:r>
    </w:p>
    <w:p w14:paraId="33BF60F4">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对于非专门面向中小企业采购的采购包，应当对符合本章规定的小微企业报价给予10%-20%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06604DDB">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-6%（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03959ED9">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3、价格扣除比例或者价格分加分比例对小型企业和微型企业同等对待，不作区分。</w:t>
      </w:r>
    </w:p>
    <w:p w14:paraId="7051F994">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（六）合同分包要求</w:t>
      </w:r>
    </w:p>
    <w:p w14:paraId="276FBCC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1、享受扶持政策获得政府采购合同的，小微企业不得将合同分包给大中型企业，中型企业不得将合同分包给大型企业。</w:t>
      </w:r>
    </w:p>
    <w:p w14:paraId="10A8D592">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979D3C">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（七）法律责任</w:t>
      </w:r>
    </w:p>
    <w:p w14:paraId="183A893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供应商按照本采购文件规定提供声明函内容不实的，属于提供虚假材料谋取中标、成交，依照《中华人民共和国政府采购法》等国家有关规定追究相应责任。</w:t>
      </w:r>
    </w:p>
    <w:p w14:paraId="10807205">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二、支持监狱企业发展政策</w:t>
      </w:r>
    </w:p>
    <w:p w14:paraId="3209B136">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（一）政策依据</w:t>
      </w:r>
    </w:p>
    <w:p w14:paraId="7C4FA8D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财政部 司法部《关于政府采购支持监狱企业发展有关问题的通知》（财库〔2014〕68号）。</w:t>
      </w:r>
    </w:p>
    <w:p w14:paraId="5D172EA8">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（二）监狱企业的认定</w:t>
      </w:r>
    </w:p>
    <w:p w14:paraId="78996AD8">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83E932">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（三）监狱企业需提供的证明材料</w:t>
      </w:r>
    </w:p>
    <w:p w14:paraId="7511FFF0">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监狱企业参加政府采购活动时，应当提供由省级以上监狱管理局、戒毒管理局（含新疆生产建设兵团）出具的属于监狱企业的证明文件。</w:t>
      </w:r>
    </w:p>
    <w:p w14:paraId="703B4BA6">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（四）监狱企业支持政策</w:t>
      </w:r>
    </w:p>
    <w:p w14:paraId="3E6E3E8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42F29DB">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三、支持残疾人福利性单位发展政策</w:t>
      </w:r>
    </w:p>
    <w:p w14:paraId="59801F10">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（一）政策依据</w:t>
      </w:r>
    </w:p>
    <w:p w14:paraId="71B3ACB9">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财政部 民政部 中国残疾人联合会《关于促进残疾人就业政府采购政策的通知》（财库[2017]141号）。</w:t>
      </w:r>
    </w:p>
    <w:p w14:paraId="790A730F">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（二）残疾人福利性单位的认定</w:t>
      </w:r>
    </w:p>
    <w:p w14:paraId="0926F97D">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享受政府采购支持政策的残疾人福利性单位应当同时满足以下条件：</w:t>
      </w:r>
    </w:p>
    <w:p w14:paraId="640EDBF2">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1、安置的残疾人占本单位在职职工人数的比例不低于25%(含25%)，并且安置的残疾人人数不少于10人(含10人)；</w:t>
      </w:r>
    </w:p>
    <w:p w14:paraId="313F4DB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2、依法与安置的每位残疾人签订了一年以上(含一年)的劳动合同或服务协议；</w:t>
      </w:r>
    </w:p>
    <w:p w14:paraId="66A7A5F0">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3、为安置的每位残疾人按月足额缴纳了基本养老保险、基本医疗保险、失业保险、工伤保险和生育保险等社会保险费；</w:t>
      </w:r>
    </w:p>
    <w:p w14:paraId="31AE4382">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4、通过银行等金融机构向安置的每位残疾人，按月支付了不低于单位所在区县适用的经省级人民政府批准的月最低工资标准的工资；</w:t>
      </w:r>
    </w:p>
    <w:p w14:paraId="05EB01EC">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4D9A8A91">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1E9E91">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（三）残疾人福利性单位需提供的证明材料</w:t>
      </w:r>
    </w:p>
    <w:p w14:paraId="713B87F5">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符合条件的残疾人福利性单位在参加政府采购活动时，应当出具本采购文件规定的《残疾人福利性单位声明函》，并对声明的真实性负责。</w:t>
      </w:r>
    </w:p>
    <w:p w14:paraId="7AA54D28">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（四）残疾人福利性单位支持政策</w:t>
      </w:r>
    </w:p>
    <w:p w14:paraId="596A5BE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E9AF9E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（五）法律责任</w:t>
      </w:r>
    </w:p>
    <w:p w14:paraId="22EE1744">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供应商按照本采购文件规定提供声明函内容不实的，属于提供虚假材料谋取中标、成交，依照《中华人民共和国政府采购法》等国家有关规定追究相应责任。</w:t>
      </w:r>
    </w:p>
    <w:p w14:paraId="6461BA6F">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四、强制、优先采购节能产品、环境标志产品政策</w:t>
      </w:r>
    </w:p>
    <w:p w14:paraId="6A1E513F">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（一）政策依据</w:t>
      </w:r>
    </w:p>
    <w:p w14:paraId="605F528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1、财政部 发展改革委 生态环境部 市场监管总局《关于调整优化节能产品、环境标志产品政府采购执行机制的通知》（财库〔2019〕9号）。</w:t>
      </w:r>
    </w:p>
    <w:p w14:paraId="4C6496EE">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2、财政部 生态环境部《关于印发环境标志产品政府采购品目清单的通知》（财库〔2019〕18号）。</w:t>
      </w:r>
    </w:p>
    <w:p w14:paraId="697FC18F">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3、财政部 发展改革委《关于印发节能产品政府采购品目清单的通知》（财库〔2019〕19号）。</w:t>
      </w:r>
    </w:p>
    <w:p w14:paraId="34800492">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（二）节能产品、环境标志产品的品目</w:t>
      </w:r>
    </w:p>
    <w:p w14:paraId="66F58A8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政府采购节能产品、环境标志产品实施品目清单管理，详见《节能产品政府采购品目清单》、《环境标志产品政府采购品目清单》。</w:t>
      </w:r>
    </w:p>
    <w:p w14:paraId="4D55468A">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（三）节能产品、环境标志产品需提供的证明材料</w:t>
      </w:r>
    </w:p>
    <w:p w14:paraId="1FA42583">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2B7E694D">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（四）节能产品、环境标志产品采购政策</w:t>
      </w:r>
    </w:p>
    <w:p w14:paraId="6B85723C">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拟采购的产品属于品目清单范围，且属于强制采购品目的，实行强制采购。本采购文件要求具有强制采购认证证书的产品，供应商必须在《节能产品、环境标志产品强制采购认证证书一览表》中，填写所投产品获得的、有效的认证证书相关信息，并提供对应的认证证书扫描件，否则投标、响应无效。</w:t>
      </w:r>
    </w:p>
    <w:p w14:paraId="3D79AEE7">
      <w:pPr>
        <w:autoSpaceDE w:val="0"/>
        <w:autoSpaceDN w:val="0"/>
        <w:adjustRightIn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w:t>
      </w:r>
    </w:p>
    <w:p w14:paraId="445111A3">
      <w:pPr>
        <w:autoSpaceDE w:val="0"/>
        <w:autoSpaceDN w:val="0"/>
        <w:adjustRightInd w:val="0"/>
        <w:jc w:val="left"/>
        <w:rPr>
          <w:rFonts w:ascii="宋体" w:hAnsi="宋体" w:cs="宋体"/>
          <w:b/>
          <w:sz w:val="30"/>
          <w:szCs w:val="30"/>
          <w:highlight w:val="none"/>
        </w:rPr>
      </w:pPr>
    </w:p>
    <w:p w14:paraId="7CE0EA66">
      <w:pPr>
        <w:pStyle w:val="2"/>
        <w:outlineLvl w:val="9"/>
        <w:rPr>
          <w:rFonts w:ascii="宋体" w:hAnsi="宋体" w:cs="宋体"/>
          <w:highlight w:val="none"/>
        </w:rPr>
        <w:sectPr>
          <w:footerReference r:id="rId13" w:type="first"/>
          <w:footerReference r:id="rId12" w:type="default"/>
          <w:pgSz w:w="11906" w:h="16838"/>
          <w:pgMar w:top="1276" w:right="991" w:bottom="1247" w:left="964" w:header="1134" w:footer="851" w:gutter="170"/>
          <w:pgNumType w:fmt="decimal"/>
          <w:cols w:space="720" w:num="1"/>
          <w:titlePg/>
          <w:docGrid w:type="linesAndChars" w:linePitch="328" w:charSpace="0"/>
        </w:sectPr>
      </w:pPr>
    </w:p>
    <w:p w14:paraId="414D3E83">
      <w:pPr>
        <w:rPr>
          <w:rFonts w:ascii="宋体" w:hAnsi="宋体" w:cs="宋体"/>
          <w:b/>
          <w:kern w:val="44"/>
          <w:sz w:val="44"/>
          <w:szCs w:val="22"/>
          <w:highlight w:val="none"/>
        </w:rPr>
      </w:pPr>
      <w:bookmarkStart w:id="164" w:name="_Toc29547242"/>
      <w:bookmarkStart w:id="165" w:name="_Toc2054"/>
      <w:bookmarkStart w:id="166" w:name="_Toc359494610"/>
      <w:bookmarkStart w:id="167" w:name="_Toc8788"/>
      <w:r>
        <w:rPr>
          <w:rFonts w:hint="eastAsia" w:ascii="宋体" w:hAnsi="宋体" w:cs="宋体"/>
          <w:b/>
          <w:kern w:val="44"/>
          <w:sz w:val="44"/>
          <w:szCs w:val="22"/>
          <w:highlight w:val="none"/>
        </w:rPr>
        <w:br w:type="page"/>
      </w:r>
    </w:p>
    <w:p w14:paraId="3F2D066A">
      <w:pPr>
        <w:pStyle w:val="2"/>
        <w:jc w:val="center"/>
        <w:rPr>
          <w:rFonts w:ascii="宋体" w:hAnsi="宋体" w:cs="宋体"/>
          <w:highlight w:val="none"/>
        </w:rPr>
      </w:pPr>
      <w:bookmarkStart w:id="168" w:name="_Toc19023"/>
      <w:bookmarkStart w:id="169" w:name="_Toc27527"/>
      <w:r>
        <w:rPr>
          <w:rFonts w:hint="eastAsia" w:ascii="宋体" w:hAnsi="宋体" w:cs="宋体"/>
          <w:szCs w:val="22"/>
          <w:highlight w:val="none"/>
        </w:rPr>
        <w:t>第四章  合同条款及格式（范本）</w:t>
      </w:r>
      <w:bookmarkEnd w:id="164"/>
      <w:bookmarkEnd w:id="165"/>
      <w:bookmarkEnd w:id="166"/>
      <w:bookmarkEnd w:id="167"/>
      <w:bookmarkEnd w:id="168"/>
      <w:bookmarkEnd w:id="169"/>
    </w:p>
    <w:p w14:paraId="54C4EB09">
      <w:pPr>
        <w:pStyle w:val="23"/>
        <w:tabs>
          <w:tab w:val="left" w:pos="573"/>
          <w:tab w:val="clear" w:pos="1365"/>
        </w:tabs>
        <w:adjustRightInd w:val="0"/>
        <w:snapToGrid w:val="0"/>
        <w:ind w:firstLine="480"/>
        <w:jc w:val="center"/>
        <w:rPr>
          <w:rFonts w:cs="宋体"/>
          <w:bCs/>
          <w:kern w:val="44"/>
          <w:sz w:val="24"/>
          <w:szCs w:val="15"/>
          <w:highlight w:val="none"/>
        </w:rPr>
      </w:pPr>
      <w:bookmarkStart w:id="170" w:name="_Toc359494611"/>
      <w:r>
        <w:rPr>
          <w:rFonts w:hint="eastAsia" w:cs="宋体"/>
          <w:bCs/>
          <w:kern w:val="44"/>
          <w:sz w:val="24"/>
          <w:szCs w:val="15"/>
          <w:highlight w:val="none"/>
        </w:rPr>
        <w:t>（以最终签订合同为准）</w:t>
      </w:r>
    </w:p>
    <w:p w14:paraId="41DB29EB">
      <w:pPr>
        <w:pStyle w:val="23"/>
        <w:tabs>
          <w:tab w:val="left" w:pos="573"/>
          <w:tab w:val="clear" w:pos="1365"/>
        </w:tabs>
        <w:adjustRightInd w:val="0"/>
        <w:snapToGrid w:val="0"/>
        <w:ind w:firstLine="480"/>
        <w:rPr>
          <w:rFonts w:cs="宋体"/>
          <w:sz w:val="24"/>
          <w:szCs w:val="24"/>
          <w:highlight w:val="none"/>
        </w:rPr>
      </w:pPr>
    </w:p>
    <w:p w14:paraId="01CCD26B">
      <w:pPr>
        <w:pStyle w:val="23"/>
        <w:tabs>
          <w:tab w:val="left" w:pos="573"/>
          <w:tab w:val="clear" w:pos="1365"/>
        </w:tabs>
        <w:adjustRightInd w:val="0"/>
        <w:snapToGrid w:val="0"/>
        <w:spacing w:line="360" w:lineRule="auto"/>
        <w:ind w:firstLine="480"/>
        <w:rPr>
          <w:rFonts w:cs="宋体"/>
          <w:sz w:val="24"/>
          <w:szCs w:val="24"/>
          <w:highlight w:val="none"/>
        </w:rPr>
      </w:pPr>
      <w:r>
        <w:rPr>
          <w:rFonts w:hint="eastAsia" w:cs="宋体"/>
          <w:sz w:val="24"/>
          <w:szCs w:val="24"/>
          <w:highlight w:val="none"/>
        </w:rPr>
        <w:t>具体格式内容按“中华人民共和国住房和城乡建设部、国家工商行政管理总局制定，由吉林省住房和城乡建设厅、吉林省工商行政管理局监制的《建设工程施工合同》（GF—2017—0201）（示范文本）执行。</w:t>
      </w:r>
    </w:p>
    <w:p w14:paraId="18E97DE5">
      <w:pPr>
        <w:pStyle w:val="23"/>
        <w:tabs>
          <w:tab w:val="left" w:pos="573"/>
          <w:tab w:val="clear" w:pos="1365"/>
        </w:tabs>
        <w:adjustRightInd w:val="0"/>
        <w:snapToGrid w:val="0"/>
        <w:ind w:firstLine="480"/>
        <w:rPr>
          <w:rFonts w:cs="宋体"/>
          <w:sz w:val="24"/>
          <w:szCs w:val="24"/>
          <w:highlight w:val="none"/>
        </w:rPr>
      </w:pPr>
    </w:p>
    <w:p w14:paraId="2056333E">
      <w:pPr>
        <w:rPr>
          <w:rFonts w:cs="宋体"/>
          <w:sz w:val="24"/>
          <w:szCs w:val="24"/>
          <w:highlight w:val="none"/>
        </w:rPr>
      </w:pPr>
      <w:r>
        <w:rPr>
          <w:rFonts w:cs="宋体"/>
          <w:sz w:val="24"/>
          <w:szCs w:val="24"/>
          <w:highlight w:val="none"/>
        </w:rPr>
        <w:br w:type="page"/>
      </w:r>
    </w:p>
    <w:p w14:paraId="12449F27">
      <w:pPr>
        <w:jc w:val="left"/>
        <w:rPr>
          <w:rFonts w:eastAsia="仿宋_GB2312"/>
          <w:bCs/>
          <w:color w:val="000000"/>
          <w:sz w:val="52"/>
          <w:szCs w:val="21"/>
          <w:highlight w:val="none"/>
        </w:rPr>
      </w:pPr>
      <w:r>
        <w:rPr>
          <w:rFonts w:eastAsia="仿宋_GB2312"/>
          <w:bCs/>
          <w:color w:val="000000"/>
          <w:sz w:val="52"/>
          <w:szCs w:val="21"/>
          <w:highlight w:val="none"/>
        </w:rPr>
        <w:t>（GF—201</w:t>
      </w:r>
      <w:r>
        <w:rPr>
          <w:rFonts w:hint="eastAsia" w:eastAsia="仿宋_GB2312"/>
          <w:bCs/>
          <w:color w:val="000000"/>
          <w:sz w:val="52"/>
          <w:szCs w:val="21"/>
          <w:highlight w:val="none"/>
        </w:rPr>
        <w:t>7</w:t>
      </w:r>
      <w:r>
        <w:rPr>
          <w:rFonts w:eastAsia="仿宋_GB2312"/>
          <w:bCs/>
          <w:color w:val="000000"/>
          <w:sz w:val="52"/>
          <w:szCs w:val="21"/>
          <w:highlight w:val="none"/>
        </w:rPr>
        <w:t>—</w:t>
      </w:r>
      <w:r>
        <w:rPr>
          <w:rFonts w:hint="eastAsia" w:eastAsia="仿宋_GB2312"/>
          <w:bCs/>
          <w:color w:val="000000"/>
          <w:sz w:val="52"/>
          <w:szCs w:val="21"/>
          <w:highlight w:val="none"/>
        </w:rPr>
        <w:t>0201）</w:t>
      </w:r>
    </w:p>
    <w:p w14:paraId="0D670A33">
      <w:pPr>
        <w:jc w:val="center"/>
        <w:rPr>
          <w:rFonts w:eastAsia="华文中宋"/>
          <w:b/>
          <w:color w:val="000000"/>
          <w:sz w:val="52"/>
          <w:szCs w:val="21"/>
          <w:highlight w:val="none"/>
        </w:rPr>
      </w:pPr>
    </w:p>
    <w:p w14:paraId="1D7A1A3A">
      <w:pPr>
        <w:jc w:val="center"/>
        <w:rPr>
          <w:rFonts w:eastAsia="华文中宋"/>
          <w:b/>
          <w:color w:val="000000"/>
          <w:sz w:val="52"/>
          <w:szCs w:val="21"/>
          <w:highlight w:val="none"/>
        </w:rPr>
      </w:pPr>
    </w:p>
    <w:p w14:paraId="556CF74E">
      <w:pPr>
        <w:jc w:val="center"/>
        <w:rPr>
          <w:rFonts w:eastAsia="华文中宋"/>
          <w:b/>
          <w:color w:val="000000"/>
          <w:sz w:val="52"/>
          <w:szCs w:val="21"/>
          <w:highlight w:val="none"/>
        </w:rPr>
      </w:pPr>
    </w:p>
    <w:p w14:paraId="02551873">
      <w:pPr>
        <w:jc w:val="center"/>
        <w:rPr>
          <w:rFonts w:eastAsia="华文中宋"/>
          <w:b/>
          <w:color w:val="000000"/>
          <w:sz w:val="52"/>
          <w:szCs w:val="21"/>
          <w:highlight w:val="none"/>
        </w:rPr>
      </w:pPr>
    </w:p>
    <w:p w14:paraId="11B1F622">
      <w:pPr>
        <w:jc w:val="center"/>
        <w:rPr>
          <w:rFonts w:hint="eastAsia" w:eastAsia="华文中宋"/>
          <w:b/>
          <w:color w:val="000000"/>
          <w:sz w:val="52"/>
          <w:szCs w:val="21"/>
          <w:highlight w:val="none"/>
          <w:lang w:eastAsia="zh-CN"/>
        </w:rPr>
      </w:pPr>
      <w:r>
        <w:rPr>
          <w:rFonts w:eastAsia="华文中宋"/>
          <w:b/>
          <w:color w:val="000000"/>
          <w:sz w:val="52"/>
          <w:szCs w:val="21"/>
          <w:highlight w:val="none"/>
        </w:rPr>
        <w:t>建设工程施工合同</w:t>
      </w:r>
    </w:p>
    <w:p w14:paraId="269E7A61">
      <w:pPr>
        <w:jc w:val="center"/>
        <w:rPr>
          <w:rFonts w:eastAsia="华文中宋"/>
          <w:b/>
          <w:color w:val="000000"/>
          <w:sz w:val="52"/>
          <w:szCs w:val="21"/>
          <w:highlight w:val="none"/>
        </w:rPr>
      </w:pPr>
      <w:r>
        <w:rPr>
          <w:rFonts w:eastAsia="华文中宋"/>
          <w:b/>
          <w:color w:val="000000"/>
          <w:sz w:val="52"/>
          <w:szCs w:val="21"/>
          <w:highlight w:val="none"/>
        </w:rPr>
        <w:t>（示范文本）</w:t>
      </w:r>
    </w:p>
    <w:p w14:paraId="3683626D">
      <w:pPr>
        <w:jc w:val="center"/>
        <w:rPr>
          <w:rFonts w:eastAsia="华文中宋"/>
          <w:b/>
          <w:color w:val="000000"/>
          <w:sz w:val="52"/>
          <w:szCs w:val="21"/>
          <w:highlight w:val="none"/>
        </w:rPr>
      </w:pPr>
    </w:p>
    <w:p w14:paraId="0FBCD37D">
      <w:pPr>
        <w:jc w:val="center"/>
        <w:rPr>
          <w:rFonts w:eastAsia="黑体"/>
          <w:b/>
          <w:color w:val="000000"/>
          <w:sz w:val="52"/>
          <w:szCs w:val="21"/>
          <w:highlight w:val="none"/>
        </w:rPr>
      </w:pPr>
    </w:p>
    <w:p w14:paraId="4AB0EA55">
      <w:pPr>
        <w:jc w:val="center"/>
        <w:rPr>
          <w:rFonts w:eastAsia="楷体_GB2312"/>
          <w:b/>
          <w:color w:val="000000"/>
          <w:sz w:val="52"/>
          <w:szCs w:val="21"/>
          <w:highlight w:val="none"/>
        </w:rPr>
      </w:pPr>
    </w:p>
    <w:p w14:paraId="0BAF4EF9">
      <w:pPr>
        <w:jc w:val="center"/>
        <w:rPr>
          <w:rFonts w:eastAsia="楷体_GB2312"/>
          <w:b/>
          <w:color w:val="000000"/>
          <w:sz w:val="52"/>
          <w:szCs w:val="21"/>
          <w:highlight w:val="none"/>
        </w:rPr>
      </w:pPr>
    </w:p>
    <w:p w14:paraId="00775A62">
      <w:pPr>
        <w:jc w:val="center"/>
        <w:rPr>
          <w:rFonts w:eastAsia="楷体_GB2312"/>
          <w:b/>
          <w:color w:val="000000"/>
          <w:sz w:val="52"/>
          <w:szCs w:val="21"/>
          <w:highlight w:val="none"/>
        </w:rPr>
      </w:pPr>
    </w:p>
    <w:p w14:paraId="7371282F">
      <w:pPr>
        <w:jc w:val="center"/>
        <w:rPr>
          <w:rFonts w:eastAsia="楷体_GB2312"/>
          <w:b/>
          <w:color w:val="000000"/>
          <w:sz w:val="52"/>
          <w:szCs w:val="21"/>
          <w:highlight w:val="none"/>
        </w:rPr>
      </w:pPr>
    </w:p>
    <w:p w14:paraId="0088EEB4">
      <w:pPr>
        <w:jc w:val="center"/>
        <w:rPr>
          <w:rFonts w:eastAsia="黑体"/>
          <w:b/>
          <w:color w:val="000000"/>
          <w:sz w:val="52"/>
          <w:szCs w:val="21"/>
          <w:highlight w:val="none"/>
        </w:rPr>
      </w:pPr>
    </w:p>
    <w:tbl>
      <w:tblPr>
        <w:tblStyle w:val="170"/>
        <w:tblW w:w="5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4"/>
        <w:gridCol w:w="1254"/>
      </w:tblGrid>
      <w:tr w14:paraId="17AD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jc w:val="center"/>
        </w:trPr>
        <w:tc>
          <w:tcPr>
            <w:tcW w:w="4254" w:type="dxa"/>
            <w:noWrap w:val="0"/>
            <w:vAlign w:val="top"/>
          </w:tcPr>
          <w:p w14:paraId="058909AF">
            <w:pPr>
              <w:ind w:firstLine="562"/>
              <w:rPr>
                <w:rFonts w:ascii="Calibri" w:hAnsi="Calibri"/>
                <w:b/>
                <w:color w:val="000000"/>
                <w:kern w:val="0"/>
                <w:sz w:val="32"/>
                <w:szCs w:val="21"/>
                <w:highlight w:val="none"/>
              </w:rPr>
            </w:pPr>
            <w:r>
              <w:rPr>
                <w:rFonts w:hint="eastAsia" w:ascii="Calibri" w:hAnsi="Calibri"/>
                <w:b/>
                <w:color w:val="000000"/>
                <w:kern w:val="0"/>
                <w:sz w:val="32"/>
                <w:szCs w:val="21"/>
                <w:highlight w:val="none"/>
              </w:rPr>
              <w:t>住 房 城 乡 建 设 部</w:t>
            </w:r>
          </w:p>
        </w:tc>
        <w:tc>
          <w:tcPr>
            <w:tcW w:w="1254" w:type="dxa"/>
            <w:vMerge w:val="restart"/>
            <w:noWrap w:val="0"/>
            <w:vAlign w:val="center"/>
          </w:tcPr>
          <w:p w14:paraId="52574CF8">
            <w:pPr>
              <w:rPr>
                <w:rFonts w:ascii="Calibri" w:hAnsi="Calibri"/>
                <w:b/>
                <w:color w:val="000000"/>
                <w:kern w:val="0"/>
                <w:sz w:val="32"/>
                <w:szCs w:val="21"/>
                <w:highlight w:val="none"/>
              </w:rPr>
            </w:pPr>
            <w:r>
              <w:rPr>
                <w:rFonts w:hint="eastAsia" w:ascii="Calibri" w:hAnsi="Calibri"/>
                <w:b/>
                <w:color w:val="000000"/>
                <w:kern w:val="0"/>
                <w:sz w:val="32"/>
                <w:szCs w:val="21"/>
                <w:highlight w:val="none"/>
              </w:rPr>
              <w:t>制定</w:t>
            </w:r>
          </w:p>
        </w:tc>
      </w:tr>
      <w:tr w14:paraId="38C1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4254" w:type="dxa"/>
            <w:noWrap w:val="0"/>
            <w:vAlign w:val="top"/>
          </w:tcPr>
          <w:p w14:paraId="6641F8F7">
            <w:pPr>
              <w:ind w:firstLine="562"/>
              <w:rPr>
                <w:rFonts w:ascii="Calibri" w:hAnsi="Calibri"/>
                <w:b/>
                <w:color w:val="000000"/>
                <w:kern w:val="0"/>
                <w:sz w:val="32"/>
                <w:szCs w:val="21"/>
                <w:highlight w:val="none"/>
              </w:rPr>
            </w:pPr>
            <w:r>
              <w:rPr>
                <w:rFonts w:hint="eastAsia" w:ascii="Calibri" w:hAnsi="Calibri"/>
                <w:b/>
                <w:color w:val="000000"/>
                <w:kern w:val="0"/>
                <w:sz w:val="32"/>
                <w:szCs w:val="21"/>
                <w:highlight w:val="none"/>
              </w:rPr>
              <w:t>国家工商行政管理总局</w:t>
            </w:r>
          </w:p>
        </w:tc>
        <w:tc>
          <w:tcPr>
            <w:tcW w:w="1254" w:type="dxa"/>
            <w:vMerge w:val="continue"/>
            <w:noWrap w:val="0"/>
            <w:vAlign w:val="top"/>
          </w:tcPr>
          <w:p w14:paraId="64522A8E">
            <w:pPr>
              <w:ind w:firstLine="562"/>
              <w:rPr>
                <w:rFonts w:ascii="Calibri" w:hAnsi="Calibri"/>
                <w:b/>
                <w:color w:val="000000"/>
                <w:kern w:val="0"/>
                <w:sz w:val="32"/>
                <w:szCs w:val="21"/>
                <w:highlight w:val="none"/>
              </w:rPr>
            </w:pPr>
          </w:p>
        </w:tc>
      </w:tr>
    </w:tbl>
    <w:p w14:paraId="10C7A5BE">
      <w:pPr>
        <w:pageBreakBefore w:val="0"/>
        <w:widowControl w:val="0"/>
        <w:kinsoku/>
        <w:wordWrap/>
        <w:overflowPunct/>
        <w:topLinePunct w:val="0"/>
        <w:bidi w:val="0"/>
        <w:snapToGrid w:val="0"/>
        <w:spacing w:line="360" w:lineRule="auto"/>
        <w:rPr>
          <w:rFonts w:hint="eastAsia" w:ascii="宋体" w:hAnsi="宋体" w:eastAsia="宋体" w:cs="宋体"/>
          <w:b/>
          <w:color w:val="000000"/>
          <w:sz w:val="21"/>
          <w:szCs w:val="21"/>
          <w:highlight w:val="none"/>
        </w:rPr>
      </w:pPr>
    </w:p>
    <w:p w14:paraId="6B567335">
      <w:pPr>
        <w:pStyle w:val="171"/>
        <w:pageBreakBefore w:val="0"/>
        <w:widowControl w:val="0"/>
        <w:kinsoku/>
        <w:wordWrap/>
        <w:overflowPunct/>
        <w:topLinePunct w:val="0"/>
        <w:bidi w:val="0"/>
        <w:snapToGrid w:val="0"/>
        <w:spacing w:before="0" w:after="0" w:line="240" w:lineRule="auto"/>
        <w:jc w:val="center"/>
        <w:outlineLvl w:val="0"/>
        <w:rPr>
          <w:rFonts w:hint="eastAsia" w:ascii="宋体" w:hAnsi="宋体" w:eastAsia="宋体" w:cs="宋体"/>
          <w:sz w:val="21"/>
          <w:szCs w:val="21"/>
          <w:highlight w:val="none"/>
          <w:lang w:val="zh-CN"/>
        </w:rPr>
      </w:pPr>
      <w:r>
        <w:rPr>
          <w:rFonts w:hint="eastAsia" w:ascii="宋体" w:hAnsi="宋体" w:eastAsia="宋体" w:cs="宋体"/>
          <w:b w:val="0"/>
          <w:color w:val="000000"/>
          <w:sz w:val="21"/>
          <w:szCs w:val="21"/>
          <w:highlight w:val="none"/>
        </w:rPr>
        <w:br w:type="page"/>
      </w:r>
      <w:bookmarkStart w:id="171" w:name="_Toc3974"/>
      <w:bookmarkStart w:id="172" w:name="_Toc7914"/>
      <w:bookmarkStart w:id="173" w:name="_Toc23666"/>
      <w:bookmarkStart w:id="174" w:name="_Toc21699"/>
      <w:bookmarkStart w:id="175" w:name="_Toc8473"/>
      <w:bookmarkStart w:id="176" w:name="_Toc296503025"/>
      <w:bookmarkStart w:id="177" w:name="_Toc296890982"/>
      <w:r>
        <w:rPr>
          <w:rFonts w:hint="eastAsia" w:ascii="宋体" w:hAnsi="宋体" w:eastAsia="宋体" w:cs="宋体"/>
          <w:sz w:val="21"/>
          <w:szCs w:val="21"/>
          <w:highlight w:val="none"/>
          <w:lang w:val="zh-CN"/>
        </w:rPr>
        <w:t>说  明</w:t>
      </w:r>
      <w:bookmarkEnd w:id="171"/>
      <w:bookmarkEnd w:id="172"/>
      <w:bookmarkEnd w:id="173"/>
      <w:bookmarkEnd w:id="174"/>
      <w:bookmarkEnd w:id="175"/>
    </w:p>
    <w:p w14:paraId="1DE79B1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为了指导建设工程施工合同当事人的签约行为，维护合同当事人的合法权益，依据《</w:t>
      </w:r>
      <w:r>
        <w:rPr>
          <w:rFonts w:hint="eastAsia" w:ascii="宋体" w:hAnsi="宋体" w:eastAsia="宋体" w:cs="宋体"/>
          <w:sz w:val="21"/>
          <w:szCs w:val="21"/>
          <w:highlight w:val="none"/>
          <w:lang w:eastAsia="zh-CN"/>
        </w:rPr>
        <w:t>中华人民共和国民法典</w:t>
      </w:r>
      <w:r>
        <w:rPr>
          <w:rFonts w:hint="eastAsia" w:ascii="宋体" w:hAnsi="宋体" w:eastAsia="宋体" w:cs="宋体"/>
          <w:sz w:val="21"/>
          <w:szCs w:val="21"/>
          <w:highlight w:val="none"/>
        </w:rPr>
        <w:t>》、《中华人民共和国建筑法》、《中华人民共和国招标投标法》以及相关法律法规，住房城乡建设部、国家工商行政管理总局对《建设工程施工合同（示范文本）》（GF-</w:t>
      </w:r>
      <w:r>
        <w:rPr>
          <w:rFonts w:hint="eastAsia" w:ascii="宋体" w:hAnsi="宋体" w:eastAsia="宋体" w:cs="宋体"/>
          <w:sz w:val="21"/>
          <w:szCs w:val="21"/>
          <w:highlight w:val="none"/>
          <w:lang w:val="en-US" w:eastAsia="zh-CN"/>
        </w:rPr>
        <w:t>2013</w:t>
      </w:r>
      <w:r>
        <w:rPr>
          <w:rFonts w:hint="eastAsia" w:ascii="宋体" w:hAnsi="宋体" w:eastAsia="宋体" w:cs="宋体"/>
          <w:sz w:val="21"/>
          <w:szCs w:val="21"/>
          <w:highlight w:val="none"/>
        </w:rPr>
        <w:t>-0201）进行了修订，制定了《建设工程施工合同（示范文本）》（GF-201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-0201）（以下简称《示范文本》）。为了便于合同当事人使用《示范文本》，现就有关问题说明如下：</w:t>
      </w:r>
    </w:p>
    <w:p w14:paraId="1A34C299">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bCs/>
          <w:sz w:val="21"/>
          <w:szCs w:val="21"/>
          <w:highlight w:val="none"/>
        </w:rPr>
      </w:pPr>
      <w:bookmarkStart w:id="178" w:name="_Toc17138"/>
      <w:bookmarkStart w:id="179" w:name="_Toc10261"/>
      <w:bookmarkStart w:id="180" w:name="_Toc11695"/>
      <w:bookmarkStart w:id="181" w:name="_Toc16358"/>
      <w:bookmarkStart w:id="182" w:name="_Toc30290"/>
      <w:r>
        <w:rPr>
          <w:rFonts w:hint="eastAsia" w:ascii="宋体" w:hAnsi="宋体" w:eastAsia="宋体" w:cs="宋体"/>
          <w:bCs/>
          <w:sz w:val="21"/>
          <w:szCs w:val="21"/>
          <w:highlight w:val="none"/>
        </w:rPr>
        <w:t>一、《示范文本》的组成</w:t>
      </w:r>
      <w:bookmarkEnd w:id="178"/>
      <w:bookmarkEnd w:id="179"/>
      <w:bookmarkEnd w:id="180"/>
      <w:bookmarkEnd w:id="181"/>
      <w:bookmarkEnd w:id="182"/>
    </w:p>
    <w:p w14:paraId="2482DB8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《示范文本》由合同协议书、通用合同条款和专用合同条款三部分组成。</w:t>
      </w:r>
    </w:p>
    <w:p w14:paraId="1877ED71">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sz w:val="21"/>
          <w:szCs w:val="21"/>
          <w:highlight w:val="none"/>
        </w:rPr>
      </w:pPr>
      <w:bookmarkStart w:id="183" w:name="_Toc15636"/>
      <w:bookmarkStart w:id="184" w:name="_Toc21014"/>
      <w:bookmarkStart w:id="185" w:name="_Toc20035"/>
      <w:bookmarkStart w:id="186" w:name="_Toc32425"/>
      <w:bookmarkStart w:id="187" w:name="_Toc17275"/>
      <w:r>
        <w:rPr>
          <w:rFonts w:hint="eastAsia" w:ascii="宋体" w:hAnsi="宋体" w:eastAsia="宋体" w:cs="宋体"/>
          <w:sz w:val="21"/>
          <w:szCs w:val="21"/>
          <w:highlight w:val="none"/>
        </w:rPr>
        <w:t>（一）合同协议书</w:t>
      </w:r>
      <w:bookmarkEnd w:id="183"/>
      <w:bookmarkEnd w:id="184"/>
      <w:bookmarkEnd w:id="185"/>
      <w:bookmarkEnd w:id="186"/>
      <w:bookmarkEnd w:id="187"/>
    </w:p>
    <w:p w14:paraId="211B1A4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1B25CE0">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sz w:val="21"/>
          <w:szCs w:val="21"/>
          <w:highlight w:val="none"/>
        </w:rPr>
      </w:pPr>
      <w:bookmarkStart w:id="188" w:name="_Toc5548"/>
      <w:bookmarkStart w:id="189" w:name="_Toc3763"/>
      <w:bookmarkStart w:id="190" w:name="_Toc24798"/>
      <w:bookmarkStart w:id="191" w:name="_Toc21448"/>
      <w:bookmarkStart w:id="192" w:name="_Toc25404"/>
      <w:r>
        <w:rPr>
          <w:rFonts w:hint="eastAsia" w:ascii="宋体" w:hAnsi="宋体" w:eastAsia="宋体" w:cs="宋体"/>
          <w:sz w:val="21"/>
          <w:szCs w:val="21"/>
          <w:highlight w:val="none"/>
        </w:rPr>
        <w:t>（二）通用合同条款</w:t>
      </w:r>
      <w:bookmarkEnd w:id="188"/>
      <w:bookmarkEnd w:id="189"/>
      <w:bookmarkEnd w:id="190"/>
      <w:bookmarkEnd w:id="191"/>
      <w:bookmarkEnd w:id="192"/>
    </w:p>
    <w:p w14:paraId="6A5DA74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通用合同条款是合同当事人根据《中华人民共和国建筑法》、《</w:t>
      </w:r>
      <w:r>
        <w:rPr>
          <w:rFonts w:hint="eastAsia" w:ascii="宋体" w:hAnsi="宋体" w:eastAsia="宋体" w:cs="宋体"/>
          <w:sz w:val="21"/>
          <w:szCs w:val="21"/>
          <w:highlight w:val="none"/>
          <w:lang w:eastAsia="zh-CN"/>
        </w:rPr>
        <w:t>中华人民共和国民法典</w:t>
      </w:r>
      <w:r>
        <w:rPr>
          <w:rFonts w:hint="eastAsia" w:ascii="宋体" w:hAnsi="宋体" w:eastAsia="宋体" w:cs="宋体"/>
          <w:sz w:val="21"/>
          <w:szCs w:val="21"/>
          <w:highlight w:val="none"/>
        </w:rPr>
        <w:t>》等法律法规的规定，就工程建设的实施及相关事项，对合同当事人的权利义务作出的原则性约定。</w:t>
      </w:r>
    </w:p>
    <w:p w14:paraId="0B77CE78">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07584E1">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sz w:val="21"/>
          <w:szCs w:val="21"/>
          <w:highlight w:val="none"/>
        </w:rPr>
      </w:pPr>
      <w:bookmarkStart w:id="193" w:name="_Toc15784"/>
      <w:bookmarkStart w:id="194" w:name="_Toc32200"/>
      <w:bookmarkStart w:id="195" w:name="_Toc25533"/>
      <w:bookmarkStart w:id="196" w:name="_Toc2405"/>
      <w:bookmarkStart w:id="197" w:name="_Toc4421"/>
      <w:r>
        <w:rPr>
          <w:rFonts w:hint="eastAsia" w:ascii="宋体" w:hAnsi="宋体" w:eastAsia="宋体" w:cs="宋体"/>
          <w:sz w:val="21"/>
          <w:szCs w:val="21"/>
          <w:highlight w:val="none"/>
        </w:rPr>
        <w:t>（三）专用合同条款</w:t>
      </w:r>
      <w:bookmarkEnd w:id="193"/>
      <w:bookmarkEnd w:id="194"/>
      <w:bookmarkEnd w:id="195"/>
      <w:bookmarkEnd w:id="196"/>
      <w:bookmarkEnd w:id="197"/>
    </w:p>
    <w:p w14:paraId="2C7BF7E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01901C9">
      <w:pPr>
        <w:pageBreakBefore w:val="0"/>
        <w:widowControl w:val="0"/>
        <w:kinsoku/>
        <w:wordWrap/>
        <w:overflowPunct/>
        <w:topLinePunct w:val="0"/>
        <w:bidi w:val="0"/>
        <w:snapToGrid w:val="0"/>
        <w:spacing w:line="360" w:lineRule="auto"/>
        <w:ind w:right="25" w:rightChars="1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专用合同条款的编号应与相应的通用合同条款的编号一致；</w:t>
      </w:r>
    </w:p>
    <w:p w14:paraId="175D7EEE">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合同当事人可以通过对专用合同条款的修改，满足具体建设工程的特殊要求，避免直接修改通用合同条款；</w:t>
      </w:r>
    </w:p>
    <w:p w14:paraId="49B7F1C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在专用合同条款中有横道线的地方，合同当事人可针对相应的通用合同条款进行细化、完善、补充、修改或另行约定；如无细化、完善、补充、修改或另行约定，则填写“无”或划“/”。</w:t>
      </w:r>
    </w:p>
    <w:p w14:paraId="27C77E69">
      <w:pPr>
        <w:pageBreakBefore w:val="0"/>
        <w:widowControl w:val="0"/>
        <w:kinsoku/>
        <w:wordWrap/>
        <w:overflowPunct/>
        <w:topLinePunct w:val="0"/>
        <w:bidi w:val="0"/>
        <w:snapToGrid w:val="0"/>
        <w:spacing w:line="240" w:lineRule="auto"/>
        <w:ind w:firstLine="420" w:firstLineChars="200"/>
        <w:outlineLvl w:val="0"/>
        <w:rPr>
          <w:rFonts w:hint="eastAsia" w:ascii="宋体" w:hAnsi="宋体" w:eastAsia="宋体" w:cs="宋体"/>
          <w:b/>
          <w:sz w:val="21"/>
          <w:szCs w:val="21"/>
          <w:highlight w:val="none"/>
        </w:rPr>
      </w:pPr>
      <w:bookmarkStart w:id="198" w:name="_Toc19839"/>
      <w:bookmarkStart w:id="199" w:name="_Toc2542"/>
      <w:bookmarkStart w:id="200" w:name="_Toc4555"/>
      <w:bookmarkStart w:id="201" w:name="_Toc32073"/>
      <w:bookmarkStart w:id="202" w:name="_Toc14249"/>
      <w:r>
        <w:rPr>
          <w:rFonts w:hint="eastAsia" w:ascii="宋体" w:hAnsi="宋体" w:eastAsia="宋体" w:cs="宋体"/>
          <w:bCs/>
          <w:sz w:val="21"/>
          <w:szCs w:val="21"/>
          <w:highlight w:val="none"/>
        </w:rPr>
        <w:t>二、《示范文本》的性质和适用范围</w:t>
      </w:r>
      <w:bookmarkEnd w:id="198"/>
      <w:bookmarkEnd w:id="199"/>
      <w:bookmarkEnd w:id="200"/>
      <w:bookmarkEnd w:id="201"/>
      <w:bookmarkEnd w:id="202"/>
    </w:p>
    <w:p w14:paraId="3833BFB2">
      <w:pPr>
        <w:pageBreakBefore w:val="0"/>
        <w:widowControl w:val="0"/>
        <w:kinsoku/>
        <w:wordWrap/>
        <w:overflowPunct/>
        <w:topLinePunct w:val="0"/>
        <w:bidi w:val="0"/>
        <w:snapToGrid w:val="0"/>
        <w:spacing w:line="240" w:lineRule="auto"/>
        <w:ind w:firstLine="420" w:firstLineChars="200"/>
        <w:rPr>
          <w:rFonts w:hint="eastAsia" w:ascii="宋体" w:hAnsi="宋体" w:eastAsia="宋体" w:cs="宋体"/>
          <w:sz w:val="21"/>
          <w:szCs w:val="21"/>
          <w:highlight w:val="none"/>
        </w:rPr>
        <w:sectPr>
          <w:footerReference r:id="rId14" w:type="default"/>
          <w:type w:val="continuous"/>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208548A0">
      <w:pPr>
        <w:pStyle w:val="171"/>
        <w:pageBreakBefore w:val="0"/>
        <w:widowControl w:val="0"/>
        <w:kinsoku/>
        <w:wordWrap/>
        <w:overflowPunct/>
        <w:topLinePunct w:val="0"/>
        <w:bidi w:val="0"/>
        <w:snapToGrid w:val="0"/>
        <w:spacing w:before="120" w:after="12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目  录</w:t>
      </w:r>
    </w:p>
    <w:p w14:paraId="003D055C">
      <w:pPr>
        <w:pStyle w:val="14"/>
        <w:pageBreakBefore w:val="0"/>
        <w:widowControl w:val="0"/>
        <w:tabs>
          <w:tab w:val="right" w:leader="dot" w:pos="8810"/>
        </w:tabs>
        <w:kinsoku/>
        <w:wordWrap/>
        <w:overflowPunct/>
        <w:topLinePunct w:val="0"/>
        <w:bidi w:val="0"/>
        <w:snapToGrid w:val="0"/>
        <w:spacing w:line="360" w:lineRule="auto"/>
        <w:ind w:left="0" w:leftChars="0" w:firstLine="315" w:firstLineChars="150"/>
        <w:rPr>
          <w:rFonts w:hint="eastAsia" w:ascii="宋体" w:hAnsi="宋体" w:eastAsia="宋体" w:cs="宋体"/>
          <w:b/>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"1-5" \h \z \u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b/>
          <w:sz w:val="21"/>
          <w:szCs w:val="21"/>
          <w:highlight w:val="none"/>
        </w:rPr>
        <w:t>第一部分 合同协议书</w:t>
      </w:r>
      <w:r>
        <w:rPr>
          <w:rFonts w:hint="eastAsia" w:ascii="宋体" w:hAnsi="宋体" w:eastAsia="宋体" w:cs="宋体"/>
          <w:sz w:val="21"/>
          <w:szCs w:val="21"/>
          <w:highlight w:val="none"/>
        </w:rPr>
        <w:t>……………………………………………………………………</w:t>
      </w:r>
      <w:r>
        <w:rPr>
          <w:rFonts w:hint="eastAsia" w:ascii="宋体" w:hAnsi="宋体" w:eastAsia="宋体" w:cs="宋体"/>
          <w:spacing w:val="34"/>
          <w:sz w:val="21"/>
          <w:szCs w:val="21"/>
          <w:highlight w:val="none"/>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50</w:t>
      </w:r>
      <w:r>
        <w:rPr>
          <w:rFonts w:hint="eastAsia" w:ascii="宋体" w:hAnsi="宋体" w:eastAsia="宋体" w:cs="宋体"/>
          <w:sz w:val="21"/>
          <w:szCs w:val="21"/>
          <w:highlight w:val="none"/>
        </w:rPr>
        <w:fldChar w:fldCharType="end"/>
      </w:r>
      <w:r>
        <w:rPr>
          <w:rFonts w:hint="eastAsia" w:ascii="宋体" w:hAnsi="宋体" w:eastAsia="宋体" w:cs="宋体"/>
          <w:b/>
          <w:sz w:val="21"/>
          <w:szCs w:val="21"/>
          <w:highlight w:val="none"/>
        </w:rPr>
        <w:fldChar w:fldCharType="end"/>
      </w:r>
    </w:p>
    <w:p w14:paraId="4DA9E9A8">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一、工程概况</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4C5FDE6">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二、合同工期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9C45A50">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三、质量标准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9C322AC">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四、签约合同价与合同价格形式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12068EE">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五、项目经理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0FAA2DF">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六、合同文件构成</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fldChar w:fldCharType="end"/>
      </w:r>
      <w:r>
        <w:rPr>
          <w:rFonts w:hint="eastAsia" w:ascii="宋体" w:hAnsi="宋体" w:cs="宋体"/>
          <w:sz w:val="21"/>
          <w:szCs w:val="21"/>
          <w:highlight w:val="none"/>
          <w:lang w:val="en-US" w:eastAsia="zh-CN"/>
        </w:rPr>
        <w:t>6</w:t>
      </w:r>
    </w:p>
    <w:p w14:paraId="04890F48">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七、承诺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A7A3B05">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八、词语含义</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fldChar w:fldCharType="end"/>
      </w:r>
      <w:r>
        <w:rPr>
          <w:rFonts w:hint="eastAsia" w:ascii="宋体" w:hAnsi="宋体" w:cs="宋体"/>
          <w:sz w:val="21"/>
          <w:szCs w:val="21"/>
          <w:highlight w:val="none"/>
          <w:lang w:val="en-US" w:eastAsia="zh-CN"/>
        </w:rPr>
        <w:t>6</w:t>
      </w:r>
    </w:p>
    <w:p w14:paraId="70397C80">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九、签订时间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_Toc351203489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C4B89D8">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十、签订地点</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C0FCC9F">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十一、补充协议</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2EF6E88">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十二、合同生效</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A780174">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十三、合同份数</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93E773E">
      <w:pPr>
        <w:pStyle w:val="14"/>
        <w:pageBreakBefore w:val="0"/>
        <w:widowControl w:val="0"/>
        <w:tabs>
          <w:tab w:val="right" w:leader="dot" w:pos="8810"/>
        </w:tabs>
        <w:kinsoku/>
        <w:wordWrap/>
        <w:overflowPunct/>
        <w:topLinePunct w:val="0"/>
        <w:bidi w:val="0"/>
        <w:snapToGrid w:val="0"/>
        <w:spacing w:line="360" w:lineRule="auto"/>
        <w:ind w:left="0" w:leftChars="0" w:firstLine="209" w:firstLineChars="99"/>
        <w:rPr>
          <w:rFonts w:hint="eastAsia"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Style w:val="43"/>
          <w:rFonts w:hint="eastAsia" w:ascii="宋体" w:hAnsi="宋体" w:eastAsia="宋体" w:cs="宋体"/>
          <w:b/>
          <w:sz w:val="21"/>
          <w:szCs w:val="21"/>
          <w:highlight w:val="none"/>
        </w:rPr>
        <w:instrText xml:space="preserve"> </w:instrText>
      </w:r>
      <w:r>
        <w:rPr>
          <w:rFonts w:hint="eastAsia" w:ascii="宋体" w:hAnsi="宋体" w:eastAsia="宋体" w:cs="宋体"/>
          <w:b/>
          <w:sz w:val="21"/>
          <w:szCs w:val="21"/>
          <w:highlight w:val="none"/>
        </w:rPr>
        <w:instrText xml:space="preserve">HYPERLINK \l "_Toc351203494"</w:instrText>
      </w:r>
      <w:r>
        <w:rPr>
          <w:rStyle w:val="43"/>
          <w:rFonts w:hint="eastAsia" w:ascii="宋体" w:hAnsi="宋体" w:eastAsia="宋体" w:cs="宋体"/>
          <w:b/>
          <w:sz w:val="21"/>
          <w:szCs w:val="21"/>
          <w:highlight w:val="none"/>
        </w:rPr>
        <w:instrText xml:space="preserve"> </w:instrText>
      </w:r>
      <w:r>
        <w:rPr>
          <w:rFonts w:hint="eastAsia" w:ascii="宋体" w:hAnsi="宋体" w:eastAsia="宋体" w:cs="宋体"/>
          <w:b/>
          <w:sz w:val="21"/>
          <w:szCs w:val="21"/>
          <w:highlight w:val="none"/>
        </w:rPr>
        <w:fldChar w:fldCharType="separate"/>
      </w:r>
      <w:r>
        <w:rPr>
          <w:rStyle w:val="43"/>
          <w:rFonts w:hint="eastAsia" w:ascii="宋体" w:hAnsi="宋体" w:eastAsia="宋体" w:cs="宋体"/>
          <w:b/>
          <w:sz w:val="21"/>
          <w:szCs w:val="21"/>
          <w:highlight w:val="none"/>
        </w:rPr>
        <w:t>第二部分 通用合同条款</w:t>
      </w:r>
      <w:r>
        <w:rPr>
          <w:rFonts w:hint="eastAsia" w:ascii="宋体" w:hAnsi="宋体" w:eastAsia="宋体" w:cs="宋体"/>
          <w:sz w:val="21"/>
          <w:szCs w:val="21"/>
          <w:highlight w:val="none"/>
        </w:rPr>
        <w:t>……………………………………………………………………</w:t>
      </w:r>
      <w:r>
        <w:rPr>
          <w:rFonts w:hint="eastAsia" w:ascii="宋体" w:hAnsi="宋体" w:eastAsia="宋体" w:cs="宋体"/>
          <w:spacing w:val="34"/>
          <w:sz w:val="21"/>
          <w:szCs w:val="21"/>
          <w:highlight w:val="none"/>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53</w:t>
      </w:r>
      <w:r>
        <w:rPr>
          <w:rFonts w:hint="eastAsia" w:ascii="宋体" w:hAnsi="宋体" w:eastAsia="宋体" w:cs="宋体"/>
          <w:sz w:val="21"/>
          <w:szCs w:val="21"/>
          <w:highlight w:val="none"/>
        </w:rPr>
        <w:fldChar w:fldCharType="end"/>
      </w:r>
      <w:r>
        <w:rPr>
          <w:rFonts w:hint="eastAsia" w:ascii="宋体" w:hAnsi="宋体" w:eastAsia="宋体" w:cs="宋体"/>
          <w:b/>
          <w:sz w:val="21"/>
          <w:szCs w:val="21"/>
          <w:highlight w:val="none"/>
        </w:rPr>
        <w:fldChar w:fldCharType="end"/>
      </w:r>
    </w:p>
    <w:p w14:paraId="6157FFD8">
      <w:pPr>
        <w:pStyle w:val="22"/>
        <w:pageBreakBefore w:val="0"/>
        <w:widowControl w:val="0"/>
        <w:kinsoku/>
        <w:wordWrap/>
        <w:overflowPunct/>
        <w:topLinePunct w:val="0"/>
        <w:bidi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 一般约定</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412069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1.1词语定义与解释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D9C3A5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1.2语言文字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304240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1.3法律</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7C911B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1.4 标准和规范</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_Toc351203499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E45EF5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1.5 合同文件的优先顺序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D66D1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1.6图纸和承包人文件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CEE178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1.7联络</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3F5106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1.8严禁贿赂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88DC90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1.9化石、文物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2AA5C12">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1.10交通运输</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8B4E17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1.11知识产权</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247499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1.12保密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577CDAE">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1.13工程量清单错误的修正</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0EFCE34">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 发包人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_Toc351203509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2EFFDC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2.1 许可或批准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DAC8D7D">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2.2 发包人代表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FDAFBD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2.3 发包人人员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C1DAA08">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2.4 施工现场、施工条件和基础资料的提供</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916087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2.5 资金来源证明及支付担保</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002872F">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2.6 支付合同价款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F1073E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2.7 组织竣工验收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E26C358">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2.8 现场统一管理协议</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1EB6182">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 承包人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A75F7B8">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3.1 承包人的一般义务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_Toc351203519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2D1CE2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3.2 项目经理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4B826A1">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3.3 承包人人员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7451F9E">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3.4 承包人现场查勘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504280F">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3.5 分包</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4AB8F9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3.6 工程照管与成品、半成品保护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69B14F8">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3.7 履约担保</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0A5FFF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3.8 联合体</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D44F2F0">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4. 监理人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0</w:t>
      </w:r>
      <w:r>
        <w:rPr>
          <w:rFonts w:hint="eastAsia" w:ascii="宋体" w:hAnsi="宋体" w:eastAsia="宋体" w:cs="宋体"/>
          <w:sz w:val="21"/>
          <w:szCs w:val="21"/>
          <w:highlight w:val="none"/>
        </w:rPr>
        <w:fldChar w:fldCharType="end"/>
      </w:r>
    </w:p>
    <w:p w14:paraId="2EA884A1">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4.1监理人的一般规定</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0</w:t>
      </w:r>
      <w:r>
        <w:rPr>
          <w:rFonts w:hint="eastAsia" w:ascii="宋体" w:hAnsi="宋体" w:eastAsia="宋体" w:cs="宋体"/>
          <w:sz w:val="21"/>
          <w:szCs w:val="21"/>
          <w:highlight w:val="none"/>
        </w:rPr>
        <w:fldChar w:fldCharType="end"/>
      </w:r>
    </w:p>
    <w:p w14:paraId="5039383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4.2监理人员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_Toc351203529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A6902CE">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4.3监理人的指示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B940A0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4.4 商定或确定</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C055B5">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5. 工程质量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D09D74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5.1质量要求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420C97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5.2质量保证措施</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47377D4">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5.3 隐蔽工程检查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DBC22F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5.4不合格工程的处理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EF22F6A">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5.5 质量争议检测</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7E15E6B">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6. 安全文明施工与环境保护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4F943F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6.1安全文明施工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_Toc351203539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A9BA2F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6.2 职业健康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E274DF8">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6.3 环境保护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D26EB70">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 工期和进度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4B69CB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7.1施工组织设计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5B3F421">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7.2 施工进度计划</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FC4A62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7.3 开工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EA6E8B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7.4测量放线</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DB6388A">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7.5工期延误</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CE917DD">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7.6 不利物质条件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D053DF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7.7异常恶劣的气候条件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_Toc351203549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19E12D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7.8 暂停施工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806FD9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7.9 提前竣工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2060CEC">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 材料与设备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t>50</w:t>
      </w:r>
      <w:r>
        <w:rPr>
          <w:rFonts w:hint="eastAsia" w:ascii="宋体" w:hAnsi="宋体" w:eastAsia="宋体" w:cs="宋体"/>
          <w:sz w:val="21"/>
          <w:szCs w:val="21"/>
          <w:highlight w:val="none"/>
        </w:rPr>
        <w:fldChar w:fldCharType="end"/>
      </w:r>
    </w:p>
    <w:p w14:paraId="3A8333F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8.1发包人供应材料与工程设备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t>50</w:t>
      </w:r>
      <w:r>
        <w:rPr>
          <w:rFonts w:hint="eastAsia" w:ascii="宋体" w:hAnsi="宋体" w:eastAsia="宋体" w:cs="宋体"/>
          <w:sz w:val="21"/>
          <w:szCs w:val="21"/>
          <w:highlight w:val="none"/>
        </w:rPr>
        <w:fldChar w:fldCharType="end"/>
      </w:r>
    </w:p>
    <w:p w14:paraId="158B6F0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8.2承包人采购材料与工程设备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0740B8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8.3材料与工程设备的接收与拒收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1EE74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8.4材料与工程设备的保管与使用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32E16A2">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8.5 禁止使用不合格的材料和工程设备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D9DE59F">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8.6 样品</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7A42CCB">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"_Toc351203559"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8.7 材料与工程设备的替代</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_Toc351203559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9522FA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8.8 施工设备和临时设施</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3E07FFB">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8.9材料与设备专用要求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BBB91E9">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9. 试验与检验</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03EA33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9.1试验设备与试验人员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DFFF3F2">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9.2取样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D08E60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9.3 材料、工程设备和工程的试验和检验</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C93B52B">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9.4 现场工艺试验</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01FE6E7">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 变更</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E45646B">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10.1变更的范围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A50799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10.2 变更权</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_Toc351203569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95453E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10.3变更程序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42844B4">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10.4变更估价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F5D099E">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10.5 承包人的合理化建议</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0F0B9CE">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10.6 变更引起的工期调整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F8DC64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10.7 暂估价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25ECF5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10.8 暂列金额</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BE5C42D">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10.9 计日工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52767C4">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 价格调整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8FE503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11.1 市场价格波动引起的调整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DB5BCCA">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11.2 法律变化引起的调整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_Toc351203579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1EB2D9F">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 合同价格、计量与支付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B3EAF6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12.1 合同价格形式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70EA8E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12.2 预付款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0829BA">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12.3 计量</w:t>
      </w:r>
      <w:r>
        <w:rPr>
          <w:rFonts w:hint="eastAsia" w:ascii="宋体" w:hAnsi="宋体" w:eastAsia="宋体" w:cs="宋体"/>
          <w:sz w:val="21"/>
          <w:szCs w:val="21"/>
          <w:highlight w:val="none"/>
        </w:rPr>
        <w:tab/>
      </w:r>
      <w:r>
        <w:rPr>
          <w:rFonts w:hint="eastAsia" w:ascii="宋体" w:hAnsi="宋体" w:eastAsia="宋体" w:cs="宋体"/>
          <w:sz w:val="21"/>
          <w:szCs w:val="21"/>
          <w:highlight w:val="none"/>
        </w:rPr>
        <w:t>70</w:t>
      </w:r>
      <w:r>
        <w:rPr>
          <w:rFonts w:hint="eastAsia" w:ascii="宋体" w:hAnsi="宋体" w:eastAsia="宋体" w:cs="宋体"/>
          <w:sz w:val="21"/>
          <w:szCs w:val="21"/>
          <w:highlight w:val="none"/>
        </w:rPr>
        <w:fldChar w:fldCharType="end"/>
      </w:r>
    </w:p>
    <w:p w14:paraId="49B89B2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12.4 工程进度款支付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2DEAD7E">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12.5 支付账户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6452C3C">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 验收和工程试车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AD0E55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13.1 分部分项工程验收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2B61D6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13.2竣工验收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67A0BF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13.3工程试车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_Toc351203589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B90B1A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13.4提前交付单位工程的验收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E6C6034">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13.5 施工期运行</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F53EA51">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13.6 竣工退场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9CA3156">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14. 竣工结算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AD390F1">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14.1 竣工结算申请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80BBCC5">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14.2 竣工</w:t>
      </w:r>
      <w:bookmarkStart w:id="203" w:name="_Hlt356058166"/>
      <w:bookmarkStart w:id="204" w:name="_Hlt356058165"/>
      <w:r>
        <w:rPr>
          <w:rStyle w:val="43"/>
          <w:rFonts w:hint="eastAsia" w:ascii="宋体" w:hAnsi="宋体" w:eastAsia="宋体" w:cs="宋体"/>
          <w:sz w:val="21"/>
          <w:szCs w:val="21"/>
          <w:highlight w:val="none"/>
        </w:rPr>
        <w:t>结</w:t>
      </w:r>
      <w:bookmarkEnd w:id="203"/>
      <w:bookmarkEnd w:id="204"/>
      <w:r>
        <w:rPr>
          <w:rStyle w:val="43"/>
          <w:rFonts w:hint="eastAsia" w:ascii="宋体" w:hAnsi="宋体" w:eastAsia="宋体" w:cs="宋体"/>
          <w:sz w:val="21"/>
          <w:szCs w:val="21"/>
          <w:highlight w:val="none"/>
        </w:rPr>
        <w:t>算审核</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ECD48D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14.3 甩项竣工协议</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F1947E2">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14.4 最终结清</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F0D4858">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15. 缺陷责任与保修</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0464A2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"_Toc351203599"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15.1 工程保修的原则</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_Toc351203599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97CE6AA">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15.2 缺</w:t>
      </w:r>
      <w:bookmarkStart w:id="205" w:name="_Hlt354658488"/>
      <w:bookmarkStart w:id="206" w:name="_Hlt354658487"/>
      <w:r>
        <w:rPr>
          <w:rStyle w:val="43"/>
          <w:rFonts w:hint="eastAsia" w:ascii="宋体" w:hAnsi="宋体" w:eastAsia="宋体" w:cs="宋体"/>
          <w:sz w:val="21"/>
          <w:szCs w:val="21"/>
          <w:highlight w:val="none"/>
        </w:rPr>
        <w:t>陷</w:t>
      </w:r>
      <w:bookmarkEnd w:id="205"/>
      <w:bookmarkEnd w:id="206"/>
      <w:r>
        <w:rPr>
          <w:rStyle w:val="43"/>
          <w:rFonts w:hint="eastAsia" w:ascii="宋体" w:hAnsi="宋体" w:eastAsia="宋体" w:cs="宋体"/>
          <w:sz w:val="21"/>
          <w:szCs w:val="21"/>
          <w:highlight w:val="none"/>
        </w:rPr>
        <w:t>责任期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AE0DB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15.3 质量保证金</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2DBD704">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15.4 保修</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F6CC53B">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16. 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4C4C45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16.1 发包人违约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28A999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16.2 承包人违约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C6F0D8D">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16.3 第三人造成的违约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35A334B">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17. 不可抗力</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610357B">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17.1 不可抗力的确认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20A7E44">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17.2 不可抗力的通知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_Toc351203609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4BF1C5F">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17.3 不可抗力后果的承担</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DAA4C7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17.4 因不可抗力解除合同</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38BD52D">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 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AC7CD3D">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18.1 工程保险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1A50677">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18.2 工伤保险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B2F72F9">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18.3 其他保险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933EBB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18.4 持续保险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E0328EC">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18.5 保险凭证</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6F7FC34">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18.6 未按约定投保的补救</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A0CC562">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18.7 通知义务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_Toc351203619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0EC9816">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19. 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7BF626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19.1 承包人的索赔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60E6BBE">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19.2 对承包人索赔的处理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0CC495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19.3 发包人的索赔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t>100</w:t>
      </w:r>
      <w:r>
        <w:rPr>
          <w:rFonts w:hint="eastAsia" w:ascii="宋体" w:hAnsi="宋体" w:eastAsia="宋体" w:cs="宋体"/>
          <w:sz w:val="21"/>
          <w:szCs w:val="21"/>
          <w:highlight w:val="none"/>
        </w:rPr>
        <w:fldChar w:fldCharType="end"/>
      </w:r>
    </w:p>
    <w:p w14:paraId="247833B0">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19.4 对发包人索赔的处理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F536B7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19.5 提出索赔的期限</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F85067E">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20. 争议解决</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657C1A1">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20.1和解</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0DAB364">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20.2调解</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50D7983">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20.3争议评审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_Toc351203629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4471A58">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20.4仲裁或诉讼</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_Toc351203630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B306856">
      <w:pPr>
        <w:pStyle w:val="13"/>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20.5争议解决条款效力</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_Toc351203631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B496B33">
      <w:pPr>
        <w:pStyle w:val="14"/>
        <w:pageBreakBefore w:val="0"/>
        <w:widowControl w:val="0"/>
        <w:tabs>
          <w:tab w:val="right" w:leader="dot" w:pos="8810"/>
        </w:tabs>
        <w:kinsoku/>
        <w:wordWrap/>
        <w:overflowPunct/>
        <w:topLinePunct w:val="0"/>
        <w:bidi w:val="0"/>
        <w:snapToGrid w:val="0"/>
        <w:spacing w:line="360" w:lineRule="auto"/>
        <w:rPr>
          <w:rStyle w:val="43"/>
          <w:rFonts w:hint="eastAsia" w:ascii="宋体" w:hAnsi="宋体" w:eastAsia="宋体" w:cs="宋体"/>
          <w:b/>
          <w:sz w:val="21"/>
          <w:szCs w:val="21"/>
          <w:highlight w:val="none"/>
        </w:rPr>
      </w:pPr>
    </w:p>
    <w:p w14:paraId="76AFE1D1">
      <w:pPr>
        <w:pStyle w:val="14"/>
        <w:pageBreakBefore w:val="0"/>
        <w:widowControl w:val="0"/>
        <w:tabs>
          <w:tab w:val="right" w:leader="dot" w:pos="8810"/>
        </w:tabs>
        <w:kinsoku/>
        <w:wordWrap/>
        <w:overflowPunct/>
        <w:topLinePunct w:val="0"/>
        <w:bidi w:val="0"/>
        <w:snapToGrid w:val="0"/>
        <w:spacing w:line="360" w:lineRule="auto"/>
        <w:ind w:left="0" w:leftChars="0"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b/>
          <w:sz w:val="21"/>
          <w:szCs w:val="21"/>
          <w:highlight w:val="none"/>
        </w:rPr>
        <w:t>第三部分 专用合同条款</w:t>
      </w:r>
      <w:r>
        <w:rPr>
          <w:rFonts w:hint="eastAsia" w:ascii="宋体" w:hAnsi="宋体" w:eastAsia="宋体" w:cs="宋体"/>
          <w:sz w:val="21"/>
          <w:szCs w:val="21"/>
          <w:highlight w:val="none"/>
        </w:rPr>
        <w:t>…………………………………………………………………</w:t>
      </w:r>
      <w:r>
        <w:rPr>
          <w:rFonts w:hint="eastAsia" w:ascii="宋体" w:hAnsi="宋体" w:eastAsia="宋体" w:cs="宋体"/>
          <w:spacing w:val="34"/>
          <w:sz w:val="21"/>
          <w:szCs w:val="21"/>
          <w:highlight w:val="none"/>
        </w:rPr>
        <w:t>…</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104</w:t>
      </w:r>
    </w:p>
    <w:p w14:paraId="7E5951DB">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 一般约定</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04</w:t>
      </w:r>
    </w:p>
    <w:p w14:paraId="64D49202">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 发包人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08</w:t>
      </w:r>
    </w:p>
    <w:p w14:paraId="03148B9B">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3. 承包人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09</w:t>
      </w:r>
    </w:p>
    <w:p w14:paraId="29A18569">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4. 监理人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12</w:t>
      </w:r>
    </w:p>
    <w:p w14:paraId="7773DDDA">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5. 工程质量</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13</w:t>
      </w:r>
    </w:p>
    <w:p w14:paraId="38C162DA">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6. 安全文明施工与环境保护</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14</w:t>
      </w:r>
    </w:p>
    <w:p w14:paraId="27C30C95">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7. 工期和进度</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14</w:t>
      </w:r>
    </w:p>
    <w:p w14:paraId="00841865">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8. 材料与设备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16</w:t>
      </w:r>
    </w:p>
    <w:p w14:paraId="28CFB884">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9. 试验与检验</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17</w:t>
      </w:r>
    </w:p>
    <w:p w14:paraId="17759C9D">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10. 变更</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18</w:t>
      </w:r>
    </w:p>
    <w:p w14:paraId="23D69465">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"_Toc351203643"</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11. 价格调整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19</w:t>
      </w:r>
    </w:p>
    <w:p w14:paraId="3ABE0098">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"_Toc351203644"</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12. 合同价格、计量与支付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20</w:t>
      </w:r>
    </w:p>
    <w:p w14:paraId="7A3F6F0A">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"_Toc351203645"</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13. 验收和工程试车</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23</w:t>
      </w:r>
    </w:p>
    <w:p w14:paraId="18CDEA4F">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"_Toc351203646"</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14. 竣工结算</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24</w:t>
      </w:r>
    </w:p>
    <w:p w14:paraId="3D609686">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"_Toc351203647"</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15. 缺陷责任期与保修</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25</w:t>
      </w:r>
    </w:p>
    <w:p w14:paraId="5D069AF7">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"_Toc351203648"</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16. 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26</w:t>
      </w:r>
    </w:p>
    <w:p w14:paraId="1ABDE949">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"_Toc351203649"</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17. 不可抗力</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28</w:t>
      </w:r>
    </w:p>
    <w:p w14:paraId="3A44A868">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"_Toc351203650"</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18. 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29</w:t>
      </w:r>
    </w:p>
    <w:p w14:paraId="64054CE0">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"_Toc351203651"</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20. 争议解决</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29</w:t>
      </w:r>
    </w:p>
    <w:p w14:paraId="16CE3558">
      <w:pPr>
        <w:pStyle w:val="22"/>
        <w:pageBreakBefore w:val="0"/>
        <w:widowControl w:val="0"/>
        <w:kinsoku/>
        <w:wordWrap/>
        <w:overflowPunct/>
        <w:topLinePunct w:val="0"/>
        <w:bidi w:val="0"/>
        <w:snapToGrid w:val="0"/>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"_Toc351203652"</w:instrText>
      </w:r>
      <w:r>
        <w:rPr>
          <w:rStyle w:val="4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43"/>
          <w:rFonts w:hint="eastAsia" w:ascii="宋体" w:hAnsi="宋体" w:eastAsia="宋体" w:cs="宋体"/>
          <w:sz w:val="21"/>
          <w:szCs w:val="21"/>
          <w:highlight w:val="none"/>
        </w:rPr>
        <w:t>附件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31</w:t>
      </w:r>
    </w:p>
    <w:p w14:paraId="271D0332">
      <w:pPr>
        <w:pStyle w:val="4"/>
        <w:pageBreakBefore w:val="0"/>
        <w:widowControl w:val="0"/>
        <w:kinsoku/>
        <w:wordWrap/>
        <w:overflowPunct/>
        <w:topLinePunct w:val="0"/>
        <w:bidi w:val="0"/>
        <w:snapToGrid w:val="0"/>
        <w:spacing w:line="360" w:lineRule="auto"/>
        <w:jc w:val="center"/>
        <w:rPr>
          <w:rFonts w:hint="eastAsia" w:ascii="宋体" w:hAnsi="宋体" w:eastAsia="宋体" w:cs="宋体"/>
          <w:sz w:val="21"/>
          <w:szCs w:val="21"/>
          <w:highlight w:val="none"/>
        </w:rPr>
        <w:sectPr>
          <w:footerReference r:id="rId15" w:type="first"/>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sz w:val="21"/>
          <w:szCs w:val="21"/>
          <w:highlight w:val="none"/>
        </w:rPr>
        <w:fldChar w:fldCharType="end"/>
      </w:r>
      <w:bookmarkStart w:id="207" w:name="_Toc351203480"/>
    </w:p>
    <w:p w14:paraId="7A61BE69">
      <w:pPr>
        <w:pStyle w:val="4"/>
        <w:pageBreakBefore w:val="0"/>
        <w:widowControl w:val="0"/>
        <w:kinsoku/>
        <w:wordWrap/>
        <w:overflowPunct/>
        <w:topLinePunct w:val="0"/>
        <w:bidi w:val="0"/>
        <w:snapToGrid w:val="0"/>
        <w:spacing w:line="360" w:lineRule="auto"/>
        <w:jc w:val="center"/>
        <w:rPr>
          <w:rFonts w:hint="eastAsia" w:ascii="宋体" w:hAnsi="宋体" w:eastAsia="宋体" w:cs="宋体"/>
          <w:b w:val="0"/>
          <w:color w:val="000000"/>
          <w:sz w:val="21"/>
          <w:szCs w:val="21"/>
          <w:highlight w:val="none"/>
        </w:rPr>
      </w:pPr>
      <w:r>
        <w:rPr>
          <w:rFonts w:hint="eastAsia" w:ascii="宋体" w:hAnsi="宋体" w:eastAsia="宋体" w:cs="宋体"/>
          <w:sz w:val="21"/>
          <w:szCs w:val="21"/>
          <w:highlight w:val="none"/>
        </w:rPr>
        <w:t>第一部分 合同协议书</w:t>
      </w:r>
      <w:bookmarkEnd w:id="176"/>
      <w:bookmarkEnd w:id="177"/>
      <w:bookmarkEnd w:id="207"/>
    </w:p>
    <w:p w14:paraId="55A13A32">
      <w:pPr>
        <w:pageBreakBefore w:val="0"/>
        <w:widowControl w:val="0"/>
        <w:kinsoku/>
        <w:wordWrap/>
        <w:overflowPunct/>
        <w:topLinePunct w:val="0"/>
        <w:bidi w:val="0"/>
        <w:snapToGrid w:val="0"/>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xml:space="preserve">                      </w:t>
      </w:r>
    </w:p>
    <w:p w14:paraId="7AEC0A90">
      <w:pPr>
        <w:pageBreakBefore w:val="0"/>
        <w:widowControl w:val="0"/>
        <w:kinsoku/>
        <w:wordWrap/>
        <w:overflowPunct/>
        <w:topLinePunct w:val="0"/>
        <w:bidi w:val="0"/>
        <w:snapToGrid w:val="0"/>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r>
        <w:rPr>
          <w:rFonts w:hint="eastAsia" w:ascii="宋体" w:hAnsi="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  </w:t>
      </w:r>
    </w:p>
    <w:p w14:paraId="426427A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eastAsia="zh-CN"/>
        </w:rPr>
        <w:t>中华人民共和国民法典</w:t>
      </w:r>
      <w:r>
        <w:rPr>
          <w:rFonts w:hint="eastAsia" w:ascii="宋体" w:hAnsi="宋体" w:eastAsia="宋体" w:cs="宋体"/>
          <w:color w:val="000000"/>
          <w:sz w:val="21"/>
          <w:szCs w:val="21"/>
          <w:highlight w:val="none"/>
        </w:rPr>
        <w:t>》、《中华人民共和国建筑法》及有关法律规定，遵循平等、自愿、公平和诚实信用的原则，双方就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工程施工及有关事项协商一致，共同达成如下协议：</w:t>
      </w:r>
    </w:p>
    <w:p w14:paraId="15A33291">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08" w:name="_Toc351203481"/>
      <w:r>
        <w:rPr>
          <w:rFonts w:hint="eastAsia" w:ascii="宋体" w:hAnsi="宋体" w:eastAsia="宋体" w:cs="宋体"/>
          <w:b w:val="0"/>
          <w:color w:val="000000"/>
          <w:sz w:val="21"/>
          <w:szCs w:val="21"/>
          <w:highlight w:val="none"/>
        </w:rPr>
        <w:t>一、工程概况</w:t>
      </w:r>
      <w:bookmarkEnd w:id="208"/>
    </w:p>
    <w:p w14:paraId="6C57964A">
      <w:pPr>
        <w:pageBreakBefore w:val="0"/>
        <w:widowControl w:val="0"/>
        <w:kinsoku/>
        <w:wordWrap/>
        <w:overflowPunct/>
        <w:topLinePunct w:val="0"/>
        <w:bidi w:val="0"/>
        <w:snapToGrid w:val="0"/>
        <w:spacing w:line="360" w:lineRule="auto"/>
        <w:ind w:firstLine="411" w:firstLineChars="196"/>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08EF157">
      <w:pPr>
        <w:pageBreakBefore w:val="0"/>
        <w:widowControl w:val="0"/>
        <w:kinsoku/>
        <w:wordWrap/>
        <w:overflowPunct/>
        <w:topLinePunct w:val="0"/>
        <w:bidi w:val="0"/>
        <w:snapToGrid w:val="0"/>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281FF069">
      <w:pPr>
        <w:pageBreakBefore w:val="0"/>
        <w:widowControl w:val="0"/>
        <w:kinsoku/>
        <w:wordWrap/>
        <w:overflowPunct/>
        <w:topLinePunct w:val="0"/>
        <w:bidi w:val="0"/>
        <w:snapToGrid w:val="0"/>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3.工程立项批准文号：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w:t>
      </w:r>
    </w:p>
    <w:p w14:paraId="4510C18F">
      <w:pPr>
        <w:pageBreakBefore w:val="0"/>
        <w:widowControl w:val="0"/>
        <w:kinsoku/>
        <w:wordWrap/>
        <w:overflowPunct/>
        <w:topLinePunct w:val="0"/>
        <w:bidi w:val="0"/>
        <w:snapToGrid w:val="0"/>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4.资金来源：</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w:t>
      </w:r>
    </w:p>
    <w:p w14:paraId="6C12F8F1">
      <w:pPr>
        <w:pageBreakBefore w:val="0"/>
        <w:widowControl w:val="0"/>
        <w:kinsoku/>
        <w:wordWrap/>
        <w:overflowPunct/>
        <w:topLinePunct w:val="0"/>
        <w:bidi w:val="0"/>
        <w:snapToGrid w:val="0"/>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5.工程内容：</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w:t>
      </w:r>
    </w:p>
    <w:p w14:paraId="5D73D531">
      <w:pPr>
        <w:pageBreakBefore w:val="0"/>
        <w:widowControl w:val="0"/>
        <w:kinsoku/>
        <w:wordWrap/>
        <w:overflowPunct/>
        <w:topLinePunct w:val="0"/>
        <w:bidi w:val="0"/>
        <w:snapToGrid w:val="0"/>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群体工程应附《承包人承揽工程项目一览表》（附件1）。</w:t>
      </w:r>
    </w:p>
    <w:p w14:paraId="58BD515D">
      <w:pPr>
        <w:pageBreakBefore w:val="0"/>
        <w:widowControl w:val="0"/>
        <w:kinsoku/>
        <w:wordWrap/>
        <w:overflowPunct/>
        <w:topLinePunct w:val="0"/>
        <w:bidi w:val="0"/>
        <w:snapToGrid w:val="0"/>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6.工程承包范围：</w:t>
      </w:r>
    </w:p>
    <w:p w14:paraId="251FF6F9">
      <w:pPr>
        <w:pageBreakBefore w:val="0"/>
        <w:widowControl w:val="0"/>
        <w:kinsoku/>
        <w:wordWrap/>
        <w:overflowPunct/>
        <w:topLinePunct w:val="0"/>
        <w:bidi w:val="0"/>
        <w:snapToGrid w:val="0"/>
        <w:spacing w:line="360" w:lineRule="auto"/>
        <w:ind w:firstLine="405" w:firstLineChars="193"/>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724A6AF8">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209" w:name="_Toc351203482"/>
      <w:r>
        <w:rPr>
          <w:rFonts w:hint="eastAsia" w:ascii="宋体" w:hAnsi="宋体" w:eastAsia="宋体" w:cs="宋体"/>
          <w:b w:val="0"/>
          <w:color w:val="000000"/>
          <w:sz w:val="21"/>
          <w:szCs w:val="21"/>
          <w:highlight w:val="none"/>
        </w:rPr>
        <w:t>二、合同工期</w:t>
      </w:r>
      <w:bookmarkEnd w:id="209"/>
    </w:p>
    <w:p w14:paraId="61A8FE73">
      <w:pPr>
        <w:pageBreakBefore w:val="0"/>
        <w:widowControl w:val="0"/>
        <w:kinsoku/>
        <w:wordWrap/>
        <w:overflowPunct/>
        <w:topLinePunct w:val="0"/>
        <w:bidi w:val="0"/>
        <w:snapToGrid w:val="0"/>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w:t>
      </w:r>
    </w:p>
    <w:p w14:paraId="06E0E138">
      <w:pPr>
        <w:pageBreakBefore w:val="0"/>
        <w:widowControl w:val="0"/>
        <w:kinsoku/>
        <w:wordWrap/>
        <w:overflowPunct/>
        <w:topLinePunct w:val="0"/>
        <w:bidi w:val="0"/>
        <w:snapToGrid w:val="0"/>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w:t>
      </w:r>
    </w:p>
    <w:p w14:paraId="32600801">
      <w:pPr>
        <w:pageBreakBefore w:val="0"/>
        <w:widowControl w:val="0"/>
        <w:kinsoku/>
        <w:wordWrap/>
        <w:overflowPunct/>
        <w:topLinePunct w:val="0"/>
        <w:bidi w:val="0"/>
        <w:snapToGrid w:val="0"/>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天。工期总日历天数与根据前述计划开竣工日期计算的工期天数不一致的，以工期总日历天数为准。</w:t>
      </w:r>
    </w:p>
    <w:p w14:paraId="4AB756C8">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10" w:name="_Toc351203483"/>
      <w:r>
        <w:rPr>
          <w:rFonts w:hint="eastAsia" w:ascii="宋体" w:hAnsi="宋体" w:eastAsia="宋体" w:cs="宋体"/>
          <w:b w:val="0"/>
          <w:color w:val="000000"/>
          <w:sz w:val="21"/>
          <w:szCs w:val="21"/>
          <w:highlight w:val="none"/>
        </w:rPr>
        <w:t>三、质量标准</w:t>
      </w:r>
      <w:bookmarkEnd w:id="210"/>
    </w:p>
    <w:p w14:paraId="3E68541C">
      <w:pPr>
        <w:pageBreakBefore w:val="0"/>
        <w:widowControl w:val="0"/>
        <w:kinsoku/>
        <w:wordWrap/>
        <w:overflowPunct/>
        <w:topLinePunct w:val="0"/>
        <w:bidi w:val="0"/>
        <w:snapToGrid w:val="0"/>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标准。</w:t>
      </w:r>
    </w:p>
    <w:p w14:paraId="69DA6123">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11" w:name="_Toc351203484"/>
      <w:r>
        <w:rPr>
          <w:rFonts w:hint="eastAsia" w:ascii="宋体" w:hAnsi="宋体" w:eastAsia="宋体" w:cs="宋体"/>
          <w:b w:val="0"/>
          <w:color w:val="000000"/>
          <w:sz w:val="21"/>
          <w:szCs w:val="21"/>
          <w:highlight w:val="none"/>
        </w:rPr>
        <w:t>四、签约合同价与合同价格形式</w:t>
      </w:r>
      <w:bookmarkEnd w:id="211"/>
      <w:r>
        <w:rPr>
          <w:rFonts w:hint="eastAsia" w:ascii="宋体" w:hAnsi="宋体" w:eastAsia="宋体" w:cs="宋体"/>
          <w:b w:val="0"/>
          <w:color w:val="000000"/>
          <w:sz w:val="21"/>
          <w:szCs w:val="21"/>
          <w:highlight w:val="none"/>
        </w:rPr>
        <w:tab/>
      </w:r>
    </w:p>
    <w:p w14:paraId="5C8DF4A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1.签约合同价为：</w:t>
      </w:r>
    </w:p>
    <w:p w14:paraId="24F9E4FA">
      <w:pPr>
        <w:pageBreakBefore w:val="0"/>
        <w:widowControl w:val="0"/>
        <w:kinsoku/>
        <w:wordWrap/>
        <w:overflowPunct/>
        <w:topLinePunct w:val="0"/>
        <w:bidi w:val="0"/>
        <w:snapToGrid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539C7C4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14:paraId="2C9EDEF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（1）安全文明施工费：</w:t>
      </w:r>
    </w:p>
    <w:p w14:paraId="05A97B7B">
      <w:pPr>
        <w:pageBreakBefore w:val="0"/>
        <w:widowControl w:val="0"/>
        <w:kinsoku/>
        <w:wordWrap/>
        <w:overflowPunct/>
        <w:topLinePunct w:val="0"/>
        <w:bidi w:val="0"/>
        <w:snapToGrid w:val="0"/>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3C2BCF6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（2）材料和工程设备暂估价金额：</w:t>
      </w:r>
    </w:p>
    <w:p w14:paraId="74AD895A">
      <w:pPr>
        <w:pageBreakBefore w:val="0"/>
        <w:widowControl w:val="0"/>
        <w:kinsoku/>
        <w:wordWrap/>
        <w:overflowPunct/>
        <w:topLinePunct w:val="0"/>
        <w:bidi w:val="0"/>
        <w:snapToGrid w:val="0"/>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4706EBB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（3）专业工程暂估价金额：</w:t>
      </w:r>
    </w:p>
    <w:p w14:paraId="0CC725B3">
      <w:pPr>
        <w:pageBreakBefore w:val="0"/>
        <w:widowControl w:val="0"/>
        <w:kinsoku/>
        <w:wordWrap/>
        <w:overflowPunct/>
        <w:topLinePunct w:val="0"/>
        <w:bidi w:val="0"/>
        <w:snapToGrid w:val="0"/>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496FDA2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（4）暂列金额：</w:t>
      </w:r>
    </w:p>
    <w:p w14:paraId="3015BC61">
      <w:pPr>
        <w:pageBreakBefore w:val="0"/>
        <w:widowControl w:val="0"/>
        <w:kinsoku/>
        <w:wordWrap/>
        <w:overflowPunct/>
        <w:topLinePunct w:val="0"/>
        <w:bidi w:val="0"/>
        <w:snapToGrid w:val="0"/>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60A63D7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2.合同价格形式：</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5439745">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12" w:name="_Toc351203485"/>
      <w:r>
        <w:rPr>
          <w:rFonts w:hint="eastAsia" w:ascii="宋体" w:hAnsi="宋体" w:eastAsia="宋体" w:cs="宋体"/>
          <w:b w:val="0"/>
          <w:color w:val="000000"/>
          <w:sz w:val="21"/>
          <w:szCs w:val="21"/>
          <w:highlight w:val="none"/>
        </w:rPr>
        <w:t>五、</w:t>
      </w:r>
      <w:bookmarkEnd w:id="212"/>
      <w:r>
        <w:rPr>
          <w:rFonts w:hint="eastAsia" w:ascii="宋体" w:hAnsi="宋体" w:eastAsia="宋体" w:cs="宋体"/>
          <w:b w:val="0"/>
          <w:color w:val="000000"/>
          <w:sz w:val="21"/>
          <w:szCs w:val="21"/>
          <w:highlight w:val="none"/>
        </w:rPr>
        <w:t>项目经理</w:t>
      </w:r>
    </w:p>
    <w:p w14:paraId="1312F8E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承包人项目经理：</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8CBCB11">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13" w:name="_Toc351203486"/>
      <w:r>
        <w:rPr>
          <w:rFonts w:hint="eastAsia" w:ascii="宋体" w:hAnsi="宋体" w:eastAsia="宋体" w:cs="宋体"/>
          <w:b w:val="0"/>
          <w:color w:val="000000"/>
          <w:sz w:val="21"/>
          <w:szCs w:val="21"/>
          <w:highlight w:val="none"/>
        </w:rPr>
        <w:t>六、合同文件构成</w:t>
      </w:r>
      <w:bookmarkEnd w:id="213"/>
    </w:p>
    <w:p w14:paraId="685EDE8E">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166DEC6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14:paraId="7DF46CB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14:paraId="542A0BF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14:paraId="13A7358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14:paraId="3EBA16F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14:paraId="79FFAC5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（6）图纸；</w:t>
      </w:r>
    </w:p>
    <w:p w14:paraId="069C9D3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（7）已标价工程量清单或预算书；</w:t>
      </w:r>
    </w:p>
    <w:p w14:paraId="0B70AFF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14:paraId="0F55E28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14:paraId="2DCE173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BC01522">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14" w:name="_Toc351203487"/>
      <w:r>
        <w:rPr>
          <w:rFonts w:hint="eastAsia" w:ascii="宋体" w:hAnsi="宋体" w:eastAsia="宋体" w:cs="宋体"/>
          <w:b w:val="0"/>
          <w:color w:val="000000"/>
          <w:sz w:val="21"/>
          <w:szCs w:val="21"/>
          <w:highlight w:val="none"/>
        </w:rPr>
        <w:t>七、承诺</w:t>
      </w:r>
      <w:bookmarkEnd w:id="214"/>
    </w:p>
    <w:p w14:paraId="4C9344F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1.发包人承诺按照法律规定履行项目审批手续、筹集工程建设资金并按照合同约定的期限和方式支付合同价款。</w:t>
      </w:r>
    </w:p>
    <w:p w14:paraId="47D352E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3B42E64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14:paraId="4EB24986">
      <w:pPr>
        <w:pageBreakBefore w:val="0"/>
        <w:widowControl w:val="0"/>
        <w:kinsoku/>
        <w:wordWrap/>
        <w:overflowPunct/>
        <w:topLinePunct w:val="0"/>
        <w:bidi w:val="0"/>
        <w:snapToGrid w:val="0"/>
        <w:spacing w:line="360" w:lineRule="auto"/>
        <w:rPr>
          <w:rFonts w:hint="eastAsia" w:ascii="宋体" w:hAnsi="宋体" w:eastAsia="宋体" w:cs="宋体"/>
          <w:bCs/>
          <w:color w:val="000000"/>
          <w:sz w:val="21"/>
          <w:szCs w:val="21"/>
          <w:highlight w:val="none"/>
        </w:rPr>
      </w:pPr>
      <w:bookmarkStart w:id="215" w:name="_Toc351203488"/>
      <w:r>
        <w:rPr>
          <w:rFonts w:hint="eastAsia" w:ascii="宋体" w:hAnsi="宋体" w:eastAsia="宋体" w:cs="宋体"/>
          <w:b/>
          <w:color w:val="000000"/>
          <w:sz w:val="21"/>
          <w:szCs w:val="21"/>
          <w:highlight w:val="none"/>
        </w:rPr>
        <w:t xml:space="preserve">    八、词语含义</w:t>
      </w:r>
      <w:bookmarkEnd w:id="215"/>
    </w:p>
    <w:p w14:paraId="29E89B9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368CA06F">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16" w:name="_Toc351203489"/>
      <w:r>
        <w:rPr>
          <w:rFonts w:hint="eastAsia" w:ascii="宋体" w:hAnsi="宋体" w:eastAsia="宋体" w:cs="宋体"/>
          <w:b w:val="0"/>
          <w:color w:val="000000"/>
          <w:sz w:val="21"/>
          <w:szCs w:val="21"/>
          <w:highlight w:val="none"/>
        </w:rPr>
        <w:t>九、签订时间</w:t>
      </w:r>
      <w:bookmarkEnd w:id="216"/>
    </w:p>
    <w:p w14:paraId="773A024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5816F962">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17" w:name="_Toc351203490"/>
      <w:r>
        <w:rPr>
          <w:rFonts w:hint="eastAsia" w:ascii="宋体" w:hAnsi="宋体" w:eastAsia="宋体" w:cs="宋体"/>
          <w:b w:val="0"/>
          <w:color w:val="000000"/>
          <w:sz w:val="21"/>
          <w:szCs w:val="21"/>
          <w:highlight w:val="none"/>
        </w:rPr>
        <w:t>十、签订地点</w:t>
      </w:r>
      <w:bookmarkEnd w:id="217"/>
    </w:p>
    <w:p w14:paraId="7271F3B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4366372A">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18" w:name="_Toc351203491"/>
      <w:r>
        <w:rPr>
          <w:rFonts w:hint="eastAsia" w:ascii="宋体" w:hAnsi="宋体" w:eastAsia="宋体" w:cs="宋体"/>
          <w:b w:val="0"/>
          <w:color w:val="000000"/>
          <w:sz w:val="21"/>
          <w:szCs w:val="21"/>
          <w:highlight w:val="none"/>
        </w:rPr>
        <w:t>十一、补充协议</w:t>
      </w:r>
      <w:bookmarkEnd w:id="218"/>
    </w:p>
    <w:p w14:paraId="66EE822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62ED51F7">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19" w:name="_Toc351203492"/>
      <w:r>
        <w:rPr>
          <w:rFonts w:hint="eastAsia" w:ascii="宋体" w:hAnsi="宋体" w:eastAsia="宋体" w:cs="宋体"/>
          <w:b w:val="0"/>
          <w:color w:val="000000"/>
          <w:sz w:val="21"/>
          <w:szCs w:val="21"/>
          <w:highlight w:val="none"/>
        </w:rPr>
        <w:t>十二、合同生效</w:t>
      </w:r>
      <w:bookmarkEnd w:id="219"/>
    </w:p>
    <w:p w14:paraId="6F66F57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10142CA5">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20" w:name="_Toc351203493"/>
      <w:r>
        <w:rPr>
          <w:rFonts w:hint="eastAsia" w:ascii="宋体" w:hAnsi="宋体" w:eastAsia="宋体" w:cs="宋体"/>
          <w:b w:val="0"/>
          <w:color w:val="000000"/>
          <w:sz w:val="21"/>
          <w:szCs w:val="21"/>
          <w:highlight w:val="none"/>
        </w:rPr>
        <w:t>十三、合同份数</w:t>
      </w:r>
      <w:bookmarkEnd w:id="220"/>
    </w:p>
    <w:p w14:paraId="2264CBD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份，承包人执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380CA126">
      <w:pPr>
        <w:pageBreakBefore w:val="0"/>
        <w:widowControl w:val="0"/>
        <w:kinsoku/>
        <w:wordWrap/>
        <w:overflowPunct/>
        <w:topLinePunct w:val="0"/>
        <w:bidi w:val="0"/>
        <w:snapToGrid w:val="0"/>
        <w:spacing w:line="360" w:lineRule="auto"/>
        <w:rPr>
          <w:rFonts w:hint="eastAsia" w:ascii="宋体" w:hAnsi="宋体" w:eastAsia="宋体" w:cs="宋体"/>
          <w:bCs/>
          <w:color w:val="000000"/>
          <w:sz w:val="21"/>
          <w:szCs w:val="21"/>
          <w:highlight w:val="none"/>
        </w:rPr>
      </w:pPr>
    </w:p>
    <w:p w14:paraId="23596249">
      <w:pPr>
        <w:pageBreakBefore w:val="0"/>
        <w:widowControl w:val="0"/>
        <w:kinsoku/>
        <w:wordWrap/>
        <w:overflowPunct/>
        <w:topLinePunct w:val="0"/>
        <w:bidi w:val="0"/>
        <w:snapToGrid w:val="0"/>
        <w:spacing w:line="360" w:lineRule="auto"/>
        <w:rPr>
          <w:rFonts w:hint="eastAsia" w:ascii="宋体" w:hAnsi="宋体" w:eastAsia="宋体" w:cs="宋体"/>
          <w:bCs/>
          <w:color w:val="000000"/>
          <w:sz w:val="21"/>
          <w:szCs w:val="21"/>
          <w:highlight w:val="none"/>
        </w:rPr>
      </w:pPr>
    </w:p>
    <w:p w14:paraId="3F955099">
      <w:pPr>
        <w:pageBreakBefore w:val="0"/>
        <w:widowControl w:val="0"/>
        <w:kinsoku/>
        <w:wordWrap/>
        <w:overflowPunct/>
        <w:topLinePunct w:val="0"/>
        <w:bidi w:val="0"/>
        <w:snapToGrid w:val="0"/>
        <w:spacing w:line="360" w:lineRule="auto"/>
        <w:rPr>
          <w:rFonts w:hint="eastAsia" w:ascii="宋体" w:hAnsi="宋体" w:eastAsia="宋体" w:cs="宋体"/>
          <w:bCs/>
          <w:color w:val="000000"/>
          <w:sz w:val="21"/>
          <w:szCs w:val="21"/>
          <w:highlight w:val="none"/>
        </w:rPr>
      </w:pPr>
    </w:p>
    <w:p w14:paraId="41AC01CC">
      <w:pPr>
        <w:pageBreakBefore w:val="0"/>
        <w:widowControl w:val="0"/>
        <w:kinsoku/>
        <w:wordWrap/>
        <w:overflowPunct/>
        <w:topLinePunct w:val="0"/>
        <w:bidi w:val="0"/>
        <w:snapToGrid w:val="0"/>
        <w:spacing w:line="360" w:lineRule="auto"/>
        <w:rPr>
          <w:rFonts w:hint="eastAsia" w:ascii="宋体" w:hAnsi="宋体" w:eastAsia="宋体" w:cs="宋体"/>
          <w:bCs/>
          <w:color w:val="000000"/>
          <w:sz w:val="21"/>
          <w:szCs w:val="21"/>
          <w:highlight w:val="none"/>
        </w:rPr>
      </w:pPr>
    </w:p>
    <w:p w14:paraId="43C6A17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6E01EC1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  (公章)             承包人：  (公章)</w:t>
      </w:r>
    </w:p>
    <w:p w14:paraId="7786AAE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w:t>
      </w:r>
    </w:p>
    <w:p w14:paraId="24543AA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法定代表人或其委托代理人：  法定代表人或其委托代理人：</w:t>
      </w:r>
    </w:p>
    <w:p w14:paraId="7C465F4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                    （签字）</w:t>
      </w:r>
    </w:p>
    <w:p w14:paraId="3100882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u w:val="single"/>
        </w:rPr>
      </w:pPr>
    </w:p>
    <w:p w14:paraId="43B48ACC">
      <w:pPr>
        <w:pageBreakBefore w:val="0"/>
        <w:widowControl w:val="0"/>
        <w:tabs>
          <w:tab w:val="left" w:pos="4410"/>
        </w:tabs>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71BFBB3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7FE3297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邮政编码：</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2F5F128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p>
    <w:p w14:paraId="15E7229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22972AD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3DD3A4F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79C7257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19D656A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1149112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18DB7EB0">
      <w:pPr>
        <w:pStyle w:val="4"/>
        <w:pageBreakBefore w:val="0"/>
        <w:widowControl w:val="0"/>
        <w:kinsoku/>
        <w:wordWrap/>
        <w:overflowPunct/>
        <w:topLinePunct w:val="0"/>
        <w:bidi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221" w:name="_Toc351203494"/>
      <w:r>
        <w:rPr>
          <w:rFonts w:hint="eastAsia" w:ascii="宋体" w:hAnsi="宋体" w:eastAsia="宋体" w:cs="宋体"/>
          <w:sz w:val="21"/>
          <w:szCs w:val="21"/>
          <w:highlight w:val="none"/>
        </w:rPr>
        <w:t>第二部分 通用合同条款</w:t>
      </w:r>
      <w:bookmarkEnd w:id="221"/>
      <w:bookmarkStart w:id="222" w:name="_Toc337558727"/>
    </w:p>
    <w:p w14:paraId="08F65F84">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223" w:name="_Toc351203495"/>
      <w:r>
        <w:rPr>
          <w:rFonts w:hint="eastAsia" w:ascii="宋体" w:hAnsi="宋体" w:eastAsia="宋体" w:cs="宋体"/>
          <w:b w:val="0"/>
          <w:color w:val="000000"/>
          <w:sz w:val="21"/>
          <w:szCs w:val="21"/>
          <w:highlight w:val="none"/>
        </w:rPr>
        <w:t>1.</w:t>
      </w:r>
      <w:bookmarkStart w:id="224" w:name="_Toc303538974"/>
      <w:bookmarkEnd w:id="224"/>
      <w:bookmarkStart w:id="225" w:name="_Toc303538976"/>
      <w:bookmarkEnd w:id="225"/>
      <w:bookmarkStart w:id="226" w:name="_Toc303538972"/>
      <w:bookmarkEnd w:id="226"/>
      <w:bookmarkStart w:id="227" w:name="_Toc303538975"/>
      <w:bookmarkEnd w:id="227"/>
      <w:bookmarkStart w:id="228" w:name="_Toc303538973"/>
      <w:bookmarkEnd w:id="228"/>
      <w:bookmarkStart w:id="229" w:name="_Toc296503027"/>
      <w:bookmarkStart w:id="230" w:name="_Toc296346528"/>
      <w:r>
        <w:rPr>
          <w:rFonts w:hint="eastAsia" w:ascii="宋体" w:hAnsi="宋体" w:eastAsia="宋体" w:cs="宋体"/>
          <w:b w:val="0"/>
          <w:color w:val="000000"/>
          <w:sz w:val="21"/>
          <w:szCs w:val="21"/>
          <w:highlight w:val="none"/>
        </w:rPr>
        <w:t xml:space="preserve"> 一般约定</w:t>
      </w:r>
      <w:bookmarkEnd w:id="222"/>
      <w:bookmarkEnd w:id="223"/>
      <w:bookmarkEnd w:id="229"/>
      <w:bookmarkEnd w:id="230"/>
    </w:p>
    <w:p w14:paraId="6E9FACB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31" w:name="_Toc337558728"/>
      <w:bookmarkStart w:id="232" w:name="_Toc296503028"/>
      <w:bookmarkStart w:id="233" w:name="_Toc296346529"/>
      <w:bookmarkStart w:id="234" w:name="_Toc351203496"/>
      <w:r>
        <w:rPr>
          <w:rFonts w:hint="eastAsia" w:ascii="宋体" w:hAnsi="宋体" w:eastAsia="宋体" w:cs="宋体"/>
          <w:b w:val="0"/>
          <w:color w:val="000000"/>
          <w:sz w:val="21"/>
          <w:szCs w:val="21"/>
          <w:highlight w:val="none"/>
        </w:rPr>
        <w:t>1.1词语定义</w:t>
      </w:r>
      <w:bookmarkEnd w:id="231"/>
      <w:bookmarkEnd w:id="232"/>
      <w:bookmarkEnd w:id="233"/>
      <w:r>
        <w:rPr>
          <w:rFonts w:hint="eastAsia" w:ascii="宋体" w:hAnsi="宋体" w:eastAsia="宋体" w:cs="宋体"/>
          <w:b w:val="0"/>
          <w:color w:val="000000"/>
          <w:sz w:val="21"/>
          <w:szCs w:val="21"/>
          <w:highlight w:val="none"/>
        </w:rPr>
        <w:t>与解释</w:t>
      </w:r>
      <w:bookmarkEnd w:id="234"/>
    </w:p>
    <w:p w14:paraId="6D77149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合同协议书、通用合同条款、专用合同条款中的下列词语具有本款所赋予的含义：</w:t>
      </w:r>
    </w:p>
    <w:p w14:paraId="056F86E1">
      <w:pPr>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1.1.1 合同</w:t>
      </w:r>
    </w:p>
    <w:p w14:paraId="3C1645F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1"/>
          <w:szCs w:val="21"/>
          <w:highlight w:val="none"/>
        </w:rPr>
        <w:t>及其附件</w:t>
      </w:r>
      <w:r>
        <w:rPr>
          <w:rFonts w:hint="eastAsia" w:ascii="宋体" w:hAnsi="宋体" w:eastAsia="宋体" w:cs="宋体"/>
          <w:color w:val="000000"/>
          <w:kern w:val="0"/>
          <w:sz w:val="21"/>
          <w:szCs w:val="21"/>
          <w:highlight w:val="none"/>
        </w:rPr>
        <w:t>、通用合同条款、技术标准和要求、图纸、已标价工程量清单或预算书以及其他合同文件。</w:t>
      </w:r>
    </w:p>
    <w:p w14:paraId="158D6C4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1.1.1.2 合同协议书：是指构成合同的由发包人和承包人共同签署的称为“合同协议书”的书面文件。</w:t>
      </w:r>
    </w:p>
    <w:p w14:paraId="32B8985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1.1.1.3 中标通知书：是指构成合同的由发包人通知承包人中标的书面文件。</w:t>
      </w:r>
    </w:p>
    <w:p w14:paraId="12F9614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1.1.1.4 投标函：是指构成合同的由承包人填写并签署的用于投标的称为“投标函”的文件。</w:t>
      </w:r>
    </w:p>
    <w:p w14:paraId="2F8B837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1.1.1.5 投标函附录：是指构成合同的附在投标函后的称为“投标函附录”的文件。</w:t>
      </w:r>
    </w:p>
    <w:p w14:paraId="157FFF7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1.1.1.6 技术标准和要求：是指构成合同的施工应当遵守的或指导施工的国家、行业或地方的技术标准和要求，以及合同约定的技术标准和要求。</w:t>
      </w:r>
    </w:p>
    <w:p w14:paraId="3210630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2FEF553">
      <w:pPr>
        <w:pageBreakBefore w:val="0"/>
        <w:widowControl w:val="0"/>
        <w:kinsoku/>
        <w:wordWrap/>
        <w:overflowPunct/>
        <w:topLinePunct w:val="0"/>
        <w:autoSpaceDE w:val="0"/>
        <w:autoSpaceDN w:val="0"/>
        <w:bidi w:val="0"/>
        <w:adjustRightInd w:val="0"/>
        <w:snapToGrid w:val="0"/>
        <w:spacing w:line="360" w:lineRule="auto"/>
        <w:ind w:firstLine="409" w:firstLineChars="195"/>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1.1.1.8 已标价工程量清单：是指构成合同的由承包人按照规定的格式和要求填写并标明价格的工程量清单，包括说明和表格。</w:t>
      </w:r>
    </w:p>
    <w:p w14:paraId="4A062B05">
      <w:pPr>
        <w:pageBreakBefore w:val="0"/>
        <w:widowControl w:val="0"/>
        <w:kinsoku/>
        <w:wordWrap/>
        <w:overflowPunct/>
        <w:topLinePunct w:val="0"/>
        <w:autoSpaceDE w:val="0"/>
        <w:autoSpaceDN w:val="0"/>
        <w:bidi w:val="0"/>
        <w:adjustRightInd w:val="0"/>
        <w:snapToGrid w:val="0"/>
        <w:spacing w:line="360" w:lineRule="auto"/>
        <w:ind w:firstLine="409" w:firstLineChars="195"/>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1.1.1.9 预算书：是指构成合同的由承包人按照发包人规定的格式和要求编制的工程预算文件。</w:t>
      </w:r>
    </w:p>
    <w:p w14:paraId="72E2D16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1.1.1.10 其他合同文件：是指经合同当事人约定的与工程施工有关的具有合同约束力的文件或书面协议。合同当事人可以在专用合同条款中进行约定。</w:t>
      </w:r>
    </w:p>
    <w:p w14:paraId="492B219F">
      <w:pPr>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1.1.2 合同当事人及其他相关方</w:t>
      </w:r>
    </w:p>
    <w:p w14:paraId="64E6FD7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1.1.2.1 合同当事人：是指发包人和（或）承包人。</w:t>
      </w:r>
    </w:p>
    <w:p w14:paraId="23650C8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1.1.2.2 发包人：是指与承包人签订合同协议书的当事人及取得该当事人资格的合法继承人。</w:t>
      </w:r>
    </w:p>
    <w:p w14:paraId="3FC6FC4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1.1.2.3 承包人：是指与发包人签订合同协议书的，具有相应工程施工承包资质的当事人及取得该当事人资格的合法继承人。</w:t>
      </w:r>
    </w:p>
    <w:p w14:paraId="1BF5B37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1.1.2.4 监理人：是指在专用合同条款中指明的，受发包人委托按照法律规定进行工程监督管理的法人或其他组织。</w:t>
      </w:r>
    </w:p>
    <w:p w14:paraId="3E2EB4B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1.1.2.5 设计人：是指在专用合同条款中指明的，受发包人委托负责工程设计并具备相应工程设计资质的法人或其他组织。</w:t>
      </w:r>
    </w:p>
    <w:p w14:paraId="64BCA1CE">
      <w:pPr>
        <w:pageBreakBefore w:val="0"/>
        <w:widowControl w:val="0"/>
        <w:kinsoku/>
        <w:wordWrap/>
        <w:overflowPunct/>
        <w:topLinePunct w:val="0"/>
        <w:bidi w:val="0"/>
        <w:snapToGrid w:val="0"/>
        <w:spacing w:line="360" w:lineRule="auto"/>
        <w:ind w:firstLine="409" w:firstLineChars="195"/>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1.1.2.6 分包人：</w:t>
      </w:r>
      <w:bookmarkStart w:id="235" w:name="#go5"/>
      <w:bookmarkEnd w:id="235"/>
      <w:r>
        <w:rPr>
          <w:rFonts w:hint="eastAsia" w:ascii="宋体" w:hAnsi="宋体" w:eastAsia="宋体" w:cs="宋体"/>
          <w:color w:val="000000"/>
          <w:kern w:val="0"/>
          <w:sz w:val="21"/>
          <w:szCs w:val="21"/>
          <w:highlight w:val="none"/>
        </w:rPr>
        <w:t>是指按照法律规定和合同约定，分包部分工程或工作，并与承包人签订分包合同的具有相应资质的法人。</w:t>
      </w:r>
    </w:p>
    <w:p w14:paraId="2D29275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1.1.2.7 发包人代表：是指由发包人任命并派驻施工现场在发包人授权范围内行使发包人权利的人。</w:t>
      </w:r>
    </w:p>
    <w:p w14:paraId="5277A52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1.1.2.8 项目经理：是指由承包人任命并派驻施工现场，在承包人授权范围内负责合同履行，且按照法律规定具有相应资格的项目负责人。</w:t>
      </w:r>
    </w:p>
    <w:p w14:paraId="6F4E017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1.1.2.9 总监理工程师：是指由监理人任命并派驻施工现场进行工程监理的总负责人。</w:t>
      </w:r>
    </w:p>
    <w:p w14:paraId="16F4644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 工程和设备</w:t>
      </w:r>
    </w:p>
    <w:p w14:paraId="340BC6C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1.1.3.1 工程：是指与合同协议书中工程承包范围对应的永久工程和（或）临时工程。</w:t>
      </w:r>
    </w:p>
    <w:p w14:paraId="0F3ECAC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1.1.3.2 永久工程：是指按合同约定建造并移交给发包人的工程，包括工程设备。</w:t>
      </w:r>
    </w:p>
    <w:p w14:paraId="73721A8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1.1.3.3 临时工程：是指为完成合同约定的永久工程所修建的各类临时性工程，不包括施工设备。</w:t>
      </w:r>
    </w:p>
    <w:p w14:paraId="7721B53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1.1.3.4 单位工程：是指在合同协议书中指明的，具备独立施工条件并能形成独立使用功能的永久工程。</w:t>
      </w:r>
    </w:p>
    <w:p w14:paraId="6E23211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1.1.3.5 工程设备：是指构成永久工程的机电设备、金属结构设备、仪器及其他类似的设备和装置。</w:t>
      </w:r>
    </w:p>
    <w:p w14:paraId="7D9ACDE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1.1.3.6 施工设备：是指为完成合同约定的各项工作所需的设备、器具和其他物品，但不包括工程设备、临时工程和材料。</w:t>
      </w:r>
    </w:p>
    <w:p w14:paraId="011567C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1.1.3.7 施工现场：是指用于工程施工的场所，以及在专用合同条款中指明作为施工场所组成部分的其他场所，包括永久占地和临时占地。</w:t>
      </w:r>
    </w:p>
    <w:p w14:paraId="160C5F9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1.1.3.8临时设施：是指为完成合同约定的各项工作所服务的临时性生产和生活设施。</w:t>
      </w:r>
    </w:p>
    <w:p w14:paraId="13E103A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1.1.3.9 永久占地：是指专用合同条款中指明为实施工程需永久占用的土地。</w:t>
      </w:r>
    </w:p>
    <w:p w14:paraId="213B892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1.1.3.10 临时占地：是指专用合同条款中指明为实施工程需要临时占用的土地。</w:t>
      </w:r>
    </w:p>
    <w:p w14:paraId="4711D7B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 日期和期限</w:t>
      </w:r>
    </w:p>
    <w:p w14:paraId="2FFF034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8B807E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1.1.4.2 竣工日期：包括计划竣工日期和实际竣工日期。计划竣工日期是指合同协议书约定的竣工日期；实际竣工日期按照第13.2.3项〔竣工日期〕的约定确定。 </w:t>
      </w:r>
    </w:p>
    <w:p w14:paraId="6A06DF74">
      <w:pPr>
        <w:pageBreakBefore w:val="0"/>
        <w:widowControl w:val="0"/>
        <w:kinsoku/>
        <w:wordWrap/>
        <w:overflowPunct/>
        <w:topLinePunct w:val="0"/>
        <w:bidi w:val="0"/>
        <w:snapToGrid w:val="0"/>
        <w:spacing w:line="360" w:lineRule="auto"/>
        <w:ind w:firstLine="426" w:firstLineChars="203"/>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1.1.4.3 工期：是指在合同协议书约定的承包人完成工程所需的期限，包括按照合同约定所作的期限变更。</w:t>
      </w:r>
    </w:p>
    <w:p w14:paraId="4062D8F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1.1.4.4 缺陷责任期：是指承包人按照合同约定承担缺陷修复义务，且发包人预留质量保证金</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已缴纳履约保证金的除外</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的期限，自工程实际竣工日期起计算。</w:t>
      </w:r>
    </w:p>
    <w:p w14:paraId="77F8494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1.1.4.5 保修期：是指承包人按照合同约定对工程承担保修责任的期限，从工程竣工验收合格之日起计算。</w:t>
      </w:r>
    </w:p>
    <w:p w14:paraId="2A21D0E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1.1.4.6 基准日期：招标发包的工程以投标截止日前28天的日期为基准日期，直接发包的工程以合同签订日前28天的日期为基准日期。</w:t>
      </w:r>
    </w:p>
    <w:p w14:paraId="4AD3006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1.1.4.7 天：除特别指明外，均指日历天。合同中按天计算时间的，开始当天不计入，从次日开始计算，期限最后一天的截止时间为当天24:00时。</w:t>
      </w:r>
    </w:p>
    <w:p w14:paraId="4554D8C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 合同价格和费用</w:t>
      </w:r>
    </w:p>
    <w:p w14:paraId="1916A88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1.1.5.1 签约合同价：是指</w:t>
      </w:r>
      <w:r>
        <w:rPr>
          <w:rFonts w:hint="eastAsia" w:ascii="宋体" w:hAnsi="宋体" w:eastAsia="宋体" w:cs="宋体"/>
          <w:color w:val="000000"/>
          <w:sz w:val="21"/>
          <w:szCs w:val="21"/>
          <w:highlight w:val="none"/>
        </w:rPr>
        <w:t>发包人和承包人在合同协议书中确定的总金额，包括安全文明施工费、暂估价及暂列金额等。</w:t>
      </w:r>
    </w:p>
    <w:p w14:paraId="0702792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1.1.5.2 合同价格：是指发包人用于支付承包人按照合同约定完成承包范围内全部工作的金额，包括合同履行过程中按合同约定发生的价格变化。</w:t>
      </w:r>
    </w:p>
    <w:p w14:paraId="1EC83D9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1.1.5.3 费用：是指为履行合同所发生的或将要发生的所有必需的开支，包括管理费和应分摊的其他费用，但不包括利润。</w:t>
      </w:r>
    </w:p>
    <w:p w14:paraId="0CDE7FA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1.1.5.4 暂估价：是指发包人在工程量清单或预算书中提供的用于支付必然发生但暂时不能确定价格的材料、工程设备的单价、专业工程以及服务工作的金额。</w:t>
      </w:r>
    </w:p>
    <w:p w14:paraId="0BD10F4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AD8A00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1.1.5.6 计日工：是指合同履行过程中，承包人完成发包人提出的零星工作或需要采用计日工计价的变更工作时，按合同中约定的单价计价的一种方式。</w:t>
      </w:r>
    </w:p>
    <w:p w14:paraId="49F9F92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1.1.5.7 质量保证金</w:t>
      </w:r>
      <w:bookmarkStart w:id="236" w:name="#go2"/>
      <w:bookmarkEnd w:id="236"/>
      <w:r>
        <w:rPr>
          <w:rFonts w:hint="eastAsia" w:ascii="宋体" w:hAnsi="宋体" w:eastAsia="宋体" w:cs="宋体"/>
          <w:color w:val="000000"/>
          <w:kern w:val="0"/>
          <w:sz w:val="21"/>
          <w:szCs w:val="21"/>
          <w:highlight w:val="none"/>
        </w:rPr>
        <w:t>：是指按照第15.3款〔质量保证金〕约定承包人用于保证其在缺陷责任期内履行缺陷修补义务的担保</w:t>
      </w:r>
      <w:r>
        <w:rPr>
          <w:rFonts w:hint="eastAsia" w:ascii="宋体" w:hAnsi="宋体" w:eastAsia="宋体" w:cs="宋体"/>
          <w:color w:val="000000"/>
          <w:sz w:val="21"/>
          <w:szCs w:val="21"/>
          <w:highlight w:val="none"/>
        </w:rPr>
        <w:t>。</w:t>
      </w:r>
    </w:p>
    <w:p w14:paraId="6C48315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1.1.5.8 总价项目：是指在现行国家、行业以及地方的计量规则中无工程量计算规则，在已标价工程量清单或预算书中以总价或以费率形式计算的项目。</w:t>
      </w:r>
    </w:p>
    <w:p w14:paraId="526D81D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1.1.6 其他</w:t>
      </w:r>
    </w:p>
    <w:p w14:paraId="13BE272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1.1.6.1 书面形式：是指合同文件、信函、电报、传真等可以有形地表现所载内容的形式。</w:t>
      </w:r>
    </w:p>
    <w:p w14:paraId="6E3DEB19">
      <w:pPr>
        <w:pStyle w:val="6"/>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237" w:name="_Toc351203497"/>
      <w:bookmarkStart w:id="238" w:name="_Toc296503029"/>
      <w:bookmarkStart w:id="239" w:name="_Toc296346530"/>
      <w:bookmarkStart w:id="240" w:name="_Toc337558729"/>
      <w:r>
        <w:rPr>
          <w:rFonts w:hint="eastAsia" w:ascii="宋体" w:hAnsi="宋体" w:eastAsia="宋体" w:cs="宋体"/>
          <w:b w:val="0"/>
          <w:color w:val="000000"/>
          <w:sz w:val="21"/>
          <w:szCs w:val="21"/>
          <w:highlight w:val="none"/>
        </w:rPr>
        <w:t>1.2语言文字</w:t>
      </w:r>
      <w:bookmarkEnd w:id="237"/>
      <w:bookmarkEnd w:id="238"/>
      <w:bookmarkEnd w:id="239"/>
      <w:bookmarkEnd w:id="240"/>
    </w:p>
    <w:p w14:paraId="33ECD29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合同以中国的汉语简体文字编写、解释和说明。合同当事人在专用合同条款中约定使用两种以上语言时，汉语为优先解释和说明合同的语言。</w:t>
      </w:r>
    </w:p>
    <w:p w14:paraId="6CC918E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41" w:name="_Toc351203498"/>
      <w:bookmarkStart w:id="242" w:name="_Toc296346531"/>
      <w:bookmarkStart w:id="243" w:name="_Toc296503030"/>
      <w:bookmarkStart w:id="244" w:name="_Toc337558730"/>
      <w:r>
        <w:rPr>
          <w:rFonts w:hint="eastAsia" w:ascii="宋体" w:hAnsi="宋体" w:eastAsia="宋体" w:cs="宋体"/>
          <w:b w:val="0"/>
          <w:color w:val="000000"/>
          <w:sz w:val="21"/>
          <w:szCs w:val="21"/>
          <w:highlight w:val="none"/>
        </w:rPr>
        <w:t>1.3法律</w:t>
      </w:r>
      <w:bookmarkEnd w:id="241"/>
      <w:bookmarkEnd w:id="242"/>
      <w:bookmarkEnd w:id="243"/>
      <w:bookmarkEnd w:id="244"/>
    </w:p>
    <w:p w14:paraId="52849A2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合同所称法律是指中华人民共和国法律、行政法规、部门规章，以及工程所在地的地方性法规、自治条例、单行条例和地方政府规章等。</w:t>
      </w:r>
    </w:p>
    <w:p w14:paraId="63C2E73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合同当事人可以在专用合同条款中约定合同适用的其他规范性文件。</w:t>
      </w:r>
    </w:p>
    <w:p w14:paraId="4AB7E9C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45" w:name="_Toc351203499"/>
      <w:r>
        <w:rPr>
          <w:rFonts w:hint="eastAsia" w:ascii="宋体" w:hAnsi="宋体" w:eastAsia="宋体" w:cs="宋体"/>
          <w:b w:val="0"/>
          <w:color w:val="000000"/>
          <w:sz w:val="21"/>
          <w:szCs w:val="21"/>
          <w:highlight w:val="none"/>
        </w:rPr>
        <w:t>1.4 标准和规范</w:t>
      </w:r>
      <w:bookmarkEnd w:id="245"/>
    </w:p>
    <w:p w14:paraId="025F2C32">
      <w:pPr>
        <w:pageBreakBefore w:val="0"/>
        <w:widowControl w:val="0"/>
        <w:kinsoku/>
        <w:wordWrap/>
        <w:overflowPunct/>
        <w:topLinePunct w:val="0"/>
        <w:autoSpaceDE w:val="0"/>
        <w:autoSpaceDN w:val="0"/>
        <w:bidi w:val="0"/>
        <w:adjustRightInd w:val="0"/>
        <w:snapToGrid w:val="0"/>
        <w:spacing w:line="360" w:lineRule="auto"/>
        <w:ind w:firstLine="64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 适用于工程的国家标准、行业标准、工程所在地的地方性标准，以及相应的规范、规程等，合同当事人有特别要求的，应在专用合同条款中约定。</w:t>
      </w:r>
    </w:p>
    <w:p w14:paraId="45A5E97F">
      <w:pPr>
        <w:pageBreakBefore w:val="0"/>
        <w:widowControl w:val="0"/>
        <w:kinsoku/>
        <w:wordWrap/>
        <w:overflowPunct/>
        <w:topLinePunct w:val="0"/>
        <w:autoSpaceDE w:val="0"/>
        <w:autoSpaceDN w:val="0"/>
        <w:bidi w:val="0"/>
        <w:adjustRightInd w:val="0"/>
        <w:snapToGrid w:val="0"/>
        <w:spacing w:line="360" w:lineRule="auto"/>
        <w:ind w:firstLine="64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1.4.2 发包人要求使用国外标准、规范的，发包人负责提供原文版本和中文译本，并在专用合同条款中约定提供标准规范的名称、份数和时间。</w:t>
      </w:r>
    </w:p>
    <w:p w14:paraId="208404FC">
      <w:pPr>
        <w:pageBreakBefore w:val="0"/>
        <w:widowControl w:val="0"/>
        <w:kinsoku/>
        <w:wordWrap/>
        <w:overflowPunct/>
        <w:topLinePunct w:val="0"/>
        <w:autoSpaceDE w:val="0"/>
        <w:autoSpaceDN w:val="0"/>
        <w:bidi w:val="0"/>
        <w:adjustRightInd w:val="0"/>
        <w:snapToGrid w:val="0"/>
        <w:spacing w:line="360" w:lineRule="auto"/>
        <w:ind w:firstLine="64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A02197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46" w:name="_Toc351203500"/>
      <w:r>
        <w:rPr>
          <w:rFonts w:hint="eastAsia" w:ascii="宋体" w:hAnsi="宋体" w:eastAsia="宋体" w:cs="宋体"/>
          <w:b w:val="0"/>
          <w:color w:val="000000"/>
          <w:sz w:val="21"/>
          <w:szCs w:val="21"/>
          <w:highlight w:val="none"/>
        </w:rPr>
        <w:t>1</w:t>
      </w:r>
      <w:bookmarkStart w:id="247" w:name="_Toc337558731"/>
      <w:bookmarkStart w:id="248" w:name="_Toc296346532"/>
      <w:bookmarkStart w:id="249" w:name="_Toc296503031"/>
      <w:r>
        <w:rPr>
          <w:rFonts w:hint="eastAsia" w:ascii="宋体" w:hAnsi="宋体" w:eastAsia="宋体" w:cs="宋体"/>
          <w:b w:val="0"/>
          <w:color w:val="000000"/>
          <w:sz w:val="21"/>
          <w:szCs w:val="21"/>
          <w:highlight w:val="none"/>
        </w:rPr>
        <w:t>.5 合同文件的优先顺序</w:t>
      </w:r>
      <w:bookmarkEnd w:id="246"/>
    </w:p>
    <w:bookmarkEnd w:id="247"/>
    <w:bookmarkEnd w:id="248"/>
    <w:bookmarkEnd w:id="249"/>
    <w:p w14:paraId="7E0FD41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组成合同的各项文件应互相解释，互为说明。除专用合同条款另有约定外，解释合同文件的优先顺序如下：</w:t>
      </w:r>
    </w:p>
    <w:p w14:paraId="4F4E5BA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（1）合同协议书；</w:t>
      </w:r>
    </w:p>
    <w:p w14:paraId="57116C9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（2）中标通知书（如果有）；</w:t>
      </w:r>
    </w:p>
    <w:p w14:paraId="25D0964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（3）投标函及其附录（如果有）；</w:t>
      </w:r>
    </w:p>
    <w:p w14:paraId="0FFB922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（4）专用合同条款</w:t>
      </w:r>
      <w:r>
        <w:rPr>
          <w:rFonts w:hint="eastAsia" w:ascii="宋体" w:hAnsi="宋体" w:eastAsia="宋体" w:cs="宋体"/>
          <w:color w:val="000000"/>
          <w:sz w:val="21"/>
          <w:szCs w:val="21"/>
          <w:highlight w:val="none"/>
        </w:rPr>
        <w:t>及其附件</w:t>
      </w:r>
      <w:r>
        <w:rPr>
          <w:rFonts w:hint="eastAsia" w:ascii="宋体" w:hAnsi="宋体" w:eastAsia="宋体" w:cs="宋体"/>
          <w:color w:val="000000"/>
          <w:kern w:val="0"/>
          <w:sz w:val="21"/>
          <w:szCs w:val="21"/>
          <w:highlight w:val="none"/>
        </w:rPr>
        <w:t>；</w:t>
      </w:r>
    </w:p>
    <w:p w14:paraId="1834CB4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（5）通用合同条款；</w:t>
      </w:r>
    </w:p>
    <w:p w14:paraId="2E669BF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（6）技术标准和要求；</w:t>
      </w:r>
    </w:p>
    <w:p w14:paraId="4EF3A39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（7）图纸；</w:t>
      </w:r>
    </w:p>
    <w:p w14:paraId="5B2B3F1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（8）已标价工程量清单或预算书；</w:t>
      </w:r>
    </w:p>
    <w:p w14:paraId="5551CC5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（9）其他合同文件。</w:t>
      </w:r>
    </w:p>
    <w:p w14:paraId="6F107C34">
      <w:pPr>
        <w:pageBreakBefore w:val="0"/>
        <w:widowControl w:val="0"/>
        <w:kinsoku/>
        <w:wordWrap/>
        <w:overflowPunct/>
        <w:topLinePunct w:val="0"/>
        <w:bidi w:val="0"/>
        <w:snapToGrid w:val="0"/>
        <w:spacing w:line="360" w:lineRule="auto"/>
        <w:ind w:firstLine="447" w:firstLineChars="21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w:t>
      </w:r>
    </w:p>
    <w:p w14:paraId="383DA88E">
      <w:pPr>
        <w:pageBreakBefore w:val="0"/>
        <w:widowControl w:val="0"/>
        <w:kinsoku/>
        <w:wordWrap/>
        <w:overflowPunct/>
        <w:topLinePunct w:val="0"/>
        <w:bidi w:val="0"/>
        <w:snapToGrid w:val="0"/>
        <w:spacing w:line="360" w:lineRule="auto"/>
        <w:ind w:firstLine="447" w:firstLineChars="21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在合同订立及履行过程中形成的与合同有关的文件均构成合同文件组成部分，并根据其性质确定优先解释顺序。</w:t>
      </w:r>
    </w:p>
    <w:p w14:paraId="0C9E08A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50" w:name="_Toc351203501"/>
      <w:r>
        <w:rPr>
          <w:rFonts w:hint="eastAsia" w:ascii="宋体" w:hAnsi="宋体" w:eastAsia="宋体" w:cs="宋体"/>
          <w:b w:val="0"/>
          <w:color w:val="000000"/>
          <w:sz w:val="21"/>
          <w:szCs w:val="21"/>
          <w:highlight w:val="none"/>
        </w:rPr>
        <w:t>1</w:t>
      </w:r>
      <w:bookmarkStart w:id="251" w:name="_Toc337558732"/>
      <w:bookmarkStart w:id="252" w:name="_Toc296503032"/>
      <w:bookmarkStart w:id="253" w:name="_Toc296346533"/>
      <w:r>
        <w:rPr>
          <w:rFonts w:hint="eastAsia" w:ascii="宋体" w:hAnsi="宋体" w:eastAsia="宋体" w:cs="宋体"/>
          <w:b w:val="0"/>
          <w:color w:val="000000"/>
          <w:sz w:val="21"/>
          <w:szCs w:val="21"/>
          <w:highlight w:val="none"/>
        </w:rPr>
        <w:t>.6图纸和承包人文件</w:t>
      </w:r>
      <w:bookmarkEnd w:id="250"/>
    </w:p>
    <w:bookmarkEnd w:id="251"/>
    <w:bookmarkEnd w:id="252"/>
    <w:bookmarkEnd w:id="253"/>
    <w:p w14:paraId="3401262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 图纸的提供和交底</w:t>
      </w:r>
    </w:p>
    <w:p w14:paraId="4C8037F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7625F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因发包人未按合同约定提供图纸导致承包人费用增加和（或）工期延误的，按照第7.5.1项〔因发包人原因导致工期延误〕约定办理。</w:t>
      </w:r>
    </w:p>
    <w:p w14:paraId="3BCBD17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 图纸的错误</w:t>
      </w:r>
    </w:p>
    <w:p w14:paraId="594744D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3C6DA9D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1.6.3 图纸的修改和补充</w:t>
      </w:r>
    </w:p>
    <w:p w14:paraId="0E72772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AEA3C6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1.6.4 承包人文件</w:t>
      </w:r>
    </w:p>
    <w:p w14:paraId="5292C00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承包人应按照专用合同条款的约定提供应当由其编制的与工程施工有关的文件，并按照专用合同条款约定的期限、数量和形式提交监理人，并由监理人报送发包人。</w:t>
      </w:r>
    </w:p>
    <w:p w14:paraId="4D9F07E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6B8B4B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1.6.5 图纸和承包人文件的保管</w:t>
      </w:r>
    </w:p>
    <w:p w14:paraId="1BCDFE5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除专用合同条款另有约定外，承包人应在施工现场另外保存一套完整的图纸和承包人文件，供发包人、监理人及有关人员进行工程检查时使用。</w:t>
      </w:r>
    </w:p>
    <w:p w14:paraId="67261A49">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54" w:name="_Toc351203502"/>
      <w:r>
        <w:rPr>
          <w:rFonts w:hint="eastAsia" w:ascii="宋体" w:hAnsi="宋体" w:eastAsia="宋体" w:cs="宋体"/>
          <w:b w:val="0"/>
          <w:color w:val="000000"/>
          <w:sz w:val="21"/>
          <w:szCs w:val="21"/>
          <w:highlight w:val="none"/>
        </w:rPr>
        <w:t>1</w:t>
      </w:r>
      <w:bookmarkStart w:id="255" w:name="_Toc296503033"/>
      <w:bookmarkStart w:id="256" w:name="_Toc296346534"/>
      <w:bookmarkStart w:id="257" w:name="_Toc337558733"/>
      <w:r>
        <w:rPr>
          <w:rFonts w:hint="eastAsia" w:ascii="宋体" w:hAnsi="宋体" w:eastAsia="宋体" w:cs="宋体"/>
          <w:b w:val="0"/>
          <w:color w:val="000000"/>
          <w:sz w:val="21"/>
          <w:szCs w:val="21"/>
          <w:highlight w:val="none"/>
        </w:rPr>
        <w:t>.7联络</w:t>
      </w:r>
      <w:bookmarkEnd w:id="254"/>
    </w:p>
    <w:bookmarkEnd w:id="255"/>
    <w:bookmarkEnd w:id="256"/>
    <w:bookmarkEnd w:id="257"/>
    <w:p w14:paraId="00876A4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1.7.1 与合同有关的通知、批准、证明、证书、指示、指令、要求、请求、同意、意见、确定和决定等，均应采用书面形式，并应在合同约定的期限内送达接收人和送达地点。</w:t>
      </w:r>
    </w:p>
    <w:p w14:paraId="2699393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1.7.2 发包人和承包人应在专用合同条款中约定各自的送达接收人和送达地点。任何一方合同当事人指定的接收人或送达地点发生变动的，应提前3天以书面形式通知对方。</w:t>
      </w:r>
    </w:p>
    <w:p w14:paraId="7CF64E5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FF0000"/>
          <w:kern w:val="0"/>
          <w:sz w:val="21"/>
          <w:szCs w:val="21"/>
          <w:highlight w:val="none"/>
        </w:rPr>
      </w:pPr>
      <w:r>
        <w:rPr>
          <w:rFonts w:hint="eastAsia" w:ascii="宋体" w:hAnsi="宋体" w:eastAsia="宋体" w:cs="宋体"/>
          <w:color w:val="000000"/>
          <w:kern w:val="0"/>
          <w:sz w:val="21"/>
          <w:szCs w:val="21"/>
          <w:highlight w:val="none"/>
        </w:rPr>
        <w:t>1.7.3 发包人和承包人应当及时签收另一方送达至送达地点和指定接收人的来往信函。拒不签收的，由此增加的费用和（或）延误的工期由拒绝接收一方承担。</w:t>
      </w:r>
    </w:p>
    <w:p w14:paraId="10C4DE5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58" w:name="_Toc351203503"/>
      <w:r>
        <w:rPr>
          <w:rFonts w:hint="eastAsia" w:ascii="宋体" w:hAnsi="宋体" w:eastAsia="宋体" w:cs="宋体"/>
          <w:b w:val="0"/>
          <w:color w:val="000000"/>
          <w:sz w:val="21"/>
          <w:szCs w:val="21"/>
          <w:highlight w:val="none"/>
        </w:rPr>
        <w:t>1</w:t>
      </w:r>
      <w:bookmarkStart w:id="259" w:name="_Toc337558734"/>
      <w:bookmarkStart w:id="260" w:name="_Toc296346536"/>
      <w:bookmarkStart w:id="261" w:name="_Toc296503035"/>
      <w:r>
        <w:rPr>
          <w:rFonts w:hint="eastAsia" w:ascii="宋体" w:hAnsi="宋体" w:eastAsia="宋体" w:cs="宋体"/>
          <w:b w:val="0"/>
          <w:color w:val="000000"/>
          <w:sz w:val="21"/>
          <w:szCs w:val="21"/>
          <w:highlight w:val="none"/>
        </w:rPr>
        <w:t>.8严禁贿赂</w:t>
      </w:r>
      <w:bookmarkEnd w:id="258"/>
    </w:p>
    <w:bookmarkEnd w:id="259"/>
    <w:bookmarkEnd w:id="260"/>
    <w:bookmarkEnd w:id="261"/>
    <w:p w14:paraId="50AB305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合同当事人不得以贿赂或变相贿赂的方式，谋取非法利益或损害对方权益。因一方合同当事人的贿赂造成对方损失的，应赔偿损失，并承担相应的法律责任。</w:t>
      </w:r>
    </w:p>
    <w:p w14:paraId="1ABE2EE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459763B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62" w:name="_Toc351203504"/>
      <w:r>
        <w:rPr>
          <w:rFonts w:hint="eastAsia" w:ascii="宋体" w:hAnsi="宋体" w:eastAsia="宋体" w:cs="宋体"/>
          <w:b w:val="0"/>
          <w:color w:val="000000"/>
          <w:sz w:val="21"/>
          <w:szCs w:val="21"/>
          <w:highlight w:val="none"/>
        </w:rPr>
        <w:t>1</w:t>
      </w:r>
      <w:bookmarkStart w:id="263" w:name="_Toc296503036"/>
      <w:bookmarkStart w:id="264" w:name="_Toc296346537"/>
      <w:bookmarkStart w:id="265" w:name="_Toc337558735"/>
      <w:r>
        <w:rPr>
          <w:rFonts w:hint="eastAsia" w:ascii="宋体" w:hAnsi="宋体" w:eastAsia="宋体" w:cs="宋体"/>
          <w:b w:val="0"/>
          <w:color w:val="000000"/>
          <w:sz w:val="21"/>
          <w:szCs w:val="21"/>
          <w:highlight w:val="none"/>
        </w:rPr>
        <w:t>.9化石、文物</w:t>
      </w:r>
      <w:bookmarkEnd w:id="262"/>
    </w:p>
    <w:bookmarkEnd w:id="263"/>
    <w:bookmarkEnd w:id="264"/>
    <w:bookmarkEnd w:id="265"/>
    <w:p w14:paraId="3C7968C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CF0A0A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发包人、监理人和承包人应按有关政府行政管理部门要求采取妥善的保护措施，由此增加的费用和（或）延误的工期由发包人承担。</w:t>
      </w:r>
    </w:p>
    <w:p w14:paraId="1ADA815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承包人发现文物后不及时报告或隐瞒不报，致使文物丢失或损坏的，应赔偿损失，并承担相应的法律责任。</w:t>
      </w:r>
    </w:p>
    <w:p w14:paraId="48F8F0F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66" w:name="_Toc351203505"/>
      <w:r>
        <w:rPr>
          <w:rFonts w:hint="eastAsia" w:ascii="宋体" w:hAnsi="宋体" w:eastAsia="宋体" w:cs="宋体"/>
          <w:b w:val="0"/>
          <w:color w:val="000000"/>
          <w:sz w:val="21"/>
          <w:szCs w:val="21"/>
          <w:highlight w:val="none"/>
        </w:rPr>
        <w:t>1</w:t>
      </w:r>
      <w:bookmarkStart w:id="267" w:name="_Toc337558736"/>
      <w:r>
        <w:rPr>
          <w:rFonts w:hint="eastAsia" w:ascii="宋体" w:hAnsi="宋体" w:eastAsia="宋体" w:cs="宋体"/>
          <w:b w:val="0"/>
          <w:color w:val="000000"/>
          <w:sz w:val="21"/>
          <w:szCs w:val="21"/>
          <w:highlight w:val="none"/>
        </w:rPr>
        <w:t>.10交通运输</w:t>
      </w:r>
      <w:bookmarkEnd w:id="266"/>
    </w:p>
    <w:bookmarkEnd w:id="267"/>
    <w:p w14:paraId="67BC34C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1.10.1 出入现场的权利</w:t>
      </w:r>
    </w:p>
    <w:p w14:paraId="1348C75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84355D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241034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1.10.2 场外交通</w:t>
      </w:r>
    </w:p>
    <w:p w14:paraId="72285D1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4BE2BC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1.10.3场内交通</w:t>
      </w:r>
    </w:p>
    <w:p w14:paraId="32CFB1F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E1BBEB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520CCE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场外交通和场内交通的边界由合同当事人在专用合同条款中约定。</w:t>
      </w:r>
    </w:p>
    <w:p w14:paraId="3E7BAB1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1.10.4 超大件和超重件的运输</w:t>
      </w:r>
    </w:p>
    <w:p w14:paraId="25B9C7D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813A2F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1.10.5 道路和桥梁的损坏责任</w:t>
      </w:r>
    </w:p>
    <w:p w14:paraId="4DF1868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因承包人运输造成施工场地内外公共道路和桥梁损坏的，由承包人承担修复损坏的全部费用和可能引起的赔偿。</w:t>
      </w:r>
    </w:p>
    <w:p w14:paraId="0469B40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1.10.6 水路和航空运输</w:t>
      </w:r>
    </w:p>
    <w:p w14:paraId="2D8A6A2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76336706">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68" w:name="_Toc351203506"/>
      <w:r>
        <w:rPr>
          <w:rFonts w:hint="eastAsia" w:ascii="宋体" w:hAnsi="宋体" w:eastAsia="宋体" w:cs="宋体"/>
          <w:b w:val="0"/>
          <w:color w:val="000000"/>
          <w:sz w:val="21"/>
          <w:szCs w:val="21"/>
          <w:highlight w:val="none"/>
        </w:rPr>
        <w:t>1</w:t>
      </w:r>
      <w:bookmarkStart w:id="269" w:name="_Toc337558737"/>
      <w:bookmarkStart w:id="270" w:name="_Toc296346538"/>
      <w:bookmarkStart w:id="271" w:name="_Toc296503037"/>
      <w:r>
        <w:rPr>
          <w:rFonts w:hint="eastAsia" w:ascii="宋体" w:hAnsi="宋体" w:eastAsia="宋体" w:cs="宋体"/>
          <w:b w:val="0"/>
          <w:color w:val="000000"/>
          <w:sz w:val="21"/>
          <w:szCs w:val="21"/>
          <w:highlight w:val="none"/>
        </w:rPr>
        <w:t>.11知识产权</w:t>
      </w:r>
      <w:bookmarkEnd w:id="268"/>
      <w:r>
        <w:rPr>
          <w:rFonts w:hint="eastAsia" w:ascii="宋体" w:hAnsi="宋体" w:eastAsia="宋体" w:cs="宋体"/>
          <w:b w:val="0"/>
          <w:color w:val="000000"/>
          <w:sz w:val="21"/>
          <w:szCs w:val="21"/>
          <w:highlight w:val="none"/>
        </w:rPr>
        <w:t xml:space="preserve"> </w:t>
      </w:r>
      <w:bookmarkEnd w:id="269"/>
    </w:p>
    <w:bookmarkEnd w:id="270"/>
    <w:bookmarkEnd w:id="271"/>
    <w:p w14:paraId="7E5CE04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5FD71A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DF0D25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D2D5C70">
      <w:pPr>
        <w:pageBreakBefore w:val="0"/>
        <w:widowControl w:val="0"/>
        <w:kinsoku/>
        <w:wordWrap/>
        <w:overflowPunct/>
        <w:topLinePunct w:val="0"/>
        <w:bidi w:val="0"/>
        <w:snapToGrid w:val="0"/>
        <w:spacing w:line="360" w:lineRule="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sz w:val="21"/>
          <w:szCs w:val="21"/>
          <w:highlight w:val="none"/>
        </w:rPr>
        <w:t>1.11.4 除专用合同条款另有约定外，承包人在合同签订前和签订时已确定采用的专利、专有技术、技术秘密的使用费已包含在签约合同价中。</w:t>
      </w:r>
    </w:p>
    <w:p w14:paraId="70675CA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72" w:name="_Toc351203507"/>
      <w:r>
        <w:rPr>
          <w:rFonts w:hint="eastAsia" w:ascii="宋体" w:hAnsi="宋体" w:eastAsia="宋体" w:cs="宋体"/>
          <w:b w:val="0"/>
          <w:color w:val="000000"/>
          <w:sz w:val="21"/>
          <w:szCs w:val="21"/>
          <w:highlight w:val="none"/>
        </w:rPr>
        <w:t>1</w:t>
      </w:r>
      <w:bookmarkStart w:id="273" w:name="_Toc337558738"/>
      <w:r>
        <w:rPr>
          <w:rFonts w:hint="eastAsia" w:ascii="宋体" w:hAnsi="宋体" w:eastAsia="宋体" w:cs="宋体"/>
          <w:b w:val="0"/>
          <w:color w:val="000000"/>
          <w:sz w:val="21"/>
          <w:szCs w:val="21"/>
          <w:highlight w:val="none"/>
        </w:rPr>
        <w:t>.12保密</w:t>
      </w:r>
      <w:bookmarkEnd w:id="272"/>
    </w:p>
    <w:bookmarkEnd w:id="273"/>
    <w:p w14:paraId="1E96395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除法律规定或合同另有约定外，未经发包人同意，承包人不得将发包人提供的图纸、文件以及声明需要保密的资料信息等商业秘密泄露给第三方。</w:t>
      </w:r>
    </w:p>
    <w:p w14:paraId="572B1D3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除法律规定或合同另有约定外，未经承包人同意，发包人不得将承包人提供的技术秘密及声明需要保密的资料信息等商业秘密泄露给第三方。</w:t>
      </w:r>
    </w:p>
    <w:p w14:paraId="314FC8F0">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74" w:name="_Toc351203508"/>
      <w:r>
        <w:rPr>
          <w:rFonts w:hint="eastAsia" w:ascii="宋体" w:hAnsi="宋体" w:eastAsia="宋体" w:cs="宋体"/>
          <w:b w:val="0"/>
          <w:color w:val="000000"/>
          <w:sz w:val="21"/>
          <w:szCs w:val="21"/>
          <w:highlight w:val="none"/>
        </w:rPr>
        <w:t>1.13工程量清单错误的修正</w:t>
      </w:r>
      <w:bookmarkEnd w:id="274"/>
    </w:p>
    <w:p w14:paraId="1008420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除专用合同条款另有约定外，发包人提供的工程量清单，应被认为是准确的和完整的。出现下列情形之一时，发包人应予以修正，并相应调整合同价格：</w:t>
      </w:r>
    </w:p>
    <w:p w14:paraId="24ECCA3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（1）工程量清单存在缺项、漏项的；</w:t>
      </w:r>
    </w:p>
    <w:p w14:paraId="1EDA8E9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（2）工程量清单偏差超出专用合同条款约定的工程量偏差范围的；</w:t>
      </w:r>
    </w:p>
    <w:p w14:paraId="2860F21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（3）未按照国家现行计量规范强制性规定计量的。</w:t>
      </w:r>
    </w:p>
    <w:p w14:paraId="48D005CA">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275" w:name="_Toc351203509"/>
      <w:r>
        <w:rPr>
          <w:rFonts w:hint="eastAsia" w:ascii="宋体" w:hAnsi="宋体" w:eastAsia="宋体" w:cs="宋体"/>
          <w:b w:val="0"/>
          <w:color w:val="000000"/>
          <w:sz w:val="21"/>
          <w:szCs w:val="21"/>
          <w:highlight w:val="none"/>
        </w:rPr>
        <w:t>2</w:t>
      </w:r>
      <w:bookmarkStart w:id="276" w:name="_Toc337558739"/>
      <w:bookmarkStart w:id="277" w:name="_Toc296503038"/>
      <w:bookmarkStart w:id="278" w:name="_Toc296346539"/>
      <w:bookmarkStart w:id="279" w:name="OLE_LINK2"/>
      <w:r>
        <w:rPr>
          <w:rFonts w:hint="eastAsia" w:ascii="宋体" w:hAnsi="宋体" w:eastAsia="宋体" w:cs="宋体"/>
          <w:b w:val="0"/>
          <w:color w:val="000000"/>
          <w:sz w:val="21"/>
          <w:szCs w:val="21"/>
          <w:highlight w:val="none"/>
        </w:rPr>
        <w:t>. 发包人</w:t>
      </w:r>
      <w:bookmarkEnd w:id="275"/>
    </w:p>
    <w:bookmarkEnd w:id="276"/>
    <w:bookmarkEnd w:id="277"/>
    <w:bookmarkEnd w:id="278"/>
    <w:p w14:paraId="149E450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80" w:name="_Toc351203510"/>
      <w:r>
        <w:rPr>
          <w:rFonts w:hint="eastAsia" w:ascii="宋体" w:hAnsi="宋体" w:eastAsia="宋体" w:cs="宋体"/>
          <w:b w:val="0"/>
          <w:color w:val="000000"/>
          <w:sz w:val="21"/>
          <w:szCs w:val="21"/>
          <w:highlight w:val="none"/>
        </w:rPr>
        <w:t>2</w:t>
      </w:r>
      <w:bookmarkStart w:id="281" w:name="_Toc296346540"/>
      <w:bookmarkStart w:id="282" w:name="_Toc296503039"/>
      <w:bookmarkStart w:id="283" w:name="_Toc337558740"/>
      <w:r>
        <w:rPr>
          <w:rFonts w:hint="eastAsia" w:ascii="宋体" w:hAnsi="宋体" w:eastAsia="宋体" w:cs="宋体"/>
          <w:b w:val="0"/>
          <w:color w:val="000000"/>
          <w:sz w:val="21"/>
          <w:szCs w:val="21"/>
          <w:highlight w:val="none"/>
        </w:rPr>
        <w:t>.1 许可或批准</w:t>
      </w:r>
      <w:bookmarkEnd w:id="280"/>
    </w:p>
    <w:p w14:paraId="76C5FBE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CC1419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因发包人原因未能及时办理完毕前述许可、批准或备案，由发包人承担由此增加的费用和（或）延误的工期，并支付承包人合理的利润。</w:t>
      </w:r>
    </w:p>
    <w:p w14:paraId="11D0162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84" w:name="_Toc351203511"/>
      <w:r>
        <w:rPr>
          <w:rFonts w:hint="eastAsia" w:ascii="宋体" w:hAnsi="宋体" w:eastAsia="宋体" w:cs="宋体"/>
          <w:b w:val="0"/>
          <w:color w:val="000000"/>
          <w:sz w:val="21"/>
          <w:szCs w:val="21"/>
          <w:highlight w:val="none"/>
        </w:rPr>
        <w:t>2.2 发包人代表</w:t>
      </w:r>
      <w:bookmarkEnd w:id="284"/>
    </w:p>
    <w:p w14:paraId="6F74E99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25A124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发包人代表不能按照合同约定履行其职责及义务，并导致合同无法继续正常履行的，承包人可以要求发包人撤换发包人代表。</w:t>
      </w:r>
    </w:p>
    <w:p w14:paraId="55B3312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不属于法定必须监理的工程，监理人的职权可以由发包人代表或发包人指定的其他人员行使。</w:t>
      </w:r>
    </w:p>
    <w:p w14:paraId="465AB34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85" w:name="_Toc351203512"/>
      <w:r>
        <w:rPr>
          <w:rFonts w:hint="eastAsia" w:ascii="宋体" w:hAnsi="宋体" w:eastAsia="宋体" w:cs="宋体"/>
          <w:b w:val="0"/>
          <w:color w:val="000000"/>
          <w:sz w:val="21"/>
          <w:szCs w:val="21"/>
          <w:highlight w:val="none"/>
        </w:rPr>
        <w:t>2.3 发包人人员</w:t>
      </w:r>
      <w:bookmarkEnd w:id="285"/>
    </w:p>
    <w:p w14:paraId="6FE0CF0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23C7BA2E">
      <w:pPr>
        <w:pageBreakBefore w:val="0"/>
        <w:widowControl w:val="0"/>
        <w:kinsoku/>
        <w:wordWrap/>
        <w:overflowPunct/>
        <w:topLinePunct w:val="0"/>
        <w:bidi w:val="0"/>
        <w:snapToGrid w:val="0"/>
        <w:spacing w:line="360" w:lineRule="auto"/>
        <w:ind w:firstLine="64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发包人人员包括发包人代表及其他由发包人派驻施工现场的人员。</w:t>
      </w:r>
      <w:bookmarkEnd w:id="281"/>
      <w:bookmarkEnd w:id="282"/>
      <w:bookmarkEnd w:id="283"/>
    </w:p>
    <w:p w14:paraId="1C05A3FE">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86" w:name="_Toc351203513"/>
      <w:r>
        <w:rPr>
          <w:rFonts w:hint="eastAsia" w:ascii="宋体" w:hAnsi="宋体" w:eastAsia="宋体" w:cs="宋体"/>
          <w:b w:val="0"/>
          <w:color w:val="000000"/>
          <w:sz w:val="21"/>
          <w:szCs w:val="21"/>
          <w:highlight w:val="none"/>
        </w:rPr>
        <w:t>2</w:t>
      </w:r>
      <w:bookmarkStart w:id="287" w:name="_Toc296346541"/>
      <w:bookmarkStart w:id="288" w:name="_Toc337558741"/>
      <w:bookmarkStart w:id="289" w:name="_Toc296503040"/>
      <w:r>
        <w:rPr>
          <w:rFonts w:hint="eastAsia" w:ascii="宋体" w:hAnsi="宋体" w:eastAsia="宋体" w:cs="宋体"/>
          <w:b w:val="0"/>
          <w:color w:val="000000"/>
          <w:sz w:val="21"/>
          <w:szCs w:val="21"/>
          <w:highlight w:val="none"/>
        </w:rPr>
        <w:t>.4 施工现场、施工条件和基础资料的提供</w:t>
      </w:r>
      <w:bookmarkEnd w:id="286"/>
      <w:r>
        <w:rPr>
          <w:rFonts w:hint="eastAsia" w:ascii="宋体" w:hAnsi="宋体" w:eastAsia="宋体" w:cs="宋体"/>
          <w:b w:val="0"/>
          <w:color w:val="000000"/>
          <w:sz w:val="21"/>
          <w:szCs w:val="21"/>
          <w:highlight w:val="none"/>
        </w:rPr>
        <w:t xml:space="preserve"> </w:t>
      </w:r>
      <w:bookmarkEnd w:id="287"/>
      <w:bookmarkEnd w:id="288"/>
      <w:bookmarkEnd w:id="289"/>
      <w:r>
        <w:rPr>
          <w:rFonts w:hint="eastAsia" w:ascii="宋体" w:hAnsi="宋体" w:eastAsia="宋体" w:cs="宋体"/>
          <w:b w:val="0"/>
          <w:color w:val="000000"/>
          <w:sz w:val="21"/>
          <w:szCs w:val="21"/>
          <w:highlight w:val="none"/>
        </w:rPr>
        <w:t xml:space="preserve"> </w:t>
      </w:r>
    </w:p>
    <w:p w14:paraId="279EF56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2.4.1 提供施工现场</w:t>
      </w:r>
    </w:p>
    <w:p w14:paraId="0D579E6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w:t>
      </w:r>
      <w:bookmarkEnd w:id="279"/>
      <w:r>
        <w:rPr>
          <w:rFonts w:hint="eastAsia" w:ascii="宋体" w:hAnsi="宋体" w:eastAsia="宋体" w:cs="宋体"/>
          <w:color w:val="000000"/>
          <w:kern w:val="0"/>
          <w:sz w:val="21"/>
          <w:szCs w:val="21"/>
          <w:highlight w:val="none"/>
        </w:rPr>
        <w:t>专用合同条款另有约定外，发包人应最迟于开工日期7天前向承包人移交施工现场。</w:t>
      </w:r>
    </w:p>
    <w:p w14:paraId="6B0EB9C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2.4.2 提供施工条件</w:t>
      </w:r>
    </w:p>
    <w:p w14:paraId="32991A6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除专用合同条款另有约定外，发包人应负责提供施工所需要的条件，包括：</w:t>
      </w:r>
    </w:p>
    <w:p w14:paraId="329EA0B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（1）将施工用水、电力、通讯线路等施工所必需的条件接至施工现场内；</w:t>
      </w:r>
    </w:p>
    <w:p w14:paraId="7A05D58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（2）保证向承包人提供正常施工所需要的进入施工现场的交通条件；</w:t>
      </w:r>
    </w:p>
    <w:p w14:paraId="54BF869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（3）协调处理施工现场周围地下管线和邻近建筑物、构筑物、古树名木的保护工作，并承担相关费用；</w:t>
      </w:r>
    </w:p>
    <w:p w14:paraId="18D84E7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（4）按照专用合同条款约定应提供的其他设施和条件。</w:t>
      </w:r>
    </w:p>
    <w:p w14:paraId="0D850F0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2.4.3 提供基础资料</w:t>
      </w:r>
    </w:p>
    <w:p w14:paraId="45A0164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64D27E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按照法律规定确需在开工后方能提供的基础资料，发包人应尽其努力及时地在相应工程施工前的合理期限内提供，合理期限应以不影响承包人的正常施工为限。</w:t>
      </w:r>
    </w:p>
    <w:p w14:paraId="04428BA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2.4.4 逾期提供的责任</w:t>
      </w:r>
    </w:p>
    <w:p w14:paraId="2B8BE0C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因发包人原因未能按合同约定及时向承包人提供施工现场、施工条件、基础资料的，由发包人承担由此增加的费用和（或）延误的工期。</w:t>
      </w:r>
    </w:p>
    <w:p w14:paraId="3CE2D8E6">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90" w:name="_Toc351203514"/>
      <w:r>
        <w:rPr>
          <w:rFonts w:hint="eastAsia" w:ascii="宋体" w:hAnsi="宋体" w:eastAsia="宋体" w:cs="宋体"/>
          <w:b w:val="0"/>
          <w:color w:val="000000"/>
          <w:sz w:val="21"/>
          <w:szCs w:val="21"/>
          <w:highlight w:val="none"/>
        </w:rPr>
        <w:t>2</w:t>
      </w:r>
      <w:bookmarkStart w:id="291" w:name="_Toc337558745"/>
      <w:bookmarkStart w:id="292" w:name="_Toc296346543"/>
      <w:bookmarkStart w:id="293" w:name="_Toc296503042"/>
      <w:r>
        <w:rPr>
          <w:rFonts w:hint="eastAsia" w:ascii="宋体" w:hAnsi="宋体" w:eastAsia="宋体" w:cs="宋体"/>
          <w:b w:val="0"/>
          <w:color w:val="000000"/>
          <w:sz w:val="21"/>
          <w:szCs w:val="21"/>
          <w:highlight w:val="none"/>
        </w:rPr>
        <w:t>.5 资</w:t>
      </w:r>
      <w:bookmarkEnd w:id="291"/>
      <w:bookmarkEnd w:id="292"/>
      <w:bookmarkEnd w:id="293"/>
      <w:r>
        <w:rPr>
          <w:rFonts w:hint="eastAsia" w:ascii="宋体" w:hAnsi="宋体" w:eastAsia="宋体" w:cs="宋体"/>
          <w:b w:val="0"/>
          <w:color w:val="000000"/>
          <w:sz w:val="21"/>
          <w:szCs w:val="21"/>
          <w:highlight w:val="none"/>
        </w:rPr>
        <w:t>金来源证明及支付担保</w:t>
      </w:r>
      <w:bookmarkEnd w:id="290"/>
    </w:p>
    <w:p w14:paraId="1B09DBE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除专用合同条款另有约定外，发包人应在收到承包人要求提供资金来源证明的书面通知后28天内，向承包人提供能够按照合同约定支付合同价款的相应资金来源证明。</w:t>
      </w:r>
    </w:p>
    <w:p w14:paraId="7B62195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8AE6B83">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94" w:name="_Toc351203515"/>
      <w:r>
        <w:rPr>
          <w:rFonts w:hint="eastAsia" w:ascii="宋体" w:hAnsi="宋体" w:eastAsia="宋体" w:cs="宋体"/>
          <w:b w:val="0"/>
          <w:color w:val="000000"/>
          <w:sz w:val="21"/>
          <w:szCs w:val="21"/>
          <w:highlight w:val="none"/>
        </w:rPr>
        <w:t>2.6 支付合同价款</w:t>
      </w:r>
      <w:bookmarkEnd w:id="294"/>
    </w:p>
    <w:p w14:paraId="2BE345F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发包人应按合同约定向承包人及时支付合同价款。</w:t>
      </w:r>
    </w:p>
    <w:p w14:paraId="2CD598C9">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95" w:name="_Toc351203516"/>
      <w:r>
        <w:rPr>
          <w:rFonts w:hint="eastAsia" w:ascii="宋体" w:hAnsi="宋体" w:eastAsia="宋体" w:cs="宋体"/>
          <w:b w:val="0"/>
          <w:color w:val="000000"/>
          <w:sz w:val="21"/>
          <w:szCs w:val="21"/>
          <w:highlight w:val="none"/>
        </w:rPr>
        <w:t>2.7 组织竣工验收</w:t>
      </w:r>
      <w:bookmarkEnd w:id="295"/>
    </w:p>
    <w:p w14:paraId="686810E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发包人应按合同约定及时组织竣工验收。</w:t>
      </w:r>
    </w:p>
    <w:p w14:paraId="27E9315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296" w:name="_Toc351203517"/>
      <w:r>
        <w:rPr>
          <w:rFonts w:hint="eastAsia" w:ascii="宋体" w:hAnsi="宋体" w:eastAsia="宋体" w:cs="宋体"/>
          <w:b w:val="0"/>
          <w:color w:val="000000"/>
          <w:sz w:val="21"/>
          <w:szCs w:val="21"/>
          <w:highlight w:val="none"/>
        </w:rPr>
        <w:t>2.8 现场统一管理协议</w:t>
      </w:r>
      <w:bookmarkEnd w:id="296"/>
    </w:p>
    <w:p w14:paraId="4DF53F0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发包人应与承包人、由发包人直接发包的专业工程的承包人签订施工现场统一管理协议，明确各方的权利义务。施工现场统一管理协议作为专用合同条款的附件。</w:t>
      </w:r>
    </w:p>
    <w:p w14:paraId="2C22C804">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297" w:name="_Toc351203518"/>
      <w:r>
        <w:rPr>
          <w:rFonts w:hint="eastAsia" w:ascii="宋体" w:hAnsi="宋体" w:eastAsia="宋体" w:cs="宋体"/>
          <w:b w:val="0"/>
          <w:color w:val="000000"/>
          <w:sz w:val="21"/>
          <w:szCs w:val="21"/>
          <w:highlight w:val="none"/>
        </w:rPr>
        <w:t>3</w:t>
      </w:r>
      <w:bookmarkStart w:id="298" w:name="_Toc296346546"/>
      <w:bookmarkStart w:id="299" w:name="_Toc337558746"/>
      <w:bookmarkStart w:id="300" w:name="_Toc296503045"/>
      <w:r>
        <w:rPr>
          <w:rFonts w:hint="eastAsia" w:ascii="宋体" w:hAnsi="宋体" w:eastAsia="宋体" w:cs="宋体"/>
          <w:b w:val="0"/>
          <w:color w:val="000000"/>
          <w:sz w:val="21"/>
          <w:szCs w:val="21"/>
          <w:highlight w:val="none"/>
        </w:rPr>
        <w:t>. 承包人</w:t>
      </w:r>
      <w:bookmarkEnd w:id="297"/>
    </w:p>
    <w:bookmarkEnd w:id="298"/>
    <w:bookmarkEnd w:id="299"/>
    <w:bookmarkEnd w:id="300"/>
    <w:p w14:paraId="63079FF1">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01" w:name="_Toc351203519"/>
      <w:r>
        <w:rPr>
          <w:rFonts w:hint="eastAsia" w:ascii="宋体" w:hAnsi="宋体" w:eastAsia="宋体" w:cs="宋体"/>
          <w:b w:val="0"/>
          <w:color w:val="000000"/>
          <w:sz w:val="21"/>
          <w:szCs w:val="21"/>
          <w:highlight w:val="none"/>
        </w:rPr>
        <w:t>3</w:t>
      </w:r>
      <w:bookmarkStart w:id="302" w:name="_Toc337558747"/>
      <w:bookmarkStart w:id="303" w:name="_Toc296346547"/>
      <w:bookmarkStart w:id="304" w:name="_Toc296503046"/>
      <w:r>
        <w:rPr>
          <w:rFonts w:hint="eastAsia" w:ascii="宋体" w:hAnsi="宋体" w:eastAsia="宋体" w:cs="宋体"/>
          <w:b w:val="0"/>
          <w:color w:val="000000"/>
          <w:sz w:val="21"/>
          <w:szCs w:val="21"/>
          <w:highlight w:val="none"/>
        </w:rPr>
        <w:t>.1 承包人的一般义务</w:t>
      </w:r>
      <w:bookmarkEnd w:id="301"/>
    </w:p>
    <w:bookmarkEnd w:id="302"/>
    <w:bookmarkEnd w:id="303"/>
    <w:bookmarkEnd w:id="304"/>
    <w:p w14:paraId="105D427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承包人在履行合同过程中应遵守法律和工程建设标准规范，并履行以下义务：</w:t>
      </w:r>
    </w:p>
    <w:p w14:paraId="730AAC03">
      <w:pPr>
        <w:pageBreakBefore w:val="0"/>
        <w:widowControl w:val="0"/>
        <w:numPr>
          <w:ilvl w:val="0"/>
          <w:numId w:val="5"/>
        </w:numPr>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办理法律规定应由承包人办理的许可和批准，并将办理结果书面报送发包人留存；</w:t>
      </w:r>
    </w:p>
    <w:p w14:paraId="45CD64B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（2）按法律规定和合同约定完成工程，并在保修期内承担保修义务；</w:t>
      </w:r>
    </w:p>
    <w:p w14:paraId="0271F1E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（3）按法律规定和合同约定采取施工安全和环境保护措施，办理工伤保险，确保工程及人员、材料、设备和设施的安全；</w:t>
      </w:r>
    </w:p>
    <w:p w14:paraId="729C42C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（4）按合同约定的工作内容和施工进度要求，编制施工组织设计和施工措施计划，并对所有施工作业和施工方法的完备性和安全可靠性负责；</w:t>
      </w:r>
    </w:p>
    <w:p w14:paraId="6867E5D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3A187E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（6）按照第6.3款〔环境保护〕约定负责施工场地及其周边环境与生态的保护工作；</w:t>
      </w:r>
    </w:p>
    <w:p w14:paraId="653EF9E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（7）按第6.1款〔安全文明施工〕约定采取施工安全措施，确保工程及其人员、材料、设备和设施的安全，防止因工程施工造成的人身伤害和财产损失；</w:t>
      </w:r>
    </w:p>
    <w:p w14:paraId="47D9DEF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（8）将发包人按合同约定支付的各项价款专用于合同工程，且应及时支付其雇用人员工资，并及时向分包人支付合同价款；</w:t>
      </w:r>
    </w:p>
    <w:p w14:paraId="2433E7E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（9）按照法律规定和合同约定编制竣工资料，完成竣工资料立卷及归档，并按专用合同条款约定的竣工资料的套数、内容、时间等要求移交发包人；</w:t>
      </w:r>
    </w:p>
    <w:p w14:paraId="50033D0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（10）应履行的其他义务。</w:t>
      </w:r>
    </w:p>
    <w:p w14:paraId="0288EC90">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05" w:name="_Toc351203520"/>
      <w:r>
        <w:rPr>
          <w:rFonts w:hint="eastAsia" w:ascii="宋体" w:hAnsi="宋体" w:eastAsia="宋体" w:cs="宋体"/>
          <w:b w:val="0"/>
          <w:color w:val="000000"/>
          <w:sz w:val="21"/>
          <w:szCs w:val="21"/>
          <w:highlight w:val="none"/>
        </w:rPr>
        <w:t>3</w:t>
      </w:r>
      <w:bookmarkStart w:id="306" w:name="_Toc296503047"/>
      <w:bookmarkStart w:id="307" w:name="_Toc296346548"/>
      <w:bookmarkStart w:id="308" w:name="_Toc337558748"/>
      <w:r>
        <w:rPr>
          <w:rFonts w:hint="eastAsia" w:ascii="宋体" w:hAnsi="宋体" w:eastAsia="宋体" w:cs="宋体"/>
          <w:b w:val="0"/>
          <w:color w:val="000000"/>
          <w:sz w:val="21"/>
          <w:szCs w:val="21"/>
          <w:highlight w:val="none"/>
        </w:rPr>
        <w:t xml:space="preserve">.2 </w:t>
      </w:r>
      <w:bookmarkEnd w:id="305"/>
      <w:r>
        <w:rPr>
          <w:rFonts w:hint="eastAsia" w:ascii="宋体" w:hAnsi="宋体" w:eastAsia="宋体" w:cs="宋体"/>
          <w:b w:val="0"/>
          <w:color w:val="000000"/>
          <w:sz w:val="21"/>
          <w:szCs w:val="21"/>
          <w:highlight w:val="none"/>
        </w:rPr>
        <w:t>项目经理</w:t>
      </w:r>
    </w:p>
    <w:bookmarkEnd w:id="306"/>
    <w:bookmarkEnd w:id="307"/>
    <w:bookmarkEnd w:id="308"/>
    <w:p w14:paraId="1621A7B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C97D6D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4C7F60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承包人违反上述约定的，应按照专用合同条款的约定，承担违约责任。</w:t>
      </w:r>
    </w:p>
    <w:p w14:paraId="3007D58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1B5202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F2DAF8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8C94C0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5DF5CE1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09" w:name="_Toc351203521"/>
      <w:r>
        <w:rPr>
          <w:rFonts w:hint="eastAsia" w:ascii="宋体" w:hAnsi="宋体" w:eastAsia="宋体" w:cs="宋体"/>
          <w:b w:val="0"/>
          <w:color w:val="000000"/>
          <w:sz w:val="21"/>
          <w:szCs w:val="21"/>
          <w:highlight w:val="none"/>
        </w:rPr>
        <w:t>3</w:t>
      </w:r>
      <w:bookmarkStart w:id="310" w:name="_Toc296503048"/>
      <w:bookmarkStart w:id="311" w:name="_Toc296346549"/>
      <w:bookmarkStart w:id="312" w:name="_Toc337558749"/>
      <w:r>
        <w:rPr>
          <w:rFonts w:hint="eastAsia" w:ascii="宋体" w:hAnsi="宋体" w:eastAsia="宋体" w:cs="宋体"/>
          <w:b w:val="0"/>
          <w:color w:val="000000"/>
          <w:sz w:val="21"/>
          <w:szCs w:val="21"/>
          <w:highlight w:val="none"/>
        </w:rPr>
        <w:t xml:space="preserve">.3 </w:t>
      </w:r>
      <w:bookmarkEnd w:id="310"/>
      <w:bookmarkEnd w:id="311"/>
      <w:r>
        <w:rPr>
          <w:rFonts w:hint="eastAsia" w:ascii="宋体" w:hAnsi="宋体" w:eastAsia="宋体" w:cs="宋体"/>
          <w:b w:val="0"/>
          <w:color w:val="000000"/>
          <w:sz w:val="21"/>
          <w:szCs w:val="21"/>
          <w:highlight w:val="none"/>
        </w:rPr>
        <w:t>承包人人员</w:t>
      </w:r>
      <w:bookmarkEnd w:id="309"/>
    </w:p>
    <w:bookmarkEnd w:id="312"/>
    <w:p w14:paraId="54367FF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0B4CA0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DFD73A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特殊工种作业人员均应持有相应的资格证明，监理人可以随时检查。</w:t>
      </w:r>
    </w:p>
    <w:p w14:paraId="53F44EC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F544CE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7B8DF7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3.3.5 承包人擅自更换主要施工管理人员，或前述人员未经监理人或发包人同意擅自离开施工现场的，应按照专用合同条款约定承担违约责任。</w:t>
      </w:r>
    </w:p>
    <w:p w14:paraId="3F9F73F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13" w:name="_Toc351203522"/>
      <w:r>
        <w:rPr>
          <w:rFonts w:hint="eastAsia" w:ascii="宋体" w:hAnsi="宋体" w:eastAsia="宋体" w:cs="宋体"/>
          <w:b w:val="0"/>
          <w:color w:val="000000"/>
          <w:sz w:val="21"/>
          <w:szCs w:val="21"/>
          <w:highlight w:val="none"/>
        </w:rPr>
        <w:t>3</w:t>
      </w:r>
      <w:bookmarkStart w:id="314" w:name="_Toc337558750"/>
      <w:bookmarkStart w:id="315" w:name="_Toc296346551"/>
      <w:bookmarkStart w:id="316" w:name="_Toc296503050"/>
      <w:r>
        <w:rPr>
          <w:rFonts w:hint="eastAsia" w:ascii="宋体" w:hAnsi="宋体" w:eastAsia="宋体" w:cs="宋体"/>
          <w:b w:val="0"/>
          <w:color w:val="000000"/>
          <w:sz w:val="21"/>
          <w:szCs w:val="21"/>
          <w:highlight w:val="none"/>
        </w:rPr>
        <w:t>.4 承包人现场查勘</w:t>
      </w:r>
      <w:bookmarkEnd w:id="313"/>
    </w:p>
    <w:bookmarkEnd w:id="314"/>
    <w:bookmarkEnd w:id="315"/>
    <w:bookmarkEnd w:id="316"/>
    <w:p w14:paraId="03E44C8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14:paraId="64A876D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0D4FC7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17" w:name="_Toc351203523"/>
      <w:r>
        <w:rPr>
          <w:rFonts w:hint="eastAsia" w:ascii="宋体" w:hAnsi="宋体" w:eastAsia="宋体" w:cs="宋体"/>
          <w:b w:val="0"/>
          <w:color w:val="000000"/>
          <w:sz w:val="21"/>
          <w:szCs w:val="21"/>
          <w:highlight w:val="none"/>
        </w:rPr>
        <w:t>3</w:t>
      </w:r>
      <w:bookmarkStart w:id="318" w:name="_Toc337558751"/>
      <w:bookmarkStart w:id="319" w:name="_Toc296346552"/>
      <w:bookmarkStart w:id="320" w:name="_Toc296503051"/>
      <w:r>
        <w:rPr>
          <w:rFonts w:hint="eastAsia" w:ascii="宋体" w:hAnsi="宋体" w:eastAsia="宋体" w:cs="宋体"/>
          <w:b w:val="0"/>
          <w:color w:val="000000"/>
          <w:sz w:val="21"/>
          <w:szCs w:val="21"/>
          <w:highlight w:val="none"/>
        </w:rPr>
        <w:t>.5 分包</w:t>
      </w:r>
      <w:bookmarkEnd w:id="317"/>
    </w:p>
    <w:bookmarkEnd w:id="318"/>
    <w:bookmarkEnd w:id="319"/>
    <w:bookmarkEnd w:id="320"/>
    <w:p w14:paraId="6DA4327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3.5.1 分包的一般约定</w:t>
      </w:r>
    </w:p>
    <w:p w14:paraId="46987A6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95A251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承包人不得以劳务分包的名义转包或违法分包工程。</w:t>
      </w:r>
    </w:p>
    <w:p w14:paraId="5177712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3.5.2 分包的确定</w:t>
      </w:r>
    </w:p>
    <w:p w14:paraId="212574A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ECA790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3.5.3 分包管理</w:t>
      </w:r>
    </w:p>
    <w:p w14:paraId="1933BF3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承包人应向监理人提交分包人的主要施工管理人员表，并对分包人的施工人员进行实名制管理，包括但不限于进出场管理、登记造册以及各种证照的办理。</w:t>
      </w:r>
    </w:p>
    <w:p w14:paraId="2BF90D0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3.5.4 分包合同价款</w:t>
      </w:r>
    </w:p>
    <w:p w14:paraId="7C4EDEE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（1）除本项第（2）目约定的情况或专用合同条款另有约定外，分包合同价款由承包人与分包人结算，未经承包人同意，发包人不得向分包人支付分包工程价款；</w:t>
      </w:r>
    </w:p>
    <w:p w14:paraId="476C49D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（2）生效法律文书要求发包人向分包人支付分包合同价款的，发包人有权从应付承包人工程款中扣除该部分款项。</w:t>
      </w:r>
    </w:p>
    <w:p w14:paraId="391C5B0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3.5.5 分包合同权益的转让</w:t>
      </w:r>
    </w:p>
    <w:p w14:paraId="42E3399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21" w:name="_Toc351203524"/>
    </w:p>
    <w:p w14:paraId="49FD548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3.6 工程照管与成品、半成品保护</w:t>
      </w:r>
      <w:bookmarkEnd w:id="321"/>
    </w:p>
    <w:p w14:paraId="14936A5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（1）除专用合同条款另有约定外，自发包人向承包人移交施工现场之日起，承包人应负责照管工程及工程相关的材料、工程设备，直到颁发工程接收证书之日止。</w:t>
      </w:r>
    </w:p>
    <w:p w14:paraId="38C97FC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（2）在承包人负责照管期间，因承包人原因造成工程、材料、工程设备损坏的，由承包人负责修复或更换，并承担由此增加的费用和（或）延误的工期。</w:t>
      </w:r>
    </w:p>
    <w:p w14:paraId="2DBE88A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D324F5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22" w:name="_Toc351203525"/>
      <w:r>
        <w:rPr>
          <w:rFonts w:hint="eastAsia" w:ascii="宋体" w:hAnsi="宋体" w:eastAsia="宋体" w:cs="宋体"/>
          <w:b w:val="0"/>
          <w:color w:val="000000"/>
          <w:sz w:val="21"/>
          <w:szCs w:val="21"/>
          <w:highlight w:val="none"/>
        </w:rPr>
        <w:t>3</w:t>
      </w:r>
      <w:bookmarkStart w:id="323" w:name="_Toc296346553"/>
      <w:bookmarkStart w:id="324" w:name="_Toc296503052"/>
      <w:bookmarkStart w:id="325" w:name="_Toc337558752"/>
      <w:r>
        <w:rPr>
          <w:rFonts w:hint="eastAsia" w:ascii="宋体" w:hAnsi="宋体" w:eastAsia="宋体" w:cs="宋体"/>
          <w:b w:val="0"/>
          <w:color w:val="000000"/>
          <w:sz w:val="21"/>
          <w:szCs w:val="21"/>
          <w:highlight w:val="none"/>
        </w:rPr>
        <w:t>.7 履约担保</w:t>
      </w:r>
      <w:bookmarkEnd w:id="322"/>
    </w:p>
    <w:bookmarkEnd w:id="323"/>
    <w:bookmarkEnd w:id="324"/>
    <w:bookmarkEnd w:id="325"/>
    <w:p w14:paraId="5D5189B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0652E3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因承包人原因导致工期延长的，继续提供履约担保所增加的费用由承包人承担；非因承包人原因导致工期延长的，继续提供履约担保所增加的费用由发包人承担。</w:t>
      </w:r>
    </w:p>
    <w:p w14:paraId="13B878E0">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26" w:name="_Toc351203526"/>
      <w:r>
        <w:rPr>
          <w:rFonts w:hint="eastAsia" w:ascii="宋体" w:hAnsi="宋体" w:eastAsia="宋体" w:cs="宋体"/>
          <w:b w:val="0"/>
          <w:color w:val="000000"/>
          <w:sz w:val="21"/>
          <w:szCs w:val="21"/>
          <w:highlight w:val="none"/>
        </w:rPr>
        <w:t>3.8 联合体</w:t>
      </w:r>
      <w:bookmarkEnd w:id="326"/>
    </w:p>
    <w:p w14:paraId="76EF4A3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3.8.1 联合体各方应共同与发包人签订合同协议书。联合体各方应为履行合同向发包人承担连带责任。</w:t>
      </w:r>
    </w:p>
    <w:p w14:paraId="2413DE4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3.8.2 联合体协议经发包人确认后作为合同附件。在履行合同过程中，未经发包人同意，不得修改联合体协议。</w:t>
      </w:r>
    </w:p>
    <w:p w14:paraId="304CA93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3.8.3 联合体牵头人负责与发包人和监理人联系，并接受指示，负责组织联合体各成员全面履行合同。</w:t>
      </w:r>
    </w:p>
    <w:p w14:paraId="49181450">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327" w:name="_Toc351203527"/>
      <w:r>
        <w:rPr>
          <w:rFonts w:hint="eastAsia" w:ascii="宋体" w:hAnsi="宋体" w:eastAsia="宋体" w:cs="宋体"/>
          <w:b w:val="0"/>
          <w:color w:val="000000"/>
          <w:sz w:val="21"/>
          <w:szCs w:val="21"/>
          <w:highlight w:val="none"/>
        </w:rPr>
        <w:t>4</w:t>
      </w:r>
      <w:bookmarkStart w:id="328" w:name="_Toc296503053"/>
      <w:bookmarkStart w:id="329" w:name="_Toc296346554"/>
      <w:bookmarkStart w:id="330" w:name="_Toc337558753"/>
      <w:r>
        <w:rPr>
          <w:rFonts w:hint="eastAsia" w:ascii="宋体" w:hAnsi="宋体" w:eastAsia="宋体" w:cs="宋体"/>
          <w:b w:val="0"/>
          <w:color w:val="000000"/>
          <w:sz w:val="21"/>
          <w:szCs w:val="21"/>
          <w:highlight w:val="none"/>
        </w:rPr>
        <w:t>. 监</w:t>
      </w:r>
      <w:bookmarkEnd w:id="328"/>
      <w:bookmarkEnd w:id="329"/>
      <w:r>
        <w:rPr>
          <w:rFonts w:hint="eastAsia" w:ascii="宋体" w:hAnsi="宋体" w:eastAsia="宋体" w:cs="宋体"/>
          <w:b w:val="0"/>
          <w:color w:val="000000"/>
          <w:sz w:val="21"/>
          <w:szCs w:val="21"/>
          <w:highlight w:val="none"/>
        </w:rPr>
        <w:t>理人</w:t>
      </w:r>
      <w:bookmarkEnd w:id="327"/>
    </w:p>
    <w:bookmarkEnd w:id="330"/>
    <w:p w14:paraId="0344BA9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31" w:name="_Toc351203528"/>
      <w:r>
        <w:rPr>
          <w:rFonts w:hint="eastAsia" w:ascii="宋体" w:hAnsi="宋体" w:eastAsia="宋体" w:cs="宋体"/>
          <w:b w:val="0"/>
          <w:color w:val="000000"/>
          <w:sz w:val="21"/>
          <w:szCs w:val="21"/>
          <w:highlight w:val="none"/>
        </w:rPr>
        <w:t>4</w:t>
      </w:r>
      <w:bookmarkStart w:id="332" w:name="_Toc296503054"/>
      <w:bookmarkStart w:id="333" w:name="_Toc296346555"/>
      <w:bookmarkStart w:id="334" w:name="_Toc337558754"/>
      <w:r>
        <w:rPr>
          <w:rFonts w:hint="eastAsia" w:ascii="宋体" w:hAnsi="宋体" w:eastAsia="宋体" w:cs="宋体"/>
          <w:b w:val="0"/>
          <w:color w:val="000000"/>
          <w:sz w:val="21"/>
          <w:szCs w:val="21"/>
          <w:highlight w:val="none"/>
        </w:rPr>
        <w:t>.1监理人的一般规定</w:t>
      </w:r>
      <w:bookmarkEnd w:id="331"/>
    </w:p>
    <w:bookmarkEnd w:id="332"/>
    <w:bookmarkEnd w:id="333"/>
    <w:bookmarkEnd w:id="334"/>
    <w:p w14:paraId="3A4F051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FFE49F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除专用合同条款另有约定外，监理人在施工现场的办公场所、生活场所由承包人提供，所发生的费用由发包人承担。</w:t>
      </w:r>
    </w:p>
    <w:p w14:paraId="7CC7C0E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35" w:name="_Toc351203529"/>
      <w:r>
        <w:rPr>
          <w:rFonts w:hint="eastAsia" w:ascii="宋体" w:hAnsi="宋体" w:eastAsia="宋体" w:cs="宋体"/>
          <w:b w:val="0"/>
          <w:color w:val="000000"/>
          <w:sz w:val="21"/>
          <w:szCs w:val="21"/>
          <w:highlight w:val="none"/>
        </w:rPr>
        <w:t>4</w:t>
      </w:r>
      <w:bookmarkStart w:id="336" w:name="_Toc337558755"/>
      <w:r>
        <w:rPr>
          <w:rFonts w:hint="eastAsia" w:ascii="宋体" w:hAnsi="宋体" w:eastAsia="宋体" w:cs="宋体"/>
          <w:b w:val="0"/>
          <w:color w:val="000000"/>
          <w:sz w:val="21"/>
          <w:szCs w:val="21"/>
          <w:highlight w:val="none"/>
        </w:rPr>
        <w:t>.2监理人员</w:t>
      </w:r>
      <w:bookmarkEnd w:id="335"/>
    </w:p>
    <w:bookmarkEnd w:id="336"/>
    <w:p w14:paraId="49A7867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7F3875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37" w:name="_Toc351203530"/>
      <w:r>
        <w:rPr>
          <w:rFonts w:hint="eastAsia" w:ascii="宋体" w:hAnsi="宋体" w:eastAsia="宋体" w:cs="宋体"/>
          <w:b w:val="0"/>
          <w:color w:val="000000"/>
          <w:sz w:val="21"/>
          <w:szCs w:val="21"/>
          <w:highlight w:val="none"/>
        </w:rPr>
        <w:t>4</w:t>
      </w:r>
      <w:bookmarkStart w:id="338" w:name="_Toc296503055"/>
      <w:bookmarkStart w:id="339" w:name="_Toc296346556"/>
      <w:bookmarkStart w:id="340" w:name="_Toc337558756"/>
      <w:r>
        <w:rPr>
          <w:rFonts w:hint="eastAsia" w:ascii="宋体" w:hAnsi="宋体" w:eastAsia="宋体" w:cs="宋体"/>
          <w:b w:val="0"/>
          <w:color w:val="000000"/>
          <w:sz w:val="21"/>
          <w:szCs w:val="21"/>
          <w:highlight w:val="none"/>
        </w:rPr>
        <w:t>.3</w:t>
      </w:r>
      <w:bookmarkEnd w:id="338"/>
      <w:bookmarkEnd w:id="339"/>
      <w:r>
        <w:rPr>
          <w:rFonts w:hint="eastAsia" w:ascii="宋体" w:hAnsi="宋体" w:eastAsia="宋体" w:cs="宋体"/>
          <w:b w:val="0"/>
          <w:color w:val="000000"/>
          <w:sz w:val="21"/>
          <w:szCs w:val="21"/>
          <w:highlight w:val="none"/>
        </w:rPr>
        <w:t>监理人的指</w:t>
      </w:r>
      <w:bookmarkEnd w:id="340"/>
      <w:r>
        <w:rPr>
          <w:rFonts w:hint="eastAsia" w:ascii="宋体" w:hAnsi="宋体" w:eastAsia="宋体" w:cs="宋体"/>
          <w:b w:val="0"/>
          <w:color w:val="000000"/>
          <w:sz w:val="21"/>
          <w:szCs w:val="21"/>
          <w:highlight w:val="none"/>
        </w:rPr>
        <w:t>示</w:t>
      </w:r>
      <w:bookmarkEnd w:id="337"/>
    </w:p>
    <w:p w14:paraId="02FFE77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7F6844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D47A0C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承包人对监理人发出的指示有疑问的，应向监理人提出书面异议，监理人应在48小时内对该指示予以确认、更改或撤销，监理人逾期未回复的，承包人有权拒绝执行上述指示。</w:t>
      </w:r>
    </w:p>
    <w:p w14:paraId="444EFAB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22A5A73">
      <w:pPr>
        <w:pStyle w:val="5"/>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41" w:name="_Toc351203531"/>
      <w:r>
        <w:rPr>
          <w:rFonts w:hint="eastAsia" w:ascii="宋体" w:hAnsi="宋体" w:eastAsia="宋体" w:cs="宋体"/>
          <w:b w:val="0"/>
          <w:color w:val="000000"/>
          <w:sz w:val="21"/>
          <w:szCs w:val="21"/>
          <w:highlight w:val="none"/>
        </w:rPr>
        <w:t>4</w:t>
      </w:r>
      <w:bookmarkStart w:id="342" w:name="_Toc296503057"/>
      <w:bookmarkStart w:id="343" w:name="_Toc296346558"/>
      <w:bookmarkStart w:id="344" w:name="_Toc337558757"/>
      <w:r>
        <w:rPr>
          <w:rFonts w:hint="eastAsia" w:ascii="宋体" w:hAnsi="宋体" w:eastAsia="宋体" w:cs="宋体"/>
          <w:b w:val="0"/>
          <w:color w:val="000000"/>
          <w:sz w:val="21"/>
          <w:szCs w:val="21"/>
          <w:highlight w:val="none"/>
        </w:rPr>
        <w:t>.4 商定或确定</w:t>
      </w:r>
      <w:bookmarkEnd w:id="341"/>
    </w:p>
    <w:bookmarkEnd w:id="342"/>
    <w:bookmarkEnd w:id="343"/>
    <w:bookmarkEnd w:id="344"/>
    <w:p w14:paraId="0001774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合同当事人进行商定或确定时，总监理工程师应当会同合同当事人尽量通过协商达成一致，不能达成一致的，由总监理工程师按照合同约定审慎做出公正的确定。</w:t>
      </w:r>
    </w:p>
    <w:p w14:paraId="01C764D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B768B9E">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345" w:name="_Toc351203532"/>
      <w:r>
        <w:rPr>
          <w:rFonts w:hint="eastAsia" w:ascii="宋体" w:hAnsi="宋体" w:eastAsia="宋体" w:cs="宋体"/>
          <w:b w:val="0"/>
          <w:color w:val="000000"/>
          <w:sz w:val="21"/>
          <w:szCs w:val="21"/>
          <w:highlight w:val="none"/>
        </w:rPr>
        <w:t>5</w:t>
      </w:r>
      <w:bookmarkStart w:id="346" w:name="_Toc337558758"/>
      <w:r>
        <w:rPr>
          <w:rFonts w:hint="eastAsia" w:ascii="宋体" w:hAnsi="宋体" w:eastAsia="宋体" w:cs="宋体"/>
          <w:b w:val="0"/>
          <w:color w:val="000000"/>
          <w:sz w:val="21"/>
          <w:szCs w:val="21"/>
          <w:highlight w:val="none"/>
        </w:rPr>
        <w:t>. 工程质量</w:t>
      </w:r>
      <w:bookmarkEnd w:id="345"/>
    </w:p>
    <w:bookmarkEnd w:id="346"/>
    <w:p w14:paraId="0B137CD9">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47" w:name="_Toc351203533"/>
      <w:r>
        <w:rPr>
          <w:rFonts w:hint="eastAsia" w:ascii="宋体" w:hAnsi="宋体" w:eastAsia="宋体" w:cs="宋体"/>
          <w:b w:val="0"/>
          <w:color w:val="000000"/>
          <w:sz w:val="21"/>
          <w:szCs w:val="21"/>
          <w:highlight w:val="none"/>
        </w:rPr>
        <w:t>5</w:t>
      </w:r>
      <w:bookmarkStart w:id="348" w:name="_Toc337558759"/>
      <w:r>
        <w:rPr>
          <w:rFonts w:hint="eastAsia" w:ascii="宋体" w:hAnsi="宋体" w:eastAsia="宋体" w:cs="宋体"/>
          <w:b w:val="0"/>
          <w:color w:val="000000"/>
          <w:sz w:val="21"/>
          <w:szCs w:val="21"/>
          <w:highlight w:val="none"/>
        </w:rPr>
        <w:t>.1质量要求</w:t>
      </w:r>
      <w:bookmarkEnd w:id="347"/>
    </w:p>
    <w:bookmarkEnd w:id="348"/>
    <w:p w14:paraId="38E0979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5.1.1 工程质量标准必须符合现行国家有关工程施工质量验收规范和标准的要求。有关工程质量的特殊标准或要求由合同当事人在专用合同条款中约定。</w:t>
      </w:r>
    </w:p>
    <w:p w14:paraId="69D91DD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5.1.2 因发包人原因造成工程质量未达到合同约定标准的，由发包人承担由此增加的费用和（或）延误的工期，并支付承包人合理的利润。</w:t>
      </w:r>
    </w:p>
    <w:p w14:paraId="0A4B9A2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7371714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49" w:name="_Toc351203534"/>
      <w:r>
        <w:rPr>
          <w:rFonts w:hint="eastAsia" w:ascii="宋体" w:hAnsi="宋体" w:eastAsia="宋体" w:cs="宋体"/>
          <w:b w:val="0"/>
          <w:color w:val="000000"/>
          <w:sz w:val="21"/>
          <w:szCs w:val="21"/>
          <w:highlight w:val="none"/>
        </w:rPr>
        <w:t>5</w:t>
      </w:r>
      <w:bookmarkStart w:id="350" w:name="_Toc337558760"/>
      <w:r>
        <w:rPr>
          <w:rFonts w:hint="eastAsia" w:ascii="宋体" w:hAnsi="宋体" w:eastAsia="宋体" w:cs="宋体"/>
          <w:b w:val="0"/>
          <w:color w:val="000000"/>
          <w:sz w:val="21"/>
          <w:szCs w:val="21"/>
          <w:highlight w:val="none"/>
        </w:rPr>
        <w:t>.2质量保证措施</w:t>
      </w:r>
      <w:bookmarkEnd w:id="349"/>
    </w:p>
    <w:bookmarkEnd w:id="350"/>
    <w:p w14:paraId="19AD98AC">
      <w:pPr>
        <w:pageBreakBefore w:val="0"/>
        <w:widowControl w:val="0"/>
        <w:kinsoku/>
        <w:wordWrap/>
        <w:overflowPunct/>
        <w:topLinePunct w:val="0"/>
        <w:autoSpaceDE w:val="0"/>
        <w:autoSpaceDN w:val="0"/>
        <w:bidi w:val="0"/>
        <w:adjustRightInd w:val="0"/>
        <w:snapToGrid w:val="0"/>
        <w:spacing w:line="360" w:lineRule="auto"/>
        <w:ind w:firstLine="420" w:firstLineChars="200"/>
        <w:jc w:val="left"/>
        <w:outlineLvl w:val="0"/>
        <w:rPr>
          <w:rFonts w:hint="eastAsia" w:ascii="宋体" w:hAnsi="宋体" w:eastAsia="宋体" w:cs="宋体"/>
          <w:color w:val="000000"/>
          <w:kern w:val="0"/>
          <w:sz w:val="21"/>
          <w:szCs w:val="21"/>
          <w:highlight w:val="none"/>
        </w:rPr>
      </w:pPr>
      <w:bookmarkStart w:id="351" w:name="_Toc4550"/>
      <w:bookmarkStart w:id="352" w:name="_Toc17178"/>
      <w:bookmarkStart w:id="353" w:name="_Toc10144"/>
      <w:bookmarkStart w:id="354" w:name="_Toc19131"/>
      <w:bookmarkStart w:id="355" w:name="_Toc9591"/>
      <w:r>
        <w:rPr>
          <w:rFonts w:hint="eastAsia" w:ascii="宋体" w:hAnsi="宋体" w:eastAsia="宋体" w:cs="宋体"/>
          <w:color w:val="000000"/>
          <w:kern w:val="0"/>
          <w:sz w:val="21"/>
          <w:szCs w:val="21"/>
          <w:highlight w:val="none"/>
        </w:rPr>
        <w:t>5.2.1 发包人的质量管理</w:t>
      </w:r>
      <w:bookmarkEnd w:id="351"/>
      <w:bookmarkEnd w:id="352"/>
      <w:bookmarkEnd w:id="353"/>
      <w:bookmarkEnd w:id="354"/>
      <w:bookmarkEnd w:id="355"/>
    </w:p>
    <w:p w14:paraId="0063FA2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发包人应按照法律规定及合同约定完成与工程质量有关的各项工作。</w:t>
      </w:r>
    </w:p>
    <w:p w14:paraId="5607E67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5.2.2 承包人的质量管理</w:t>
      </w:r>
    </w:p>
    <w:p w14:paraId="224BC85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2B6F11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承包人应对施工人员进行质量教育和技术培训，定期考核施工人员的劳动技能，严格执行施工规范和操作规程。</w:t>
      </w:r>
    </w:p>
    <w:p w14:paraId="650D896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A70EE75">
      <w:pPr>
        <w:pageBreakBefore w:val="0"/>
        <w:widowControl w:val="0"/>
        <w:kinsoku/>
        <w:wordWrap/>
        <w:overflowPunct/>
        <w:topLinePunct w:val="0"/>
        <w:autoSpaceDE w:val="0"/>
        <w:autoSpaceDN w:val="0"/>
        <w:bidi w:val="0"/>
        <w:adjustRightInd w:val="0"/>
        <w:snapToGrid w:val="0"/>
        <w:spacing w:line="360" w:lineRule="auto"/>
        <w:ind w:firstLine="420" w:firstLineChars="200"/>
        <w:jc w:val="left"/>
        <w:outlineLvl w:val="0"/>
        <w:rPr>
          <w:rFonts w:hint="eastAsia" w:ascii="宋体" w:hAnsi="宋体" w:eastAsia="宋体" w:cs="宋体"/>
          <w:color w:val="000000"/>
          <w:kern w:val="0"/>
          <w:sz w:val="21"/>
          <w:szCs w:val="21"/>
          <w:highlight w:val="none"/>
        </w:rPr>
      </w:pPr>
      <w:bookmarkStart w:id="356" w:name="_Toc5370"/>
      <w:bookmarkStart w:id="357" w:name="_Toc8493"/>
      <w:bookmarkStart w:id="358" w:name="_Toc17101"/>
      <w:bookmarkStart w:id="359" w:name="_Toc20611"/>
      <w:bookmarkStart w:id="360" w:name="_Toc15754"/>
      <w:r>
        <w:rPr>
          <w:rFonts w:hint="eastAsia" w:ascii="宋体" w:hAnsi="宋体" w:eastAsia="宋体" w:cs="宋体"/>
          <w:color w:val="000000"/>
          <w:kern w:val="0"/>
          <w:sz w:val="21"/>
          <w:szCs w:val="21"/>
          <w:highlight w:val="none"/>
        </w:rPr>
        <w:t>5.2.3 监理人的质量检查和检验</w:t>
      </w:r>
      <w:bookmarkEnd w:id="356"/>
      <w:bookmarkEnd w:id="357"/>
      <w:bookmarkEnd w:id="358"/>
      <w:bookmarkEnd w:id="359"/>
      <w:bookmarkEnd w:id="360"/>
    </w:p>
    <w:p w14:paraId="4A0F99D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9E4B92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BF0DF5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61" w:name="_Toc351203535"/>
      <w:r>
        <w:rPr>
          <w:rFonts w:hint="eastAsia" w:ascii="宋体" w:hAnsi="宋体" w:eastAsia="宋体" w:cs="宋体"/>
          <w:b w:val="0"/>
          <w:color w:val="000000"/>
          <w:sz w:val="21"/>
          <w:szCs w:val="21"/>
          <w:highlight w:val="none"/>
        </w:rPr>
        <w:t>5</w:t>
      </w:r>
      <w:bookmarkStart w:id="362" w:name="_Toc337558761"/>
      <w:r>
        <w:rPr>
          <w:rFonts w:hint="eastAsia" w:ascii="宋体" w:hAnsi="宋体" w:eastAsia="宋体" w:cs="宋体"/>
          <w:b w:val="0"/>
          <w:color w:val="000000"/>
          <w:sz w:val="21"/>
          <w:szCs w:val="21"/>
          <w:highlight w:val="none"/>
        </w:rPr>
        <w:t>.3 隐蔽工程检查</w:t>
      </w:r>
      <w:bookmarkEnd w:id="361"/>
    </w:p>
    <w:bookmarkEnd w:id="362"/>
    <w:p w14:paraId="62FE506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5.3.1承包人自检</w:t>
      </w:r>
    </w:p>
    <w:p w14:paraId="5391C8A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承包人应当对工程隐蔽部位进行自检，并经自检确认是否具备覆盖条件。</w:t>
      </w:r>
    </w:p>
    <w:p w14:paraId="460FBDC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5.3.2检查程序</w:t>
      </w:r>
    </w:p>
    <w:p w14:paraId="00923B8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5E1236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FCBA88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D3C039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5.3.3 重新检查</w:t>
      </w:r>
    </w:p>
    <w:p w14:paraId="23C800D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D02338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5.3.4 承包人私自覆盖</w:t>
      </w:r>
    </w:p>
    <w:p w14:paraId="06F1EC4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CF40D0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63" w:name="_Toc351203536"/>
      <w:r>
        <w:rPr>
          <w:rFonts w:hint="eastAsia" w:ascii="宋体" w:hAnsi="宋体" w:eastAsia="宋体" w:cs="宋体"/>
          <w:b w:val="0"/>
          <w:color w:val="000000"/>
          <w:sz w:val="21"/>
          <w:szCs w:val="21"/>
          <w:highlight w:val="none"/>
        </w:rPr>
        <w:t>5</w:t>
      </w:r>
      <w:bookmarkStart w:id="364" w:name="_Toc337558762"/>
      <w:r>
        <w:rPr>
          <w:rFonts w:hint="eastAsia" w:ascii="宋体" w:hAnsi="宋体" w:eastAsia="宋体" w:cs="宋体"/>
          <w:b w:val="0"/>
          <w:color w:val="000000"/>
          <w:sz w:val="21"/>
          <w:szCs w:val="21"/>
          <w:highlight w:val="none"/>
        </w:rPr>
        <w:t>.4不合格工程的处理</w:t>
      </w:r>
      <w:bookmarkEnd w:id="363"/>
    </w:p>
    <w:bookmarkEnd w:id="364"/>
    <w:p w14:paraId="6D7DDE3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5E9E8A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5.4.2 因发包人原因造成工程不合格的，由此增加的费用和（或）延误的工期由发包人承担，并支付承包人合理的利润。</w:t>
      </w:r>
    </w:p>
    <w:p w14:paraId="021ADD91">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65" w:name="_Toc351203537"/>
      <w:r>
        <w:rPr>
          <w:rFonts w:hint="eastAsia" w:ascii="宋体" w:hAnsi="宋体" w:eastAsia="宋体" w:cs="宋体"/>
          <w:b w:val="0"/>
          <w:color w:val="000000"/>
          <w:sz w:val="21"/>
          <w:szCs w:val="21"/>
          <w:highlight w:val="none"/>
        </w:rPr>
        <w:t>5.5 质量争议检测</w:t>
      </w:r>
      <w:bookmarkEnd w:id="365"/>
    </w:p>
    <w:p w14:paraId="2F2EF07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合同当事人对工程质量有争议的，由双方协商确定的工程质量检测机构鉴定，由此产生的费用及因此造成的损失，由责任方承担。</w:t>
      </w:r>
    </w:p>
    <w:p w14:paraId="30335D9B">
      <w:pPr>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合同当事人均有责任的，由双方根据其责任分别承担。合同当事人无法达成一致的，按照第4.4款〔商定或确定〕执行。</w:t>
      </w:r>
    </w:p>
    <w:p w14:paraId="4A724390">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366" w:name="_Toc351203538"/>
      <w:r>
        <w:rPr>
          <w:rFonts w:hint="eastAsia" w:ascii="宋体" w:hAnsi="宋体" w:eastAsia="宋体" w:cs="宋体"/>
          <w:b w:val="0"/>
          <w:color w:val="000000"/>
          <w:sz w:val="21"/>
          <w:szCs w:val="21"/>
          <w:highlight w:val="none"/>
        </w:rPr>
        <w:t>6</w:t>
      </w:r>
      <w:bookmarkStart w:id="367" w:name="_Toc337558763"/>
      <w:r>
        <w:rPr>
          <w:rFonts w:hint="eastAsia" w:ascii="宋体" w:hAnsi="宋体" w:eastAsia="宋体" w:cs="宋体"/>
          <w:b w:val="0"/>
          <w:color w:val="000000"/>
          <w:sz w:val="21"/>
          <w:szCs w:val="21"/>
          <w:highlight w:val="none"/>
        </w:rPr>
        <w:t>. 安全文明施工与环境保护</w:t>
      </w:r>
      <w:bookmarkEnd w:id="366"/>
    </w:p>
    <w:bookmarkEnd w:id="367"/>
    <w:p w14:paraId="6A3F2EF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68" w:name="_Toc351203539"/>
      <w:r>
        <w:rPr>
          <w:rFonts w:hint="eastAsia" w:ascii="宋体" w:hAnsi="宋体" w:eastAsia="宋体" w:cs="宋体"/>
          <w:b w:val="0"/>
          <w:color w:val="000000"/>
          <w:sz w:val="21"/>
          <w:szCs w:val="21"/>
          <w:highlight w:val="none"/>
        </w:rPr>
        <w:t>6</w:t>
      </w:r>
      <w:bookmarkStart w:id="369" w:name="_Toc337558764"/>
      <w:r>
        <w:rPr>
          <w:rFonts w:hint="eastAsia" w:ascii="宋体" w:hAnsi="宋体" w:eastAsia="宋体" w:cs="宋体"/>
          <w:b w:val="0"/>
          <w:color w:val="000000"/>
          <w:sz w:val="21"/>
          <w:szCs w:val="21"/>
          <w:highlight w:val="none"/>
        </w:rPr>
        <w:t>.1安全文明施工</w:t>
      </w:r>
      <w:bookmarkEnd w:id="368"/>
    </w:p>
    <w:bookmarkEnd w:id="369"/>
    <w:p w14:paraId="0E66308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6.1.1安全生产要求</w:t>
      </w:r>
    </w:p>
    <w:p w14:paraId="41781D0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E79B79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1"/>
          <w:szCs w:val="21"/>
          <w:highlight w:val="none"/>
        </w:rPr>
        <w:t>政府有关行政管理部门</w:t>
      </w:r>
      <w:r>
        <w:rPr>
          <w:rFonts w:hint="eastAsia" w:ascii="宋体" w:hAnsi="宋体" w:eastAsia="宋体" w:cs="宋体"/>
          <w:color w:val="000000"/>
          <w:sz w:val="21"/>
          <w:szCs w:val="21"/>
          <w:highlight w:val="none"/>
        </w:rPr>
        <w:t>采取应急措施。</w:t>
      </w:r>
    </w:p>
    <w:p w14:paraId="431CDBA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因安全生产需要暂停施工的，按照第7.8款〔暂停施工〕的约定执行。</w:t>
      </w:r>
    </w:p>
    <w:p w14:paraId="1DCD10B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 安全生产保证措施</w:t>
      </w:r>
    </w:p>
    <w:p w14:paraId="4DDAAD8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承包人应当按照有关</w:t>
      </w:r>
      <w:r>
        <w:rPr>
          <w:rFonts w:hint="eastAsia" w:ascii="宋体" w:hAnsi="宋体" w:eastAsia="宋体" w:cs="宋体"/>
          <w:color w:val="000000"/>
          <w:kern w:val="0"/>
          <w:sz w:val="21"/>
          <w:szCs w:val="21"/>
          <w:highlight w:val="none"/>
        </w:rPr>
        <w:t>规定编制安全技术措施或者专项施工方案，</w:t>
      </w:r>
      <w:r>
        <w:rPr>
          <w:rFonts w:hint="eastAsia" w:ascii="宋体" w:hAnsi="宋体" w:eastAsia="宋体" w:cs="宋体"/>
          <w:color w:val="000000"/>
          <w:sz w:val="21"/>
          <w:szCs w:val="21"/>
          <w:highlight w:val="none"/>
        </w:rPr>
        <w:t>建立安全生产责任制度、治安保卫制度及安全生产教育培训制度，并</w:t>
      </w:r>
      <w:r>
        <w:rPr>
          <w:rFonts w:hint="eastAsia" w:ascii="宋体" w:hAnsi="宋体" w:eastAsia="宋体" w:cs="宋体"/>
          <w:color w:val="000000"/>
          <w:kern w:val="0"/>
          <w:sz w:val="21"/>
          <w:szCs w:val="21"/>
          <w:highlight w:val="none"/>
        </w:rPr>
        <w:t>按安全生产法律规定及合同约定履行安全职责，如实</w:t>
      </w:r>
      <w:r>
        <w:rPr>
          <w:rFonts w:hint="eastAsia" w:ascii="宋体" w:hAnsi="宋体" w:eastAsia="宋体" w:cs="宋体"/>
          <w:color w:val="000000"/>
          <w:sz w:val="21"/>
          <w:szCs w:val="21"/>
          <w:highlight w:val="none"/>
        </w:rPr>
        <w:t>编制工程安全生产的有关记录，</w:t>
      </w:r>
      <w:r>
        <w:rPr>
          <w:rFonts w:hint="eastAsia" w:ascii="宋体" w:hAnsi="宋体" w:eastAsia="宋体" w:cs="宋体"/>
          <w:color w:val="000000"/>
          <w:kern w:val="0"/>
          <w:sz w:val="21"/>
          <w:szCs w:val="21"/>
          <w:highlight w:val="none"/>
        </w:rPr>
        <w:t>接受发包人、监理人及政府安全监督部门的检查与监督。</w:t>
      </w:r>
    </w:p>
    <w:p w14:paraId="46310AE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6.1.3特别安全生产事项</w:t>
      </w:r>
    </w:p>
    <w:p w14:paraId="07C3897D">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21A20D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D5678A8">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135CBCE">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需单独编制危险性较大分部分项专项工程施工方案的，及要求进行专家论证的超过一定规模的危险性较大的分部分项工程，承包人应及时编制和组织论证。</w:t>
      </w:r>
    </w:p>
    <w:p w14:paraId="0F5DEF0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6.1.4 治安保卫</w:t>
      </w:r>
    </w:p>
    <w:p w14:paraId="5D3B27E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除专用合同条款另有约定外，发包人应与当地公安部门协商，在现场建立治安管理机构或联防组织，统一管理施工场地的治安保卫事项，履行合同工程的治安保卫职责。</w:t>
      </w:r>
    </w:p>
    <w:p w14:paraId="2FA94A0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发包人和承包人除应协助现场治安管理机构或联防组织维护施工场地的社会治安外，还应做好包括生活区在内的各自管辖区的治安保卫工作。</w:t>
      </w:r>
    </w:p>
    <w:p w14:paraId="0432F12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8770E2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6.1.5 文明施工</w:t>
      </w:r>
    </w:p>
    <w:p w14:paraId="3BA0153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22F800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72A0C4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6.1.6 安全文明施工费</w:t>
      </w:r>
    </w:p>
    <w:p w14:paraId="6E368AF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安全文明施工费由发包人承担，发包人不得以任何形式扣减该部分费用。因基准日期后合同所适用的法律或政府有关规定发生变化，增加的安全文明施工费由发包人承担。</w:t>
      </w:r>
    </w:p>
    <w:p w14:paraId="604C3D9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A1CC80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328320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3A4983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6.1.7 紧急情况处理</w:t>
      </w:r>
    </w:p>
    <w:p w14:paraId="6D5CEA7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55DF39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6.1.8 事故处理</w:t>
      </w:r>
    </w:p>
    <w:p w14:paraId="4FBCAD5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860650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6.1.9 安全生产责任</w:t>
      </w:r>
    </w:p>
    <w:p w14:paraId="638E4A4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6.1.9.1 发包人的安全责任</w:t>
      </w:r>
    </w:p>
    <w:p w14:paraId="2CFF6CF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发包人应负责赔偿以下各种情况造成的损失：</w:t>
      </w:r>
    </w:p>
    <w:p w14:paraId="6033C11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（1）工程或工程的任何部分对土地的占用所造成的第三者财产损失；</w:t>
      </w:r>
    </w:p>
    <w:p w14:paraId="087BC65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（2）由于发包人原因在施工场地及其毗邻地带造成的第三者人身伤亡和财产损失；</w:t>
      </w:r>
    </w:p>
    <w:p w14:paraId="745E13D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（3）由于发包人原因对承包人、监理人造成的人员人身伤亡和财产损失；</w:t>
      </w:r>
    </w:p>
    <w:p w14:paraId="6DC5A8D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（4）由于发包人原因造成的发包人自身人员的人身伤害以及财产损失。</w:t>
      </w:r>
    </w:p>
    <w:p w14:paraId="3258239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6.1.9.2 承包人的安全责任</w:t>
      </w:r>
    </w:p>
    <w:p w14:paraId="0F45BC2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由于承包人原因在施工场地内及其毗邻地带造成的发包人、监理人以及第三者人员伤亡和财产损失，由承包人负责赔偿。</w:t>
      </w:r>
    </w:p>
    <w:p w14:paraId="3B719551">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70" w:name="_Toc351203540"/>
      <w:r>
        <w:rPr>
          <w:rFonts w:hint="eastAsia" w:ascii="宋体" w:hAnsi="宋体" w:eastAsia="宋体" w:cs="宋体"/>
          <w:b w:val="0"/>
          <w:color w:val="000000"/>
          <w:sz w:val="21"/>
          <w:szCs w:val="21"/>
          <w:highlight w:val="none"/>
        </w:rPr>
        <w:t>6</w:t>
      </w:r>
      <w:bookmarkStart w:id="371" w:name="_Toc337558765"/>
      <w:r>
        <w:rPr>
          <w:rFonts w:hint="eastAsia" w:ascii="宋体" w:hAnsi="宋体" w:eastAsia="宋体" w:cs="宋体"/>
          <w:b w:val="0"/>
          <w:color w:val="000000"/>
          <w:sz w:val="21"/>
          <w:szCs w:val="21"/>
          <w:highlight w:val="none"/>
        </w:rPr>
        <w:t>.2 职业健康</w:t>
      </w:r>
      <w:bookmarkEnd w:id="370"/>
    </w:p>
    <w:bookmarkEnd w:id="371"/>
    <w:p w14:paraId="78AD029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6.2.1 劳动保护</w:t>
      </w:r>
    </w:p>
    <w:p w14:paraId="3E6AF57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C7FC92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FCE288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1F8382D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6.2.2 生活条件</w:t>
      </w:r>
    </w:p>
    <w:p w14:paraId="4B1B48E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E68C75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72" w:name="_Toc351203541"/>
      <w:r>
        <w:rPr>
          <w:rFonts w:hint="eastAsia" w:ascii="宋体" w:hAnsi="宋体" w:eastAsia="宋体" w:cs="宋体"/>
          <w:b w:val="0"/>
          <w:color w:val="000000"/>
          <w:sz w:val="21"/>
          <w:szCs w:val="21"/>
          <w:highlight w:val="none"/>
        </w:rPr>
        <w:t>6</w:t>
      </w:r>
      <w:bookmarkStart w:id="373" w:name="_Toc337558766"/>
      <w:r>
        <w:rPr>
          <w:rFonts w:hint="eastAsia" w:ascii="宋体" w:hAnsi="宋体" w:eastAsia="宋体" w:cs="宋体"/>
          <w:b w:val="0"/>
          <w:color w:val="000000"/>
          <w:sz w:val="21"/>
          <w:szCs w:val="21"/>
          <w:highlight w:val="none"/>
        </w:rPr>
        <w:t>.3 环境保护</w:t>
      </w:r>
      <w:bookmarkEnd w:id="372"/>
    </w:p>
    <w:bookmarkEnd w:id="373"/>
    <w:p w14:paraId="1CC3F0E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0A2C92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承包人应当承担因其原因引起的环境污染侵权损害赔偿责任，因上述环境污染引起纠纷而导致暂停施工的，由此增加的费用和（或）延误的工期由承包人承担。</w:t>
      </w:r>
    </w:p>
    <w:p w14:paraId="7B5DC374">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374" w:name="_Toc351203542"/>
      <w:r>
        <w:rPr>
          <w:rFonts w:hint="eastAsia" w:ascii="宋体" w:hAnsi="宋体" w:eastAsia="宋体" w:cs="宋体"/>
          <w:b w:val="0"/>
          <w:color w:val="000000"/>
          <w:sz w:val="21"/>
          <w:szCs w:val="21"/>
          <w:highlight w:val="none"/>
        </w:rPr>
        <w:t>7</w:t>
      </w:r>
      <w:bookmarkStart w:id="375" w:name="_Toc337558767"/>
      <w:r>
        <w:rPr>
          <w:rFonts w:hint="eastAsia" w:ascii="宋体" w:hAnsi="宋体" w:eastAsia="宋体" w:cs="宋体"/>
          <w:b w:val="0"/>
          <w:color w:val="000000"/>
          <w:sz w:val="21"/>
          <w:szCs w:val="21"/>
          <w:highlight w:val="none"/>
        </w:rPr>
        <w:t>. 工期和进度</w:t>
      </w:r>
      <w:bookmarkEnd w:id="374"/>
    </w:p>
    <w:bookmarkEnd w:id="375"/>
    <w:p w14:paraId="17B8995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76" w:name="_Toc351203543"/>
      <w:r>
        <w:rPr>
          <w:rFonts w:hint="eastAsia" w:ascii="宋体" w:hAnsi="宋体" w:eastAsia="宋体" w:cs="宋体"/>
          <w:b w:val="0"/>
          <w:color w:val="000000"/>
          <w:sz w:val="21"/>
          <w:szCs w:val="21"/>
          <w:highlight w:val="none"/>
        </w:rPr>
        <w:t>7</w:t>
      </w:r>
      <w:bookmarkStart w:id="377" w:name="_Toc337558768"/>
      <w:bookmarkStart w:id="378" w:name="_Toc296503066"/>
      <w:bookmarkStart w:id="379" w:name="_Toc296346567"/>
      <w:r>
        <w:rPr>
          <w:rFonts w:hint="eastAsia" w:ascii="宋体" w:hAnsi="宋体" w:eastAsia="宋体" w:cs="宋体"/>
          <w:b w:val="0"/>
          <w:color w:val="000000"/>
          <w:sz w:val="21"/>
          <w:szCs w:val="21"/>
          <w:highlight w:val="none"/>
        </w:rPr>
        <w:t>.1施工组织设计</w:t>
      </w:r>
      <w:bookmarkEnd w:id="376"/>
    </w:p>
    <w:bookmarkEnd w:id="377"/>
    <w:p w14:paraId="483A2B5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7.1.1</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kern w:val="0"/>
          <w:sz w:val="21"/>
          <w:szCs w:val="21"/>
          <w:highlight w:val="none"/>
        </w:rPr>
        <w:t>施工组织设计的内容</w:t>
      </w:r>
    </w:p>
    <w:p w14:paraId="695108B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施工组织设计应包含以下内容：</w:t>
      </w:r>
    </w:p>
    <w:p w14:paraId="6A8A9CD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（1）施工方案； </w:t>
      </w:r>
    </w:p>
    <w:p w14:paraId="73A4C13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（2）施工现场平面布置图；</w:t>
      </w:r>
    </w:p>
    <w:p w14:paraId="7DCD3B5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（3）施工进度计划和保证措施； </w:t>
      </w:r>
    </w:p>
    <w:p w14:paraId="658A736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（4）劳动力及材料供应计划；</w:t>
      </w:r>
    </w:p>
    <w:p w14:paraId="739E6F2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（5）施工机械设备的选用；</w:t>
      </w:r>
    </w:p>
    <w:p w14:paraId="2AAE637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（6）质量保证体系及措施；</w:t>
      </w:r>
    </w:p>
    <w:p w14:paraId="3EE4380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（7）安全生产、文明施工措施；</w:t>
      </w:r>
    </w:p>
    <w:p w14:paraId="0430F76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（8）环境保护、成本控制措施；</w:t>
      </w:r>
    </w:p>
    <w:p w14:paraId="2B4B40D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（9）合同当事人约定的其他内容。</w:t>
      </w:r>
    </w:p>
    <w:p w14:paraId="01E9B2F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7.1.2</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kern w:val="0"/>
          <w:sz w:val="21"/>
          <w:szCs w:val="21"/>
          <w:highlight w:val="none"/>
        </w:rPr>
        <w:t>施工组织设计的提交和修改</w:t>
      </w:r>
    </w:p>
    <w:p w14:paraId="4137001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BEB7BA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施工进度计划的编制和修改按照第7.2款〔施工进度计划〕执行。</w:t>
      </w:r>
    </w:p>
    <w:p w14:paraId="62F42035">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80" w:name="_Toc351203544"/>
      <w:r>
        <w:rPr>
          <w:rFonts w:hint="eastAsia" w:ascii="宋体" w:hAnsi="宋体" w:eastAsia="宋体" w:cs="宋体"/>
          <w:b w:val="0"/>
          <w:color w:val="000000"/>
          <w:sz w:val="21"/>
          <w:szCs w:val="21"/>
          <w:highlight w:val="none"/>
        </w:rPr>
        <w:t>7</w:t>
      </w:r>
      <w:bookmarkStart w:id="381" w:name="_Toc337558769"/>
      <w:r>
        <w:rPr>
          <w:rFonts w:hint="eastAsia" w:ascii="宋体" w:hAnsi="宋体" w:eastAsia="宋体" w:cs="宋体"/>
          <w:b w:val="0"/>
          <w:color w:val="000000"/>
          <w:sz w:val="21"/>
          <w:szCs w:val="21"/>
          <w:highlight w:val="none"/>
        </w:rPr>
        <w:t>.2 施工进度计划</w:t>
      </w:r>
      <w:bookmarkEnd w:id="380"/>
    </w:p>
    <w:bookmarkEnd w:id="381"/>
    <w:p w14:paraId="4BED5FE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7.2.1 施工进度计划的编制</w:t>
      </w:r>
    </w:p>
    <w:p w14:paraId="7234AEE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3FFD05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7.2.2 施工进度计划的修订</w:t>
      </w:r>
    </w:p>
    <w:p w14:paraId="11EE038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E34EBCE">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82" w:name="_Toc351203545"/>
      <w:r>
        <w:rPr>
          <w:rFonts w:hint="eastAsia" w:ascii="宋体" w:hAnsi="宋体" w:eastAsia="宋体" w:cs="宋体"/>
          <w:b w:val="0"/>
          <w:color w:val="000000"/>
          <w:sz w:val="21"/>
          <w:szCs w:val="21"/>
          <w:highlight w:val="none"/>
        </w:rPr>
        <w:t>7</w:t>
      </w:r>
      <w:bookmarkStart w:id="383" w:name="_Toc337558770"/>
      <w:r>
        <w:rPr>
          <w:rFonts w:hint="eastAsia" w:ascii="宋体" w:hAnsi="宋体" w:eastAsia="宋体" w:cs="宋体"/>
          <w:b w:val="0"/>
          <w:color w:val="000000"/>
          <w:sz w:val="21"/>
          <w:szCs w:val="21"/>
          <w:highlight w:val="none"/>
        </w:rPr>
        <w:t>.3 开工</w:t>
      </w:r>
      <w:bookmarkEnd w:id="382"/>
    </w:p>
    <w:p w14:paraId="4BAA287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7.3.1 开工准备</w:t>
      </w:r>
    </w:p>
    <w:p w14:paraId="01BEA7B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141143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除专用合同条款另有约定外，合同当事人应按约定完成开工准备工作。</w:t>
      </w:r>
    </w:p>
    <w:p w14:paraId="7F36B50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7.3.2 开工通知</w:t>
      </w:r>
    </w:p>
    <w:bookmarkEnd w:id="383"/>
    <w:p w14:paraId="6381795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E2A609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536A211">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84" w:name="_Toc351203546"/>
      <w:r>
        <w:rPr>
          <w:rFonts w:hint="eastAsia" w:ascii="宋体" w:hAnsi="宋体" w:eastAsia="宋体" w:cs="宋体"/>
          <w:b w:val="0"/>
          <w:color w:val="000000"/>
          <w:sz w:val="21"/>
          <w:szCs w:val="21"/>
          <w:highlight w:val="none"/>
        </w:rPr>
        <w:t>7.4测量放线</w:t>
      </w:r>
      <w:bookmarkEnd w:id="384"/>
    </w:p>
    <w:p w14:paraId="5E2CA6B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05F599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3985D4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D5DD0C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施工过程中对施工现场内水准点等测量标志物的保护工作由承包人负责。</w:t>
      </w:r>
      <w:bookmarkStart w:id="385" w:name="_Toc351203547"/>
    </w:p>
    <w:p w14:paraId="5216DFD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7</w:t>
      </w:r>
      <w:bookmarkEnd w:id="378"/>
      <w:bookmarkEnd w:id="379"/>
      <w:bookmarkStart w:id="386" w:name="_Toc296503073"/>
      <w:bookmarkStart w:id="387" w:name="_Toc337558772"/>
      <w:bookmarkStart w:id="388" w:name="_Toc296346574"/>
      <w:r>
        <w:rPr>
          <w:rFonts w:hint="eastAsia" w:ascii="宋体" w:hAnsi="宋体" w:eastAsia="宋体" w:cs="宋体"/>
          <w:b w:val="0"/>
          <w:color w:val="000000"/>
          <w:sz w:val="21"/>
          <w:szCs w:val="21"/>
          <w:highlight w:val="none"/>
        </w:rPr>
        <w:t>.5 工期延误</w:t>
      </w:r>
      <w:bookmarkEnd w:id="385"/>
    </w:p>
    <w:bookmarkEnd w:id="386"/>
    <w:bookmarkEnd w:id="387"/>
    <w:bookmarkEnd w:id="388"/>
    <w:p w14:paraId="073574F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7.5.1 因发包人原因导致工期延误</w:t>
      </w:r>
    </w:p>
    <w:p w14:paraId="485FEF0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在合同履行过程中，因下列情况导致工期延误和（或）费用增加的，由发包人承担由此延误的工期和（或）增加的费用，且发包人应支付承包人合理的利润： </w:t>
      </w:r>
    </w:p>
    <w:p w14:paraId="5071174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（1）发包人未能按合同约定提供图纸或所提供图纸不符合合同约定的；</w:t>
      </w:r>
    </w:p>
    <w:p w14:paraId="1A1EBA2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（2）发包人未能按合同约定提供施工现场、施工条件、基础资料、许可、批准等开工条件的；</w:t>
      </w:r>
    </w:p>
    <w:p w14:paraId="5CCD691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（3）发包人提供的测量基准点、基准线和水准点及其书面资料存在错误或疏漏的；</w:t>
      </w:r>
    </w:p>
    <w:p w14:paraId="53C10CE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（4）发包人未能在计划开工日期之日起7天内同意下达开工通知的；</w:t>
      </w:r>
    </w:p>
    <w:p w14:paraId="1636F10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（5）发包人未能按合同约定日期支付工程预付款、进度款或竣工结算款的；</w:t>
      </w:r>
    </w:p>
    <w:p w14:paraId="097ECEB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（6）监理人未按合同约定发出指示、批准等文件的；</w:t>
      </w:r>
    </w:p>
    <w:p w14:paraId="76A6BDC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（7）专用合同条款中约定的其他情形。</w:t>
      </w:r>
    </w:p>
    <w:p w14:paraId="080C11C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27D7A3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7.5.2 因承包人原因导致工期延误</w:t>
      </w:r>
    </w:p>
    <w:p w14:paraId="208F81F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bookmarkStart w:id="389" w:name="_Toc296503076"/>
      <w:bookmarkStart w:id="390" w:name="_Toc296346577"/>
      <w:r>
        <w:rPr>
          <w:rFonts w:hint="eastAsia" w:ascii="宋体" w:hAnsi="宋体" w:eastAsia="宋体" w:cs="宋体"/>
          <w:color w:val="000000"/>
          <w:kern w:val="0"/>
          <w:sz w:val="21"/>
          <w:szCs w:val="21"/>
          <w:highlight w:val="none"/>
        </w:rPr>
        <w:t>因</w:t>
      </w:r>
      <w:bookmarkEnd w:id="389"/>
      <w:bookmarkEnd w:id="390"/>
      <w:r>
        <w:rPr>
          <w:rFonts w:hint="eastAsia" w:ascii="宋体" w:hAnsi="宋体" w:eastAsia="宋体" w:cs="宋体"/>
          <w:color w:val="000000"/>
          <w:kern w:val="0"/>
          <w:sz w:val="21"/>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17EA73C">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91" w:name="_Toc351203548"/>
      <w:r>
        <w:rPr>
          <w:rFonts w:hint="eastAsia" w:ascii="宋体" w:hAnsi="宋体" w:eastAsia="宋体" w:cs="宋体"/>
          <w:b w:val="0"/>
          <w:color w:val="000000"/>
          <w:sz w:val="21"/>
          <w:szCs w:val="21"/>
          <w:highlight w:val="none"/>
        </w:rPr>
        <w:t>7</w:t>
      </w:r>
      <w:bookmarkStart w:id="392" w:name="_Toc296346575"/>
      <w:bookmarkStart w:id="393" w:name="_Toc337558773"/>
      <w:bookmarkStart w:id="394" w:name="_Toc296503074"/>
      <w:bookmarkStart w:id="395" w:name="_Toc296346578"/>
      <w:bookmarkStart w:id="396" w:name="_Toc296503077"/>
      <w:r>
        <w:rPr>
          <w:rFonts w:hint="eastAsia" w:ascii="宋体" w:hAnsi="宋体" w:eastAsia="宋体" w:cs="宋体"/>
          <w:b w:val="0"/>
          <w:color w:val="000000"/>
          <w:sz w:val="21"/>
          <w:szCs w:val="21"/>
          <w:highlight w:val="none"/>
        </w:rPr>
        <w:t>.6 不利物质条件</w:t>
      </w:r>
      <w:bookmarkEnd w:id="391"/>
    </w:p>
    <w:bookmarkEnd w:id="392"/>
    <w:bookmarkEnd w:id="393"/>
    <w:bookmarkEnd w:id="394"/>
    <w:p w14:paraId="2C18E62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C1C7BF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28B9A4E">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397" w:name="_Toc351203549"/>
      <w:r>
        <w:rPr>
          <w:rFonts w:hint="eastAsia" w:ascii="宋体" w:hAnsi="宋体" w:eastAsia="宋体" w:cs="宋体"/>
          <w:b w:val="0"/>
          <w:color w:val="000000"/>
          <w:sz w:val="21"/>
          <w:szCs w:val="21"/>
          <w:highlight w:val="none"/>
        </w:rPr>
        <w:t>7</w:t>
      </w:r>
      <w:bookmarkStart w:id="398" w:name="_Toc296346576"/>
      <w:bookmarkStart w:id="399" w:name="_Toc337558774"/>
      <w:bookmarkStart w:id="400" w:name="_Toc296503075"/>
      <w:r>
        <w:rPr>
          <w:rFonts w:hint="eastAsia" w:ascii="宋体" w:hAnsi="宋体" w:eastAsia="宋体" w:cs="宋体"/>
          <w:b w:val="0"/>
          <w:color w:val="000000"/>
          <w:sz w:val="21"/>
          <w:szCs w:val="21"/>
          <w:highlight w:val="none"/>
        </w:rPr>
        <w:t>.7 异常恶劣的气候条件</w:t>
      </w:r>
      <w:bookmarkEnd w:id="397"/>
    </w:p>
    <w:bookmarkEnd w:id="398"/>
    <w:bookmarkEnd w:id="399"/>
    <w:bookmarkEnd w:id="400"/>
    <w:p w14:paraId="0574023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365928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01" w:name="_Toc351203550"/>
    </w:p>
    <w:p w14:paraId="5F6A2B07">
      <w:pPr>
        <w:pageBreakBefore w:val="0"/>
        <w:widowControl w:val="0"/>
        <w:kinsoku/>
        <w:wordWrap/>
        <w:overflowPunct/>
        <w:topLinePunct w:val="0"/>
        <w:autoSpaceDE w:val="0"/>
        <w:autoSpaceDN w:val="0"/>
        <w:bidi w:val="0"/>
        <w:adjustRightInd w:val="0"/>
        <w:snapToGrid w:val="0"/>
        <w:spacing w:line="360" w:lineRule="auto"/>
        <w:ind w:firstLine="420" w:firstLineChars="200"/>
        <w:jc w:val="left"/>
        <w:outlineLvl w:val="0"/>
        <w:rPr>
          <w:rFonts w:hint="eastAsia" w:ascii="宋体" w:hAnsi="宋体" w:eastAsia="宋体" w:cs="宋体"/>
          <w:bCs/>
          <w:color w:val="000000"/>
          <w:sz w:val="21"/>
          <w:szCs w:val="21"/>
          <w:highlight w:val="none"/>
        </w:rPr>
      </w:pPr>
      <w:bookmarkStart w:id="402" w:name="_Toc14724"/>
      <w:bookmarkStart w:id="403" w:name="_Toc25299"/>
      <w:bookmarkStart w:id="404" w:name="_Toc23862"/>
      <w:bookmarkStart w:id="405" w:name="_Toc17652"/>
      <w:bookmarkStart w:id="406" w:name="_Toc7315"/>
      <w:r>
        <w:rPr>
          <w:rFonts w:hint="eastAsia" w:ascii="宋体" w:hAnsi="宋体" w:eastAsia="宋体" w:cs="宋体"/>
          <w:bCs/>
          <w:color w:val="000000"/>
          <w:sz w:val="21"/>
          <w:szCs w:val="21"/>
          <w:highlight w:val="none"/>
        </w:rPr>
        <w:t>7</w:t>
      </w:r>
      <w:bookmarkStart w:id="407" w:name="_Toc337558775"/>
      <w:r>
        <w:rPr>
          <w:rFonts w:hint="eastAsia" w:ascii="宋体" w:hAnsi="宋体" w:eastAsia="宋体" w:cs="宋体"/>
          <w:bCs/>
          <w:color w:val="000000"/>
          <w:sz w:val="21"/>
          <w:szCs w:val="21"/>
          <w:highlight w:val="none"/>
        </w:rPr>
        <w:t>.8 暂停施工</w:t>
      </w:r>
      <w:bookmarkEnd w:id="401"/>
      <w:bookmarkEnd w:id="402"/>
      <w:bookmarkEnd w:id="403"/>
      <w:bookmarkEnd w:id="404"/>
      <w:bookmarkEnd w:id="405"/>
      <w:bookmarkEnd w:id="406"/>
    </w:p>
    <w:bookmarkEnd w:id="395"/>
    <w:bookmarkEnd w:id="396"/>
    <w:bookmarkEnd w:id="407"/>
    <w:p w14:paraId="7F6E38E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7.8.1发包人原因引起的暂停施工</w:t>
      </w:r>
    </w:p>
    <w:p w14:paraId="3B918C7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因发包人原因引起暂停施工的，监理人经发包人同意后，应及时下达暂停施工指示。情况紧急且监理人未及时下达暂停施工指示的，按照第7.8.4项〔紧急情况下的暂停施工〕执行。</w:t>
      </w:r>
    </w:p>
    <w:p w14:paraId="4CB243F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因发包人原因引起的暂停施工，发包人应承担由此增加的费用和（或）延误的工期，</w:t>
      </w:r>
      <w:r>
        <w:rPr>
          <w:rFonts w:hint="eastAsia" w:ascii="宋体" w:hAnsi="宋体" w:eastAsia="宋体" w:cs="宋体"/>
          <w:kern w:val="0"/>
          <w:sz w:val="21"/>
          <w:szCs w:val="21"/>
          <w:highlight w:val="none"/>
        </w:rPr>
        <w:t>并支付承包人</w:t>
      </w:r>
      <w:r>
        <w:rPr>
          <w:rFonts w:hint="eastAsia" w:ascii="宋体" w:hAnsi="宋体" w:eastAsia="宋体" w:cs="宋体"/>
          <w:color w:val="000000"/>
          <w:kern w:val="0"/>
          <w:sz w:val="21"/>
          <w:szCs w:val="21"/>
          <w:highlight w:val="none"/>
        </w:rPr>
        <w:t>合理的利润。</w:t>
      </w:r>
    </w:p>
    <w:p w14:paraId="1A7E443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7.8.2 承包人原因引起的暂停施工</w:t>
      </w:r>
    </w:p>
    <w:p w14:paraId="762F446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F47039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7.8.3 指示暂停施工</w:t>
      </w:r>
    </w:p>
    <w:p w14:paraId="76DC605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监理人认为有必要时，并经发包人批准后，可向承包人作出暂停施工的指示，承包人应按监理人指示暂停施工。</w:t>
      </w:r>
    </w:p>
    <w:p w14:paraId="60F82FF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7.8.4 紧急情况下的暂停施工</w:t>
      </w:r>
    </w:p>
    <w:p w14:paraId="082B435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67FABE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7.8.5 暂停施工后的复工</w:t>
      </w:r>
    </w:p>
    <w:p w14:paraId="01C69E0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CF541C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承包人无故拖延和拒绝复工的，承包人承担由此增加的费用和（或）延误的工期；因发包人原因无法按时复工的，按照第7.5.1项〔因发包人原因导致工期延误〕约定办理。</w:t>
      </w:r>
    </w:p>
    <w:p w14:paraId="42C6C9A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7.8.6 暂停施工持续56天以上</w:t>
      </w:r>
    </w:p>
    <w:p w14:paraId="7D121576">
      <w:pPr>
        <w:pageBreakBefore w:val="0"/>
        <w:widowControl w:val="0"/>
        <w:kinsoku/>
        <w:wordWrap/>
        <w:overflowPunct/>
        <w:topLinePunct w:val="0"/>
        <w:bidi w:val="0"/>
        <w:snapToGrid w:val="0"/>
        <w:spacing w:line="360" w:lineRule="auto"/>
        <w:ind w:firstLine="409" w:firstLineChars="195"/>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99FB330">
      <w:pPr>
        <w:pageBreakBefore w:val="0"/>
        <w:widowControl w:val="0"/>
        <w:kinsoku/>
        <w:wordWrap/>
        <w:overflowPunct/>
        <w:topLinePunct w:val="0"/>
        <w:bidi w:val="0"/>
        <w:snapToGrid w:val="0"/>
        <w:spacing w:line="360" w:lineRule="auto"/>
        <w:ind w:firstLine="409" w:firstLineChars="195"/>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46A39C9">
      <w:pPr>
        <w:pageBreakBefore w:val="0"/>
        <w:widowControl w:val="0"/>
        <w:kinsoku/>
        <w:wordWrap/>
        <w:overflowPunct/>
        <w:topLinePunct w:val="0"/>
        <w:bidi w:val="0"/>
        <w:snapToGrid w:val="0"/>
        <w:spacing w:line="360" w:lineRule="auto"/>
        <w:ind w:left="16" w:firstLine="409" w:firstLineChars="195"/>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7.8.7 暂停施工期间的工程照管</w:t>
      </w:r>
    </w:p>
    <w:p w14:paraId="24F1F66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暂停施工期间，承包人应负责妥善照管工程并提供安全保障，由此增加的费用由责任方承担。</w:t>
      </w:r>
    </w:p>
    <w:p w14:paraId="1FC8626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7.8.8 暂停施工的措施</w:t>
      </w:r>
    </w:p>
    <w:p w14:paraId="76881F3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暂停施工期间，发包人和承包人均应采取必要的措施确保工程质量及安全，防止因暂停施工扩大损失。</w:t>
      </w:r>
    </w:p>
    <w:p w14:paraId="2752E9E1">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08" w:name="_Toc351203551"/>
      <w:r>
        <w:rPr>
          <w:rFonts w:hint="eastAsia" w:ascii="宋体" w:hAnsi="宋体" w:eastAsia="宋体" w:cs="宋体"/>
          <w:b w:val="0"/>
          <w:color w:val="000000"/>
          <w:sz w:val="21"/>
          <w:szCs w:val="21"/>
          <w:highlight w:val="none"/>
        </w:rPr>
        <w:t>7.9提前竣工</w:t>
      </w:r>
      <w:bookmarkEnd w:id="408"/>
    </w:p>
    <w:p w14:paraId="1DCF6DC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0C33344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7.9.2 发包人要求承包人提前竣工，或承包人提出提前竣工的建议能够给发包人带来效益的，合同当事人可以在专用合同条款中约定提前竣工的奖励。</w:t>
      </w:r>
    </w:p>
    <w:p w14:paraId="31099E6E">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409" w:name="_Toc351203552"/>
      <w:r>
        <w:rPr>
          <w:rFonts w:hint="eastAsia" w:ascii="宋体" w:hAnsi="宋体" w:eastAsia="宋体" w:cs="宋体"/>
          <w:b w:val="0"/>
          <w:color w:val="000000"/>
          <w:sz w:val="21"/>
          <w:szCs w:val="21"/>
          <w:highlight w:val="none"/>
        </w:rPr>
        <w:t>8</w:t>
      </w:r>
      <w:bookmarkStart w:id="410" w:name="_Toc296346559"/>
      <w:bookmarkStart w:id="411" w:name="_Toc337558776"/>
      <w:bookmarkStart w:id="412" w:name="_Toc296503058"/>
      <w:r>
        <w:rPr>
          <w:rFonts w:hint="eastAsia" w:ascii="宋体" w:hAnsi="宋体" w:eastAsia="宋体" w:cs="宋体"/>
          <w:b w:val="0"/>
          <w:color w:val="000000"/>
          <w:sz w:val="21"/>
          <w:szCs w:val="21"/>
          <w:highlight w:val="none"/>
        </w:rPr>
        <w:t>. 材料与设备</w:t>
      </w:r>
      <w:bookmarkEnd w:id="409"/>
    </w:p>
    <w:bookmarkEnd w:id="410"/>
    <w:bookmarkEnd w:id="411"/>
    <w:bookmarkEnd w:id="412"/>
    <w:p w14:paraId="481FCA48">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13" w:name="_Toc351203553"/>
      <w:r>
        <w:rPr>
          <w:rFonts w:hint="eastAsia" w:ascii="宋体" w:hAnsi="宋体" w:eastAsia="宋体" w:cs="宋体"/>
          <w:b w:val="0"/>
          <w:color w:val="000000"/>
          <w:sz w:val="21"/>
          <w:szCs w:val="21"/>
          <w:highlight w:val="none"/>
        </w:rPr>
        <w:t>8</w:t>
      </w:r>
      <w:bookmarkStart w:id="414" w:name="_Toc296346560"/>
      <w:bookmarkStart w:id="415" w:name="_Toc296503059"/>
      <w:bookmarkStart w:id="416" w:name="_Toc337558777"/>
      <w:bookmarkStart w:id="417" w:name="_Toc468936960"/>
      <w:r>
        <w:rPr>
          <w:rFonts w:hint="eastAsia" w:ascii="宋体" w:hAnsi="宋体" w:eastAsia="宋体" w:cs="宋体"/>
          <w:b w:val="0"/>
          <w:color w:val="000000"/>
          <w:sz w:val="21"/>
          <w:szCs w:val="21"/>
          <w:highlight w:val="none"/>
        </w:rPr>
        <w:t>.1发包人供应材料与工程设备</w:t>
      </w:r>
      <w:bookmarkEnd w:id="413"/>
    </w:p>
    <w:bookmarkEnd w:id="414"/>
    <w:bookmarkEnd w:id="415"/>
    <w:bookmarkEnd w:id="416"/>
    <w:p w14:paraId="421A8D6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14:paraId="59570AA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EC62136">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color w:val="000000"/>
          <w:sz w:val="21"/>
          <w:szCs w:val="21"/>
          <w:highlight w:val="none"/>
        </w:rPr>
      </w:pPr>
      <w:bookmarkStart w:id="418" w:name="_Toc351203554"/>
      <w:r>
        <w:rPr>
          <w:rFonts w:hint="eastAsia" w:ascii="宋体" w:hAnsi="宋体" w:eastAsia="宋体" w:cs="宋体"/>
          <w:b w:val="0"/>
          <w:color w:val="000000"/>
          <w:sz w:val="21"/>
          <w:szCs w:val="21"/>
          <w:highlight w:val="none"/>
        </w:rPr>
        <w:t>8</w:t>
      </w:r>
      <w:bookmarkStart w:id="419" w:name="_Toc296503060"/>
      <w:bookmarkStart w:id="420" w:name="_Toc296346561"/>
      <w:bookmarkStart w:id="421" w:name="_Toc337558778"/>
      <w:r>
        <w:rPr>
          <w:rFonts w:hint="eastAsia" w:ascii="宋体" w:hAnsi="宋体" w:eastAsia="宋体" w:cs="宋体"/>
          <w:b w:val="0"/>
          <w:color w:val="000000"/>
          <w:sz w:val="21"/>
          <w:szCs w:val="21"/>
          <w:highlight w:val="none"/>
        </w:rPr>
        <w:t>.2承包人采购材料与工程设备</w:t>
      </w:r>
      <w:bookmarkEnd w:id="418"/>
    </w:p>
    <w:bookmarkEnd w:id="419"/>
    <w:bookmarkEnd w:id="420"/>
    <w:bookmarkEnd w:id="421"/>
    <w:p w14:paraId="71E3492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B119010">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22" w:name="_Toc351203555"/>
      <w:r>
        <w:rPr>
          <w:rFonts w:hint="eastAsia" w:ascii="宋体" w:hAnsi="宋体" w:eastAsia="宋体" w:cs="宋体"/>
          <w:b w:val="0"/>
          <w:color w:val="000000"/>
          <w:sz w:val="21"/>
          <w:szCs w:val="21"/>
          <w:highlight w:val="none"/>
        </w:rPr>
        <w:t>8</w:t>
      </w:r>
      <w:bookmarkStart w:id="423" w:name="_Toc337558779"/>
      <w:bookmarkStart w:id="424" w:name="_Toc296503061"/>
      <w:bookmarkStart w:id="425" w:name="_Toc296346562"/>
      <w:r>
        <w:rPr>
          <w:rFonts w:hint="eastAsia" w:ascii="宋体" w:hAnsi="宋体" w:eastAsia="宋体" w:cs="宋体"/>
          <w:b w:val="0"/>
          <w:color w:val="000000"/>
          <w:sz w:val="21"/>
          <w:szCs w:val="21"/>
          <w:highlight w:val="none"/>
        </w:rPr>
        <w:t>.3材料与工程设备的接收与拒收</w:t>
      </w:r>
      <w:bookmarkEnd w:id="422"/>
    </w:p>
    <w:bookmarkEnd w:id="423"/>
    <w:bookmarkEnd w:id="424"/>
    <w:bookmarkEnd w:id="425"/>
    <w:p w14:paraId="7859470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20E516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发包人提供的材料和工程设备的规格、数量或质量不符合合同约定的，或因发包人原因导致交货日期延误或交货地点变更等情况的，按照第16.1款〔发包人违约〕约定办理。</w:t>
      </w:r>
    </w:p>
    <w:p w14:paraId="5261443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8.3.2 承包人采购的材料和工程设备，应保证产品质量合格，承包人应在材料和工程设备到货前24小时通知监理人检验。承</w:t>
      </w:r>
      <w:bookmarkStart w:id="426" w:name="_Toc250655469"/>
      <w:r>
        <w:rPr>
          <w:rFonts w:hint="eastAsia" w:ascii="宋体" w:hAnsi="宋体" w:eastAsia="宋体" w:cs="宋体"/>
          <w:color w:val="000000"/>
          <w:kern w:val="0"/>
          <w:sz w:val="21"/>
          <w:szCs w:val="21"/>
          <w:highlight w:val="none"/>
        </w:rPr>
        <w:t>包人进行永久设备、材料的制造和生产的，应符合相关质量标准，并向监理人提交材料的样本以及有关资料，并应在使用该材料或工程设备之前获得监理人同意。</w:t>
      </w:r>
    </w:p>
    <w:bookmarkEnd w:id="426"/>
    <w:p w14:paraId="2C394BE6">
      <w:pPr>
        <w:pageBreakBefore w:val="0"/>
        <w:widowControl w:val="0"/>
        <w:kinsoku/>
        <w:wordWrap/>
        <w:overflowPunct/>
        <w:topLinePunct w:val="0"/>
        <w:autoSpaceDE w:val="0"/>
        <w:autoSpaceDN w:val="0"/>
        <w:bidi w:val="0"/>
        <w:adjustRightInd w:val="0"/>
        <w:snapToGrid w:val="0"/>
        <w:spacing w:line="360" w:lineRule="auto"/>
        <w:ind w:firstLine="315" w:firstLineChars="15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E2D0D4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27" w:name="_Toc351203556"/>
      <w:r>
        <w:rPr>
          <w:rFonts w:hint="eastAsia" w:ascii="宋体" w:hAnsi="宋体" w:eastAsia="宋体" w:cs="宋体"/>
          <w:b w:val="0"/>
          <w:color w:val="000000"/>
          <w:sz w:val="21"/>
          <w:szCs w:val="21"/>
          <w:highlight w:val="none"/>
        </w:rPr>
        <w:t>8</w:t>
      </w:r>
      <w:bookmarkStart w:id="428" w:name="_Toc296503062"/>
      <w:bookmarkStart w:id="429" w:name="_Toc337558780"/>
      <w:bookmarkStart w:id="430" w:name="_Toc296346563"/>
      <w:r>
        <w:rPr>
          <w:rFonts w:hint="eastAsia" w:ascii="宋体" w:hAnsi="宋体" w:eastAsia="宋体" w:cs="宋体"/>
          <w:b w:val="0"/>
          <w:color w:val="000000"/>
          <w:sz w:val="21"/>
          <w:szCs w:val="21"/>
          <w:highlight w:val="none"/>
        </w:rPr>
        <w:t>.4材料与工程设备的保管与使用</w:t>
      </w:r>
      <w:bookmarkEnd w:id="427"/>
    </w:p>
    <w:bookmarkEnd w:id="428"/>
    <w:bookmarkEnd w:id="429"/>
    <w:bookmarkEnd w:id="430"/>
    <w:p w14:paraId="0F629F9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8.4.1 发包人供应</w:t>
      </w:r>
      <w:r>
        <w:rPr>
          <w:rFonts w:hint="eastAsia" w:ascii="宋体" w:hAnsi="宋体" w:eastAsia="宋体" w:cs="宋体"/>
          <w:color w:val="000000"/>
          <w:sz w:val="21"/>
          <w:szCs w:val="21"/>
          <w:highlight w:val="none"/>
        </w:rPr>
        <w:t>材料与</w:t>
      </w:r>
      <w:r>
        <w:rPr>
          <w:rFonts w:hint="eastAsia" w:ascii="宋体" w:hAnsi="宋体" w:eastAsia="宋体" w:cs="宋体"/>
          <w:color w:val="000000"/>
          <w:kern w:val="0"/>
          <w:sz w:val="21"/>
          <w:szCs w:val="21"/>
          <w:highlight w:val="none"/>
        </w:rPr>
        <w:t>工程</w:t>
      </w:r>
      <w:r>
        <w:rPr>
          <w:rFonts w:hint="eastAsia" w:ascii="宋体" w:hAnsi="宋体" w:eastAsia="宋体" w:cs="宋体"/>
          <w:color w:val="000000"/>
          <w:sz w:val="21"/>
          <w:szCs w:val="21"/>
          <w:highlight w:val="none"/>
        </w:rPr>
        <w:t>设备的保管与使用</w:t>
      </w:r>
    </w:p>
    <w:p w14:paraId="605ABD6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B6D67D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发包人供应的材料和工程设备使用前，由承包人负责检验，检验费用由发包人承担，不合格的不得使用。</w:t>
      </w:r>
    </w:p>
    <w:p w14:paraId="2278946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8.4.2 承包人采购</w:t>
      </w:r>
      <w:r>
        <w:rPr>
          <w:rFonts w:hint="eastAsia" w:ascii="宋体" w:hAnsi="宋体" w:eastAsia="宋体" w:cs="宋体"/>
          <w:color w:val="000000"/>
          <w:sz w:val="21"/>
          <w:szCs w:val="21"/>
          <w:highlight w:val="none"/>
        </w:rPr>
        <w:t>材料与</w:t>
      </w:r>
      <w:r>
        <w:rPr>
          <w:rFonts w:hint="eastAsia" w:ascii="宋体" w:hAnsi="宋体" w:eastAsia="宋体" w:cs="宋体"/>
          <w:color w:val="000000"/>
          <w:kern w:val="0"/>
          <w:sz w:val="21"/>
          <w:szCs w:val="21"/>
          <w:highlight w:val="none"/>
        </w:rPr>
        <w:t>工程</w:t>
      </w:r>
      <w:r>
        <w:rPr>
          <w:rFonts w:hint="eastAsia" w:ascii="宋体" w:hAnsi="宋体" w:eastAsia="宋体" w:cs="宋体"/>
          <w:color w:val="000000"/>
          <w:sz w:val="21"/>
          <w:szCs w:val="21"/>
          <w:highlight w:val="none"/>
        </w:rPr>
        <w:t>设备的保管与使用</w:t>
      </w:r>
    </w:p>
    <w:p w14:paraId="60F5823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3E8AB2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22CC699C">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31" w:name="_Toc351203557"/>
      <w:r>
        <w:rPr>
          <w:rFonts w:hint="eastAsia" w:ascii="宋体" w:hAnsi="宋体" w:eastAsia="宋体" w:cs="宋体"/>
          <w:b w:val="0"/>
          <w:color w:val="000000"/>
          <w:sz w:val="21"/>
          <w:szCs w:val="21"/>
          <w:highlight w:val="none"/>
        </w:rPr>
        <w:t>8.5禁止使用不合格的材料和工程设备</w:t>
      </w:r>
      <w:bookmarkEnd w:id="431"/>
    </w:p>
    <w:p w14:paraId="362720E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38638FD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8.5.2 监理人发现承包人使用了不合格的材料和工程设备，承包人应按照监理人的指示立即改正，并禁止在工程中继续使用不合格的材料和工程设备。</w:t>
      </w:r>
    </w:p>
    <w:p w14:paraId="33E0A65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8.5.3 发包人提供的材料或工程设备不符合合同要求的，承包人有权拒绝，并可要求发包人更换，由此增加的费用和（或）延误的工期由发包人承担，并支付承包人合理的利润。</w:t>
      </w:r>
    </w:p>
    <w:p w14:paraId="29C2B1C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32" w:name="_Toc351203558"/>
      <w:r>
        <w:rPr>
          <w:rFonts w:hint="eastAsia" w:ascii="宋体" w:hAnsi="宋体" w:eastAsia="宋体" w:cs="宋体"/>
          <w:b w:val="0"/>
          <w:color w:val="000000"/>
          <w:sz w:val="21"/>
          <w:szCs w:val="21"/>
          <w:highlight w:val="none"/>
        </w:rPr>
        <w:t>8.6 样品</w:t>
      </w:r>
      <w:bookmarkEnd w:id="432"/>
    </w:p>
    <w:p w14:paraId="0216D82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8.6.1</w:t>
      </w:r>
      <w:r>
        <w:rPr>
          <w:rFonts w:hint="eastAsia" w:ascii="宋体" w:hAnsi="宋体" w:eastAsia="宋体" w:cs="宋体"/>
          <w:color w:val="000000"/>
          <w:kern w:val="0"/>
          <w:sz w:val="21"/>
          <w:szCs w:val="21"/>
          <w:highlight w:val="none"/>
        </w:rPr>
        <w:tab/>
      </w:r>
      <w:r>
        <w:rPr>
          <w:rFonts w:hint="eastAsia" w:ascii="宋体" w:hAnsi="宋体" w:eastAsia="宋体" w:cs="宋体"/>
          <w:color w:val="000000"/>
          <w:kern w:val="0"/>
          <w:sz w:val="21"/>
          <w:szCs w:val="21"/>
          <w:highlight w:val="none"/>
        </w:rPr>
        <w:t>样品的报送与封存</w:t>
      </w:r>
    </w:p>
    <w:p w14:paraId="42F48A2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需要承包人报送样品的材料或工程设备，样品的种类、名称、规格、数量等要求均应在专用合同条款中约定。样品的报送程序如下：</w:t>
      </w:r>
    </w:p>
    <w:p w14:paraId="027417F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34F680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352F47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（3）经发包人和监理人审批确认的样品应按约定的方法封样，封存的样品作为检验工程相关部分的标准之一。承包人在施工过程中不得使用与样品不符的材料或工程设备。</w:t>
      </w:r>
    </w:p>
    <w:p w14:paraId="7DF1F8D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3FC9CA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8.6.2 样品的保管</w:t>
      </w:r>
    </w:p>
    <w:p w14:paraId="169B260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经批准的样品应由监理人负责封存于现场，承包人应在现场为保存样品提供适当和固定的场所并保持适当和良好的存储环境条件。</w:t>
      </w:r>
    </w:p>
    <w:p w14:paraId="1D25F54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33" w:name="_Toc351203559"/>
      <w:r>
        <w:rPr>
          <w:rFonts w:hint="eastAsia" w:ascii="宋体" w:hAnsi="宋体" w:eastAsia="宋体" w:cs="宋体"/>
          <w:b w:val="0"/>
          <w:color w:val="000000"/>
          <w:sz w:val="21"/>
          <w:szCs w:val="21"/>
          <w:highlight w:val="none"/>
        </w:rPr>
        <w:t>8.7材料与工程设备的替代</w:t>
      </w:r>
      <w:bookmarkEnd w:id="433"/>
    </w:p>
    <w:p w14:paraId="5DCBD51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8.7.1 出现下列情况需要使用替代材料和工程设备的，承包人应按照第8.7.2项约定的程序执行：</w:t>
      </w:r>
    </w:p>
    <w:p w14:paraId="7F2FA66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（1）基准日期后生效的法律规定禁止使用的；</w:t>
      </w:r>
    </w:p>
    <w:p w14:paraId="533CEC4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（2）发包人要求使用替代品的；</w:t>
      </w:r>
    </w:p>
    <w:p w14:paraId="1B9C90C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（3）因其他原因必须使用替代品的。</w:t>
      </w:r>
    </w:p>
    <w:p w14:paraId="7EEE1DB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8.7.2 承包人应在使用替代材料和工程设备28天前书面通知监理人，并附下列文件：</w:t>
      </w:r>
    </w:p>
    <w:p w14:paraId="150DFEF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（1）被替代的材料和工程设备的名称、数量、规格、型号、品牌、性能、价格及其他相关资料；</w:t>
      </w:r>
    </w:p>
    <w:p w14:paraId="4477640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（2）替代品的名称、数量、规格、型号、品牌、性能、价格及其他相关资料；</w:t>
      </w:r>
    </w:p>
    <w:p w14:paraId="57CD843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（3）替代品与被替代产品之间的差异以及使用替代品可能对工程产生的影响；</w:t>
      </w:r>
    </w:p>
    <w:p w14:paraId="1024A58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（4）替代品与被替代产品的价格差异；</w:t>
      </w:r>
    </w:p>
    <w:p w14:paraId="2909C60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（5）使用替代品的理由和原因说明；</w:t>
      </w:r>
    </w:p>
    <w:p w14:paraId="6715DE2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（6）监理人要求的其他文件。</w:t>
      </w:r>
    </w:p>
    <w:p w14:paraId="4A2FADB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监理人应在收到通知后14天内向承包人发出经发包人签认的书面指示；监理人逾期发出书面指示的，视为发包人和监理人同意使用替代品。</w:t>
      </w:r>
    </w:p>
    <w:p w14:paraId="09A566A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477D48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34" w:name="_Toc351203560"/>
      <w:r>
        <w:rPr>
          <w:rFonts w:hint="eastAsia" w:ascii="宋体" w:hAnsi="宋体" w:eastAsia="宋体" w:cs="宋体"/>
          <w:b w:val="0"/>
          <w:color w:val="000000"/>
          <w:sz w:val="21"/>
          <w:szCs w:val="21"/>
          <w:highlight w:val="none"/>
        </w:rPr>
        <w:t>8.8施工设备和临时设施</w:t>
      </w:r>
      <w:bookmarkEnd w:id="434"/>
    </w:p>
    <w:p w14:paraId="709FBAA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8.8.1 承包人提供的施工设备和临时设施</w:t>
      </w:r>
    </w:p>
    <w:p w14:paraId="66899B9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224C7B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除专用合同条款另有约定外，承包人应自行承担修建临时设施的费用，需要临时占地的，应由发包人办理申请手续并承担相应费用。</w:t>
      </w:r>
    </w:p>
    <w:p w14:paraId="58C3FC9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8.8.2发包人提供的施工设备和临时设施</w:t>
      </w:r>
    </w:p>
    <w:p w14:paraId="610B0A3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发包人提供的施工设备或临时设施在专用合同条款中约定。</w:t>
      </w:r>
    </w:p>
    <w:p w14:paraId="27C85F2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8.8.3要求承包人增加或更换施工设备</w:t>
      </w:r>
    </w:p>
    <w:p w14:paraId="7C782B5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5B3F1E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35" w:name="_Toc351203561"/>
      <w:r>
        <w:rPr>
          <w:rFonts w:hint="eastAsia" w:ascii="宋体" w:hAnsi="宋体" w:eastAsia="宋体" w:cs="宋体"/>
          <w:b w:val="0"/>
          <w:color w:val="000000"/>
          <w:sz w:val="21"/>
          <w:szCs w:val="21"/>
          <w:highlight w:val="none"/>
        </w:rPr>
        <w:t>8</w:t>
      </w:r>
      <w:bookmarkStart w:id="436" w:name="_Toc337558781"/>
      <w:bookmarkStart w:id="437" w:name="_Toc296346564"/>
      <w:bookmarkStart w:id="438" w:name="_Toc296503063"/>
      <w:r>
        <w:rPr>
          <w:rFonts w:hint="eastAsia" w:ascii="宋体" w:hAnsi="宋体" w:eastAsia="宋体" w:cs="宋体"/>
          <w:b w:val="0"/>
          <w:color w:val="000000"/>
          <w:sz w:val="21"/>
          <w:szCs w:val="21"/>
          <w:highlight w:val="none"/>
        </w:rPr>
        <w:t>.9材料与设备专用</w:t>
      </w:r>
      <w:bookmarkEnd w:id="435"/>
      <w:r>
        <w:rPr>
          <w:rFonts w:hint="eastAsia" w:ascii="宋体" w:hAnsi="宋体" w:eastAsia="宋体" w:cs="宋体"/>
          <w:b w:val="0"/>
          <w:color w:val="000000"/>
          <w:sz w:val="21"/>
          <w:szCs w:val="21"/>
          <w:highlight w:val="none"/>
        </w:rPr>
        <w:t>要求</w:t>
      </w:r>
    </w:p>
    <w:bookmarkEnd w:id="436"/>
    <w:bookmarkEnd w:id="437"/>
    <w:bookmarkEnd w:id="438"/>
    <w:p w14:paraId="34A147E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17"/>
      <w:r>
        <w:rPr>
          <w:rFonts w:hint="eastAsia" w:ascii="宋体" w:hAnsi="宋体" w:eastAsia="宋体" w:cs="宋体"/>
          <w:color w:val="000000"/>
          <w:kern w:val="0"/>
          <w:sz w:val="21"/>
          <w:szCs w:val="21"/>
          <w:highlight w:val="none"/>
        </w:rPr>
        <w:t>经发包人批准，承包人可以根据施工进度计划撤走闲置的施工设备和其他物品。</w:t>
      </w:r>
    </w:p>
    <w:p w14:paraId="06F05C77">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439" w:name="_Toc351203562"/>
      <w:r>
        <w:rPr>
          <w:rFonts w:hint="eastAsia" w:ascii="宋体" w:hAnsi="宋体" w:eastAsia="宋体" w:cs="宋体"/>
          <w:b w:val="0"/>
          <w:color w:val="000000"/>
          <w:sz w:val="21"/>
          <w:szCs w:val="21"/>
          <w:highlight w:val="none"/>
        </w:rPr>
        <w:t>9</w:t>
      </w:r>
      <w:bookmarkStart w:id="440" w:name="_Toc337558782"/>
      <w:bookmarkStart w:id="441" w:name="_Toc296346584"/>
      <w:bookmarkStart w:id="442" w:name="_Toc296503083"/>
      <w:r>
        <w:rPr>
          <w:rFonts w:hint="eastAsia" w:ascii="宋体" w:hAnsi="宋体" w:eastAsia="宋体" w:cs="宋体"/>
          <w:b w:val="0"/>
          <w:color w:val="000000"/>
          <w:sz w:val="21"/>
          <w:szCs w:val="21"/>
          <w:highlight w:val="none"/>
        </w:rPr>
        <w:t>. 试验与检验</w:t>
      </w:r>
      <w:bookmarkEnd w:id="439"/>
    </w:p>
    <w:bookmarkEnd w:id="440"/>
    <w:p w14:paraId="1467940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43" w:name="_Toc351203563"/>
      <w:r>
        <w:rPr>
          <w:rFonts w:hint="eastAsia" w:ascii="宋体" w:hAnsi="宋体" w:eastAsia="宋体" w:cs="宋体"/>
          <w:b w:val="0"/>
          <w:color w:val="000000"/>
          <w:sz w:val="21"/>
          <w:szCs w:val="21"/>
          <w:highlight w:val="none"/>
        </w:rPr>
        <w:t>9</w:t>
      </w:r>
      <w:bookmarkStart w:id="444" w:name="_Toc337558783"/>
      <w:r>
        <w:rPr>
          <w:rFonts w:hint="eastAsia" w:ascii="宋体" w:hAnsi="宋体" w:eastAsia="宋体" w:cs="宋体"/>
          <w:b w:val="0"/>
          <w:color w:val="000000"/>
          <w:sz w:val="21"/>
          <w:szCs w:val="21"/>
          <w:highlight w:val="none"/>
        </w:rPr>
        <w:t>.1试验设备与试验人员</w:t>
      </w:r>
      <w:bookmarkEnd w:id="443"/>
    </w:p>
    <w:bookmarkEnd w:id="444"/>
    <w:p w14:paraId="62360A9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D9041D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9.1.2 承包人应按专用合同条款的约定提供试验设备、取样装置、试验场所和试验条件，并向监理人提交相应进场计划表。</w:t>
      </w:r>
    </w:p>
    <w:p w14:paraId="19AF854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承包人配置的试验设备要符合相应试验规程的要求并经过具有资质的检测单位检测，且在正式使用该试验设备前，需要经过监理人与承包人共同校定。</w:t>
      </w:r>
    </w:p>
    <w:p w14:paraId="29D316F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9.1.3 承包人应向监理人提交试验人员的名单及其岗位、资格等证明资料，试验人员必须能够熟练进行相应的检测试验，承包人对试验人员的试验程序和试验结果的正确性负责。</w:t>
      </w:r>
    </w:p>
    <w:p w14:paraId="0332EE8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45" w:name="_Toc351203564"/>
      <w:r>
        <w:rPr>
          <w:rFonts w:hint="eastAsia" w:ascii="宋体" w:hAnsi="宋体" w:eastAsia="宋体" w:cs="宋体"/>
          <w:b w:val="0"/>
          <w:color w:val="000000"/>
          <w:sz w:val="21"/>
          <w:szCs w:val="21"/>
          <w:highlight w:val="none"/>
        </w:rPr>
        <w:t>9</w:t>
      </w:r>
      <w:bookmarkStart w:id="446" w:name="_Toc337558784"/>
      <w:r>
        <w:rPr>
          <w:rFonts w:hint="eastAsia" w:ascii="宋体" w:hAnsi="宋体" w:eastAsia="宋体" w:cs="宋体"/>
          <w:b w:val="0"/>
          <w:color w:val="000000"/>
          <w:sz w:val="21"/>
          <w:szCs w:val="21"/>
          <w:highlight w:val="none"/>
        </w:rPr>
        <w:t>.2取样</w:t>
      </w:r>
      <w:bookmarkEnd w:id="445"/>
    </w:p>
    <w:bookmarkEnd w:id="446"/>
    <w:p w14:paraId="4C92F07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试验属于自检性质的，承包人可以单独取样。试验属于监理人抽检性质的，可由监理人取样，也可由承包人的试验人员在监理人的监督下取样。</w:t>
      </w:r>
    </w:p>
    <w:p w14:paraId="0D3467A6">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47" w:name="_Toc351203565"/>
      <w:r>
        <w:rPr>
          <w:rFonts w:hint="eastAsia" w:ascii="宋体" w:hAnsi="宋体" w:eastAsia="宋体" w:cs="宋体"/>
          <w:b w:val="0"/>
          <w:color w:val="000000"/>
          <w:sz w:val="21"/>
          <w:szCs w:val="21"/>
          <w:highlight w:val="none"/>
        </w:rPr>
        <w:t>9</w:t>
      </w:r>
      <w:bookmarkStart w:id="448" w:name="_Toc337558785"/>
      <w:r>
        <w:rPr>
          <w:rFonts w:hint="eastAsia" w:ascii="宋体" w:hAnsi="宋体" w:eastAsia="宋体" w:cs="宋体"/>
          <w:b w:val="0"/>
          <w:color w:val="000000"/>
          <w:sz w:val="21"/>
          <w:szCs w:val="21"/>
          <w:highlight w:val="none"/>
        </w:rPr>
        <w:t>.3材料、工程设备和工程的试验和检验</w:t>
      </w:r>
      <w:bookmarkEnd w:id="447"/>
    </w:p>
    <w:bookmarkEnd w:id="448"/>
    <w:p w14:paraId="49F9265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DFFEC1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F08C25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C68E46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49" w:name="_Toc351203566"/>
      <w:r>
        <w:rPr>
          <w:rFonts w:hint="eastAsia" w:ascii="宋体" w:hAnsi="宋体" w:eastAsia="宋体" w:cs="宋体"/>
          <w:b w:val="0"/>
          <w:color w:val="000000"/>
          <w:sz w:val="21"/>
          <w:szCs w:val="21"/>
          <w:highlight w:val="none"/>
        </w:rPr>
        <w:t>9</w:t>
      </w:r>
      <w:bookmarkStart w:id="450" w:name="_Toc337558786"/>
      <w:r>
        <w:rPr>
          <w:rFonts w:hint="eastAsia" w:ascii="宋体" w:hAnsi="宋体" w:eastAsia="宋体" w:cs="宋体"/>
          <w:b w:val="0"/>
          <w:color w:val="000000"/>
          <w:sz w:val="21"/>
          <w:szCs w:val="21"/>
          <w:highlight w:val="none"/>
        </w:rPr>
        <w:t>.4现场工艺试验</w:t>
      </w:r>
      <w:bookmarkEnd w:id="449"/>
    </w:p>
    <w:bookmarkEnd w:id="450"/>
    <w:p w14:paraId="6A6FF10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625FEBCD">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451" w:name="_Toc351203567"/>
      <w:r>
        <w:rPr>
          <w:rFonts w:hint="eastAsia" w:ascii="宋体" w:hAnsi="宋体" w:eastAsia="宋体" w:cs="宋体"/>
          <w:b w:val="0"/>
          <w:color w:val="000000"/>
          <w:sz w:val="21"/>
          <w:szCs w:val="21"/>
          <w:highlight w:val="none"/>
        </w:rPr>
        <w:t>1</w:t>
      </w:r>
      <w:bookmarkStart w:id="452" w:name="_Toc337558787"/>
      <w:r>
        <w:rPr>
          <w:rFonts w:hint="eastAsia" w:ascii="宋体" w:hAnsi="宋体" w:eastAsia="宋体" w:cs="宋体"/>
          <w:b w:val="0"/>
          <w:color w:val="000000"/>
          <w:sz w:val="21"/>
          <w:szCs w:val="21"/>
          <w:highlight w:val="none"/>
        </w:rPr>
        <w:t>0. 变更</w:t>
      </w:r>
      <w:bookmarkEnd w:id="441"/>
      <w:bookmarkEnd w:id="442"/>
      <w:bookmarkEnd w:id="451"/>
    </w:p>
    <w:bookmarkEnd w:id="452"/>
    <w:p w14:paraId="5297CA7C">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53" w:name="_Toc351203568"/>
      <w:r>
        <w:rPr>
          <w:rFonts w:hint="eastAsia" w:ascii="宋体" w:hAnsi="宋体" w:eastAsia="宋体" w:cs="宋体"/>
          <w:b w:val="0"/>
          <w:color w:val="000000"/>
          <w:sz w:val="21"/>
          <w:szCs w:val="21"/>
          <w:highlight w:val="none"/>
        </w:rPr>
        <w:t>1</w:t>
      </w:r>
      <w:bookmarkStart w:id="454" w:name="_Toc296346585"/>
      <w:bookmarkStart w:id="455" w:name="_Toc337558788"/>
      <w:bookmarkStart w:id="456" w:name="_Toc296503084"/>
      <w:r>
        <w:rPr>
          <w:rFonts w:hint="eastAsia" w:ascii="宋体" w:hAnsi="宋体" w:eastAsia="宋体" w:cs="宋体"/>
          <w:b w:val="0"/>
          <w:color w:val="000000"/>
          <w:sz w:val="21"/>
          <w:szCs w:val="21"/>
          <w:highlight w:val="none"/>
        </w:rPr>
        <w:t>0.1变更的范围</w:t>
      </w:r>
      <w:bookmarkEnd w:id="453"/>
    </w:p>
    <w:bookmarkEnd w:id="454"/>
    <w:bookmarkEnd w:id="455"/>
    <w:bookmarkEnd w:id="456"/>
    <w:p w14:paraId="6ED15B1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除专用合同条款另有约定外，合同履行过程中发生以下情形的，应按照本条约定进行变更：</w:t>
      </w:r>
    </w:p>
    <w:p w14:paraId="5E8EB36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（1）增加或减少合同中任何工作，或追加额外的工作；</w:t>
      </w:r>
    </w:p>
    <w:p w14:paraId="57C6F2F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（2）取消合同中任何工作，但转由他人实施的工作除外；</w:t>
      </w:r>
    </w:p>
    <w:p w14:paraId="7442956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（3）改变合同中任何工作的质量标准或其他特性；</w:t>
      </w:r>
    </w:p>
    <w:p w14:paraId="3361E98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（4）改变工程的基线、标高、位置和尺寸；</w:t>
      </w:r>
    </w:p>
    <w:p w14:paraId="7E4ADF6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（5）改变工程的时间安排或实施顺序。</w:t>
      </w:r>
    </w:p>
    <w:p w14:paraId="6DAC28FE">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57" w:name="_Toc351203569"/>
      <w:r>
        <w:rPr>
          <w:rFonts w:hint="eastAsia" w:ascii="宋体" w:hAnsi="宋体" w:eastAsia="宋体" w:cs="宋体"/>
          <w:b w:val="0"/>
          <w:color w:val="000000"/>
          <w:sz w:val="21"/>
          <w:szCs w:val="21"/>
          <w:highlight w:val="none"/>
        </w:rPr>
        <w:t>1</w:t>
      </w:r>
      <w:bookmarkStart w:id="458" w:name="_Toc296503085"/>
      <w:bookmarkStart w:id="459" w:name="_Toc337558789"/>
      <w:bookmarkStart w:id="460" w:name="_Toc296346586"/>
      <w:r>
        <w:rPr>
          <w:rFonts w:hint="eastAsia" w:ascii="宋体" w:hAnsi="宋体" w:eastAsia="宋体" w:cs="宋体"/>
          <w:b w:val="0"/>
          <w:color w:val="000000"/>
          <w:sz w:val="21"/>
          <w:szCs w:val="21"/>
          <w:highlight w:val="none"/>
        </w:rPr>
        <w:t>0.2变更权</w:t>
      </w:r>
      <w:bookmarkEnd w:id="457"/>
    </w:p>
    <w:bookmarkEnd w:id="458"/>
    <w:bookmarkEnd w:id="459"/>
    <w:bookmarkEnd w:id="460"/>
    <w:p w14:paraId="0C58719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7514D2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涉及设计变更的，应由设计人提供变更后的图纸和说明。如变更超过原设计标准或批准的建设规模时，发包人应及时办理规划、设计变更等审批手续。</w:t>
      </w:r>
    </w:p>
    <w:p w14:paraId="38285383">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61" w:name="_Toc351203570"/>
      <w:r>
        <w:rPr>
          <w:rFonts w:hint="eastAsia" w:ascii="宋体" w:hAnsi="宋体" w:eastAsia="宋体" w:cs="宋体"/>
          <w:b w:val="0"/>
          <w:color w:val="000000"/>
          <w:sz w:val="21"/>
          <w:szCs w:val="21"/>
          <w:highlight w:val="none"/>
        </w:rPr>
        <w:t>1</w:t>
      </w:r>
      <w:bookmarkStart w:id="462" w:name="_Toc296503086"/>
      <w:bookmarkStart w:id="463" w:name="_Toc296346587"/>
      <w:bookmarkStart w:id="464" w:name="_Toc337558790"/>
      <w:r>
        <w:rPr>
          <w:rFonts w:hint="eastAsia" w:ascii="宋体" w:hAnsi="宋体" w:eastAsia="宋体" w:cs="宋体"/>
          <w:b w:val="0"/>
          <w:color w:val="000000"/>
          <w:sz w:val="21"/>
          <w:szCs w:val="21"/>
          <w:highlight w:val="none"/>
        </w:rPr>
        <w:t>0.3变更程序</w:t>
      </w:r>
      <w:bookmarkEnd w:id="461"/>
    </w:p>
    <w:bookmarkEnd w:id="462"/>
    <w:bookmarkEnd w:id="463"/>
    <w:bookmarkEnd w:id="464"/>
    <w:p w14:paraId="052E560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kern w:val="0"/>
          <w:sz w:val="21"/>
          <w:szCs w:val="21"/>
          <w:highlight w:val="none"/>
        </w:rPr>
        <w:t>.3.1 发包人提出变更</w:t>
      </w:r>
    </w:p>
    <w:p w14:paraId="169E3A3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发包人提出变更的，应通过监理人向承包人发出变更指示，变更指示应说明计划变更的工程范围和变更的内容。</w:t>
      </w:r>
    </w:p>
    <w:p w14:paraId="1188063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kern w:val="0"/>
          <w:sz w:val="21"/>
          <w:szCs w:val="21"/>
          <w:highlight w:val="none"/>
        </w:rPr>
        <w:t>.3.2 监理人提出变更建议</w:t>
      </w:r>
    </w:p>
    <w:p w14:paraId="4B335C7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5CEB2A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10.3.3 变更执行</w:t>
      </w:r>
    </w:p>
    <w:p w14:paraId="310C5D3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28605D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65" w:name="_Toc351203571"/>
      <w:r>
        <w:rPr>
          <w:rFonts w:hint="eastAsia" w:ascii="宋体" w:hAnsi="宋体" w:eastAsia="宋体" w:cs="宋体"/>
          <w:b w:val="0"/>
          <w:color w:val="000000"/>
          <w:sz w:val="21"/>
          <w:szCs w:val="21"/>
          <w:highlight w:val="none"/>
        </w:rPr>
        <w:t>1</w:t>
      </w:r>
      <w:bookmarkStart w:id="466" w:name="_Toc296346588"/>
      <w:bookmarkStart w:id="467" w:name="_Toc337558791"/>
      <w:bookmarkStart w:id="468" w:name="_Toc296503087"/>
      <w:r>
        <w:rPr>
          <w:rFonts w:hint="eastAsia" w:ascii="宋体" w:hAnsi="宋体" w:eastAsia="宋体" w:cs="宋体"/>
          <w:b w:val="0"/>
          <w:color w:val="000000"/>
          <w:sz w:val="21"/>
          <w:szCs w:val="21"/>
          <w:highlight w:val="none"/>
        </w:rPr>
        <w:t>0.4变更估价</w:t>
      </w:r>
      <w:bookmarkEnd w:id="465"/>
    </w:p>
    <w:bookmarkEnd w:id="466"/>
    <w:bookmarkEnd w:id="467"/>
    <w:bookmarkEnd w:id="468"/>
    <w:p w14:paraId="7F3673E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10.4.1 变更估价原则</w:t>
      </w:r>
    </w:p>
    <w:p w14:paraId="2D9E170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除专用合同条款另有约定外，变更估价按照本款约定处理：</w:t>
      </w:r>
    </w:p>
    <w:p w14:paraId="2EF9650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（1）已标价工程量清单或预算书有相同项目的，按照相同项目单价认定；</w:t>
      </w:r>
    </w:p>
    <w:p w14:paraId="483C33A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（2）已标价工程量清单或预算书中无相同项目，但有类似项目的，参照类似项目的单价认定；</w:t>
      </w:r>
    </w:p>
    <w:p w14:paraId="4C7A285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93DFA3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10.4.2 变更估价程序</w:t>
      </w:r>
    </w:p>
    <w:p w14:paraId="4A782B2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D6C4EA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因变更引起的价格调整应计入最近一期的进度款中支付。</w:t>
      </w:r>
    </w:p>
    <w:p w14:paraId="4868969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69" w:name="_Toc351203572"/>
      <w:r>
        <w:rPr>
          <w:rFonts w:hint="eastAsia" w:ascii="宋体" w:hAnsi="宋体" w:eastAsia="宋体" w:cs="宋体"/>
          <w:b w:val="0"/>
          <w:color w:val="000000"/>
          <w:sz w:val="21"/>
          <w:szCs w:val="21"/>
          <w:highlight w:val="none"/>
        </w:rPr>
        <w:t>1</w:t>
      </w:r>
      <w:bookmarkStart w:id="470" w:name="_Toc296503094"/>
      <w:bookmarkStart w:id="471" w:name="_Toc296346595"/>
      <w:bookmarkStart w:id="472" w:name="_Toc337558792"/>
      <w:r>
        <w:rPr>
          <w:rFonts w:hint="eastAsia" w:ascii="宋体" w:hAnsi="宋体" w:eastAsia="宋体" w:cs="宋体"/>
          <w:b w:val="0"/>
          <w:color w:val="000000"/>
          <w:sz w:val="21"/>
          <w:szCs w:val="21"/>
          <w:highlight w:val="none"/>
        </w:rPr>
        <w:t>0.5承包人的合理化建议</w:t>
      </w:r>
      <w:bookmarkEnd w:id="469"/>
    </w:p>
    <w:bookmarkEnd w:id="470"/>
    <w:bookmarkEnd w:id="471"/>
    <w:bookmarkEnd w:id="472"/>
    <w:p w14:paraId="5F2AD2A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承包人提出合理化建议的，应向监理人提交合理化建议说明，说明建议的内容和理由，以及实施该建议对合同价格和工期的影响。</w:t>
      </w:r>
    </w:p>
    <w:p w14:paraId="59D635D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2DC6C0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合理化建议降低了合同价格或者提高了工程经济效益的，发包人可对承包人给予奖励，奖励的方法和金额在专用合同条款中约定。</w:t>
      </w:r>
    </w:p>
    <w:p w14:paraId="36E8EF46">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color w:val="000000"/>
          <w:sz w:val="21"/>
          <w:szCs w:val="21"/>
          <w:highlight w:val="none"/>
        </w:rPr>
      </w:pPr>
      <w:bookmarkStart w:id="473" w:name="_Toc351203573"/>
      <w:r>
        <w:rPr>
          <w:rFonts w:hint="eastAsia" w:ascii="宋体" w:hAnsi="宋体" w:eastAsia="宋体" w:cs="宋体"/>
          <w:b w:val="0"/>
          <w:color w:val="000000"/>
          <w:sz w:val="21"/>
          <w:szCs w:val="21"/>
          <w:highlight w:val="none"/>
        </w:rPr>
        <w:t>1</w:t>
      </w:r>
      <w:bookmarkStart w:id="474" w:name="_Toc337558793"/>
      <w:r>
        <w:rPr>
          <w:rFonts w:hint="eastAsia" w:ascii="宋体" w:hAnsi="宋体" w:eastAsia="宋体" w:cs="宋体"/>
          <w:b w:val="0"/>
          <w:color w:val="000000"/>
          <w:sz w:val="21"/>
          <w:szCs w:val="21"/>
          <w:highlight w:val="none"/>
        </w:rPr>
        <w:t>0.6变更引起的工期调整</w:t>
      </w:r>
      <w:bookmarkEnd w:id="473"/>
      <w:r>
        <w:rPr>
          <w:rFonts w:hint="eastAsia" w:ascii="宋体" w:hAnsi="宋体" w:eastAsia="宋体" w:cs="宋体"/>
          <w:b w:val="0"/>
          <w:color w:val="000000"/>
          <w:sz w:val="21"/>
          <w:szCs w:val="21"/>
          <w:highlight w:val="none"/>
        </w:rPr>
        <w:t xml:space="preserve"> </w:t>
      </w:r>
      <w:bookmarkEnd w:id="474"/>
      <w:r>
        <w:rPr>
          <w:rFonts w:hint="eastAsia" w:ascii="宋体" w:hAnsi="宋体" w:eastAsia="宋体" w:cs="宋体"/>
          <w:b w:val="0"/>
          <w:color w:val="000000"/>
          <w:sz w:val="21"/>
          <w:szCs w:val="21"/>
          <w:highlight w:val="none"/>
        </w:rPr>
        <w:t xml:space="preserve"> </w:t>
      </w:r>
      <w:r>
        <w:rPr>
          <w:rFonts w:hint="eastAsia" w:ascii="宋体" w:hAnsi="宋体" w:eastAsia="宋体" w:cs="宋体"/>
          <w:color w:val="000000"/>
          <w:sz w:val="21"/>
          <w:szCs w:val="21"/>
          <w:highlight w:val="none"/>
        </w:rPr>
        <w:t xml:space="preserve"> </w:t>
      </w:r>
    </w:p>
    <w:p w14:paraId="3DF3956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因变更引起工期变化的，合同当事人均可要求调整合同工期，由合同当事人按照第4.4款〔商定或确定〕并参考工程所在地的工期定额标准确定增减工期天数。</w:t>
      </w:r>
    </w:p>
    <w:p w14:paraId="17B9E5F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75" w:name="_Toc351203574"/>
      <w:r>
        <w:rPr>
          <w:rFonts w:hint="eastAsia" w:ascii="宋体" w:hAnsi="宋体" w:eastAsia="宋体" w:cs="宋体"/>
          <w:b w:val="0"/>
          <w:color w:val="000000"/>
          <w:sz w:val="21"/>
          <w:szCs w:val="21"/>
          <w:highlight w:val="none"/>
        </w:rPr>
        <w:t>10.7暂估价</w:t>
      </w:r>
      <w:bookmarkEnd w:id="475"/>
    </w:p>
    <w:p w14:paraId="4E40218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暂估价专业分包工程、服务、材料和工程设备的明细由合同当事人在专用合同条款中约定。</w:t>
      </w:r>
    </w:p>
    <w:p w14:paraId="52A0DD8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10.7.1</w:t>
      </w:r>
      <w:r>
        <w:rPr>
          <w:rFonts w:hint="eastAsia" w:ascii="宋体" w:hAnsi="宋体" w:eastAsia="宋体" w:cs="宋体"/>
          <w:color w:val="000000"/>
          <w:kern w:val="0"/>
          <w:sz w:val="21"/>
          <w:szCs w:val="21"/>
          <w:highlight w:val="none"/>
        </w:rPr>
        <w:t xml:space="preserve"> 依法必须招标的暂估价项目</w:t>
      </w:r>
    </w:p>
    <w:p w14:paraId="5B82F0A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对于依法必须招标的暂估价项目，采取以下第1种方式确定。合同当事人也可以在专用合同条款中选择其他招标方式。</w:t>
      </w:r>
    </w:p>
    <w:p w14:paraId="475E239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第1种方式：对于依法必须招标的暂估价项目，由承包人招标，对该暂估价项目的确认和批准按照以下约定执行：</w:t>
      </w:r>
    </w:p>
    <w:p w14:paraId="64EAA66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9DA6C6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FAEF7A3">
      <w:pPr>
        <w:pageBreakBefore w:val="0"/>
        <w:widowControl w:val="0"/>
        <w:kinsoku/>
        <w:wordWrap/>
        <w:overflowPunct/>
        <w:topLinePunct w:val="0"/>
        <w:bidi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E8DCD4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D2B5FE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10.7.2</w:t>
      </w:r>
      <w:r>
        <w:rPr>
          <w:rFonts w:hint="eastAsia" w:ascii="宋体" w:hAnsi="宋体" w:eastAsia="宋体" w:cs="宋体"/>
          <w:color w:val="000000"/>
          <w:kern w:val="0"/>
          <w:sz w:val="21"/>
          <w:szCs w:val="21"/>
          <w:highlight w:val="none"/>
        </w:rPr>
        <w:t>不属于依法必须招标的暂估价项目</w:t>
      </w:r>
    </w:p>
    <w:p w14:paraId="7EC9ACF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除专用合同条款另有约定外，对于不属于依法必须招标的暂估价项目，采取以下第1种方式确定： </w:t>
      </w:r>
    </w:p>
    <w:p w14:paraId="048B9C6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第1种方式：对于不属于依法必须招标的暂估价项目，按本项约定确认和批准：</w:t>
      </w:r>
    </w:p>
    <w:p w14:paraId="0E414A3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B4655E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（2）发包人认为承包人确定的供应商、分包人无法满足工程质量或合同要求的，发包人可以要求承包人重新确定暂估价项目的供应商、分包人;</w:t>
      </w:r>
    </w:p>
    <w:p w14:paraId="13ED8BD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（3）承包人应当在签订暂估价合同后7天内，将暂估价合同副本报送发包人留存。</w:t>
      </w:r>
    </w:p>
    <w:p w14:paraId="6EE0E79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第2种方式：承包人按照第10.7.1项〔依法必须招标的暂估价项目〕约定的第1种方式确定暂估价项目。</w:t>
      </w:r>
    </w:p>
    <w:p w14:paraId="08137DF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第3种方式：</w:t>
      </w:r>
      <w:r>
        <w:rPr>
          <w:rFonts w:hint="eastAsia" w:ascii="宋体" w:hAnsi="宋体" w:eastAsia="宋体" w:cs="宋体"/>
          <w:color w:val="000000"/>
          <w:kern w:val="0"/>
          <w:sz w:val="21"/>
          <w:szCs w:val="21"/>
          <w:highlight w:val="none"/>
        </w:rPr>
        <w:t>承包人直接实施的暂估价项目</w:t>
      </w:r>
    </w:p>
    <w:p w14:paraId="39A5269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承包人具备实施暂估价项目的资格和条件的，经发包人和承包人协商一致后，可由承包人自行实施暂估价项目，合同当事人可以在专用合同条款约定具体事项。</w:t>
      </w:r>
    </w:p>
    <w:p w14:paraId="5353A8E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BEADBF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76" w:name="_Toc351203575"/>
      <w:r>
        <w:rPr>
          <w:rFonts w:hint="eastAsia" w:ascii="宋体" w:hAnsi="宋体" w:eastAsia="宋体" w:cs="宋体"/>
          <w:b w:val="0"/>
          <w:color w:val="000000"/>
          <w:sz w:val="21"/>
          <w:szCs w:val="21"/>
          <w:highlight w:val="none"/>
        </w:rPr>
        <w:t>1</w:t>
      </w:r>
      <w:bookmarkStart w:id="477" w:name="_Toc337558794"/>
      <w:bookmarkStart w:id="478" w:name="_Toc296346591"/>
      <w:bookmarkStart w:id="479" w:name="_Toc296503090"/>
      <w:bookmarkStart w:id="480" w:name="_Toc322522561"/>
      <w:r>
        <w:rPr>
          <w:rFonts w:hint="eastAsia" w:ascii="宋体" w:hAnsi="宋体" w:eastAsia="宋体" w:cs="宋体"/>
          <w:b w:val="0"/>
          <w:color w:val="000000"/>
          <w:sz w:val="21"/>
          <w:szCs w:val="21"/>
          <w:highlight w:val="none"/>
        </w:rPr>
        <w:t>0.8暂列金额</w:t>
      </w:r>
      <w:bookmarkEnd w:id="476"/>
    </w:p>
    <w:bookmarkEnd w:id="477"/>
    <w:p w14:paraId="3858FAF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暂列金额应按照发包人的要求使用，发包人的要求应通过监理人发出。合同当事人可以在专用合同条款中协商确定有关事项。</w:t>
      </w:r>
    </w:p>
    <w:bookmarkEnd w:id="478"/>
    <w:bookmarkEnd w:id="479"/>
    <w:bookmarkEnd w:id="480"/>
    <w:p w14:paraId="23FA269C">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81" w:name="_Toc351203576"/>
      <w:r>
        <w:rPr>
          <w:rFonts w:hint="eastAsia" w:ascii="宋体" w:hAnsi="宋体" w:eastAsia="宋体" w:cs="宋体"/>
          <w:b w:val="0"/>
          <w:color w:val="000000"/>
          <w:sz w:val="21"/>
          <w:szCs w:val="21"/>
          <w:highlight w:val="none"/>
        </w:rPr>
        <w:t>1</w:t>
      </w:r>
      <w:bookmarkStart w:id="482" w:name="_Toc296346592"/>
      <w:bookmarkStart w:id="483" w:name="_Toc296503091"/>
      <w:bookmarkStart w:id="484" w:name="_Toc337558796"/>
      <w:r>
        <w:rPr>
          <w:rFonts w:hint="eastAsia" w:ascii="宋体" w:hAnsi="宋体" w:eastAsia="宋体" w:cs="宋体"/>
          <w:b w:val="0"/>
          <w:color w:val="000000"/>
          <w:sz w:val="21"/>
          <w:szCs w:val="21"/>
          <w:highlight w:val="none"/>
        </w:rPr>
        <w:t>0.9计日工</w:t>
      </w:r>
      <w:bookmarkEnd w:id="481"/>
      <w:r>
        <w:rPr>
          <w:rFonts w:hint="eastAsia" w:ascii="宋体" w:hAnsi="宋体" w:eastAsia="宋体" w:cs="宋体"/>
          <w:b w:val="0"/>
          <w:color w:val="000000"/>
          <w:sz w:val="21"/>
          <w:szCs w:val="21"/>
          <w:highlight w:val="none"/>
        </w:rPr>
        <w:t xml:space="preserve"> </w:t>
      </w:r>
      <w:bookmarkEnd w:id="482"/>
      <w:bookmarkEnd w:id="483"/>
      <w:bookmarkEnd w:id="484"/>
    </w:p>
    <w:p w14:paraId="08DE318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29112B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采用计日工计价的任何一项工作，承包人应在该项工作实施过程中，每天提交以下报表和有关凭证报送监理人审查：</w:t>
      </w:r>
    </w:p>
    <w:p w14:paraId="079395C8">
      <w:pPr>
        <w:pageBreakBefore w:val="0"/>
        <w:widowControl w:val="0"/>
        <w:kinsoku/>
        <w:wordWrap/>
        <w:overflowPunct/>
        <w:topLinePunct w:val="0"/>
        <w:bidi w:val="0"/>
        <w:snapToGrid w:val="0"/>
        <w:spacing w:line="360" w:lineRule="auto"/>
        <w:ind w:firstLine="315" w:firstLineChars="15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（1）工作名称、内容和数量；</w:t>
      </w:r>
    </w:p>
    <w:p w14:paraId="40B96C96">
      <w:pPr>
        <w:pageBreakBefore w:val="0"/>
        <w:widowControl w:val="0"/>
        <w:kinsoku/>
        <w:wordWrap/>
        <w:overflowPunct/>
        <w:topLinePunct w:val="0"/>
        <w:bidi w:val="0"/>
        <w:snapToGrid w:val="0"/>
        <w:spacing w:line="360" w:lineRule="auto"/>
        <w:ind w:firstLine="315" w:firstLineChars="15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（2）投入该工作的所有人员的姓名、专业、工种、级别和耗用工时；</w:t>
      </w:r>
    </w:p>
    <w:p w14:paraId="5BC32D0C">
      <w:pPr>
        <w:pageBreakBefore w:val="0"/>
        <w:widowControl w:val="0"/>
        <w:kinsoku/>
        <w:wordWrap/>
        <w:overflowPunct/>
        <w:topLinePunct w:val="0"/>
        <w:bidi w:val="0"/>
        <w:snapToGrid w:val="0"/>
        <w:spacing w:line="360" w:lineRule="auto"/>
        <w:ind w:firstLine="315" w:firstLineChars="15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（3）投入该工作的材料类别和数量；</w:t>
      </w:r>
    </w:p>
    <w:p w14:paraId="2DEBCC99">
      <w:pPr>
        <w:pageBreakBefore w:val="0"/>
        <w:widowControl w:val="0"/>
        <w:kinsoku/>
        <w:wordWrap/>
        <w:overflowPunct/>
        <w:topLinePunct w:val="0"/>
        <w:bidi w:val="0"/>
        <w:snapToGrid w:val="0"/>
        <w:spacing w:line="360" w:lineRule="auto"/>
        <w:ind w:firstLine="315" w:firstLineChars="15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（4）投入该工作的施工设备型号、台数和耗用台时；</w:t>
      </w:r>
    </w:p>
    <w:p w14:paraId="0DF3656B">
      <w:pPr>
        <w:pageBreakBefore w:val="0"/>
        <w:widowControl w:val="0"/>
        <w:kinsoku/>
        <w:wordWrap/>
        <w:overflowPunct/>
        <w:topLinePunct w:val="0"/>
        <w:bidi w:val="0"/>
        <w:snapToGrid w:val="0"/>
        <w:spacing w:line="360" w:lineRule="auto"/>
        <w:ind w:firstLine="315" w:firstLineChars="15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（5）其他有关资料和凭证。</w:t>
      </w:r>
    </w:p>
    <w:p w14:paraId="3B0913EF">
      <w:pPr>
        <w:pageBreakBefore w:val="0"/>
        <w:widowControl w:val="0"/>
        <w:kinsoku/>
        <w:wordWrap/>
        <w:overflowPunct/>
        <w:topLinePunct w:val="0"/>
        <w:bidi w:val="0"/>
        <w:snapToGrid w:val="0"/>
        <w:spacing w:line="360" w:lineRule="auto"/>
        <w:ind w:firstLine="315" w:firstLineChars="15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计日工由承包人汇总后，列入最近一期进度付款申请单，由监理人审查并经发包人批准后列入进度付款。</w:t>
      </w:r>
    </w:p>
    <w:p w14:paraId="7C39A733">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485" w:name="_Toc351203577"/>
      <w:r>
        <w:rPr>
          <w:rFonts w:hint="eastAsia" w:ascii="宋体" w:hAnsi="宋体" w:eastAsia="宋体" w:cs="宋体"/>
          <w:b w:val="0"/>
          <w:color w:val="000000"/>
          <w:sz w:val="21"/>
          <w:szCs w:val="21"/>
          <w:highlight w:val="none"/>
        </w:rPr>
        <w:t>11. 价格调整</w:t>
      </w:r>
      <w:bookmarkEnd w:id="485"/>
    </w:p>
    <w:p w14:paraId="3ED45B5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86" w:name="_Toc351203578"/>
      <w:bookmarkStart w:id="487" w:name="_Toc296503092"/>
      <w:bookmarkStart w:id="488" w:name="_Toc296346593"/>
      <w:bookmarkStart w:id="489" w:name="_Toc337558797"/>
      <w:r>
        <w:rPr>
          <w:rFonts w:hint="eastAsia" w:ascii="宋体" w:hAnsi="宋体" w:eastAsia="宋体" w:cs="宋体"/>
          <w:b w:val="0"/>
          <w:color w:val="000000"/>
          <w:sz w:val="21"/>
          <w:szCs w:val="21"/>
          <w:highlight w:val="none"/>
        </w:rPr>
        <w:t>11.1市场价格波动引起的调整</w:t>
      </w:r>
      <w:bookmarkEnd w:id="486"/>
    </w:p>
    <w:bookmarkEnd w:id="487"/>
    <w:bookmarkEnd w:id="488"/>
    <w:bookmarkEnd w:id="489"/>
    <w:p w14:paraId="5AAEFBA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14:paraId="25BF39E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第1种方式：采用价格指数进行价格调整。</w:t>
      </w:r>
    </w:p>
    <w:p w14:paraId="6C07D02F">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（1）价格调整公式</w:t>
      </w:r>
    </w:p>
    <w:p w14:paraId="02CC28F8">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因人工、材料和设备等价格波动影响合同价格时，根据专用合同条款中约定的数据，按以下公式计算差额并调整合同价格：</w:t>
      </w:r>
    </w:p>
    <w:p w14:paraId="3E8A0E96">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position w:val="-30"/>
          <w:sz w:val="21"/>
          <w:szCs w:val="21"/>
          <w:highlight w:val="none"/>
        </w:rPr>
        <w:object>
          <v:shape id="_x0000_i1025" o:spt="75" type="#_x0000_t75" style="height:43.9pt;width:359.85pt;" o:ole="t" filled="f" stroked="f" coordsize="21600,21600">
            <v:path/>
            <v:fill on="f" focussize="0,0"/>
            <v:stroke on="f"/>
            <v:imagedata r:id="rId22" o:title=""/>
            <o:lock v:ext="edit" grouping="f" rotation="f" text="f" aspectratio="t"/>
            <w10:wrap type="none"/>
            <w10:anchorlock/>
          </v:shape>
          <o:OLEObject Type="Embed" ProgID="Equation.KSEE3" ShapeID="_x0000_i1025" DrawAspect="Content" ObjectID="_1468075725" r:id="rId21">
            <o:LockedField>false</o:LockedField>
          </o:OLEObject>
        </w:object>
      </w:r>
    </w:p>
    <w:p w14:paraId="1C1630C9">
      <w:pPr>
        <w:pageBreakBefore w:val="0"/>
        <w:widowControl w:val="0"/>
        <w:tabs>
          <w:tab w:val="left" w:pos="0"/>
          <w:tab w:val="left" w:pos="360"/>
          <w:tab w:val="left" w:pos="540"/>
        </w:tabs>
        <w:kinsoku/>
        <w:wordWrap/>
        <w:overflowPunct/>
        <w:topLinePunct w:val="0"/>
        <w:bidi w:val="0"/>
        <w:snapToGrid w:val="0"/>
        <w:spacing w:line="360" w:lineRule="auto"/>
        <w:ind w:firstLine="6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公式中：ΔP——需调整的价格差额；</w:t>
      </w:r>
    </w:p>
    <w:p w14:paraId="25DEFE0E">
      <w:pPr>
        <w:pageBreakBefore w:val="0"/>
        <w:widowControl w:val="0"/>
        <w:tabs>
          <w:tab w:val="left" w:pos="0"/>
          <w:tab w:val="left" w:pos="360"/>
          <w:tab w:val="left" w:pos="540"/>
        </w:tabs>
        <w:kinsoku/>
        <w:wordWrap/>
        <w:overflowPunct/>
        <w:topLinePunct w:val="0"/>
        <w:bidi w:val="0"/>
        <w:snapToGrid w:val="0"/>
        <w:spacing w:line="360" w:lineRule="auto"/>
        <w:ind w:firstLine="1260" w:firstLineChars="600"/>
        <w:rPr>
          <w:rFonts w:hint="eastAsia" w:ascii="宋体" w:hAnsi="宋体" w:eastAsia="宋体" w:cs="宋体"/>
          <w:color w:val="000000"/>
          <w:sz w:val="21"/>
          <w:szCs w:val="21"/>
          <w:highlight w:val="none"/>
        </w:rPr>
      </w:pPr>
      <w:r>
        <w:rPr>
          <w:rFonts w:hint="eastAsia" w:ascii="宋体" w:hAnsi="宋体" w:eastAsia="宋体" w:cs="宋体"/>
          <w:color w:val="000000"/>
          <w:position w:val="-6"/>
          <w:sz w:val="21"/>
          <w:szCs w:val="21"/>
          <w:highlight w:val="none"/>
        </w:rPr>
        <w:object>
          <v:shape id="_x0000_i1026" o:spt="75" type="#_x0000_t75" style="height:17.95pt;width:17.95pt;" o:ole="t" filled="f" stroked="f" coordsize="21600,21600">
            <v:path/>
            <v:fill on="f" focussize="0,0"/>
            <v:stroke on="f"/>
            <v:imagedata r:id="rId24" o:title=""/>
            <o:lock v:ext="edit" grouping="f" rotation="f" text="f" aspectratio="t"/>
            <w10:wrap type="none"/>
            <w10:anchorlock/>
          </v:shape>
          <o:OLEObject Type="Embed" ProgID="Equation.KSEE3" ShapeID="_x0000_i1026" DrawAspect="Content" ObjectID="_1468075726" r:id="rId23">
            <o:LockedField>false</o:LockedField>
          </o:OLEObject>
        </w:object>
      </w:r>
      <w:r>
        <w:rPr>
          <w:rFonts w:hint="eastAsia" w:ascii="宋体" w:hAnsi="宋体" w:eastAsia="宋体" w:cs="宋体"/>
          <w:color w:val="000000"/>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8165462">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A——定值权重（即不调部分的权重）；</w:t>
      </w:r>
    </w:p>
    <w:p w14:paraId="7C6B1BF4">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position w:val="-10"/>
          <w:sz w:val="21"/>
          <w:szCs w:val="21"/>
          <w:highlight w:val="none"/>
        </w:rPr>
        <w:object>
          <v:shape id="_x0000_i1027" o:spt="75" type="#_x0000_t75" style="height:21.05pt;width:101pt;" o:ole="t" filled="f" stroked="f" coordsize="21600,21600">
            <v:path/>
            <v:fill on="f" focussize="0,0"/>
            <v:stroke on="f"/>
            <v:imagedata r:id="rId26" o:title=""/>
            <o:lock v:ext="edit" grouping="f" rotation="f" text="f" aspectratio="t"/>
            <w10:wrap type="none"/>
            <w10:anchorlock/>
          </v:shape>
          <o:OLEObject Type="Embed" ProgID="Equation.KSEE3" ShapeID="_x0000_i1027" DrawAspect="Content" ObjectID="_1468075727" r:id="rId25">
            <o:LockedField>false</o:LockedField>
          </o:OLEObject>
        </w:object>
      </w:r>
      <w:r>
        <w:rPr>
          <w:rFonts w:hint="eastAsia" w:ascii="宋体" w:hAnsi="宋体" w:eastAsia="宋体" w:cs="宋体"/>
          <w:color w:val="000000"/>
          <w:sz w:val="21"/>
          <w:szCs w:val="21"/>
          <w:highlight w:val="none"/>
        </w:rPr>
        <w:t>——各可调因子的变值权重（即可调部分的权重），为各可调因子在签约合同价中所占的比例；</w:t>
      </w:r>
    </w:p>
    <w:p w14:paraId="68C39C17">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position w:val="-10"/>
          <w:sz w:val="21"/>
          <w:szCs w:val="21"/>
          <w:highlight w:val="none"/>
        </w:rPr>
        <w:object>
          <v:shape id="_x0000_i1028" o:spt="75" type="#_x0000_t75" style="height:20.6pt;width:102.05pt;" o:ole="t" filled="f" stroked="f" coordsize="21600,21600">
            <v:path/>
            <v:fill on="f" focussize="0,0"/>
            <v:stroke on="f"/>
            <v:imagedata r:id="rId28" o:title=""/>
            <o:lock v:ext="edit" grouping="f" rotation="f" text="f" aspectratio="t"/>
            <w10:wrap type="none"/>
            <w10:anchorlock/>
          </v:shape>
          <o:OLEObject Type="Embed" ProgID="Equation.KSEE3" ShapeID="_x0000_i1028" DrawAspect="Content" ObjectID="_1468075728" r:id="rId27">
            <o:LockedField>false</o:LockedField>
          </o:OLEObject>
        </w:object>
      </w:r>
      <w:r>
        <w:rPr>
          <w:rFonts w:hint="eastAsia" w:ascii="宋体" w:hAnsi="宋体" w:eastAsia="宋体" w:cs="宋体"/>
          <w:color w:val="000000"/>
          <w:sz w:val="21"/>
          <w:szCs w:val="21"/>
          <w:highlight w:val="none"/>
        </w:rPr>
        <w:t>——各可调因子的现行价格指数，指约定的付款证书相关周期最后一天的前42天的各可调因子的价格指数；</w:t>
      </w:r>
    </w:p>
    <w:p w14:paraId="77AC8C64">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position w:val="-10"/>
          <w:sz w:val="21"/>
          <w:szCs w:val="21"/>
          <w:highlight w:val="none"/>
        </w:rPr>
        <w:object>
          <v:shape id="_x0000_i1029" o:spt="75" type="#_x0000_t75" style="height:20.2pt;width:108pt;" o:ole="t" filled="f" stroked="f" coordsize="21600,21600">
            <v:path/>
            <v:fill on="f" focussize="0,0"/>
            <v:stroke on="f"/>
            <v:imagedata r:id="rId30" o:title=""/>
            <o:lock v:ext="edit" grouping="f" rotation="f" text="f" aspectratio="t"/>
            <w10:wrap type="none"/>
            <w10:anchorlock/>
          </v:shape>
          <o:OLEObject Type="Embed" ProgID="Equation.KSEE3" ShapeID="_x0000_i1029" DrawAspect="Content" ObjectID="_1468075729" r:id="rId29">
            <o:LockedField>false</o:LockedField>
          </o:OLEObject>
        </w:object>
      </w:r>
      <w:r>
        <w:rPr>
          <w:rFonts w:hint="eastAsia" w:ascii="宋体" w:hAnsi="宋体" w:eastAsia="宋体" w:cs="宋体"/>
          <w:color w:val="000000"/>
          <w:sz w:val="21"/>
          <w:szCs w:val="21"/>
          <w:highlight w:val="none"/>
        </w:rPr>
        <w:t>——各可调因子的基本价格指数，指基准日期的各可调因子的价格指数。</w:t>
      </w:r>
    </w:p>
    <w:p w14:paraId="4DC21119">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0AF87E5">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（2）暂时确定调整差额</w:t>
      </w:r>
    </w:p>
    <w:p w14:paraId="2AF7F2F3">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在计算调整差额时无现行价格指数的，合同当事人同意暂用前次价格指数计算。实际价格指数有调整的，合同当事人进行相应调整。</w:t>
      </w:r>
    </w:p>
    <w:p w14:paraId="777FDFE1">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（3）权重的调整</w:t>
      </w:r>
    </w:p>
    <w:p w14:paraId="648B80B4">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因变更导致合同约定的权重不合理时，按照第4.4款〔商定或确定〕执行。</w:t>
      </w:r>
    </w:p>
    <w:p w14:paraId="2508056B">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（4）因承包人原因工期延误后的价格调整</w:t>
      </w:r>
    </w:p>
    <w:p w14:paraId="075BFF50">
      <w:pPr>
        <w:pageBreakBefore w:val="0"/>
        <w:widowControl w:val="0"/>
        <w:tabs>
          <w:tab w:val="left" w:pos="0"/>
          <w:tab w:val="left" w:pos="360"/>
          <w:tab w:val="left" w:pos="540"/>
        </w:tabs>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C9B648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第2种方式：采用造价信息进行价格调整。</w:t>
      </w:r>
    </w:p>
    <w:p w14:paraId="372B0D1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3099E7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E26F16E">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（2）材料、工程设备价格变化的价款调整按照发包人提供的基准价格，按以下风险范围规定执行:</w:t>
      </w:r>
    </w:p>
    <w:p w14:paraId="71DB912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179E6E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667CDA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3D4F78C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EF8F2B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bookmarkStart w:id="490" w:name="OLE_LINK3"/>
      <w:r>
        <w:rPr>
          <w:rFonts w:hint="eastAsia" w:ascii="宋体" w:hAnsi="宋体" w:eastAsia="宋体" w:cs="宋体"/>
          <w:color w:val="000000"/>
          <w:sz w:val="21"/>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E55771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（3）施工机械台班单价或施工机械使用费发生变化超过省级或行业建设主管部门或其授权的工程造价管理机构规定的范围时，按规定调整合同价格。</w:t>
      </w:r>
    </w:p>
    <w:p w14:paraId="29A0C78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第3种方式：专用合同条款约定的其他方式。</w:t>
      </w:r>
    </w:p>
    <w:p w14:paraId="17B4D1D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91" w:name="_Toc351203579"/>
      <w:bookmarkStart w:id="492" w:name="_Toc296503093"/>
      <w:bookmarkStart w:id="493" w:name="_Toc337558798"/>
      <w:bookmarkStart w:id="494" w:name="_Toc296346594"/>
      <w:r>
        <w:rPr>
          <w:rFonts w:hint="eastAsia" w:ascii="宋体" w:hAnsi="宋体" w:eastAsia="宋体" w:cs="宋体"/>
          <w:b w:val="0"/>
          <w:color w:val="000000"/>
          <w:sz w:val="21"/>
          <w:szCs w:val="21"/>
          <w:highlight w:val="none"/>
        </w:rPr>
        <w:t>11.2法律变化引起的调整</w:t>
      </w:r>
      <w:bookmarkEnd w:id="491"/>
    </w:p>
    <w:bookmarkEnd w:id="492"/>
    <w:bookmarkEnd w:id="493"/>
    <w:bookmarkEnd w:id="494"/>
    <w:p w14:paraId="262F48D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A6B3D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因法律变化引起的合同价格和工期调整，合同当事人无法达成一致的，由总监理工程师按第4.4款〔商定或确定〕的约定处理。</w:t>
      </w:r>
    </w:p>
    <w:p w14:paraId="0C74224D">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因承包人原因造成工期延误，在工期延误期间出现法律变化的，由此增加的费用和（或）延误的工期由承包人承担。</w:t>
      </w:r>
    </w:p>
    <w:p w14:paraId="0DFA0437">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495" w:name="_Toc351203580"/>
      <w:bookmarkStart w:id="496" w:name="_Toc337558799"/>
      <w:bookmarkStart w:id="497" w:name="_Toc296346597"/>
      <w:bookmarkStart w:id="498" w:name="_Toc296503096"/>
      <w:r>
        <w:rPr>
          <w:rFonts w:hint="eastAsia" w:ascii="宋体" w:hAnsi="宋体" w:eastAsia="宋体" w:cs="宋体"/>
          <w:b w:val="0"/>
          <w:color w:val="000000"/>
          <w:sz w:val="21"/>
          <w:szCs w:val="21"/>
          <w:highlight w:val="none"/>
        </w:rPr>
        <w:t>12. 合同价格、计量与支付</w:t>
      </w:r>
      <w:bookmarkEnd w:id="495"/>
    </w:p>
    <w:bookmarkEnd w:id="496"/>
    <w:p w14:paraId="63FBFFF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499" w:name="_Toc351203581"/>
      <w:bookmarkStart w:id="500" w:name="_Toc337558800"/>
      <w:r>
        <w:rPr>
          <w:rFonts w:hint="eastAsia" w:ascii="宋体" w:hAnsi="宋体" w:eastAsia="宋体" w:cs="宋体"/>
          <w:b w:val="0"/>
          <w:color w:val="000000"/>
          <w:sz w:val="21"/>
          <w:szCs w:val="21"/>
          <w:highlight w:val="none"/>
        </w:rPr>
        <w:t>12.1 合同价</w:t>
      </w:r>
      <w:bookmarkEnd w:id="497"/>
      <w:bookmarkEnd w:id="498"/>
      <w:r>
        <w:rPr>
          <w:rFonts w:hint="eastAsia" w:ascii="宋体" w:hAnsi="宋体" w:eastAsia="宋体" w:cs="宋体"/>
          <w:b w:val="0"/>
          <w:color w:val="000000"/>
          <w:sz w:val="21"/>
          <w:szCs w:val="21"/>
          <w:highlight w:val="none"/>
        </w:rPr>
        <w:t>格形式</w:t>
      </w:r>
      <w:bookmarkEnd w:id="499"/>
    </w:p>
    <w:bookmarkEnd w:id="500"/>
    <w:p w14:paraId="70830A4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发包人和承包人应在合同协议书中选择下列一种合同价格形式： </w:t>
      </w:r>
    </w:p>
    <w:p w14:paraId="27C474B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单价合同</w:t>
      </w:r>
    </w:p>
    <w:p w14:paraId="14617D7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单价合同是指合同当事人约定以工程量清单及其综合单价进行合同价格计算、调整和确认的建设工程施工合同，</w:t>
      </w:r>
      <w:r>
        <w:rPr>
          <w:rFonts w:hint="eastAsia" w:ascii="宋体" w:hAnsi="宋体" w:eastAsia="宋体" w:cs="宋体"/>
          <w:sz w:val="21"/>
          <w:szCs w:val="21"/>
          <w:highlight w:val="none"/>
        </w:rPr>
        <w:t>在约定的范围内合同单价不作调整</w:t>
      </w:r>
      <w:r>
        <w:rPr>
          <w:rFonts w:hint="eastAsia" w:ascii="宋体" w:hAnsi="宋体" w:eastAsia="宋体" w:cs="宋体"/>
          <w:color w:val="000000"/>
          <w:kern w:val="0"/>
          <w:sz w:val="21"/>
          <w:szCs w:val="21"/>
          <w:highlight w:val="none"/>
        </w:rPr>
        <w:t>。合同当事人应在专用合同条款中约定综合单价包含的风险范围和风险费用的计算方法</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并约定风险范围以外的合同价格的调整方法，其中因市场价格波动引起的调整按第11.1款〔市场价格波动引起的调整〕约定执行。</w:t>
      </w:r>
    </w:p>
    <w:p w14:paraId="09A0D60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总价合同</w:t>
      </w:r>
    </w:p>
    <w:p w14:paraId="7D60B0B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sz w:val="21"/>
          <w:szCs w:val="21"/>
          <w:highlight w:val="none"/>
        </w:rPr>
        <w:t>在约定的范围内合同总价不作调整</w:t>
      </w:r>
      <w:r>
        <w:rPr>
          <w:rFonts w:hint="eastAsia" w:ascii="宋体" w:hAnsi="宋体" w:eastAsia="宋体" w:cs="宋体"/>
          <w:color w:val="000000"/>
          <w:kern w:val="0"/>
          <w:sz w:val="21"/>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048E42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其它价格形式</w:t>
      </w:r>
    </w:p>
    <w:p w14:paraId="7EA64B9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合同当事人可在专用合同条款中约定其他合同价格形式。</w:t>
      </w:r>
    </w:p>
    <w:p w14:paraId="795D750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01" w:name="_Toc296346598"/>
      <w:bookmarkStart w:id="502" w:name="_Toc296503097"/>
      <w:bookmarkStart w:id="503" w:name="_Toc351203582"/>
      <w:bookmarkStart w:id="504" w:name="_Toc337558801"/>
      <w:r>
        <w:rPr>
          <w:rFonts w:hint="eastAsia" w:ascii="宋体" w:hAnsi="宋体" w:eastAsia="宋体" w:cs="宋体"/>
          <w:b w:val="0"/>
          <w:color w:val="000000"/>
          <w:sz w:val="21"/>
          <w:szCs w:val="21"/>
          <w:highlight w:val="none"/>
        </w:rPr>
        <w:t>12.2预</w:t>
      </w:r>
      <w:bookmarkEnd w:id="501"/>
      <w:bookmarkEnd w:id="502"/>
      <w:bookmarkStart w:id="505" w:name="_Toc296346601"/>
      <w:bookmarkStart w:id="506" w:name="_Toc296503100"/>
      <w:r>
        <w:rPr>
          <w:rFonts w:hint="eastAsia" w:ascii="宋体" w:hAnsi="宋体" w:eastAsia="宋体" w:cs="宋体"/>
          <w:b w:val="0"/>
          <w:color w:val="000000"/>
          <w:sz w:val="21"/>
          <w:szCs w:val="21"/>
          <w:highlight w:val="none"/>
        </w:rPr>
        <w:t>付款</w:t>
      </w:r>
      <w:bookmarkEnd w:id="503"/>
    </w:p>
    <w:bookmarkEnd w:id="504"/>
    <w:bookmarkEnd w:id="505"/>
    <w:bookmarkEnd w:id="506"/>
    <w:p w14:paraId="3049F3F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12.2.</w:t>
      </w:r>
      <w:r>
        <w:rPr>
          <w:rFonts w:hint="eastAsia" w:ascii="宋体" w:hAnsi="宋体" w:eastAsia="宋体" w:cs="宋体"/>
          <w:color w:val="000000"/>
          <w:kern w:val="0"/>
          <w:sz w:val="21"/>
          <w:szCs w:val="21"/>
          <w:highlight w:val="none"/>
        </w:rPr>
        <w:t>1预付款的支付</w:t>
      </w:r>
    </w:p>
    <w:p w14:paraId="54FCF81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39F1BC9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除专用合同条款另有约定外，预付款在进度付款中同比例扣回。</w:t>
      </w:r>
      <w:bookmarkEnd w:id="490"/>
      <w:r>
        <w:rPr>
          <w:rFonts w:hint="eastAsia" w:ascii="宋体" w:hAnsi="宋体" w:eastAsia="宋体" w:cs="宋体"/>
          <w:color w:val="000000"/>
          <w:kern w:val="0"/>
          <w:sz w:val="21"/>
          <w:szCs w:val="21"/>
          <w:highlight w:val="none"/>
        </w:rPr>
        <w:t>在颁发工程接收证书前，提前解除合同的，尚未扣完的预付款应与合同价款一并结算。</w:t>
      </w:r>
    </w:p>
    <w:p w14:paraId="2580343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062BA09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6CD7662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EB96A4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发包人在工程款中逐期扣回预付款后，预付款担保额度应相应减少，但剩余的预付款担保金额不得低于未被扣回的预付款金额。</w:t>
      </w:r>
    </w:p>
    <w:p w14:paraId="1BB7D190">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07" w:name="_Toc351203583"/>
      <w:bookmarkStart w:id="508" w:name="_Toc337558802"/>
      <w:r>
        <w:rPr>
          <w:rFonts w:hint="eastAsia" w:ascii="宋体" w:hAnsi="宋体" w:eastAsia="宋体" w:cs="宋体"/>
          <w:b w:val="0"/>
          <w:color w:val="000000"/>
          <w:sz w:val="21"/>
          <w:szCs w:val="21"/>
          <w:highlight w:val="none"/>
        </w:rPr>
        <w:t>12.3计量</w:t>
      </w:r>
      <w:bookmarkEnd w:id="507"/>
    </w:p>
    <w:bookmarkEnd w:id="508"/>
    <w:p w14:paraId="7D67610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12.3.1 计量原则</w:t>
      </w:r>
    </w:p>
    <w:p w14:paraId="3F679ED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工程量计量按照合同约定的工程量计算规则、图纸及变更指示等进行计量。工程量计算规则应以相关的国家标准、行业标准等为依据，由合同当事人在专用合同条款中约定。</w:t>
      </w:r>
    </w:p>
    <w:p w14:paraId="124F154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12.3.2 计量周期</w:t>
      </w:r>
    </w:p>
    <w:p w14:paraId="7DA25C3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除专用合同条款另有约定外，工程量的计量按月进行。</w:t>
      </w:r>
    </w:p>
    <w:p w14:paraId="61F8405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12.3.3 单价合同的计量</w:t>
      </w:r>
    </w:p>
    <w:p w14:paraId="77B4E0D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除专用合同条款另有约定外，单价合同的计量按照本项约定执行：</w:t>
      </w:r>
    </w:p>
    <w:p w14:paraId="5138743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（1）承包人应于每月25日向监理人报送上月20日至当月19日已完成的工程量报告，并附具进度付款申请单、已完成工程量报表和有关资料。</w:t>
      </w:r>
    </w:p>
    <w:p w14:paraId="3197FEB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CC0BDA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（3）监理人未在收到承包人提交的工程量报表后的7天内完成审核的，承包人报送的工程量报告中的工程量视为承包人实际完成的工程量，据此计算工程价款。</w:t>
      </w:r>
    </w:p>
    <w:p w14:paraId="05DF73F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12.3.4 总价合同的计量</w:t>
      </w:r>
    </w:p>
    <w:p w14:paraId="6E1019F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除专用合同条款另有约定外，按月计量支付的总价合同，按照本项约定执行：</w:t>
      </w:r>
    </w:p>
    <w:p w14:paraId="1E5B182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（1）承包人应于每月25日向监理人报送上月20日至当月19日已完成的工程量报告，并附具进度付款申请单、已完成工程量报表和有关资料。</w:t>
      </w:r>
    </w:p>
    <w:p w14:paraId="223DFDC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93E81B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（3）监理人未在收到承包人提交的工程量报表后的7天内完成复核的，承包人提交的工程量报告中的工程量视为承包人实际完成的工程量。</w:t>
      </w:r>
    </w:p>
    <w:p w14:paraId="33ABD25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12.3.5 总价合同采用支付分解表计量支付的，可以按照第12.3.4项〔总价合同的计量〕约定进行计量，但合同价款按照支付分解表进行支付。</w:t>
      </w:r>
    </w:p>
    <w:p w14:paraId="07030B6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12.3.6 其他价格形式合同的计量</w:t>
      </w:r>
    </w:p>
    <w:p w14:paraId="7616A51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合同当事人可在专用合同条款中约定其他价格形式合同的计量方式和程序。</w:t>
      </w:r>
    </w:p>
    <w:p w14:paraId="077BAA0E">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09" w:name="_Toc296503101"/>
      <w:bookmarkStart w:id="510" w:name="_Toc296346602"/>
      <w:bookmarkStart w:id="511" w:name="_Toc351203584"/>
      <w:bookmarkStart w:id="512" w:name="_Toc337558803"/>
      <w:r>
        <w:rPr>
          <w:rFonts w:hint="eastAsia" w:ascii="宋体" w:hAnsi="宋体" w:eastAsia="宋体" w:cs="宋体"/>
          <w:b w:val="0"/>
          <w:color w:val="000000"/>
          <w:sz w:val="21"/>
          <w:szCs w:val="21"/>
          <w:highlight w:val="none"/>
        </w:rPr>
        <w:t>12.4工程进度款支</w:t>
      </w:r>
      <w:bookmarkEnd w:id="509"/>
      <w:bookmarkEnd w:id="510"/>
      <w:r>
        <w:rPr>
          <w:rFonts w:hint="eastAsia" w:ascii="宋体" w:hAnsi="宋体" w:eastAsia="宋体" w:cs="宋体"/>
          <w:b w:val="0"/>
          <w:color w:val="000000"/>
          <w:sz w:val="21"/>
          <w:szCs w:val="21"/>
          <w:highlight w:val="none"/>
        </w:rPr>
        <w:t>付</w:t>
      </w:r>
      <w:bookmarkEnd w:id="511"/>
    </w:p>
    <w:bookmarkEnd w:id="512"/>
    <w:p w14:paraId="3A557FC1">
      <w:pPr>
        <w:pageBreakBefore w:val="0"/>
        <w:widowControl w:val="0"/>
        <w:kinsoku/>
        <w:wordWrap/>
        <w:overflowPunct/>
        <w:topLinePunct w:val="0"/>
        <w:autoSpaceDE w:val="0"/>
        <w:autoSpaceDN w:val="0"/>
        <w:bidi w:val="0"/>
        <w:adjustRightInd w:val="0"/>
        <w:snapToGrid w:val="0"/>
        <w:spacing w:line="360" w:lineRule="auto"/>
        <w:ind w:firstLine="420" w:firstLineChars="200"/>
        <w:jc w:val="left"/>
        <w:outlineLvl w:val="0"/>
        <w:rPr>
          <w:rFonts w:hint="eastAsia" w:ascii="宋体" w:hAnsi="宋体" w:eastAsia="宋体" w:cs="宋体"/>
          <w:color w:val="000000"/>
          <w:kern w:val="0"/>
          <w:sz w:val="21"/>
          <w:szCs w:val="21"/>
          <w:highlight w:val="none"/>
        </w:rPr>
      </w:pPr>
      <w:bookmarkStart w:id="513" w:name="_Toc32552"/>
      <w:bookmarkStart w:id="514" w:name="_Toc5085"/>
      <w:bookmarkStart w:id="515" w:name="_Toc19973"/>
      <w:bookmarkStart w:id="516" w:name="_Toc11674"/>
      <w:bookmarkStart w:id="517" w:name="_Toc18644"/>
      <w:r>
        <w:rPr>
          <w:rFonts w:hint="eastAsia" w:ascii="宋体" w:hAnsi="宋体" w:eastAsia="宋体" w:cs="宋体"/>
          <w:color w:val="000000"/>
          <w:sz w:val="21"/>
          <w:szCs w:val="21"/>
          <w:highlight w:val="none"/>
        </w:rPr>
        <w:t>12.4</w:t>
      </w:r>
      <w:r>
        <w:rPr>
          <w:rFonts w:hint="eastAsia" w:ascii="宋体" w:hAnsi="宋体" w:eastAsia="宋体" w:cs="宋体"/>
          <w:color w:val="000000"/>
          <w:kern w:val="0"/>
          <w:sz w:val="21"/>
          <w:szCs w:val="21"/>
          <w:highlight w:val="none"/>
        </w:rPr>
        <w:t>.1 付款周期</w:t>
      </w:r>
      <w:bookmarkEnd w:id="513"/>
      <w:bookmarkEnd w:id="514"/>
      <w:bookmarkEnd w:id="515"/>
      <w:bookmarkEnd w:id="516"/>
      <w:bookmarkEnd w:id="517"/>
    </w:p>
    <w:p w14:paraId="50BC6B2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除专用合同条款另有约定外，付款周期应按照第12.3.2项〔计量周期〕的约定与计量周期保持一致。</w:t>
      </w:r>
    </w:p>
    <w:p w14:paraId="48F940E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12.4</w:t>
      </w:r>
      <w:r>
        <w:rPr>
          <w:rFonts w:hint="eastAsia" w:ascii="宋体" w:hAnsi="宋体" w:eastAsia="宋体" w:cs="宋体"/>
          <w:color w:val="000000"/>
          <w:kern w:val="0"/>
          <w:sz w:val="21"/>
          <w:szCs w:val="21"/>
          <w:highlight w:val="none"/>
        </w:rPr>
        <w:t>.2 进度付款申请单的编制</w:t>
      </w:r>
    </w:p>
    <w:p w14:paraId="169E0DF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除专用合同条款另有约定外，进度付款申请单应包括下列内容：</w:t>
      </w:r>
    </w:p>
    <w:p w14:paraId="73A6AF0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（1）截至本次付款周期已完成工作对应的金额；</w:t>
      </w:r>
    </w:p>
    <w:p w14:paraId="259709D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（2）根据第10条〔变更〕应增加和扣减的变更金额；</w:t>
      </w:r>
    </w:p>
    <w:p w14:paraId="25434B8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（3）根据第12.2款〔预付款〕约定应支付的预付款和扣减的返还预付款；</w:t>
      </w:r>
    </w:p>
    <w:p w14:paraId="2AF55B2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（4）根据第15.3款〔质量保证金〕约定应扣减的质量保证金；</w:t>
      </w:r>
    </w:p>
    <w:p w14:paraId="66833B2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（5）根据第19条〔索赔〕应增加和扣减的索赔金额；</w:t>
      </w:r>
    </w:p>
    <w:p w14:paraId="695FD12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（6）对已签发的进度款支付证书中出现错误的修正，应在本次进度付款中支付或扣除的金额；</w:t>
      </w:r>
    </w:p>
    <w:p w14:paraId="18E7464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（7）根据合同约定应增加和扣减的其他金额。</w:t>
      </w:r>
    </w:p>
    <w:p w14:paraId="4C50B69A">
      <w:pPr>
        <w:pageBreakBefore w:val="0"/>
        <w:widowControl w:val="0"/>
        <w:kinsoku/>
        <w:wordWrap/>
        <w:overflowPunct/>
        <w:topLinePunct w:val="0"/>
        <w:autoSpaceDE w:val="0"/>
        <w:autoSpaceDN w:val="0"/>
        <w:bidi w:val="0"/>
        <w:adjustRightInd w:val="0"/>
        <w:snapToGrid w:val="0"/>
        <w:spacing w:line="360" w:lineRule="auto"/>
        <w:ind w:firstLine="420" w:firstLineChars="200"/>
        <w:jc w:val="left"/>
        <w:outlineLvl w:val="0"/>
        <w:rPr>
          <w:rFonts w:hint="eastAsia" w:ascii="宋体" w:hAnsi="宋体" w:eastAsia="宋体" w:cs="宋体"/>
          <w:color w:val="000000"/>
          <w:kern w:val="0"/>
          <w:sz w:val="21"/>
          <w:szCs w:val="21"/>
          <w:highlight w:val="none"/>
        </w:rPr>
      </w:pPr>
      <w:bookmarkStart w:id="518" w:name="_Toc2815"/>
      <w:bookmarkStart w:id="519" w:name="_Toc12927"/>
      <w:bookmarkStart w:id="520" w:name="_Toc9363"/>
      <w:bookmarkStart w:id="521" w:name="_Toc7470"/>
      <w:bookmarkStart w:id="522" w:name="_Toc21486"/>
      <w:r>
        <w:rPr>
          <w:rFonts w:hint="eastAsia" w:ascii="宋体" w:hAnsi="宋体" w:eastAsia="宋体" w:cs="宋体"/>
          <w:color w:val="000000"/>
          <w:kern w:val="0"/>
          <w:sz w:val="21"/>
          <w:szCs w:val="21"/>
          <w:highlight w:val="none"/>
        </w:rPr>
        <w:t>12.4.3 进度付款申请单的提交</w:t>
      </w:r>
      <w:bookmarkEnd w:id="518"/>
      <w:bookmarkEnd w:id="519"/>
      <w:bookmarkEnd w:id="520"/>
      <w:bookmarkEnd w:id="521"/>
      <w:bookmarkEnd w:id="522"/>
    </w:p>
    <w:p w14:paraId="6EA8CDD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（1）单价合同进度付款申请单的提交</w:t>
      </w:r>
    </w:p>
    <w:p w14:paraId="34954D7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BDEA20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（2）总价合同进度付款申请单的提交</w:t>
      </w:r>
    </w:p>
    <w:p w14:paraId="0CED799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总价合同按月计量支付的，承包人按照第12.3.4项〔总价合同的计量〕约定的时间按月向监理人提交进度付款申请单，并附上已完成工程量报表和有关资料。</w:t>
      </w:r>
    </w:p>
    <w:p w14:paraId="5F5406D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总价合同按支付分解表支付的，承包人应按照第12.4.6项〔支付分解表〕及第12.4.2项〔进度付款申请单的编制〕的约定向监理人提交进度付款申请单。</w:t>
      </w:r>
    </w:p>
    <w:p w14:paraId="5CEF966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（3）其他价格形式合同的进度付款申请单的提交</w:t>
      </w:r>
    </w:p>
    <w:p w14:paraId="06CE0B9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合同当事人可在专用合同条款中约定其他价格形式合同的进度付款申请单的编制和提交程序。</w:t>
      </w:r>
    </w:p>
    <w:p w14:paraId="0D1A1BA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12.4</w:t>
      </w:r>
      <w:r>
        <w:rPr>
          <w:rFonts w:hint="eastAsia" w:ascii="宋体" w:hAnsi="宋体" w:eastAsia="宋体" w:cs="宋体"/>
          <w:color w:val="000000"/>
          <w:kern w:val="0"/>
          <w:sz w:val="21"/>
          <w:szCs w:val="21"/>
          <w:highlight w:val="none"/>
        </w:rPr>
        <w:t>.4 进度款审核和支付</w:t>
      </w:r>
    </w:p>
    <w:p w14:paraId="0FD4A45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BEC9AB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EBDC07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8C6D2D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（3）发包人签发进度款支付证书或临时进度款支付证书，不表明发包人已同意、批准或接受了承包人完成的相应部分的工作。</w:t>
      </w:r>
    </w:p>
    <w:p w14:paraId="0A1E0EF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12.4.5 进度付款的修正</w:t>
      </w:r>
    </w:p>
    <w:p w14:paraId="4B08A15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2ACB6A7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12.4.6 支付分解表</w:t>
      </w:r>
    </w:p>
    <w:p w14:paraId="24A3B25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支付分解表的编制要求</w:t>
      </w:r>
    </w:p>
    <w:p w14:paraId="7898695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（1）支付分解表中所列的每期付款金额，应为第12.4.2项〔进度付款申请单的编制〕第（1）目的估算金额；</w:t>
      </w:r>
    </w:p>
    <w:p w14:paraId="5D800F8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（2）实际进度与施工进度计划不一致的，合同当事人可按照第4.4款〔商定或确定〕修改支付分解表；</w:t>
      </w:r>
    </w:p>
    <w:p w14:paraId="47BF1E0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（3）不采用支付分解表的，承包人应向发包人和监理人提交按季度编制的支付估算分解表，用于支付参考。</w:t>
      </w:r>
    </w:p>
    <w:p w14:paraId="4ADAAED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总价合同支付分解表的编制与审批</w:t>
      </w:r>
    </w:p>
    <w:p w14:paraId="70710A8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7439A5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6517542C">
      <w:pPr>
        <w:pageBreakBefore w:val="0"/>
        <w:widowControl w:val="0"/>
        <w:kinsoku/>
        <w:wordWrap/>
        <w:overflowPunct/>
        <w:topLinePunct w:val="0"/>
        <w:bidi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（3）发包人逾期未完成支付分解表审批的，也未及时要求承包人进行修正和提供补充资料的，则承包人提交的支付分解表视为已经获得发包人批准。</w:t>
      </w:r>
    </w:p>
    <w:p w14:paraId="4F9B179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单价合同的总价项目支付分解表的编制与审批</w:t>
      </w:r>
    </w:p>
    <w:p w14:paraId="73255DD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EE8DCCC">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23" w:name="_Toc351203585"/>
      <w:r>
        <w:rPr>
          <w:rFonts w:hint="eastAsia" w:ascii="宋体" w:hAnsi="宋体" w:eastAsia="宋体" w:cs="宋体"/>
          <w:b w:val="0"/>
          <w:color w:val="000000"/>
          <w:sz w:val="21"/>
          <w:szCs w:val="21"/>
          <w:highlight w:val="none"/>
        </w:rPr>
        <w:t>12.5支付账户</w:t>
      </w:r>
      <w:bookmarkEnd w:id="523"/>
    </w:p>
    <w:p w14:paraId="527E472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发包人应将合同价款支付至合同协议书中约定的承包人账户。</w:t>
      </w:r>
    </w:p>
    <w:p w14:paraId="5F534127">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524" w:name="_Toc351203586"/>
      <w:bookmarkStart w:id="525" w:name="_Toc322522574"/>
      <w:bookmarkStart w:id="526" w:name="_Toc296503106"/>
      <w:bookmarkStart w:id="527" w:name="_Toc296346607"/>
      <w:bookmarkStart w:id="528" w:name="_Toc337558804"/>
      <w:r>
        <w:rPr>
          <w:rFonts w:hint="eastAsia" w:ascii="宋体" w:hAnsi="宋体" w:eastAsia="宋体" w:cs="宋体"/>
          <w:b w:val="0"/>
          <w:color w:val="000000"/>
          <w:sz w:val="21"/>
          <w:szCs w:val="21"/>
          <w:highlight w:val="none"/>
        </w:rPr>
        <w:t>13. 验收和工程试车</w:t>
      </w:r>
      <w:bookmarkEnd w:id="524"/>
    </w:p>
    <w:bookmarkEnd w:id="525"/>
    <w:bookmarkEnd w:id="526"/>
    <w:bookmarkEnd w:id="527"/>
    <w:bookmarkEnd w:id="528"/>
    <w:p w14:paraId="451EE2B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29" w:name="_Toc351203587"/>
      <w:bookmarkStart w:id="530" w:name="_Toc337558805"/>
      <w:bookmarkStart w:id="531" w:name="_Toc296346611"/>
      <w:bookmarkStart w:id="532" w:name="_Toc296503110"/>
      <w:r>
        <w:rPr>
          <w:rFonts w:hint="eastAsia" w:ascii="宋体" w:hAnsi="宋体" w:eastAsia="宋体" w:cs="宋体"/>
          <w:b w:val="0"/>
          <w:color w:val="000000"/>
          <w:sz w:val="21"/>
          <w:szCs w:val="21"/>
          <w:highlight w:val="none"/>
        </w:rPr>
        <w:t>13.1分部分项工程验收</w:t>
      </w:r>
      <w:bookmarkEnd w:id="529"/>
    </w:p>
    <w:bookmarkEnd w:id="530"/>
    <w:p w14:paraId="6741B90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13.1.1 分部分项工程质量应符合国家有关工程施工验收规范、标准及合同约定，承包人应按照施工组织设计的要求完成分部分项工程施工。</w:t>
      </w:r>
    </w:p>
    <w:p w14:paraId="2A7AAE6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1"/>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1"/>
          <w:szCs w:val="21"/>
          <w:highlight w:val="none"/>
        </w:rPr>
        <w:t>分部分项工程未经验收的，不得进入下一道工序施工。</w:t>
      </w:r>
    </w:p>
    <w:p w14:paraId="06E4D86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分部分项工程的验收资料应当作为竣工资料的组成部分。</w:t>
      </w:r>
    </w:p>
    <w:p w14:paraId="6EC2CA9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33" w:name="_Toc351203588"/>
      <w:bookmarkStart w:id="534" w:name="_Toc337558806"/>
      <w:r>
        <w:rPr>
          <w:rFonts w:hint="eastAsia" w:ascii="宋体" w:hAnsi="宋体" w:eastAsia="宋体" w:cs="宋体"/>
          <w:b w:val="0"/>
          <w:color w:val="000000"/>
          <w:sz w:val="21"/>
          <w:szCs w:val="21"/>
          <w:highlight w:val="none"/>
        </w:rPr>
        <w:t>13.2竣工验收</w:t>
      </w:r>
      <w:bookmarkEnd w:id="533"/>
    </w:p>
    <w:bookmarkEnd w:id="531"/>
    <w:bookmarkEnd w:id="532"/>
    <w:bookmarkEnd w:id="534"/>
    <w:p w14:paraId="75AEA9C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13.2.1竣工验收条件</w:t>
      </w:r>
    </w:p>
    <w:p w14:paraId="7098482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工程具备以下条件的，承包人可以申请竣工验收：</w:t>
      </w:r>
    </w:p>
    <w:p w14:paraId="65C0BFB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（1）除发包人同意的甩项工作和缺陷修补工作外，合同范围内的全部工程以及有关工作，包括合同要求的试验、试运行以及检验均已完成，并符合合同要求；</w:t>
      </w:r>
    </w:p>
    <w:p w14:paraId="173D57D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（2）已按合同约定编制了甩项工作和缺陷修补工作清单以及相应的施工计划；</w:t>
      </w:r>
    </w:p>
    <w:p w14:paraId="6E39A5C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（3）已按合同约定的内容和份数备齐竣工资料。</w:t>
      </w:r>
    </w:p>
    <w:p w14:paraId="33F18FA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13.2.2竣工验收程序</w:t>
      </w:r>
    </w:p>
    <w:p w14:paraId="7A88CCB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除专用合同条款另有约定外，承包人申请竣工验收的，应当按照以下程序进行：</w:t>
      </w:r>
    </w:p>
    <w:p w14:paraId="7FE3A01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AF8872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F565D5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42E5D0D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F4EEBE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3E540B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8D10C0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13.2.3竣工日期</w:t>
      </w:r>
    </w:p>
    <w:p w14:paraId="4B35DC9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35" w:name="#go14"/>
      <w:bookmarkEnd w:id="535"/>
      <w:r>
        <w:rPr>
          <w:rFonts w:hint="eastAsia" w:ascii="宋体" w:hAnsi="宋体" w:eastAsia="宋体" w:cs="宋体"/>
          <w:color w:val="000000"/>
          <w:kern w:val="0"/>
          <w:sz w:val="21"/>
          <w:szCs w:val="21"/>
          <w:highlight w:val="none"/>
        </w:rPr>
        <w:t>收申请报告的日期为实际竣工日期；工程未经竣工验收，发包人擅自使用的，以转移占有工程之日为实际竣工日期。</w:t>
      </w:r>
    </w:p>
    <w:p w14:paraId="1C96518D">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kern w:val="0"/>
          <w:sz w:val="21"/>
          <w:szCs w:val="21"/>
          <w:highlight w:val="none"/>
        </w:rPr>
      </w:pPr>
      <w:bookmarkStart w:id="536" w:name="_Toc7378"/>
      <w:bookmarkStart w:id="537" w:name="_Toc7640"/>
      <w:bookmarkStart w:id="538" w:name="_Toc25975"/>
      <w:bookmarkStart w:id="539" w:name="_Toc17413"/>
      <w:bookmarkStart w:id="540" w:name="_Toc30569"/>
      <w:r>
        <w:rPr>
          <w:rFonts w:hint="eastAsia" w:ascii="宋体" w:hAnsi="宋体" w:eastAsia="宋体" w:cs="宋体"/>
          <w:color w:val="000000"/>
          <w:kern w:val="0"/>
          <w:sz w:val="21"/>
          <w:szCs w:val="21"/>
          <w:highlight w:val="none"/>
        </w:rPr>
        <w:t>13.2.4 拒绝接收全部或部分工程</w:t>
      </w:r>
      <w:bookmarkEnd w:id="536"/>
      <w:bookmarkEnd w:id="537"/>
      <w:bookmarkEnd w:id="538"/>
      <w:bookmarkEnd w:id="539"/>
      <w:bookmarkEnd w:id="540"/>
    </w:p>
    <w:p w14:paraId="77D44A9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27895B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13.2.5 移交、接收全部与部分工程</w:t>
      </w:r>
    </w:p>
    <w:p w14:paraId="39D0F5E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除专用合同条款另有约定外，合同当事人应当在颁发工程接收证书后7天内完成工程的移交。</w:t>
      </w:r>
    </w:p>
    <w:p w14:paraId="0888F30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C2F7E3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5287EE1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41" w:name="_Toc351203589"/>
      <w:bookmarkStart w:id="542" w:name="_Toc296346612"/>
      <w:bookmarkStart w:id="543" w:name="_Toc337558807"/>
      <w:bookmarkStart w:id="544" w:name="_Toc296503111"/>
      <w:r>
        <w:rPr>
          <w:rFonts w:hint="eastAsia" w:ascii="宋体" w:hAnsi="宋体" w:eastAsia="宋体" w:cs="宋体"/>
          <w:b w:val="0"/>
          <w:color w:val="000000"/>
          <w:sz w:val="21"/>
          <w:szCs w:val="21"/>
          <w:highlight w:val="none"/>
        </w:rPr>
        <w:t>13.3工程试车</w:t>
      </w:r>
      <w:bookmarkEnd w:id="541"/>
    </w:p>
    <w:bookmarkEnd w:id="542"/>
    <w:bookmarkEnd w:id="543"/>
    <w:bookmarkEnd w:id="544"/>
    <w:p w14:paraId="3A2055A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13.3.1试车程序</w:t>
      </w:r>
    </w:p>
    <w:p w14:paraId="6C1868E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工程需要试车的，除专用合同条款另有约定外，试车内容应与承包人承包范围相一致，试车费用由承包人承担。工程试车应按如下程序进行：</w:t>
      </w:r>
    </w:p>
    <w:p w14:paraId="68AB97F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91F384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DEA3EC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743202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13.3.2 试车中的责任</w:t>
      </w:r>
    </w:p>
    <w:p w14:paraId="7A8104E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BC34B6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6E22BA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13.3.3 投料试车</w:t>
      </w:r>
    </w:p>
    <w:p w14:paraId="28CB3C7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4D6CB1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2074037">
      <w:pPr>
        <w:pStyle w:val="6"/>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545" w:name="_Toc337558808"/>
      <w:r>
        <w:rPr>
          <w:rFonts w:hint="eastAsia" w:ascii="宋体" w:hAnsi="宋体" w:eastAsia="宋体" w:cs="宋体"/>
          <w:b w:val="0"/>
          <w:color w:val="000000"/>
          <w:sz w:val="21"/>
          <w:szCs w:val="21"/>
          <w:highlight w:val="none"/>
        </w:rPr>
        <w:t xml:space="preserve">    </w:t>
      </w:r>
      <w:bookmarkStart w:id="546" w:name="_Toc351203590"/>
      <w:r>
        <w:rPr>
          <w:rFonts w:hint="eastAsia" w:ascii="宋体" w:hAnsi="宋体" w:eastAsia="宋体" w:cs="宋体"/>
          <w:b w:val="0"/>
          <w:color w:val="000000"/>
          <w:sz w:val="21"/>
          <w:szCs w:val="21"/>
          <w:highlight w:val="none"/>
        </w:rPr>
        <w:t>13.4提前交付单位工程的验收</w:t>
      </w:r>
      <w:bookmarkEnd w:id="546"/>
    </w:p>
    <w:bookmarkEnd w:id="545"/>
    <w:p w14:paraId="5344AE3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1098510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284536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13.4.2 发包人要求在工程竣工前交付单位工程，由此导致承包人费用增加和（或）工期延误的，由发包人承担由此增加的费用和（或）延误的工期，并支付承包人合理的利润。</w:t>
      </w:r>
    </w:p>
    <w:p w14:paraId="1A85B4E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47" w:name="_Toc351203591"/>
      <w:r>
        <w:rPr>
          <w:rFonts w:hint="eastAsia" w:ascii="宋体" w:hAnsi="宋体" w:eastAsia="宋体" w:cs="宋体"/>
          <w:b w:val="0"/>
          <w:color w:val="000000"/>
          <w:sz w:val="21"/>
          <w:szCs w:val="21"/>
          <w:highlight w:val="none"/>
        </w:rPr>
        <w:t>13.5 施工期运行</w:t>
      </w:r>
      <w:bookmarkEnd w:id="547"/>
    </w:p>
    <w:p w14:paraId="39C5729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B4118E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13.5.2 在施工期运行中发现工程或工程设备损坏或存在缺陷的，由承包人按第15.2款〔缺陷责任期〕约定进行修复。</w:t>
      </w:r>
    </w:p>
    <w:p w14:paraId="1BF20AF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48" w:name="_Toc296503112"/>
      <w:bookmarkStart w:id="549" w:name="_Toc296346613"/>
      <w:bookmarkStart w:id="550" w:name="_Toc351203592"/>
      <w:bookmarkStart w:id="551" w:name="_Toc337558809"/>
      <w:r>
        <w:rPr>
          <w:rFonts w:hint="eastAsia" w:ascii="宋体" w:hAnsi="宋体" w:eastAsia="宋体" w:cs="宋体"/>
          <w:b w:val="0"/>
          <w:color w:val="000000"/>
          <w:sz w:val="21"/>
          <w:szCs w:val="21"/>
          <w:highlight w:val="none"/>
        </w:rPr>
        <w:t>13.6 竣工退</w:t>
      </w:r>
      <w:bookmarkEnd w:id="548"/>
      <w:bookmarkEnd w:id="549"/>
      <w:r>
        <w:rPr>
          <w:rFonts w:hint="eastAsia" w:ascii="宋体" w:hAnsi="宋体" w:eastAsia="宋体" w:cs="宋体"/>
          <w:b w:val="0"/>
          <w:color w:val="000000"/>
          <w:sz w:val="21"/>
          <w:szCs w:val="21"/>
          <w:highlight w:val="none"/>
        </w:rPr>
        <w:t>场</w:t>
      </w:r>
      <w:bookmarkEnd w:id="550"/>
    </w:p>
    <w:bookmarkEnd w:id="551"/>
    <w:p w14:paraId="2158B3E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13.6.1 竣工退场</w:t>
      </w:r>
    </w:p>
    <w:p w14:paraId="1D98963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颁发工程接收证书后，承包人应按以下要求对施工现场进行清理：</w:t>
      </w:r>
    </w:p>
    <w:p w14:paraId="4928066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（1）施工现场内残留的垃圾已全部清除出场；</w:t>
      </w:r>
    </w:p>
    <w:p w14:paraId="4E29AC9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（2）临时工程已拆除，场地已进行清理、平整或复原；</w:t>
      </w:r>
    </w:p>
    <w:p w14:paraId="304CDB9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（3）按合同约定应撤离的人员、承包人施工设备和剩余的材料，包括废弃的施工设备和材料，已按计划撤离施工现场；</w:t>
      </w:r>
    </w:p>
    <w:p w14:paraId="1328CBE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（4）施工现场周边及其附近道路、河道的施工堆积物，已全部清理；</w:t>
      </w:r>
    </w:p>
    <w:p w14:paraId="18A07FE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（5）施工现场其他场地清理工作已全部完成。</w:t>
      </w:r>
    </w:p>
    <w:p w14:paraId="15CA109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606312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13.6.2 地表还原</w:t>
      </w:r>
    </w:p>
    <w:p w14:paraId="2848FFE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E283045">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552" w:name="_Toc351203593"/>
      <w:bookmarkStart w:id="553" w:name="_Toc337558810"/>
      <w:bookmarkStart w:id="554" w:name="_Toc296503113"/>
      <w:bookmarkStart w:id="555" w:name="_Toc296346614"/>
      <w:r>
        <w:rPr>
          <w:rFonts w:hint="eastAsia" w:ascii="宋体" w:hAnsi="宋体" w:eastAsia="宋体" w:cs="宋体"/>
          <w:b w:val="0"/>
          <w:color w:val="000000"/>
          <w:sz w:val="21"/>
          <w:szCs w:val="21"/>
          <w:highlight w:val="none"/>
        </w:rPr>
        <w:t>14. 竣工结算</w:t>
      </w:r>
      <w:bookmarkEnd w:id="552"/>
    </w:p>
    <w:bookmarkEnd w:id="553"/>
    <w:p w14:paraId="039B78D6">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56" w:name="_Toc351203594"/>
      <w:bookmarkStart w:id="557" w:name="_Toc337558811"/>
      <w:r>
        <w:rPr>
          <w:rFonts w:hint="eastAsia" w:ascii="宋体" w:hAnsi="宋体" w:eastAsia="宋体" w:cs="宋体"/>
          <w:b w:val="0"/>
          <w:color w:val="000000"/>
          <w:sz w:val="21"/>
          <w:szCs w:val="21"/>
          <w:highlight w:val="none"/>
        </w:rPr>
        <w:t>14.1 竣工结算申请</w:t>
      </w:r>
      <w:bookmarkEnd w:id="556"/>
    </w:p>
    <w:bookmarkEnd w:id="557"/>
    <w:p w14:paraId="301C467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除专用合同条款另有约定外，</w:t>
      </w:r>
      <w:r>
        <w:rPr>
          <w:rFonts w:hint="eastAsia" w:ascii="宋体" w:hAnsi="宋体" w:eastAsia="宋体" w:cs="宋体"/>
          <w:color w:val="000000"/>
          <w:sz w:val="21"/>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16E7B97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除专用合同条款另有约定外，竣工结算申请单应包括以下内容：</w:t>
      </w:r>
    </w:p>
    <w:p w14:paraId="2844C2E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（1）竣工结算合同价格；</w:t>
      </w:r>
    </w:p>
    <w:p w14:paraId="1556C4E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（2）发包人已支付承包人的款项；</w:t>
      </w:r>
    </w:p>
    <w:p w14:paraId="5AA1B48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（3）应扣留的质量保证金。已缴纳履约保证金的或提供其他工程质量担保方式的除外； </w:t>
      </w:r>
    </w:p>
    <w:p w14:paraId="2CA7F7A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（4）发包人应支付承包人的合同价款。</w:t>
      </w:r>
    </w:p>
    <w:p w14:paraId="78728E99">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58" w:name="_Toc351203595"/>
      <w:bookmarkStart w:id="559" w:name="_Toc337558812"/>
      <w:r>
        <w:rPr>
          <w:rFonts w:hint="eastAsia" w:ascii="宋体" w:hAnsi="宋体" w:eastAsia="宋体" w:cs="宋体"/>
          <w:b w:val="0"/>
          <w:color w:val="000000"/>
          <w:sz w:val="21"/>
          <w:szCs w:val="21"/>
          <w:highlight w:val="none"/>
        </w:rPr>
        <w:t>14.2 竣工结算审核</w:t>
      </w:r>
      <w:bookmarkEnd w:id="558"/>
    </w:p>
    <w:bookmarkEnd w:id="559"/>
    <w:p w14:paraId="044EF75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1"/>
          <w:szCs w:val="21"/>
          <w:highlight w:val="none"/>
        </w:rPr>
        <w:t>发包人对竣工</w:t>
      </w:r>
      <w:r>
        <w:rPr>
          <w:rFonts w:hint="eastAsia" w:ascii="宋体" w:hAnsi="宋体" w:eastAsia="宋体" w:cs="宋体"/>
          <w:color w:val="000000"/>
          <w:kern w:val="0"/>
          <w:sz w:val="21"/>
          <w:szCs w:val="21"/>
          <w:highlight w:val="none"/>
        </w:rPr>
        <w:t>结算</w:t>
      </w:r>
      <w:r>
        <w:rPr>
          <w:rFonts w:hint="eastAsia" w:ascii="宋体" w:hAnsi="宋体" w:eastAsia="宋体" w:cs="宋体"/>
          <w:color w:val="000000"/>
          <w:sz w:val="21"/>
          <w:szCs w:val="21"/>
          <w:highlight w:val="none"/>
        </w:rPr>
        <w:t>申请单有异议的，有权要求承包人进行修正和提供补充资料，承包人应提交修正后的竣工</w:t>
      </w:r>
      <w:r>
        <w:rPr>
          <w:rFonts w:hint="eastAsia" w:ascii="宋体" w:hAnsi="宋体" w:eastAsia="宋体" w:cs="宋体"/>
          <w:color w:val="000000"/>
          <w:kern w:val="0"/>
          <w:sz w:val="21"/>
          <w:szCs w:val="21"/>
          <w:highlight w:val="none"/>
        </w:rPr>
        <w:t>结算</w:t>
      </w:r>
      <w:r>
        <w:rPr>
          <w:rFonts w:hint="eastAsia" w:ascii="宋体" w:hAnsi="宋体" w:eastAsia="宋体" w:cs="宋体"/>
          <w:color w:val="000000"/>
          <w:sz w:val="21"/>
          <w:szCs w:val="21"/>
          <w:highlight w:val="none"/>
        </w:rPr>
        <w:t>申请单。</w:t>
      </w:r>
    </w:p>
    <w:p w14:paraId="40107F6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C70BA0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6F7179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853D583">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60" w:name="_Toc351203596"/>
      <w:bookmarkStart w:id="561" w:name="_Toc337558813"/>
      <w:r>
        <w:rPr>
          <w:rFonts w:hint="eastAsia" w:ascii="宋体" w:hAnsi="宋体" w:eastAsia="宋体" w:cs="宋体"/>
          <w:b w:val="0"/>
          <w:color w:val="000000"/>
          <w:sz w:val="21"/>
          <w:szCs w:val="21"/>
          <w:highlight w:val="none"/>
        </w:rPr>
        <w:t>14.3 甩项竣工协议</w:t>
      </w:r>
      <w:bookmarkEnd w:id="560"/>
    </w:p>
    <w:bookmarkEnd w:id="561"/>
    <w:p w14:paraId="516E3115">
      <w:pPr>
        <w:pageBreakBefore w:val="0"/>
        <w:widowControl w:val="0"/>
        <w:kinsoku/>
        <w:wordWrap/>
        <w:overflowPunct/>
        <w:topLinePunct w:val="0"/>
        <w:autoSpaceDE w:val="0"/>
        <w:autoSpaceDN w:val="0"/>
        <w:bidi w:val="0"/>
        <w:adjustRightInd w:val="0"/>
        <w:snapToGrid w:val="0"/>
        <w:spacing w:line="360" w:lineRule="auto"/>
        <w:ind w:firstLine="411" w:firstLineChars="196"/>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0015CD53">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62" w:name="_Toc351203597"/>
      <w:bookmarkStart w:id="563" w:name="_Toc337558814"/>
      <w:r>
        <w:rPr>
          <w:rFonts w:hint="eastAsia" w:ascii="宋体" w:hAnsi="宋体" w:eastAsia="宋体" w:cs="宋体"/>
          <w:b w:val="0"/>
          <w:color w:val="000000"/>
          <w:sz w:val="21"/>
          <w:szCs w:val="21"/>
          <w:highlight w:val="none"/>
        </w:rPr>
        <w:t>14.4 最终结清</w:t>
      </w:r>
      <w:bookmarkEnd w:id="562"/>
    </w:p>
    <w:bookmarkEnd w:id="563"/>
    <w:p w14:paraId="7FC2CD9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14.4.1 最终结清申请单</w:t>
      </w:r>
    </w:p>
    <w:p w14:paraId="5BA35B6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（1）除专用合同条款另有约定外，承包人应在缺陷责任期终止证书颁发后7天内，按专用合同条款约定的份数向发包人提交最终结清申请单，并提供相关证明材料。</w:t>
      </w:r>
    </w:p>
    <w:p w14:paraId="31EDC22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w:t>
      </w:r>
      <w:r>
        <w:rPr>
          <w:rFonts w:hint="eastAsia" w:ascii="宋体" w:hAnsi="宋体" w:eastAsia="宋体" w:cs="宋体"/>
          <w:color w:val="000000"/>
          <w:kern w:val="0"/>
          <w:sz w:val="21"/>
          <w:szCs w:val="21"/>
          <w:highlight w:val="none"/>
        </w:rPr>
        <w:t>最终结清申请单</w:t>
      </w:r>
      <w:r>
        <w:rPr>
          <w:rFonts w:hint="eastAsia" w:ascii="宋体" w:hAnsi="宋体" w:eastAsia="宋体" w:cs="宋体"/>
          <w:color w:val="000000"/>
          <w:sz w:val="21"/>
          <w:szCs w:val="21"/>
          <w:highlight w:val="none"/>
        </w:rPr>
        <w:t>应列明质量保证金、应扣除的质量保证金、缺陷责任期内发生的增减费用。</w:t>
      </w:r>
    </w:p>
    <w:p w14:paraId="529420C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（2）发包人对最终结清申请单内容有异议的，有权要求承包人进行修正和提供补充资料，承包人应向发包人提交修正后的最终结清申请单。</w:t>
      </w:r>
    </w:p>
    <w:p w14:paraId="1AE88D5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14.4.2 最终结清证书和支付</w:t>
      </w:r>
    </w:p>
    <w:p w14:paraId="6B6A20C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D063AB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3F8E8B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（3）承包人对发包人颁发的最终结清证书有异议的，按第20条〔争议解决〕的约定办理。</w:t>
      </w:r>
    </w:p>
    <w:p w14:paraId="0192A34F">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564" w:name="_Toc351203598"/>
      <w:bookmarkStart w:id="565" w:name="_Toc337558815"/>
      <w:r>
        <w:rPr>
          <w:rFonts w:hint="eastAsia" w:ascii="宋体" w:hAnsi="宋体" w:eastAsia="宋体" w:cs="宋体"/>
          <w:b w:val="0"/>
          <w:color w:val="000000"/>
          <w:sz w:val="21"/>
          <w:szCs w:val="21"/>
          <w:highlight w:val="none"/>
        </w:rPr>
        <w:t>15. 缺陷责任与保修</w:t>
      </w:r>
      <w:bookmarkEnd w:id="564"/>
    </w:p>
    <w:bookmarkEnd w:id="554"/>
    <w:bookmarkEnd w:id="555"/>
    <w:bookmarkEnd w:id="565"/>
    <w:p w14:paraId="5E27B0F8">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66" w:name="_Toc351203599"/>
      <w:bookmarkStart w:id="567" w:name="_Toc337558816"/>
      <w:bookmarkStart w:id="568" w:name="_Toc296346615"/>
      <w:bookmarkStart w:id="569" w:name="_Toc296503114"/>
      <w:r>
        <w:rPr>
          <w:rFonts w:hint="eastAsia" w:ascii="宋体" w:hAnsi="宋体" w:eastAsia="宋体" w:cs="宋体"/>
          <w:b w:val="0"/>
          <w:color w:val="000000"/>
          <w:sz w:val="21"/>
          <w:szCs w:val="21"/>
          <w:highlight w:val="none"/>
        </w:rPr>
        <w:t>15.1 工程保修的原则</w:t>
      </w:r>
      <w:bookmarkEnd w:id="566"/>
    </w:p>
    <w:bookmarkEnd w:id="567"/>
    <w:p w14:paraId="3D0B2AC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14:paraId="4718671E">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70" w:name="_Toc351203600"/>
      <w:bookmarkStart w:id="571" w:name="_Toc337558817"/>
      <w:r>
        <w:rPr>
          <w:rFonts w:hint="eastAsia" w:ascii="宋体" w:hAnsi="宋体" w:eastAsia="宋体" w:cs="宋体"/>
          <w:b w:val="0"/>
          <w:color w:val="000000"/>
          <w:sz w:val="21"/>
          <w:szCs w:val="21"/>
          <w:highlight w:val="none"/>
        </w:rPr>
        <w:t>15.2 缺陷责任期</w:t>
      </w:r>
      <w:bookmarkEnd w:id="568"/>
      <w:bookmarkEnd w:id="569"/>
      <w:bookmarkEnd w:id="570"/>
    </w:p>
    <w:bookmarkEnd w:id="571"/>
    <w:p w14:paraId="61D0C6B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15.2.1 缺陷责任期从工程通过竣工验收之日起计算，合同当事人应在专用合同条款约定缺陷责任期的具体期限，但该期限最长不超过24个月。</w:t>
      </w:r>
    </w:p>
    <w:p w14:paraId="3F79008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861EC2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1"/>
          <w:szCs w:val="21"/>
          <w:highlight w:val="none"/>
        </w:rPr>
        <w:t>包人延长缺陷责任期，</w:t>
      </w:r>
      <w:r>
        <w:rPr>
          <w:rFonts w:hint="eastAsia" w:ascii="宋体" w:hAnsi="宋体" w:eastAsia="宋体" w:cs="宋体"/>
          <w:color w:val="000000"/>
          <w:kern w:val="0"/>
          <w:sz w:val="21"/>
          <w:szCs w:val="21"/>
          <w:highlight w:val="none"/>
        </w:rPr>
        <w:t>并应在原缺陷责任期届满前发出延长通知</w:t>
      </w:r>
      <w:r>
        <w:rPr>
          <w:rFonts w:hint="eastAsia" w:ascii="宋体" w:hAnsi="宋体" w:eastAsia="宋体" w:cs="宋体"/>
          <w:color w:val="000000"/>
          <w:kern w:val="0"/>
          <w:sz w:val="21"/>
          <w:szCs w:val="21"/>
          <w:highlight w:val="none"/>
          <w:lang w:eastAsia="zh-CN"/>
        </w:rPr>
        <w:t>。</w:t>
      </w:r>
      <w:r>
        <w:rPr>
          <w:rFonts w:hint="eastAsia" w:ascii="宋体" w:hAnsi="宋体" w:eastAsia="宋体" w:cs="宋体"/>
          <w:bCs/>
          <w:color w:val="000000"/>
          <w:sz w:val="21"/>
          <w:szCs w:val="21"/>
          <w:highlight w:val="none"/>
        </w:rPr>
        <w:t>但缺陷责任期</w:t>
      </w:r>
      <w:r>
        <w:rPr>
          <w:rFonts w:hint="eastAsia" w:ascii="宋体" w:hAnsi="宋体" w:eastAsia="宋体" w:cs="宋体"/>
          <w:bCs/>
          <w:color w:val="000000"/>
          <w:sz w:val="21"/>
          <w:szCs w:val="21"/>
          <w:highlight w:val="none"/>
          <w:lang w:eastAsia="zh-CN"/>
        </w:rPr>
        <w:t>（含延长部分）</w:t>
      </w:r>
      <w:r>
        <w:rPr>
          <w:rFonts w:hint="eastAsia" w:ascii="宋体" w:hAnsi="宋体" w:eastAsia="宋体" w:cs="宋体"/>
          <w:bCs/>
          <w:color w:val="000000"/>
          <w:sz w:val="21"/>
          <w:szCs w:val="21"/>
          <w:highlight w:val="none"/>
        </w:rPr>
        <w:t>最长</w:t>
      </w:r>
      <w:r>
        <w:rPr>
          <w:rFonts w:hint="eastAsia" w:ascii="宋体" w:hAnsi="宋体" w:eastAsia="宋体" w:cs="宋体"/>
          <w:color w:val="000000"/>
          <w:kern w:val="0"/>
          <w:sz w:val="21"/>
          <w:szCs w:val="21"/>
          <w:highlight w:val="none"/>
        </w:rPr>
        <w:t>不能超过24个月。</w:t>
      </w:r>
    </w:p>
    <w:p w14:paraId="49C2050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由他人原因造成的缺陷，发包人负责组织维修，承包人不承担费用，且发包人不得从保证金中扣除费用。</w:t>
      </w:r>
    </w:p>
    <w:p w14:paraId="1ADBC9A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15.2.3 任何一项缺陷或损坏修复后，经检查证明其影响了工程或工程设备的使用性能，承包人应重新进行合同约定的试验和试运行，试验和试运行的全部费用应由责任方承担。</w:t>
      </w:r>
    </w:p>
    <w:p w14:paraId="4A5B44D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9D9670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72" w:name="_Toc351203601"/>
      <w:bookmarkStart w:id="573" w:name="_Toc337558818"/>
      <w:bookmarkStart w:id="574" w:name="_Toc296346616"/>
      <w:bookmarkStart w:id="575" w:name="_Toc296503115"/>
      <w:r>
        <w:rPr>
          <w:rFonts w:hint="eastAsia" w:ascii="宋体" w:hAnsi="宋体" w:eastAsia="宋体" w:cs="宋体"/>
          <w:b w:val="0"/>
          <w:color w:val="000000"/>
          <w:sz w:val="21"/>
          <w:szCs w:val="21"/>
          <w:highlight w:val="none"/>
        </w:rPr>
        <w:t>15.3 质量保证金</w:t>
      </w:r>
      <w:bookmarkEnd w:id="572"/>
    </w:p>
    <w:bookmarkEnd w:id="573"/>
    <w:p w14:paraId="5D8F170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经合同当事人协商一致扣留质量保证金的，应在专用合同条款中予以明确。</w:t>
      </w:r>
    </w:p>
    <w:p w14:paraId="56E3A27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在工程项目竣工前，承包人已经提供履约担保的，发包人不得同时预留工程质量保证金。</w:t>
      </w:r>
    </w:p>
    <w:p w14:paraId="154FEC2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p>
    <w:p w14:paraId="5D7DB96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15.3.1 承包人提供质量保证金的方式</w:t>
      </w:r>
    </w:p>
    <w:p w14:paraId="39640E4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承包人提供质量保证金有以下三种方式：</w:t>
      </w:r>
    </w:p>
    <w:p w14:paraId="1330823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（1）质量保证金保函； </w:t>
      </w:r>
    </w:p>
    <w:p w14:paraId="6C81612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（2）相应比例的工程款；</w:t>
      </w:r>
    </w:p>
    <w:p w14:paraId="7853149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（3）双方约定的其他方式。</w:t>
      </w:r>
    </w:p>
    <w:p w14:paraId="662A0D7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除专用合同条款另有约定外，质量保证金原则上采用上述第（1）种方式。</w:t>
      </w:r>
    </w:p>
    <w:p w14:paraId="24BC20D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15.3.2 质量保证金的扣留</w:t>
      </w:r>
    </w:p>
    <w:p w14:paraId="634ADDB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质量保证金的扣留有以下三种方式：</w:t>
      </w:r>
    </w:p>
    <w:p w14:paraId="212A859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（1）在支付工程进度款时逐次扣留，在此情形下，质量保证金的计算基数不包括预付款的支付、扣回以及价格调整的金额；</w:t>
      </w:r>
    </w:p>
    <w:p w14:paraId="5A334C6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（2）工</w:t>
      </w:r>
      <w:bookmarkStart w:id="576" w:name="#go6"/>
      <w:bookmarkEnd w:id="576"/>
      <w:r>
        <w:rPr>
          <w:rFonts w:hint="eastAsia" w:ascii="宋体" w:hAnsi="宋体" w:eastAsia="宋体" w:cs="宋体"/>
          <w:color w:val="000000"/>
          <w:kern w:val="0"/>
          <w:sz w:val="21"/>
          <w:szCs w:val="21"/>
          <w:highlight w:val="none"/>
        </w:rPr>
        <w:t>程竣工结算时一次性扣留质量保证金；</w:t>
      </w:r>
    </w:p>
    <w:p w14:paraId="46DEA64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（3）双方约定的其他扣留方式。</w:t>
      </w:r>
    </w:p>
    <w:p w14:paraId="1964161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除专用合同条款另有约定外，质量保证金的扣留原则上采用上述第（1）种方式。</w:t>
      </w:r>
    </w:p>
    <w:p w14:paraId="5092142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w:t>
      </w:r>
      <w:bookmarkStart w:id="577" w:name="#go4"/>
      <w:bookmarkEnd w:id="577"/>
      <w:r>
        <w:rPr>
          <w:rFonts w:hint="eastAsia" w:ascii="宋体" w:hAnsi="宋体" w:eastAsia="宋体" w:cs="宋体"/>
          <w:color w:val="000000"/>
          <w:kern w:val="0"/>
          <w:sz w:val="21"/>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C0B47B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发包人在退还质量保证金的同时按照中国人民银行发布的同期同类贷款基准利率支付利息。</w:t>
      </w:r>
    </w:p>
    <w:p w14:paraId="253351C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15.3.3 </w:t>
      </w:r>
      <w:r>
        <w:rPr>
          <w:rFonts w:hint="eastAsia" w:ascii="宋体" w:hAnsi="宋体" w:eastAsia="宋体" w:cs="宋体"/>
          <w:color w:val="000000"/>
          <w:sz w:val="21"/>
          <w:szCs w:val="21"/>
          <w:highlight w:val="none"/>
        </w:rPr>
        <w:t>质量保证金</w:t>
      </w:r>
      <w:r>
        <w:rPr>
          <w:rFonts w:hint="eastAsia" w:ascii="宋体" w:hAnsi="宋体" w:eastAsia="宋体" w:cs="宋体"/>
          <w:color w:val="000000"/>
          <w:kern w:val="0"/>
          <w:sz w:val="21"/>
          <w:szCs w:val="21"/>
          <w:highlight w:val="none"/>
        </w:rPr>
        <w:t>的退还</w:t>
      </w:r>
    </w:p>
    <w:p w14:paraId="70DC004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缺陷责任期内，承包人认真履行合同约定的责任，到期后，承包人可向发包人申请返还保证金。</w:t>
      </w:r>
    </w:p>
    <w:p w14:paraId="0C6A605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72762C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发包人和承包人对保证金预留、返还以及工程维修质量、费用有争议的，按本合同第20条约定的争议和纠纷解决程序处理。</w:t>
      </w:r>
    </w:p>
    <w:p w14:paraId="139953F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78" w:name="_Toc351203602"/>
      <w:bookmarkStart w:id="579" w:name="_Toc337558819"/>
      <w:r>
        <w:rPr>
          <w:rFonts w:hint="eastAsia" w:ascii="宋体" w:hAnsi="宋体" w:eastAsia="宋体" w:cs="宋体"/>
          <w:b w:val="0"/>
          <w:color w:val="000000"/>
          <w:sz w:val="21"/>
          <w:szCs w:val="21"/>
          <w:highlight w:val="none"/>
        </w:rPr>
        <w:t>15.4 保修</w:t>
      </w:r>
      <w:bookmarkEnd w:id="578"/>
    </w:p>
    <w:bookmarkEnd w:id="574"/>
    <w:bookmarkEnd w:id="575"/>
    <w:bookmarkEnd w:id="579"/>
    <w:p w14:paraId="5F38494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15.4.1保修责任</w:t>
      </w:r>
    </w:p>
    <w:p w14:paraId="06CE572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066AB0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发包人未经竣工验收擅自使用工程的，保修期自</w:t>
      </w:r>
      <w:r>
        <w:rPr>
          <w:rFonts w:hint="eastAsia" w:ascii="宋体" w:hAnsi="宋体" w:eastAsia="宋体" w:cs="宋体"/>
          <w:color w:val="000000"/>
          <w:kern w:val="0"/>
          <w:sz w:val="21"/>
          <w:szCs w:val="21"/>
          <w:highlight w:val="none"/>
        </w:rPr>
        <w:t>转移占有之日起算</w:t>
      </w:r>
      <w:r>
        <w:rPr>
          <w:rFonts w:hint="eastAsia" w:ascii="宋体" w:hAnsi="宋体" w:eastAsia="宋体" w:cs="宋体"/>
          <w:color w:val="000000"/>
          <w:sz w:val="21"/>
          <w:szCs w:val="21"/>
          <w:highlight w:val="none"/>
        </w:rPr>
        <w:t>。</w:t>
      </w:r>
    </w:p>
    <w:p w14:paraId="23F48B0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15.4.2 修复费用</w:t>
      </w:r>
    </w:p>
    <w:p w14:paraId="611047A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保修期内，修复的费用按照以下约定处理：</w:t>
      </w:r>
    </w:p>
    <w:p w14:paraId="1B3A128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（1）保修期内，因承包人原因造成工程的缺陷、损坏，承包人应负责修复，并承担修复的费用以及因工程的缺陷、损坏造成的人身伤害和财产损失；</w:t>
      </w:r>
    </w:p>
    <w:p w14:paraId="4A72232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（2）保修期内，因发包人使用不当造成工程的缺陷、损坏，可以委托承包人修复，但发包人应承担修复的费用，并支付承包人合理利润；</w:t>
      </w:r>
    </w:p>
    <w:p w14:paraId="7F4EEDF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（3）因其他原因造成工程的缺陷、损坏，可以委托承包人修复，发包人应承担修复的费用，并支付承包人合理的利润，因工程的缺陷、损坏造成的人身伤害和财产损失由责任方承担。</w:t>
      </w:r>
    </w:p>
    <w:p w14:paraId="658C4D1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15.4.3 修复通知</w:t>
      </w:r>
    </w:p>
    <w:p w14:paraId="016CE52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F5D36A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15.4.4 未能修复</w:t>
      </w:r>
    </w:p>
    <w:p w14:paraId="21564D3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732A37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15.4.5 承包人出入权</w:t>
      </w:r>
    </w:p>
    <w:p w14:paraId="18BA979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0AA1E3E">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580" w:name="_Toc351203603"/>
      <w:bookmarkStart w:id="581" w:name="_Toc337558820"/>
      <w:r>
        <w:rPr>
          <w:rFonts w:hint="eastAsia" w:ascii="宋体" w:hAnsi="宋体" w:eastAsia="宋体" w:cs="宋体"/>
          <w:b w:val="0"/>
          <w:color w:val="000000"/>
          <w:sz w:val="21"/>
          <w:szCs w:val="21"/>
          <w:highlight w:val="none"/>
        </w:rPr>
        <w:t>16. 违约</w:t>
      </w:r>
      <w:bookmarkEnd w:id="580"/>
    </w:p>
    <w:bookmarkEnd w:id="581"/>
    <w:p w14:paraId="7E6A1DA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82" w:name="_Toc296503129"/>
      <w:bookmarkStart w:id="583" w:name="_Toc296346630"/>
      <w:bookmarkStart w:id="584" w:name="_Toc351203604"/>
      <w:bookmarkStart w:id="585" w:name="_Toc337558821"/>
      <w:r>
        <w:rPr>
          <w:rFonts w:hint="eastAsia" w:ascii="宋体" w:hAnsi="宋体" w:eastAsia="宋体" w:cs="宋体"/>
          <w:b w:val="0"/>
          <w:color w:val="000000"/>
          <w:sz w:val="21"/>
          <w:szCs w:val="21"/>
          <w:highlight w:val="none"/>
        </w:rPr>
        <w:t>16.1 发</w:t>
      </w:r>
      <w:bookmarkEnd w:id="582"/>
      <w:bookmarkEnd w:id="583"/>
      <w:r>
        <w:rPr>
          <w:rFonts w:hint="eastAsia" w:ascii="宋体" w:hAnsi="宋体" w:eastAsia="宋体" w:cs="宋体"/>
          <w:b w:val="0"/>
          <w:color w:val="000000"/>
          <w:sz w:val="21"/>
          <w:szCs w:val="21"/>
          <w:highlight w:val="none"/>
        </w:rPr>
        <w:t>包人违约</w:t>
      </w:r>
      <w:bookmarkEnd w:id="584"/>
    </w:p>
    <w:bookmarkEnd w:id="585"/>
    <w:p w14:paraId="2F763D8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16.1.1 发包人违约的情形</w:t>
      </w:r>
    </w:p>
    <w:p w14:paraId="43D2E95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在合同履行过程中发生的下列情形，属于发包人违约：</w:t>
      </w:r>
    </w:p>
    <w:p w14:paraId="72DB2E6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（1）因发包人原因未能在计划开工日期前7天内下达开工通知的；</w:t>
      </w:r>
    </w:p>
    <w:p w14:paraId="6B1A23B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（2）因发包人原因未能按合同约定支付合同价款的；</w:t>
      </w:r>
    </w:p>
    <w:p w14:paraId="40DE66F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（3）发包人违反第10.1款〔变更的范围〕第（2）项约定，自行实施被取消的工作或转由他人实施的；</w:t>
      </w:r>
    </w:p>
    <w:p w14:paraId="138EB18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（4）发包人提供的材料、工程设备的规格、数量或质量不符合合同约定，或因发包人原因导致交货日期延误或交货地点变更等情况的；</w:t>
      </w:r>
    </w:p>
    <w:p w14:paraId="79A6392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（5）因发包人违反合同约定造成暂停施工的；</w:t>
      </w:r>
    </w:p>
    <w:p w14:paraId="2ECF157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（6）发包人无正当理由没有在约定期限内发出复工指示，导致承包人无法复工的；</w:t>
      </w:r>
    </w:p>
    <w:p w14:paraId="1AB05CB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（7）发包人明确表示或者以其行为表明不履行合同主要义务的；</w:t>
      </w:r>
    </w:p>
    <w:p w14:paraId="2EF4312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（8）发包人未能按照合同约定履行其他义务的。</w:t>
      </w:r>
    </w:p>
    <w:p w14:paraId="2D33F2E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F1D285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16.1.2 发包人违约的责任</w:t>
      </w:r>
    </w:p>
    <w:p w14:paraId="752F3A9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220902C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16.1.3 因发包人违约解除合同</w:t>
      </w:r>
    </w:p>
    <w:p w14:paraId="7A41D98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673F30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16.1.4 因发包人违约解除合同后的付款</w:t>
      </w:r>
    </w:p>
    <w:p w14:paraId="2557787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承包人按照本款约定解除合同的，发包人应在解除合同后28天内支付下列款项，并解除履约担保：</w:t>
      </w:r>
    </w:p>
    <w:p w14:paraId="3B637C1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（1）合同解除前所完成工作的价款；</w:t>
      </w:r>
    </w:p>
    <w:p w14:paraId="772920E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（2）承包人为工程施工订购并已付款的材料、工程设备和其他物品的价款；</w:t>
      </w:r>
    </w:p>
    <w:p w14:paraId="37F9A73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（3）承包人撤离施工现场以及遣散承包人人员的款项；</w:t>
      </w:r>
    </w:p>
    <w:p w14:paraId="382A32F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（4）按照合同约定在合同解除前应支付的违约金；</w:t>
      </w:r>
    </w:p>
    <w:p w14:paraId="3B11D35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（5）按照合同约定应当支付给承包人的其他款项；</w:t>
      </w:r>
    </w:p>
    <w:p w14:paraId="23E2222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（6）按照合同约定应退还的质量保证金；</w:t>
      </w:r>
    </w:p>
    <w:p w14:paraId="19AFA7B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（7）因解除合同给承包人造成的损失。</w:t>
      </w:r>
    </w:p>
    <w:p w14:paraId="7723A77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合同当事人未能就解除合同后的结清达成一致的，按照第20条〔争议解决〕的约定处理。</w:t>
      </w:r>
    </w:p>
    <w:p w14:paraId="135DEE7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28379C3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86" w:name="_Toc351203605"/>
      <w:bookmarkStart w:id="587" w:name="_Toc296346632"/>
      <w:bookmarkStart w:id="588" w:name="_Toc337558822"/>
      <w:bookmarkStart w:id="589" w:name="_Toc296503131"/>
      <w:r>
        <w:rPr>
          <w:rFonts w:hint="eastAsia" w:ascii="宋体" w:hAnsi="宋体" w:eastAsia="宋体" w:cs="宋体"/>
          <w:b w:val="0"/>
          <w:color w:val="000000"/>
          <w:sz w:val="21"/>
          <w:szCs w:val="21"/>
          <w:highlight w:val="none"/>
        </w:rPr>
        <w:t>16.2 承包人违约</w:t>
      </w:r>
      <w:bookmarkEnd w:id="586"/>
    </w:p>
    <w:bookmarkEnd w:id="587"/>
    <w:bookmarkEnd w:id="588"/>
    <w:bookmarkEnd w:id="589"/>
    <w:p w14:paraId="2B4128D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16.2.1 承包人违约的情形</w:t>
      </w:r>
    </w:p>
    <w:p w14:paraId="65CFE49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在合同履行过程中发生的下列情形，属于承包人违约：</w:t>
      </w:r>
    </w:p>
    <w:p w14:paraId="70AB96E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（1）承包人违反合同约定进行转包或违法分包的；</w:t>
      </w:r>
    </w:p>
    <w:p w14:paraId="6C441E0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（2）承包人违反合同约定采购和使用不合格的材料和工程设备的；</w:t>
      </w:r>
    </w:p>
    <w:p w14:paraId="344BDE7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（3）因承包人原因导致工程质量不符合合同要求的； </w:t>
      </w:r>
    </w:p>
    <w:p w14:paraId="06DAEF6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（4）承包人违反第8.9款〔材料与设备专用要求〕的约定，未经批准，私自将已按照合同约定进入施工现场的材料或设备撤离施工现场的；</w:t>
      </w:r>
    </w:p>
    <w:p w14:paraId="2721EEA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（5）承包人未能按施工进度计划及时完成合同约定的工作，造成工期延误的；</w:t>
      </w:r>
    </w:p>
    <w:p w14:paraId="4575910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（6）承包人在缺陷责任期及保修期内，未能在合理期限对工程缺陷进行修复，或拒绝按发包人要求进行修复的；</w:t>
      </w:r>
    </w:p>
    <w:p w14:paraId="039D246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（7）承包人明确表示或者以其行为表明不履行合同主要义务的；</w:t>
      </w:r>
    </w:p>
    <w:p w14:paraId="1B89642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（8）承包人未能按照合同约定履行其他义务的。</w:t>
      </w:r>
    </w:p>
    <w:p w14:paraId="23D2442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承包人发生除本项第（7）目约定以外的其他违约情况时，监理人可向承包人发出整改通知，要求其在指定的期限内改正。</w:t>
      </w:r>
    </w:p>
    <w:p w14:paraId="168EB9E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16.2.2 承包人违约的责任</w:t>
      </w:r>
    </w:p>
    <w:p w14:paraId="3682C3F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承包人应承担因其违约行为而增加的费用和（或）延误的工期。此外，合同当事人可在专用合同条款中另行约定承包人违约责任的承担方式和计算方法。</w:t>
      </w:r>
    </w:p>
    <w:p w14:paraId="70C262D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16.2.3 因承包人违约解除合同</w:t>
      </w:r>
    </w:p>
    <w:p w14:paraId="399E85D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09F280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16.2.4因承包人违约解除合同后的处理</w:t>
      </w:r>
    </w:p>
    <w:p w14:paraId="77A6115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因承包人原因导致合同解除的，则合同当事人应在合同解除后28天内完成估价、付款和清算，并按以下约定执行：</w:t>
      </w:r>
    </w:p>
    <w:p w14:paraId="2A8F3FD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（1）合同解除后，按第4.4款〔商定或确定〕商定或确定承包人实际完成工作对应的合同价款，以及承包人已提供的材料、工程设备、施工设备和临时工程等的价值；</w:t>
      </w:r>
    </w:p>
    <w:p w14:paraId="0D92954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（2）合同解除后，承包人应支付的违约金；</w:t>
      </w:r>
    </w:p>
    <w:p w14:paraId="4EC3B13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（3）合同解除后，因解除合同给发包人造成的损失；</w:t>
      </w:r>
    </w:p>
    <w:p w14:paraId="5592662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（4）合同解除后，承包人应按照发包人要求和监理人的指示完成现场的清理和撤离；</w:t>
      </w:r>
    </w:p>
    <w:p w14:paraId="437F6B8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（5）发包人和承包人应在合同解除后进行清算，出具最终结清付款证书，结清全部款项。</w:t>
      </w:r>
    </w:p>
    <w:p w14:paraId="2CC0835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5B4D67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16.2.5采购合同权益转让</w:t>
      </w:r>
    </w:p>
    <w:p w14:paraId="55DA805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BAADC42">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90" w:name="_Toc351203606"/>
      <w:r>
        <w:rPr>
          <w:rFonts w:hint="eastAsia" w:ascii="宋体" w:hAnsi="宋体" w:eastAsia="宋体" w:cs="宋体"/>
          <w:b w:val="0"/>
          <w:color w:val="000000"/>
          <w:sz w:val="21"/>
          <w:szCs w:val="21"/>
          <w:highlight w:val="none"/>
        </w:rPr>
        <w:t>16.3 第三人造成的违约</w:t>
      </w:r>
      <w:bookmarkEnd w:id="590"/>
    </w:p>
    <w:p w14:paraId="31C199F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在履行合同过程中，一方当事人因第三人的原因造成违约的，应当向对方当事人承担违约责任。一方当事人和第三人之间的纠纷，依照法律规定或者按照约定解决。</w:t>
      </w:r>
    </w:p>
    <w:p w14:paraId="792AFBED">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591" w:name="_Toc351203607"/>
      <w:bookmarkStart w:id="592" w:name="_Toc337558823"/>
      <w:bookmarkStart w:id="593" w:name="_Toc296503116"/>
      <w:bookmarkStart w:id="594" w:name="_Toc296346617"/>
      <w:r>
        <w:rPr>
          <w:rFonts w:hint="eastAsia" w:ascii="宋体" w:hAnsi="宋体" w:eastAsia="宋体" w:cs="宋体"/>
          <w:b w:val="0"/>
          <w:color w:val="000000"/>
          <w:sz w:val="21"/>
          <w:szCs w:val="21"/>
          <w:highlight w:val="none"/>
        </w:rPr>
        <w:t>17. 不可抗力</w:t>
      </w:r>
      <w:bookmarkEnd w:id="591"/>
      <w:r>
        <w:rPr>
          <w:rFonts w:hint="eastAsia" w:ascii="宋体" w:hAnsi="宋体" w:eastAsia="宋体" w:cs="宋体"/>
          <w:b w:val="0"/>
          <w:color w:val="000000"/>
          <w:sz w:val="21"/>
          <w:szCs w:val="21"/>
          <w:highlight w:val="none"/>
        </w:rPr>
        <w:t xml:space="preserve"> </w:t>
      </w:r>
      <w:bookmarkEnd w:id="592"/>
      <w:bookmarkEnd w:id="593"/>
      <w:bookmarkEnd w:id="594"/>
    </w:p>
    <w:p w14:paraId="56F3678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95" w:name="_Toc351203608"/>
      <w:bookmarkStart w:id="596" w:name="_Toc337558824"/>
      <w:bookmarkStart w:id="597" w:name="_Toc296503117"/>
      <w:bookmarkStart w:id="598" w:name="_Toc296346618"/>
      <w:r>
        <w:rPr>
          <w:rFonts w:hint="eastAsia" w:ascii="宋体" w:hAnsi="宋体" w:eastAsia="宋体" w:cs="宋体"/>
          <w:b w:val="0"/>
          <w:color w:val="000000"/>
          <w:sz w:val="21"/>
          <w:szCs w:val="21"/>
          <w:highlight w:val="none"/>
        </w:rPr>
        <w:t>17.1 不可抗力的确认</w:t>
      </w:r>
      <w:bookmarkEnd w:id="595"/>
    </w:p>
    <w:bookmarkEnd w:id="596"/>
    <w:bookmarkEnd w:id="597"/>
    <w:bookmarkEnd w:id="598"/>
    <w:p w14:paraId="0B5D3F4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0752B5E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8DE97F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599" w:name="_Toc351203609"/>
      <w:bookmarkStart w:id="600" w:name="_Toc296346619"/>
      <w:bookmarkStart w:id="601" w:name="_Toc337558825"/>
      <w:bookmarkStart w:id="602" w:name="_Toc296503118"/>
      <w:r>
        <w:rPr>
          <w:rFonts w:hint="eastAsia" w:ascii="宋体" w:hAnsi="宋体" w:eastAsia="宋体" w:cs="宋体"/>
          <w:b w:val="0"/>
          <w:color w:val="000000"/>
          <w:sz w:val="21"/>
          <w:szCs w:val="21"/>
          <w:highlight w:val="none"/>
        </w:rPr>
        <w:t>17.2 不可抗力的通知</w:t>
      </w:r>
      <w:bookmarkEnd w:id="599"/>
    </w:p>
    <w:bookmarkEnd w:id="600"/>
    <w:bookmarkEnd w:id="601"/>
    <w:bookmarkEnd w:id="602"/>
    <w:p w14:paraId="7DE7F1F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合同一方当事人遇到不可抗力事件，使其履行合同义务受到阻碍时，应立即通知合同另一方当事人和监理人，书面说明不可抗力和受阻碍的详细情况，并提供必要的证明。</w:t>
      </w:r>
    </w:p>
    <w:p w14:paraId="07456D1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33EA59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03" w:name="_Toc351203610"/>
      <w:bookmarkStart w:id="604" w:name="_Toc296503119"/>
      <w:bookmarkStart w:id="605" w:name="_Toc296346620"/>
      <w:bookmarkStart w:id="606" w:name="_Toc337558826"/>
      <w:r>
        <w:rPr>
          <w:rFonts w:hint="eastAsia" w:ascii="宋体" w:hAnsi="宋体" w:eastAsia="宋体" w:cs="宋体"/>
          <w:b w:val="0"/>
          <w:color w:val="000000"/>
          <w:sz w:val="21"/>
          <w:szCs w:val="21"/>
          <w:highlight w:val="none"/>
        </w:rPr>
        <w:t>17.3 不可抗力后果的承担</w:t>
      </w:r>
      <w:bookmarkEnd w:id="603"/>
    </w:p>
    <w:bookmarkEnd w:id="604"/>
    <w:bookmarkEnd w:id="605"/>
    <w:bookmarkEnd w:id="606"/>
    <w:p w14:paraId="788F4CB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17.3.1 不可抗力引起的后果及造成的损失由合同当事人按照法律规定及合同约定各自承担。不可抗力发生前已完成的工程应当按照合同约定进行计量支付。</w:t>
      </w:r>
    </w:p>
    <w:p w14:paraId="3086DE2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17.3.2 不可抗力导致的人员伤亡、财产损失、费用增加和（或）工期延误等后果，由合同当事人按以下原则承担：</w:t>
      </w:r>
    </w:p>
    <w:p w14:paraId="3D4B52B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（1）永久工程、已运至施工现场的材料和工程设备的损坏，以及因工程损坏造成的第三人人员伤亡和财产损失由发包人承担；</w:t>
      </w:r>
    </w:p>
    <w:p w14:paraId="2F979F6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（2）承包人施工设备的损坏由承包人承担；</w:t>
      </w:r>
    </w:p>
    <w:p w14:paraId="7BC85D8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（3）发包人和承包人承担各自人员伤亡和财产的损失；</w:t>
      </w:r>
    </w:p>
    <w:p w14:paraId="3FCEA9E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3F5815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（5）因不可抗力引起或将引起工期延误，发包人要求赶工的，由此增加的赶工费用由发包人承担；</w:t>
      </w:r>
    </w:p>
    <w:p w14:paraId="43BA526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（6）承包人在停工期间按照发包人要求照管、清理和修复工程的费用由发包人承担。</w:t>
      </w:r>
    </w:p>
    <w:p w14:paraId="605DEE6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不可抗力发生后，合同当事人均应采取措施尽量避免和减少损失的扩大，任何一方当事人没有采取有效措施导致损失扩大的，应对扩大的损失承担责任。</w:t>
      </w:r>
    </w:p>
    <w:p w14:paraId="3AD782F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因合同一方迟延履行合同义务，在迟延履行期间遭遇不可抗力的，不免除其违约责任。</w:t>
      </w:r>
    </w:p>
    <w:p w14:paraId="37360214">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07" w:name="_Toc351203611"/>
      <w:bookmarkStart w:id="608" w:name="_Toc337558827"/>
      <w:r>
        <w:rPr>
          <w:rFonts w:hint="eastAsia" w:ascii="宋体" w:hAnsi="宋体" w:eastAsia="宋体" w:cs="宋体"/>
          <w:b w:val="0"/>
          <w:color w:val="000000"/>
          <w:sz w:val="21"/>
          <w:szCs w:val="21"/>
          <w:highlight w:val="none"/>
        </w:rPr>
        <w:t>17.4 因不可抗力解除合同</w:t>
      </w:r>
      <w:bookmarkEnd w:id="607"/>
    </w:p>
    <w:bookmarkEnd w:id="608"/>
    <w:p w14:paraId="2F101F8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A6621F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（1）合同解除前承包人已完成工作的价款；</w:t>
      </w:r>
    </w:p>
    <w:p w14:paraId="6530844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（2）承包人为工程订购的并已交付给承包人，或承包人有责任接受交付的材料、工程设备和其他物品的价款；</w:t>
      </w:r>
    </w:p>
    <w:p w14:paraId="0B57BB1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（3）发包人要求承包人退货或解除订货合同而产生的费用，或因不能退货或解除合同而产生的损失；</w:t>
      </w:r>
    </w:p>
    <w:p w14:paraId="4FCB8BA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（4）承包人撤离施工现场以及遣散承包人人员的费用；</w:t>
      </w:r>
    </w:p>
    <w:p w14:paraId="2888EBA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（5）按照合同约定在合同解除前应支付给承包人的其他款项；</w:t>
      </w:r>
    </w:p>
    <w:p w14:paraId="33514FE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（6）扣减承包人按照合同约定应向发包人支付的款项；</w:t>
      </w:r>
    </w:p>
    <w:p w14:paraId="7A13B5C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（7）双方商定或确定的其他款项。</w:t>
      </w:r>
    </w:p>
    <w:p w14:paraId="2556CDC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除专用合同条款另有约定外，合同解除后，发包人应在商定或确定上述款项后28天内完成上述款项的支付。</w:t>
      </w:r>
    </w:p>
    <w:p w14:paraId="000547DC">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609" w:name="_Toc351203612"/>
      <w:bookmarkStart w:id="610" w:name="_Toc296346621"/>
      <w:bookmarkStart w:id="611" w:name="_Toc337558828"/>
      <w:bookmarkStart w:id="612" w:name="_Toc296503120"/>
      <w:r>
        <w:rPr>
          <w:rFonts w:hint="eastAsia" w:ascii="宋体" w:hAnsi="宋体" w:eastAsia="宋体" w:cs="宋体"/>
          <w:b w:val="0"/>
          <w:color w:val="000000"/>
          <w:sz w:val="21"/>
          <w:szCs w:val="21"/>
          <w:highlight w:val="none"/>
        </w:rPr>
        <w:t>18. 保险</w:t>
      </w:r>
      <w:bookmarkEnd w:id="609"/>
    </w:p>
    <w:bookmarkEnd w:id="610"/>
    <w:bookmarkEnd w:id="611"/>
    <w:bookmarkEnd w:id="612"/>
    <w:p w14:paraId="1352558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13" w:name="_Toc351203613"/>
      <w:bookmarkStart w:id="614" w:name="_Toc296346622"/>
      <w:bookmarkStart w:id="615" w:name="_Toc337558829"/>
      <w:bookmarkStart w:id="616" w:name="_Toc296503121"/>
      <w:r>
        <w:rPr>
          <w:rFonts w:hint="eastAsia" w:ascii="宋体" w:hAnsi="宋体" w:eastAsia="宋体" w:cs="宋体"/>
          <w:b w:val="0"/>
          <w:color w:val="000000"/>
          <w:sz w:val="21"/>
          <w:szCs w:val="21"/>
          <w:highlight w:val="none"/>
        </w:rPr>
        <w:t>18.1 工程保险</w:t>
      </w:r>
      <w:bookmarkEnd w:id="613"/>
    </w:p>
    <w:bookmarkEnd w:id="614"/>
    <w:bookmarkEnd w:id="615"/>
    <w:bookmarkEnd w:id="616"/>
    <w:p w14:paraId="57FA468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除专用合同条款另有约定外，发包人应投保建筑工程一切险或安装工程一切险；发包人委托承包人投保的，因投保产生的保险费和其他相关费用由发包人承担。</w:t>
      </w:r>
    </w:p>
    <w:p w14:paraId="3260C9A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17" w:name="_Toc351203614"/>
      <w:bookmarkStart w:id="618" w:name="_Toc296346623"/>
      <w:bookmarkStart w:id="619" w:name="_Toc337558830"/>
      <w:bookmarkStart w:id="620" w:name="_Toc296503122"/>
      <w:r>
        <w:rPr>
          <w:rFonts w:hint="eastAsia" w:ascii="宋体" w:hAnsi="宋体" w:eastAsia="宋体" w:cs="宋体"/>
          <w:b w:val="0"/>
          <w:color w:val="000000"/>
          <w:sz w:val="21"/>
          <w:szCs w:val="21"/>
          <w:highlight w:val="none"/>
        </w:rPr>
        <w:t>18.2 工伤保险</w:t>
      </w:r>
      <w:bookmarkEnd w:id="617"/>
    </w:p>
    <w:bookmarkEnd w:id="618"/>
    <w:bookmarkEnd w:id="619"/>
    <w:bookmarkEnd w:id="620"/>
    <w:p w14:paraId="7C5FE57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4DD947D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44C4383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21" w:name="_Toc351203615"/>
      <w:bookmarkStart w:id="622" w:name="_Toc296503125"/>
      <w:bookmarkStart w:id="623" w:name="_Toc337558831"/>
      <w:bookmarkStart w:id="624" w:name="_Toc296346626"/>
      <w:r>
        <w:rPr>
          <w:rFonts w:hint="eastAsia" w:ascii="宋体" w:hAnsi="宋体" w:eastAsia="宋体" w:cs="宋体"/>
          <w:b w:val="0"/>
          <w:color w:val="000000"/>
          <w:sz w:val="21"/>
          <w:szCs w:val="21"/>
          <w:highlight w:val="none"/>
        </w:rPr>
        <w:t>18.3其他保险</w:t>
      </w:r>
      <w:bookmarkEnd w:id="621"/>
    </w:p>
    <w:bookmarkEnd w:id="622"/>
    <w:bookmarkEnd w:id="623"/>
    <w:bookmarkEnd w:id="624"/>
    <w:p w14:paraId="179BA63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04F1ADD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除专用合同条款另有约定外，承包人应为其施工设备等办理财产保险。</w:t>
      </w:r>
    </w:p>
    <w:p w14:paraId="32897E6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25" w:name="_Toc351203616"/>
      <w:r>
        <w:rPr>
          <w:rFonts w:hint="eastAsia" w:ascii="宋体" w:hAnsi="宋体" w:eastAsia="宋体" w:cs="宋体"/>
          <w:b w:val="0"/>
          <w:color w:val="000000"/>
          <w:sz w:val="21"/>
          <w:szCs w:val="21"/>
          <w:highlight w:val="none"/>
        </w:rPr>
        <w:t>18.4持续保险</w:t>
      </w:r>
      <w:bookmarkEnd w:id="625"/>
    </w:p>
    <w:p w14:paraId="281B6EB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合同当事人应与保险人保持联系，使保险人能够随时了解工程实施中的变动，并确保按保险合同条款要求持续保险。</w:t>
      </w:r>
    </w:p>
    <w:p w14:paraId="6D75B5F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26" w:name="_Toc351203617"/>
      <w:bookmarkStart w:id="627" w:name="_Toc296346627"/>
      <w:bookmarkStart w:id="628" w:name="_Toc337558832"/>
      <w:bookmarkStart w:id="629" w:name="_Toc296503126"/>
      <w:r>
        <w:rPr>
          <w:rFonts w:hint="eastAsia" w:ascii="宋体" w:hAnsi="宋体" w:eastAsia="宋体" w:cs="宋体"/>
          <w:b w:val="0"/>
          <w:color w:val="000000"/>
          <w:sz w:val="21"/>
          <w:szCs w:val="21"/>
          <w:highlight w:val="none"/>
        </w:rPr>
        <w:t>18.5 保险凭证</w:t>
      </w:r>
      <w:bookmarkEnd w:id="626"/>
    </w:p>
    <w:bookmarkEnd w:id="627"/>
    <w:bookmarkEnd w:id="628"/>
    <w:bookmarkEnd w:id="629"/>
    <w:p w14:paraId="5449002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合同当事人应及时向另一方当事人提交其已投保的各项保险的凭证和保险单复印件。</w:t>
      </w:r>
    </w:p>
    <w:p w14:paraId="6FB8C36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30" w:name="_Toc351203618"/>
      <w:bookmarkStart w:id="631" w:name="_Toc337558833"/>
      <w:bookmarkStart w:id="632" w:name="_Toc296503127"/>
      <w:bookmarkStart w:id="633" w:name="_Toc296346628"/>
      <w:r>
        <w:rPr>
          <w:rFonts w:hint="eastAsia" w:ascii="宋体" w:hAnsi="宋体" w:eastAsia="宋体" w:cs="宋体"/>
          <w:b w:val="0"/>
          <w:color w:val="000000"/>
          <w:sz w:val="21"/>
          <w:szCs w:val="21"/>
          <w:highlight w:val="none"/>
        </w:rPr>
        <w:t>18.6 未按约定投保的补救</w:t>
      </w:r>
      <w:bookmarkEnd w:id="630"/>
    </w:p>
    <w:bookmarkEnd w:id="631"/>
    <w:bookmarkEnd w:id="632"/>
    <w:bookmarkEnd w:id="633"/>
    <w:p w14:paraId="7832FB6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35B5C52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025054F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34" w:name="_Toc351203619"/>
      <w:bookmarkStart w:id="635" w:name="_Toc337558834"/>
      <w:r>
        <w:rPr>
          <w:rFonts w:hint="eastAsia" w:ascii="宋体" w:hAnsi="宋体" w:eastAsia="宋体" w:cs="宋体"/>
          <w:b w:val="0"/>
          <w:color w:val="000000"/>
          <w:sz w:val="21"/>
          <w:szCs w:val="21"/>
          <w:highlight w:val="none"/>
        </w:rPr>
        <w:t>18.7 通知义务</w:t>
      </w:r>
      <w:bookmarkEnd w:id="634"/>
    </w:p>
    <w:bookmarkEnd w:id="635"/>
    <w:p w14:paraId="42C84AC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39EB2B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保险事故发生时，投保人应按照保险合同规定的条件和期限及时向保险人报告。发包人和承包人应当在知道保险事故发生后及时通知对方。</w:t>
      </w:r>
    </w:p>
    <w:p w14:paraId="4C93ED8A">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636" w:name="_Toc351203620"/>
      <w:bookmarkStart w:id="637" w:name="_Toc296346641"/>
      <w:bookmarkStart w:id="638" w:name="_Toc337558835"/>
      <w:bookmarkStart w:id="639" w:name="_Toc296503140"/>
      <w:r>
        <w:rPr>
          <w:rFonts w:hint="eastAsia" w:ascii="宋体" w:hAnsi="宋体" w:eastAsia="宋体" w:cs="宋体"/>
          <w:b w:val="0"/>
          <w:color w:val="000000"/>
          <w:sz w:val="21"/>
          <w:szCs w:val="21"/>
          <w:highlight w:val="none"/>
        </w:rPr>
        <w:t>19. 索赔</w:t>
      </w:r>
      <w:bookmarkEnd w:id="636"/>
    </w:p>
    <w:bookmarkEnd w:id="637"/>
    <w:bookmarkEnd w:id="638"/>
    <w:bookmarkEnd w:id="639"/>
    <w:p w14:paraId="40191559">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40" w:name="_Toc351203621"/>
      <w:bookmarkStart w:id="641" w:name="_Toc296346642"/>
      <w:bookmarkStart w:id="642" w:name="_Toc337558836"/>
      <w:bookmarkStart w:id="643" w:name="_Toc296503141"/>
      <w:r>
        <w:rPr>
          <w:rFonts w:hint="eastAsia" w:ascii="宋体" w:hAnsi="宋体" w:eastAsia="宋体" w:cs="宋体"/>
          <w:b w:val="0"/>
          <w:color w:val="000000"/>
          <w:sz w:val="21"/>
          <w:szCs w:val="21"/>
          <w:highlight w:val="none"/>
        </w:rPr>
        <w:t>19.1承包人的索赔</w:t>
      </w:r>
      <w:bookmarkEnd w:id="640"/>
    </w:p>
    <w:bookmarkEnd w:id="641"/>
    <w:bookmarkEnd w:id="642"/>
    <w:bookmarkEnd w:id="643"/>
    <w:p w14:paraId="2D6BA20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根据合同约定，承包人认为有权得到追加付款和（或）延长工期的，应按以下程序向发包人提出索赔：</w:t>
      </w:r>
    </w:p>
    <w:p w14:paraId="0CA5320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25C72A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480A1E1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（3）索赔事件具有持续影响的，承包人应按合理时间间隔继续递交延续索赔通知，说明持续影响的实际情况和记录，列出累计的追加付款金额和（或）工期延长天数；</w:t>
      </w:r>
    </w:p>
    <w:p w14:paraId="43B3097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（4）在索赔事件影响结束后28天内，承包人应向监理人递交最终索赔报告，说明最终要求索赔的追加付款金额和（或）延长的工期，并附必要的记录和证明材料。</w:t>
      </w:r>
    </w:p>
    <w:p w14:paraId="5D5E9D6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44" w:name="_Toc351203622"/>
      <w:bookmarkStart w:id="645" w:name="_Toc296346643"/>
      <w:bookmarkStart w:id="646" w:name="_Toc337558837"/>
      <w:bookmarkStart w:id="647" w:name="_Toc296503142"/>
      <w:r>
        <w:rPr>
          <w:rFonts w:hint="eastAsia" w:ascii="宋体" w:hAnsi="宋体" w:eastAsia="宋体" w:cs="宋体"/>
          <w:b w:val="0"/>
          <w:color w:val="000000"/>
          <w:sz w:val="21"/>
          <w:szCs w:val="21"/>
          <w:highlight w:val="none"/>
        </w:rPr>
        <w:t>19.2 对承包人索赔的处理</w:t>
      </w:r>
      <w:bookmarkEnd w:id="644"/>
    </w:p>
    <w:bookmarkEnd w:id="645"/>
    <w:bookmarkEnd w:id="646"/>
    <w:bookmarkEnd w:id="647"/>
    <w:p w14:paraId="6DBD606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对承包人索赔的处理如下：</w:t>
      </w:r>
    </w:p>
    <w:p w14:paraId="09AA4AD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（1）监理人应在收到索赔报告后14天内完成审查并报送发包人。监理人对索赔报告存在异议的，有权要求承包人提交全部原始记录副本；</w:t>
      </w:r>
    </w:p>
    <w:p w14:paraId="2CD59D5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073E24D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（3）承包人接受索赔处理结果的，索赔款项在当期进度款中进行支付；承包人不接受索赔处理结果的，按照第20条〔争议解决〕约定处理。</w:t>
      </w:r>
    </w:p>
    <w:p w14:paraId="51292495">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48" w:name="_Toc351203623"/>
      <w:bookmarkStart w:id="649" w:name="_Toc337558838"/>
      <w:bookmarkStart w:id="650" w:name="_Toc296503143"/>
      <w:bookmarkStart w:id="651" w:name="_Toc296346644"/>
      <w:r>
        <w:rPr>
          <w:rFonts w:hint="eastAsia" w:ascii="宋体" w:hAnsi="宋体" w:eastAsia="宋体" w:cs="宋体"/>
          <w:b w:val="0"/>
          <w:color w:val="000000"/>
          <w:sz w:val="21"/>
          <w:szCs w:val="21"/>
          <w:highlight w:val="none"/>
        </w:rPr>
        <w:t>19.3发包人的索赔</w:t>
      </w:r>
      <w:bookmarkEnd w:id="648"/>
    </w:p>
    <w:bookmarkEnd w:id="649"/>
    <w:bookmarkEnd w:id="650"/>
    <w:bookmarkEnd w:id="651"/>
    <w:p w14:paraId="6A2CC8AB">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根据合同约定，发包人认为有权得到赔付金额和（或）延长缺陷责任期的，监理人应向承包人发出通知并附有详细的证明。</w:t>
      </w:r>
    </w:p>
    <w:p w14:paraId="0576495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BD8778F">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52" w:name="_Toc351203624"/>
      <w:bookmarkStart w:id="653" w:name="_Toc296503144"/>
      <w:bookmarkStart w:id="654" w:name="_Toc296346645"/>
      <w:bookmarkStart w:id="655" w:name="_Toc337558839"/>
      <w:r>
        <w:rPr>
          <w:rFonts w:hint="eastAsia" w:ascii="宋体" w:hAnsi="宋体" w:eastAsia="宋体" w:cs="宋体"/>
          <w:b w:val="0"/>
          <w:color w:val="000000"/>
          <w:sz w:val="21"/>
          <w:szCs w:val="21"/>
          <w:highlight w:val="none"/>
        </w:rPr>
        <w:t>19.4 对发包人索赔的处理</w:t>
      </w:r>
      <w:bookmarkEnd w:id="652"/>
    </w:p>
    <w:bookmarkEnd w:id="653"/>
    <w:bookmarkEnd w:id="654"/>
    <w:bookmarkEnd w:id="655"/>
    <w:p w14:paraId="50D4457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对发包人索赔的处理如下：</w:t>
      </w:r>
    </w:p>
    <w:p w14:paraId="0FF6946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（1）承包人收到发包人提交的索赔报告后，应及时审查索赔报告的内容、查验发包人证明材料；</w:t>
      </w:r>
    </w:p>
    <w:p w14:paraId="5271F44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（2）承包人应在收到索赔报告或有关索赔的进一步证明材料后28天内，将索赔处理结果答复发包人。如果承包人未在上述期限内作出答复的，则视为对发包人索赔要求的认可；</w:t>
      </w:r>
    </w:p>
    <w:p w14:paraId="45FA952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1010BAF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56" w:name="_Toc351203625"/>
      <w:r>
        <w:rPr>
          <w:rFonts w:hint="eastAsia" w:ascii="宋体" w:hAnsi="宋体" w:eastAsia="宋体" w:cs="宋体"/>
          <w:b w:val="0"/>
          <w:color w:val="000000"/>
          <w:sz w:val="21"/>
          <w:szCs w:val="21"/>
          <w:highlight w:val="none"/>
        </w:rPr>
        <w:t>19.5 提出索赔的期限</w:t>
      </w:r>
      <w:bookmarkEnd w:id="656"/>
    </w:p>
    <w:p w14:paraId="67EEC20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（1）承包人按第14.2款〔竣工结算审核〕约定接收竣工付款证书后，应被视为已无权再提出在工程接收证书颁发前所发生的任何索赔。</w:t>
      </w:r>
    </w:p>
    <w:p w14:paraId="7B5011E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（2）承包人按第14.4款〔最终结清〕提交的最终结清申请单中，只限于提出工程接收证书颁发后发生的索赔。提出索赔的期限自接受最终结清证书时终止。</w:t>
      </w:r>
    </w:p>
    <w:p w14:paraId="57DE6288">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657" w:name="_Toc351203626"/>
      <w:r>
        <w:rPr>
          <w:rFonts w:hint="eastAsia" w:ascii="宋体" w:hAnsi="宋体" w:eastAsia="宋体" w:cs="宋体"/>
          <w:b w:val="0"/>
          <w:color w:val="000000"/>
          <w:sz w:val="21"/>
          <w:szCs w:val="21"/>
          <w:highlight w:val="none"/>
        </w:rPr>
        <w:t>20</w:t>
      </w:r>
      <w:bookmarkStart w:id="658" w:name="_Toc296346647"/>
      <w:bookmarkStart w:id="659" w:name="_Toc296503146"/>
      <w:bookmarkStart w:id="660" w:name="_Toc337558840"/>
      <w:r>
        <w:rPr>
          <w:rFonts w:hint="eastAsia" w:ascii="宋体" w:hAnsi="宋体" w:eastAsia="宋体" w:cs="宋体"/>
          <w:b w:val="0"/>
          <w:color w:val="000000"/>
          <w:sz w:val="21"/>
          <w:szCs w:val="21"/>
          <w:highlight w:val="none"/>
        </w:rPr>
        <w:t>. 争议解决</w:t>
      </w:r>
      <w:bookmarkEnd w:id="657"/>
    </w:p>
    <w:bookmarkEnd w:id="658"/>
    <w:bookmarkEnd w:id="659"/>
    <w:bookmarkEnd w:id="660"/>
    <w:p w14:paraId="6437BD4D">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61" w:name="_Toc351203627"/>
      <w:bookmarkStart w:id="662" w:name="_Toc296346648"/>
      <w:bookmarkStart w:id="663" w:name="_Toc337558841"/>
      <w:bookmarkStart w:id="664" w:name="_Toc296503147"/>
      <w:r>
        <w:rPr>
          <w:rFonts w:hint="eastAsia" w:ascii="宋体" w:hAnsi="宋体" w:eastAsia="宋体" w:cs="宋体"/>
          <w:b w:val="0"/>
          <w:color w:val="000000"/>
          <w:sz w:val="21"/>
          <w:szCs w:val="21"/>
          <w:highlight w:val="none"/>
        </w:rPr>
        <w:t>20.1和解</w:t>
      </w:r>
      <w:bookmarkEnd w:id="661"/>
    </w:p>
    <w:bookmarkEnd w:id="662"/>
    <w:bookmarkEnd w:id="663"/>
    <w:bookmarkEnd w:id="664"/>
    <w:p w14:paraId="6047EE7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合同当事人可以就争议自行和解，自行和解达成协议的经双方签字并盖章后作为合同补充文件，双方均应遵照执行。</w:t>
      </w:r>
    </w:p>
    <w:p w14:paraId="549EE20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65" w:name="_Toc351203628"/>
      <w:r>
        <w:rPr>
          <w:rFonts w:hint="eastAsia" w:ascii="宋体" w:hAnsi="宋体" w:eastAsia="宋体" w:cs="宋体"/>
          <w:b w:val="0"/>
          <w:color w:val="000000"/>
          <w:sz w:val="21"/>
          <w:szCs w:val="21"/>
          <w:highlight w:val="none"/>
        </w:rPr>
        <w:t>20</w:t>
      </w:r>
      <w:bookmarkStart w:id="666" w:name="_Toc337558842"/>
      <w:bookmarkStart w:id="667" w:name="_Toc296503148"/>
      <w:bookmarkStart w:id="668" w:name="_Toc296346649"/>
      <w:r>
        <w:rPr>
          <w:rFonts w:hint="eastAsia" w:ascii="宋体" w:hAnsi="宋体" w:eastAsia="宋体" w:cs="宋体"/>
          <w:b w:val="0"/>
          <w:color w:val="000000"/>
          <w:sz w:val="21"/>
          <w:szCs w:val="21"/>
          <w:highlight w:val="none"/>
        </w:rPr>
        <w:t>.2调解</w:t>
      </w:r>
      <w:bookmarkEnd w:id="665"/>
    </w:p>
    <w:bookmarkEnd w:id="666"/>
    <w:bookmarkEnd w:id="667"/>
    <w:bookmarkEnd w:id="668"/>
    <w:p w14:paraId="7ED1CAF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合同当事人可以就争议请求建设行政主管部门、行业协会或其他第三方进行调解，调解达成协议的，经双方签字并盖章后作为合同补充文件，双方均应遵照执行。</w:t>
      </w:r>
    </w:p>
    <w:p w14:paraId="517FE36A">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69" w:name="_Toc351203629"/>
      <w:bookmarkStart w:id="670" w:name="_Toc337558843"/>
      <w:bookmarkStart w:id="671" w:name="_Toc296503149"/>
      <w:bookmarkStart w:id="672" w:name="_Toc296346650"/>
      <w:r>
        <w:rPr>
          <w:rFonts w:hint="eastAsia" w:ascii="宋体" w:hAnsi="宋体" w:eastAsia="宋体" w:cs="宋体"/>
          <w:b w:val="0"/>
          <w:color w:val="000000"/>
          <w:sz w:val="21"/>
          <w:szCs w:val="21"/>
          <w:highlight w:val="none"/>
        </w:rPr>
        <w:t>20.3争议评审</w:t>
      </w:r>
      <w:bookmarkEnd w:id="669"/>
    </w:p>
    <w:bookmarkEnd w:id="670"/>
    <w:bookmarkEnd w:id="671"/>
    <w:bookmarkEnd w:id="672"/>
    <w:p w14:paraId="44AE46F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合同当事人在专用合同条款中约定采取争议评审方式解决争议以及评审规则，并按下列约定执行： </w:t>
      </w:r>
    </w:p>
    <w:p w14:paraId="0F47BA1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20.3.1 争议评审小组的确定</w:t>
      </w:r>
    </w:p>
    <w:p w14:paraId="0B1BBDC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035C984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539653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除专用合同条款另有约定外，评审员报酬由发包人和承包人各承担一半。</w:t>
      </w:r>
    </w:p>
    <w:p w14:paraId="17590C7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20.3.2 争议评审小组的决定</w:t>
      </w:r>
    </w:p>
    <w:p w14:paraId="6A0485F5">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C948192">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20.3.3 争议评审小组决定的效力</w:t>
      </w:r>
    </w:p>
    <w:p w14:paraId="5658415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争议评审小组作出的书面决定经合同当事人签字确认后，对双方具有约束力，双方应遵照执行。</w:t>
      </w:r>
    </w:p>
    <w:p w14:paraId="1BBA8134">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任何一方当事人不接受争议评审小组决定或不履行争议评审小组决定的，双方可选择采用其他争议解决方式。</w:t>
      </w:r>
    </w:p>
    <w:p w14:paraId="0F5F746B">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73" w:name="_Toc351203630"/>
      <w:bookmarkStart w:id="674" w:name="_Toc296503150"/>
      <w:bookmarkStart w:id="675" w:name="_Toc337558844"/>
      <w:bookmarkStart w:id="676" w:name="_Toc296346651"/>
      <w:r>
        <w:rPr>
          <w:rFonts w:hint="eastAsia" w:ascii="宋体" w:hAnsi="宋体" w:eastAsia="宋体" w:cs="宋体"/>
          <w:b w:val="0"/>
          <w:color w:val="000000"/>
          <w:sz w:val="21"/>
          <w:szCs w:val="21"/>
          <w:highlight w:val="none"/>
        </w:rPr>
        <w:t>20.4仲裁或诉讼</w:t>
      </w:r>
      <w:bookmarkEnd w:id="673"/>
    </w:p>
    <w:bookmarkEnd w:id="674"/>
    <w:bookmarkEnd w:id="675"/>
    <w:bookmarkEnd w:id="676"/>
    <w:p w14:paraId="5297838A">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因合同及合同有关事项产生的争议，合同当事人可以在专用合同条款中约定以下一种方式解决争议：</w:t>
      </w:r>
    </w:p>
    <w:p w14:paraId="5B67197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（1）向约定的仲裁委员会申请仲裁；</w:t>
      </w:r>
    </w:p>
    <w:p w14:paraId="6B827DDC">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（2）向有管辖权的人民法院起诉。</w:t>
      </w:r>
    </w:p>
    <w:p w14:paraId="06272397">
      <w:pPr>
        <w:pStyle w:val="6"/>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b w:val="0"/>
          <w:color w:val="000000"/>
          <w:sz w:val="21"/>
          <w:szCs w:val="21"/>
          <w:highlight w:val="none"/>
        </w:rPr>
      </w:pPr>
      <w:bookmarkStart w:id="677" w:name="_Toc351203631"/>
      <w:bookmarkStart w:id="678" w:name="_Toc337558845"/>
      <w:bookmarkStart w:id="679" w:name="_Toc296503152"/>
      <w:bookmarkStart w:id="680" w:name="_Toc296346653"/>
      <w:r>
        <w:rPr>
          <w:rFonts w:hint="eastAsia" w:ascii="宋体" w:hAnsi="宋体" w:eastAsia="宋体" w:cs="宋体"/>
          <w:b w:val="0"/>
          <w:color w:val="000000"/>
          <w:sz w:val="21"/>
          <w:szCs w:val="21"/>
          <w:highlight w:val="none"/>
        </w:rPr>
        <w:t>20.5争议解决条款效力</w:t>
      </w:r>
      <w:bookmarkEnd w:id="677"/>
    </w:p>
    <w:bookmarkEnd w:id="678"/>
    <w:bookmarkEnd w:id="679"/>
    <w:bookmarkEnd w:id="680"/>
    <w:p w14:paraId="1E5A7357">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合同有关争议解决的条款独立存在，合同的变更、解除、终止、无效或者被撤销均不影响其效力。 </w:t>
      </w:r>
    </w:p>
    <w:p w14:paraId="091BEB2C">
      <w:pPr>
        <w:pStyle w:val="4"/>
        <w:pageBreakBefore w:val="0"/>
        <w:widowControl w:val="0"/>
        <w:kinsoku/>
        <w:wordWrap/>
        <w:overflowPunct/>
        <w:topLinePunct w:val="0"/>
        <w:bidi w:val="0"/>
        <w:snapToGrid w:val="0"/>
        <w:spacing w:line="360" w:lineRule="auto"/>
        <w:jc w:val="center"/>
        <w:rPr>
          <w:rFonts w:hint="eastAsia" w:ascii="宋体" w:hAnsi="宋体" w:eastAsia="宋体" w:cs="宋体"/>
          <w:sz w:val="21"/>
          <w:szCs w:val="21"/>
          <w:highlight w:val="none"/>
        </w:rPr>
      </w:pPr>
      <w:bookmarkStart w:id="681" w:name="_Toc351203632"/>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第三部分 专用合同条款</w:t>
      </w:r>
      <w:bookmarkEnd w:id="681"/>
    </w:p>
    <w:p w14:paraId="660BAA57">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682" w:name="_Toc351203633"/>
      <w:r>
        <w:rPr>
          <w:rFonts w:hint="eastAsia" w:ascii="宋体" w:hAnsi="宋体" w:eastAsia="宋体" w:cs="宋体"/>
          <w:b w:val="0"/>
          <w:color w:val="000000"/>
          <w:sz w:val="21"/>
          <w:szCs w:val="21"/>
          <w:highlight w:val="none"/>
        </w:rPr>
        <w:t>1</w:t>
      </w:r>
      <w:bookmarkStart w:id="683" w:name="_Toc296890984"/>
      <w:bookmarkStart w:id="684" w:name="_Toc292559866"/>
      <w:bookmarkStart w:id="685" w:name="_Toc296347155"/>
      <w:bookmarkStart w:id="686" w:name="_Toc292559361"/>
      <w:bookmarkStart w:id="687" w:name="_Toc297120456"/>
      <w:bookmarkStart w:id="688" w:name="_Toc296503156"/>
      <w:bookmarkStart w:id="689" w:name="_Toc296944495"/>
      <w:bookmarkStart w:id="690" w:name="_Toc296346657"/>
      <w:bookmarkStart w:id="691" w:name="_Toc297048342"/>
      <w:bookmarkStart w:id="692" w:name="_Toc296891196"/>
      <w:r>
        <w:rPr>
          <w:rFonts w:hint="eastAsia" w:ascii="宋体" w:hAnsi="宋体" w:eastAsia="宋体" w:cs="宋体"/>
          <w:b w:val="0"/>
          <w:color w:val="000000"/>
          <w:sz w:val="21"/>
          <w:szCs w:val="21"/>
          <w:highlight w:val="none"/>
        </w:rPr>
        <w:t>. 一般约定</w:t>
      </w:r>
      <w:bookmarkEnd w:id="682"/>
    </w:p>
    <w:bookmarkEnd w:id="683"/>
    <w:bookmarkEnd w:id="684"/>
    <w:bookmarkEnd w:id="685"/>
    <w:bookmarkEnd w:id="686"/>
    <w:bookmarkEnd w:id="687"/>
    <w:bookmarkEnd w:id="688"/>
    <w:bookmarkEnd w:id="689"/>
    <w:bookmarkEnd w:id="690"/>
    <w:bookmarkEnd w:id="691"/>
    <w:bookmarkEnd w:id="692"/>
    <w:p w14:paraId="5E0E9BB3">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693" w:name="_Toc627"/>
      <w:bookmarkStart w:id="694" w:name="_Toc3276"/>
      <w:bookmarkStart w:id="695" w:name="_Toc6143"/>
      <w:bookmarkStart w:id="696" w:name="_Toc5733"/>
      <w:bookmarkStart w:id="697" w:name="_Toc2623"/>
      <w:r>
        <w:rPr>
          <w:rFonts w:hint="eastAsia" w:ascii="宋体" w:hAnsi="宋体" w:eastAsia="宋体" w:cs="宋体"/>
          <w:color w:val="000000"/>
          <w:sz w:val="21"/>
          <w:szCs w:val="21"/>
          <w:highlight w:val="none"/>
        </w:rPr>
        <w:t>1.1 词语定义</w:t>
      </w:r>
      <w:bookmarkEnd w:id="693"/>
      <w:bookmarkEnd w:id="694"/>
      <w:bookmarkEnd w:id="695"/>
      <w:bookmarkEnd w:id="696"/>
      <w:bookmarkEnd w:id="697"/>
    </w:p>
    <w:p w14:paraId="71ED20D8">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1.1.1合同</w:t>
      </w:r>
    </w:p>
    <w:p w14:paraId="667FF9C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1.1.1.10其他合同文件包括：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E7899A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合同当事人及其他相关方</w:t>
      </w:r>
    </w:p>
    <w:p w14:paraId="13B41CE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1.1.2.4监理人：</w:t>
      </w:r>
    </w:p>
    <w:p w14:paraId="2242F5A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1C27932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EEB448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662654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7028511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C562AA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1.1.2.5 设计人：</w:t>
      </w:r>
    </w:p>
    <w:p w14:paraId="25A3694D">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5228603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4962B9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7BDF19C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42C24FD">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D4F1938">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 工程和设备</w:t>
      </w:r>
    </w:p>
    <w:p w14:paraId="44894C3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1.1.3.7 作为施工现场组成部分的其他场所包括：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none"/>
          <w:lang w:eastAsia="zh-CN"/>
        </w:rPr>
        <w:t>。</w:t>
      </w:r>
    </w:p>
    <w:p w14:paraId="762F6F3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1.1.3.9 永久占地包括：</w:t>
      </w:r>
      <w:r>
        <w:rPr>
          <w:rFonts w:hint="eastAsia" w:ascii="宋体" w:hAnsi="宋体" w:eastAsia="宋体" w:cs="宋体"/>
          <w:color w:val="000000"/>
          <w:sz w:val="21"/>
          <w:szCs w:val="21"/>
          <w:highlight w:val="none"/>
          <w:u w:val="single"/>
        </w:rPr>
        <w:t xml:space="preserve">                  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eastAsia="宋体" w:cs="宋体"/>
          <w:color w:val="000000"/>
          <w:kern w:val="0"/>
          <w:sz w:val="21"/>
          <w:szCs w:val="21"/>
          <w:highlight w:val="none"/>
        </w:rPr>
        <w:t>。</w:t>
      </w:r>
    </w:p>
    <w:p w14:paraId="03725CD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1.1.3.10 临时占地包括：</w:t>
      </w:r>
      <w:r>
        <w:rPr>
          <w:rFonts w:hint="eastAsia" w:ascii="宋体" w:hAnsi="宋体" w:eastAsia="宋体" w:cs="宋体"/>
          <w:color w:val="000000"/>
          <w:sz w:val="21"/>
          <w:szCs w:val="21"/>
          <w:highlight w:val="none"/>
          <w:u w:val="single"/>
        </w:rPr>
        <w:t xml:space="preserve">                  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eastAsia="宋体" w:cs="宋体"/>
          <w:color w:val="000000"/>
          <w:kern w:val="0"/>
          <w:sz w:val="21"/>
          <w:szCs w:val="21"/>
          <w:highlight w:val="none"/>
        </w:rPr>
        <w:t>。</w:t>
      </w:r>
    </w:p>
    <w:p w14:paraId="0283F729">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1.3法律 </w:t>
      </w:r>
    </w:p>
    <w:p w14:paraId="553EBAA4">
      <w:pPr>
        <w:pageBreakBefore w:val="0"/>
        <w:widowControl w:val="0"/>
        <w:kinsoku/>
        <w:wordWrap/>
        <w:overflowPunct/>
        <w:topLinePunct w:val="0"/>
        <w:autoSpaceDE w:val="0"/>
        <w:autoSpaceDN w:val="0"/>
        <w:bidi w:val="0"/>
        <w:adjustRightInd w:val="0"/>
        <w:snapToGrid w:val="0"/>
        <w:spacing w:line="360" w:lineRule="auto"/>
        <w:ind w:left="596" w:leftChars="284"/>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54D0645">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标准和规范</w:t>
      </w:r>
    </w:p>
    <w:p w14:paraId="0717377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1.4.1适用于工程的标准规范包括：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63C58F3">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color w:val="000000"/>
          <w:kern w:val="0"/>
          <w:sz w:val="21"/>
          <w:szCs w:val="21"/>
          <w:highlight w:val="none"/>
          <w:u w:val="single"/>
        </w:rPr>
      </w:pPr>
      <w:bookmarkStart w:id="698" w:name="_Toc18159"/>
      <w:bookmarkStart w:id="699" w:name="_Toc23775"/>
      <w:bookmarkStart w:id="700" w:name="_Toc3434"/>
      <w:bookmarkStart w:id="701" w:name="_Toc16798"/>
      <w:bookmarkStart w:id="702" w:name="_Toc22488"/>
      <w:r>
        <w:rPr>
          <w:rFonts w:hint="eastAsia" w:ascii="宋体" w:hAnsi="宋体" w:eastAsia="宋体" w:cs="宋体"/>
          <w:color w:val="000000"/>
          <w:kern w:val="0"/>
          <w:sz w:val="21"/>
          <w:szCs w:val="21"/>
          <w:highlight w:val="none"/>
        </w:rPr>
        <w:t>1.4.2 发包人提供国外标准、规范的名称：</w:t>
      </w:r>
      <w:bookmarkEnd w:id="698"/>
      <w:bookmarkEnd w:id="699"/>
      <w:bookmarkEnd w:id="700"/>
      <w:bookmarkEnd w:id="701"/>
      <w:bookmarkEnd w:id="702"/>
      <w:r>
        <w:rPr>
          <w:rFonts w:hint="eastAsia" w:ascii="宋体" w:hAnsi="宋体" w:eastAsia="宋体" w:cs="宋体"/>
          <w:color w:val="000000"/>
          <w:kern w:val="0"/>
          <w:sz w:val="21"/>
          <w:szCs w:val="21"/>
          <w:highlight w:val="none"/>
          <w:u w:val="single"/>
        </w:rPr>
        <w:t xml:space="preserve">                 </w:t>
      </w:r>
    </w:p>
    <w:p w14:paraId="14220D23">
      <w:pPr>
        <w:pageBreakBefore w:val="0"/>
        <w:widowControl w:val="0"/>
        <w:kinsoku/>
        <w:wordWrap/>
        <w:overflowPunct/>
        <w:topLinePunct w:val="0"/>
        <w:bidi w:val="0"/>
        <w:snapToGrid w:val="0"/>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ED4C1D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发包人提供国外标准、规范的份数：</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6E6E2FE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发包人提供国外标准、规范的名称：</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55252FAB">
      <w:pPr>
        <w:pageBreakBefore w:val="0"/>
        <w:widowControl w:val="0"/>
        <w:kinsoku/>
        <w:wordWrap/>
        <w:overflowPunct/>
        <w:topLinePunct w:val="0"/>
        <w:bidi w:val="0"/>
        <w:snapToGrid w:val="0"/>
        <w:spacing w:line="360" w:lineRule="auto"/>
        <w:ind w:left="596" w:leftChars="284"/>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1.4.3发包人对工程的技术标准和功能要求的特殊要求：</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92D81B6">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03" w:name="_Toc18911"/>
      <w:bookmarkStart w:id="704" w:name="_Toc12247"/>
      <w:bookmarkStart w:id="705" w:name="_Toc27765"/>
      <w:bookmarkStart w:id="706" w:name="_Toc6480"/>
      <w:bookmarkStart w:id="707" w:name="_Toc8939"/>
      <w:r>
        <w:rPr>
          <w:rFonts w:hint="eastAsia" w:ascii="宋体" w:hAnsi="宋体" w:eastAsia="宋体" w:cs="宋体"/>
          <w:color w:val="000000"/>
          <w:sz w:val="21"/>
          <w:szCs w:val="21"/>
          <w:highlight w:val="none"/>
        </w:rPr>
        <w:t>1.5 合同文件的优先顺序</w:t>
      </w:r>
      <w:bookmarkEnd w:id="703"/>
      <w:bookmarkEnd w:id="704"/>
      <w:bookmarkEnd w:id="705"/>
      <w:bookmarkEnd w:id="706"/>
      <w:bookmarkEnd w:id="707"/>
    </w:p>
    <w:p w14:paraId="43D94DE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222D6883">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08" w:name="_Toc4883"/>
      <w:bookmarkStart w:id="709" w:name="_Toc6732"/>
      <w:bookmarkStart w:id="710" w:name="_Toc5005"/>
      <w:bookmarkStart w:id="711" w:name="_Toc18928"/>
      <w:bookmarkStart w:id="712" w:name="_Toc2501"/>
      <w:r>
        <w:rPr>
          <w:rFonts w:hint="eastAsia" w:ascii="宋体" w:hAnsi="宋体" w:eastAsia="宋体" w:cs="宋体"/>
          <w:color w:val="000000"/>
          <w:sz w:val="21"/>
          <w:szCs w:val="21"/>
          <w:highlight w:val="none"/>
        </w:rPr>
        <w:t>1.6 图纸和承包人文件</w:t>
      </w:r>
      <w:bookmarkEnd w:id="708"/>
      <w:bookmarkEnd w:id="709"/>
      <w:bookmarkEnd w:id="710"/>
      <w:bookmarkEnd w:id="711"/>
      <w:bookmarkEnd w:id="712"/>
      <w:r>
        <w:rPr>
          <w:rFonts w:hint="eastAsia" w:ascii="宋体" w:hAnsi="宋体" w:eastAsia="宋体" w:cs="宋体"/>
          <w:color w:val="000000"/>
          <w:sz w:val="21"/>
          <w:szCs w:val="21"/>
          <w:highlight w:val="none"/>
        </w:rPr>
        <w:tab/>
      </w:r>
    </w:p>
    <w:p w14:paraId="5A88F82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图纸的提供</w:t>
      </w:r>
    </w:p>
    <w:p w14:paraId="79B29AE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AC8749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发包人向承包人提供图纸的数量：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0A6CA9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ED969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承包人文件</w:t>
      </w:r>
    </w:p>
    <w:p w14:paraId="3E7DD1AB">
      <w:pPr>
        <w:pageBreakBefore w:val="0"/>
        <w:widowControl w:val="0"/>
        <w:kinsoku/>
        <w:wordWrap/>
        <w:overflowPunct/>
        <w:topLinePunct w:val="0"/>
        <w:bidi w:val="0"/>
        <w:snapToGrid w:val="0"/>
        <w:spacing w:line="360" w:lineRule="auto"/>
        <w:ind w:left="596" w:leftChars="284"/>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需要由承包人提供的文件，包括：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w:t>
      </w:r>
    </w:p>
    <w:p w14:paraId="608D34C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承包人提供的文件的期限为：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9EBA87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承包人提供的文件的数量为：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E58FCF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57364E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发包人审批承包人文件的期限：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F0E4C0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1.6.5 现场图纸准备</w:t>
      </w:r>
    </w:p>
    <w:p w14:paraId="5A9C507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关于现场图纸准备的约定：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83605B5">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13" w:name="_Toc3868"/>
      <w:bookmarkStart w:id="714" w:name="_Toc6579"/>
      <w:bookmarkStart w:id="715" w:name="_Toc17351"/>
      <w:bookmarkStart w:id="716" w:name="_Toc672"/>
      <w:bookmarkStart w:id="717" w:name="_Toc21895"/>
      <w:r>
        <w:rPr>
          <w:rFonts w:hint="eastAsia" w:ascii="宋体" w:hAnsi="宋体" w:eastAsia="宋体" w:cs="宋体"/>
          <w:color w:val="000000"/>
          <w:sz w:val="21"/>
          <w:szCs w:val="21"/>
          <w:highlight w:val="none"/>
        </w:rPr>
        <w:t>1.7 联络</w:t>
      </w:r>
      <w:bookmarkEnd w:id="713"/>
      <w:bookmarkEnd w:id="714"/>
      <w:bookmarkEnd w:id="715"/>
      <w:bookmarkEnd w:id="716"/>
      <w:bookmarkEnd w:id="717"/>
    </w:p>
    <w:p w14:paraId="5ACD0B4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1.7.1发包人和承包人应当在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天内将与合同有关的通知、批准、证明、证书、指示、指令、要求、请求、同意、意见、确定和决定等书面函件送达对方当事人。</w:t>
      </w:r>
    </w:p>
    <w:p w14:paraId="2C30857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1.7.2 发包人接收文件的地点：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4F468B6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发包人指定的接收人为：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20CE1FB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承包人接收文件的地点：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18C82C5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承包人指定的接收人为：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7896850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监理人接收文件的地点：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7A036EF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监理人指定的接收人为：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045322DC">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18" w:name="_Toc7488"/>
      <w:bookmarkStart w:id="719" w:name="_Toc11447"/>
      <w:bookmarkStart w:id="720" w:name="_Toc27397"/>
      <w:bookmarkStart w:id="721" w:name="_Toc19594"/>
      <w:bookmarkStart w:id="722" w:name="_Toc1447"/>
      <w:r>
        <w:rPr>
          <w:rFonts w:hint="eastAsia" w:ascii="宋体" w:hAnsi="宋体" w:eastAsia="宋体" w:cs="宋体"/>
          <w:color w:val="000000"/>
          <w:sz w:val="21"/>
          <w:szCs w:val="21"/>
          <w:highlight w:val="none"/>
        </w:rPr>
        <w:t>1.10 交通运输</w:t>
      </w:r>
      <w:bookmarkEnd w:id="718"/>
      <w:bookmarkEnd w:id="719"/>
      <w:bookmarkEnd w:id="720"/>
      <w:bookmarkEnd w:id="721"/>
      <w:bookmarkEnd w:id="722"/>
    </w:p>
    <w:p w14:paraId="09781467">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sz w:val="21"/>
          <w:szCs w:val="21"/>
          <w:highlight w:val="none"/>
        </w:rPr>
      </w:pPr>
      <w:bookmarkStart w:id="723" w:name="_Toc25565"/>
      <w:bookmarkStart w:id="724" w:name="_Toc22065"/>
      <w:bookmarkStart w:id="725" w:name="_Toc21051"/>
      <w:bookmarkStart w:id="726" w:name="_Toc18479"/>
      <w:bookmarkStart w:id="727" w:name="_Toc32148"/>
      <w:r>
        <w:rPr>
          <w:rFonts w:hint="eastAsia" w:ascii="宋体" w:hAnsi="宋体" w:eastAsia="宋体" w:cs="宋体"/>
          <w:sz w:val="21"/>
          <w:szCs w:val="21"/>
          <w:highlight w:val="none"/>
        </w:rPr>
        <w:t>1</w:t>
      </w:r>
      <w:bookmarkStart w:id="728" w:name="_Toc300934943"/>
      <w:bookmarkStart w:id="729" w:name="_Toc304295521"/>
      <w:bookmarkStart w:id="730" w:name="_Toc303539100"/>
      <w:bookmarkStart w:id="731" w:name="_Toc318581155"/>
      <w:bookmarkStart w:id="732" w:name="_Toc312677986"/>
      <w:r>
        <w:rPr>
          <w:rFonts w:hint="eastAsia" w:ascii="宋体" w:hAnsi="宋体" w:eastAsia="宋体" w:cs="宋体"/>
          <w:sz w:val="21"/>
          <w:szCs w:val="21"/>
          <w:highlight w:val="none"/>
        </w:rPr>
        <w:t>.10.1 出入现场的权利</w:t>
      </w:r>
      <w:bookmarkEnd w:id="723"/>
      <w:bookmarkEnd w:id="724"/>
      <w:bookmarkEnd w:id="725"/>
      <w:bookmarkEnd w:id="726"/>
      <w:bookmarkEnd w:id="727"/>
    </w:p>
    <w:p w14:paraId="041C63D2">
      <w:pPr>
        <w:pageBreakBefore w:val="0"/>
        <w:widowControl w:val="0"/>
        <w:kinsoku/>
        <w:wordWrap/>
        <w:overflowPunct/>
        <w:topLinePunct w:val="0"/>
        <w:bidi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关于出入现场的权利的约定：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sz w:val="21"/>
          <w:szCs w:val="21"/>
          <w:highlight w:val="none"/>
        </w:rPr>
        <w:t>。</w:t>
      </w:r>
    </w:p>
    <w:bookmarkEnd w:id="728"/>
    <w:bookmarkEnd w:id="729"/>
    <w:bookmarkEnd w:id="730"/>
    <w:bookmarkEnd w:id="731"/>
    <w:bookmarkEnd w:id="732"/>
    <w:p w14:paraId="0D3C30AA">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sz w:val="21"/>
          <w:szCs w:val="21"/>
          <w:highlight w:val="none"/>
        </w:rPr>
      </w:pPr>
      <w:bookmarkStart w:id="733" w:name="_Toc26023"/>
      <w:bookmarkStart w:id="734" w:name="_Toc31535"/>
      <w:bookmarkStart w:id="735" w:name="_Toc32147"/>
      <w:bookmarkStart w:id="736" w:name="_Toc3008"/>
      <w:bookmarkStart w:id="737" w:name="_Toc29024"/>
      <w:r>
        <w:rPr>
          <w:rFonts w:hint="eastAsia" w:ascii="宋体" w:hAnsi="宋体" w:eastAsia="宋体" w:cs="宋体"/>
          <w:sz w:val="21"/>
          <w:szCs w:val="21"/>
          <w:highlight w:val="none"/>
        </w:rPr>
        <w:t>1</w:t>
      </w:r>
      <w:bookmarkStart w:id="738" w:name="_Toc318581156"/>
      <w:bookmarkStart w:id="739" w:name="_Toc304295522"/>
      <w:bookmarkStart w:id="740" w:name="_Toc312677987"/>
      <w:bookmarkStart w:id="741" w:name="_Toc303539101"/>
      <w:bookmarkStart w:id="742" w:name="_Toc300934944"/>
      <w:r>
        <w:rPr>
          <w:rFonts w:hint="eastAsia" w:ascii="宋体" w:hAnsi="宋体" w:eastAsia="宋体" w:cs="宋体"/>
          <w:sz w:val="21"/>
          <w:szCs w:val="21"/>
          <w:highlight w:val="none"/>
        </w:rPr>
        <w:t>.10.3 场内交通</w:t>
      </w:r>
      <w:bookmarkEnd w:id="733"/>
      <w:bookmarkEnd w:id="734"/>
      <w:bookmarkEnd w:id="735"/>
      <w:bookmarkEnd w:id="736"/>
      <w:bookmarkEnd w:id="737"/>
    </w:p>
    <w:p w14:paraId="07B01E3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关于场外交通和场内交通的边界的约定：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rPr>
        <w:t>。</w:t>
      </w:r>
    </w:p>
    <w:p w14:paraId="5CA9E82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rPr>
        <w:t>。</w:t>
      </w:r>
      <w:bookmarkEnd w:id="738"/>
      <w:bookmarkEnd w:id="739"/>
      <w:bookmarkEnd w:id="740"/>
      <w:bookmarkEnd w:id="741"/>
      <w:bookmarkEnd w:id="742"/>
      <w:r>
        <w:rPr>
          <w:rFonts w:hint="eastAsia" w:ascii="宋体" w:hAnsi="宋体" w:eastAsia="宋体" w:cs="宋体"/>
          <w:sz w:val="21"/>
          <w:szCs w:val="21"/>
          <w:highlight w:val="none"/>
        </w:rPr>
        <w:t xml:space="preserve">  </w:t>
      </w:r>
      <w:bookmarkStart w:id="743" w:name="_Toc318581157"/>
    </w:p>
    <w:p w14:paraId="0FABA30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1.10.4超大件和超重件的运输</w:t>
      </w:r>
    </w:p>
    <w:p w14:paraId="777961A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运输超大件或超重件所需的道路和桥梁临时加固改造费用和其他有关费用由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承担。</w:t>
      </w:r>
    </w:p>
    <w:bookmarkEnd w:id="743"/>
    <w:p w14:paraId="75902F6E">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44" w:name="_Toc27426"/>
      <w:bookmarkStart w:id="745" w:name="_Toc9454"/>
      <w:bookmarkStart w:id="746" w:name="_Toc23401"/>
      <w:bookmarkStart w:id="747" w:name="_Toc25009"/>
      <w:bookmarkStart w:id="748" w:name="_Toc4473"/>
      <w:r>
        <w:rPr>
          <w:rFonts w:hint="eastAsia" w:ascii="宋体" w:hAnsi="宋体" w:eastAsia="宋体" w:cs="宋体"/>
          <w:color w:val="000000"/>
          <w:sz w:val="21"/>
          <w:szCs w:val="21"/>
          <w:highlight w:val="none"/>
        </w:rPr>
        <w:t>1.11 知识产权</w:t>
      </w:r>
      <w:bookmarkEnd w:id="744"/>
      <w:bookmarkEnd w:id="745"/>
      <w:bookmarkEnd w:id="746"/>
      <w:bookmarkEnd w:id="747"/>
      <w:bookmarkEnd w:id="748"/>
    </w:p>
    <w:p w14:paraId="19365F7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DCA52A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975260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bookmarkStart w:id="749" w:name="_Toc23749"/>
      <w:r>
        <w:rPr>
          <w:rFonts w:hint="eastAsia" w:ascii="宋体" w:hAnsi="宋体" w:eastAsia="宋体" w:cs="宋体"/>
          <w:color w:val="000000"/>
          <w:sz w:val="21"/>
          <w:szCs w:val="21"/>
          <w:highlight w:val="none"/>
        </w:rPr>
        <w:t>1.11.2 关于承包人为实施工程所编制文件的著作权的归属：</w:t>
      </w:r>
      <w:bookmarkEnd w:id="749"/>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A89617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关于承包人提供的上述文件的使用限制的要求：</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41E22D3">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color w:val="000000"/>
          <w:kern w:val="0"/>
          <w:sz w:val="21"/>
          <w:szCs w:val="21"/>
          <w:highlight w:val="none"/>
        </w:rPr>
      </w:pPr>
      <w:bookmarkStart w:id="750" w:name="_Toc9020"/>
      <w:bookmarkStart w:id="751" w:name="_Toc9262"/>
      <w:bookmarkStart w:id="752" w:name="_Toc29051"/>
      <w:bookmarkStart w:id="753" w:name="_Toc32699"/>
      <w:bookmarkStart w:id="754" w:name="_Toc1829"/>
      <w:r>
        <w:rPr>
          <w:rFonts w:hint="eastAsia" w:ascii="宋体" w:hAnsi="宋体" w:eastAsia="宋体" w:cs="宋体"/>
          <w:color w:val="000000"/>
          <w:sz w:val="21"/>
          <w:szCs w:val="21"/>
          <w:highlight w:val="none"/>
        </w:rPr>
        <w:t>1.11.4 承包人在施工过程中所采用的专利、专有技术、技术秘密的使用费的承担方式：</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bookmarkEnd w:id="750"/>
      <w:bookmarkEnd w:id="751"/>
      <w:bookmarkEnd w:id="752"/>
      <w:bookmarkEnd w:id="753"/>
      <w:bookmarkEnd w:id="754"/>
    </w:p>
    <w:p w14:paraId="73C251F7">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1.13工程量清单错误的修正</w:t>
      </w:r>
    </w:p>
    <w:p w14:paraId="00AEDF0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出现工程量清单错误时，是否调整合同价格：</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kern w:val="0"/>
          <w:sz w:val="21"/>
          <w:szCs w:val="21"/>
          <w:highlight w:val="none"/>
        </w:rPr>
        <w:t>。</w:t>
      </w:r>
    </w:p>
    <w:p w14:paraId="6734FAD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允许调整合同价格的工程量偏差范围：</w:t>
      </w:r>
      <w:r>
        <w:rPr>
          <w:rFonts w:hint="eastAsia" w:ascii="宋体" w:hAnsi="宋体" w:eastAsia="宋体" w:cs="宋体"/>
          <w:color w:val="000000"/>
          <w:sz w:val="21"/>
          <w:szCs w:val="21"/>
          <w:highlight w:val="none"/>
          <w:u w:val="single"/>
        </w:rPr>
        <w:t xml:space="preserve">                  </w:t>
      </w:r>
    </w:p>
    <w:p w14:paraId="0618E0E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kern w:val="0"/>
          <w:sz w:val="21"/>
          <w:szCs w:val="21"/>
          <w:highlight w:val="none"/>
        </w:rPr>
        <w:t>。</w:t>
      </w:r>
    </w:p>
    <w:p w14:paraId="621FE02B">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755" w:name="_Toc351203634"/>
      <w:r>
        <w:rPr>
          <w:rFonts w:hint="eastAsia" w:ascii="宋体" w:hAnsi="宋体" w:eastAsia="宋体" w:cs="宋体"/>
          <w:b w:val="0"/>
          <w:color w:val="000000"/>
          <w:sz w:val="21"/>
          <w:szCs w:val="21"/>
          <w:highlight w:val="none"/>
        </w:rPr>
        <w:t>2</w:t>
      </w:r>
      <w:bookmarkStart w:id="756" w:name="_Toc296890985"/>
      <w:bookmarkStart w:id="757" w:name="_Toc296891197"/>
      <w:bookmarkStart w:id="758" w:name="_Toc292559362"/>
      <w:bookmarkStart w:id="759" w:name="_Toc296503157"/>
      <w:bookmarkStart w:id="760" w:name="_Toc296346658"/>
      <w:bookmarkStart w:id="761" w:name="_Toc297120457"/>
      <w:bookmarkStart w:id="762" w:name="_Toc292559867"/>
      <w:bookmarkStart w:id="763" w:name="_Toc296944496"/>
      <w:bookmarkStart w:id="764" w:name="_Toc296347156"/>
      <w:bookmarkStart w:id="765" w:name="_Toc297048343"/>
      <w:r>
        <w:rPr>
          <w:rFonts w:hint="eastAsia" w:ascii="宋体" w:hAnsi="宋体" w:eastAsia="宋体" w:cs="宋体"/>
          <w:b w:val="0"/>
          <w:color w:val="000000"/>
          <w:sz w:val="21"/>
          <w:szCs w:val="21"/>
          <w:highlight w:val="none"/>
        </w:rPr>
        <w:t>. 发包人</w:t>
      </w:r>
      <w:bookmarkEnd w:id="755"/>
    </w:p>
    <w:bookmarkEnd w:id="756"/>
    <w:bookmarkEnd w:id="757"/>
    <w:bookmarkEnd w:id="758"/>
    <w:bookmarkEnd w:id="759"/>
    <w:bookmarkEnd w:id="760"/>
    <w:bookmarkEnd w:id="761"/>
    <w:bookmarkEnd w:id="762"/>
    <w:bookmarkEnd w:id="763"/>
    <w:bookmarkEnd w:id="764"/>
    <w:bookmarkEnd w:id="765"/>
    <w:p w14:paraId="085B4242">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66" w:name="_Toc24057"/>
      <w:bookmarkStart w:id="767" w:name="_Toc31451"/>
      <w:bookmarkStart w:id="768" w:name="_Toc4162"/>
      <w:bookmarkStart w:id="769" w:name="_Toc20462"/>
      <w:bookmarkStart w:id="770" w:name="_Toc7036"/>
      <w:r>
        <w:rPr>
          <w:rFonts w:hint="eastAsia" w:ascii="宋体" w:hAnsi="宋体" w:eastAsia="宋体" w:cs="宋体"/>
          <w:color w:val="000000"/>
          <w:sz w:val="21"/>
          <w:szCs w:val="21"/>
          <w:highlight w:val="none"/>
        </w:rPr>
        <w:t>2.2 发包人代表</w:t>
      </w:r>
      <w:bookmarkEnd w:id="766"/>
      <w:bookmarkEnd w:id="767"/>
      <w:bookmarkEnd w:id="768"/>
      <w:bookmarkEnd w:id="769"/>
      <w:bookmarkEnd w:id="770"/>
    </w:p>
    <w:p w14:paraId="3D4D5A5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6752895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311FAF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346F25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71EC84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64C86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898CFA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D592D6E">
      <w:pPr>
        <w:pageBreakBefore w:val="0"/>
        <w:widowControl w:val="0"/>
        <w:kinsoku/>
        <w:wordWrap/>
        <w:overflowPunct/>
        <w:topLinePunct w:val="0"/>
        <w:bidi w:val="0"/>
        <w:snapToGrid w:val="0"/>
        <w:spacing w:line="36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发包人对发包人代表的授权范围如下：</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148C7AB">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71" w:name="_Toc15242"/>
      <w:bookmarkStart w:id="772" w:name="_Toc4829"/>
      <w:bookmarkStart w:id="773" w:name="_Toc24961"/>
      <w:bookmarkStart w:id="774" w:name="_Toc21286"/>
      <w:bookmarkStart w:id="775" w:name="_Toc27486"/>
      <w:r>
        <w:rPr>
          <w:rFonts w:hint="eastAsia" w:ascii="宋体" w:hAnsi="宋体" w:eastAsia="宋体" w:cs="宋体"/>
          <w:color w:val="000000"/>
          <w:sz w:val="21"/>
          <w:szCs w:val="21"/>
          <w:highlight w:val="none"/>
        </w:rPr>
        <w:t>2.4 施工现场、施工条件和基础资料的提供</w:t>
      </w:r>
      <w:bookmarkEnd w:id="771"/>
      <w:bookmarkEnd w:id="772"/>
      <w:bookmarkEnd w:id="773"/>
      <w:bookmarkEnd w:id="774"/>
      <w:bookmarkEnd w:id="775"/>
    </w:p>
    <w:p w14:paraId="7AF40CA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 提供施工现场</w:t>
      </w:r>
    </w:p>
    <w:p w14:paraId="62D335D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关于发包人移交施工现场的期限要求：</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4CCD8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 提供施工条件</w:t>
      </w:r>
    </w:p>
    <w:p w14:paraId="6374372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关于发包人应负责提供施工所需要的条件，包括：</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F8C36DC">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776" w:name="_Toc6191"/>
      <w:bookmarkStart w:id="777" w:name="_Toc4542"/>
      <w:bookmarkStart w:id="778" w:name="_Toc23362"/>
      <w:bookmarkStart w:id="779" w:name="_Toc19508"/>
      <w:bookmarkStart w:id="780" w:name="_Toc26894"/>
      <w:r>
        <w:rPr>
          <w:rFonts w:hint="eastAsia" w:ascii="宋体" w:hAnsi="宋体" w:eastAsia="宋体" w:cs="宋体"/>
          <w:color w:val="000000"/>
          <w:sz w:val="21"/>
          <w:szCs w:val="21"/>
          <w:highlight w:val="none"/>
        </w:rPr>
        <w:t>2.5 资金来源证明及支付担保</w:t>
      </w:r>
      <w:bookmarkEnd w:id="776"/>
      <w:bookmarkEnd w:id="777"/>
      <w:bookmarkEnd w:id="778"/>
      <w:bookmarkEnd w:id="779"/>
      <w:bookmarkEnd w:id="780"/>
    </w:p>
    <w:p w14:paraId="144E2737">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发包人提供资金来源证明的期限要求：</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96BF6C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发包人是否提供支付担保：</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30160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发包人提供支付担保的形式：</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1A2443D">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781" w:name="_Toc351203635"/>
      <w:r>
        <w:rPr>
          <w:rFonts w:hint="eastAsia" w:ascii="宋体" w:hAnsi="宋体" w:eastAsia="宋体" w:cs="宋体"/>
          <w:b w:val="0"/>
          <w:color w:val="000000"/>
          <w:sz w:val="21"/>
          <w:szCs w:val="21"/>
          <w:highlight w:val="none"/>
        </w:rPr>
        <w:t>3</w:t>
      </w:r>
      <w:bookmarkStart w:id="782" w:name="_Toc296347157"/>
      <w:bookmarkStart w:id="783" w:name="_Toc296891198"/>
      <w:bookmarkStart w:id="784" w:name="_Toc292559868"/>
      <w:bookmarkStart w:id="785" w:name="_Toc296346659"/>
      <w:bookmarkStart w:id="786" w:name="_Toc296944497"/>
      <w:bookmarkStart w:id="787" w:name="_Toc296503158"/>
      <w:bookmarkStart w:id="788" w:name="_Toc292559363"/>
      <w:bookmarkStart w:id="789" w:name="_Toc296890986"/>
      <w:bookmarkStart w:id="790" w:name="_Toc297120458"/>
      <w:bookmarkStart w:id="791" w:name="_Toc297048344"/>
      <w:r>
        <w:rPr>
          <w:rFonts w:hint="eastAsia" w:ascii="宋体" w:hAnsi="宋体" w:eastAsia="宋体" w:cs="宋体"/>
          <w:b w:val="0"/>
          <w:color w:val="000000"/>
          <w:sz w:val="21"/>
          <w:szCs w:val="21"/>
          <w:highlight w:val="none"/>
        </w:rPr>
        <w:t>. 承包人</w:t>
      </w:r>
      <w:bookmarkEnd w:id="781"/>
    </w:p>
    <w:bookmarkEnd w:id="782"/>
    <w:bookmarkEnd w:id="783"/>
    <w:bookmarkEnd w:id="784"/>
    <w:bookmarkEnd w:id="785"/>
    <w:bookmarkEnd w:id="786"/>
    <w:bookmarkEnd w:id="787"/>
    <w:bookmarkEnd w:id="788"/>
    <w:bookmarkEnd w:id="789"/>
    <w:bookmarkEnd w:id="790"/>
    <w:bookmarkEnd w:id="791"/>
    <w:p w14:paraId="2EBBF637">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承包人的一般义务</w:t>
      </w:r>
    </w:p>
    <w:p w14:paraId="52709176">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（9）</w:t>
      </w:r>
      <w:r>
        <w:rPr>
          <w:rFonts w:hint="eastAsia" w:ascii="宋体" w:hAnsi="宋体" w:eastAsia="宋体" w:cs="宋体"/>
          <w:color w:val="000000"/>
          <w:sz w:val="21"/>
          <w:szCs w:val="21"/>
          <w:highlight w:val="none"/>
        </w:rPr>
        <w:t>承包人提交的竣工资料的内容：</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CEECDE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承包人需要提交的竣工资料套数：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354F54">
      <w:pPr>
        <w:pageBreakBefore w:val="0"/>
        <w:widowControl w:val="0"/>
        <w:kinsoku/>
        <w:wordWrap/>
        <w:overflowPunct/>
        <w:topLinePunct w:val="0"/>
        <w:bidi w:val="0"/>
        <w:snapToGrid w:val="0"/>
        <w:spacing w:line="360" w:lineRule="auto"/>
        <w:ind w:left="638" w:leftChars="304"/>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承包人提交的竣工资料的费用承担：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B142BD">
      <w:pPr>
        <w:pageBreakBefore w:val="0"/>
        <w:widowControl w:val="0"/>
        <w:kinsoku/>
        <w:wordWrap/>
        <w:overflowPunct/>
        <w:topLinePunct w:val="0"/>
        <w:bidi w:val="0"/>
        <w:snapToGrid w:val="0"/>
        <w:spacing w:line="360" w:lineRule="auto"/>
        <w:ind w:left="638" w:leftChars="304"/>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承包人提交的竣工资料移交时间：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049D3E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承包人提交的竣工资料形式要求：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E634CA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（10）承包人应履行的其他义务：</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028EC7D">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项目经理</w:t>
      </w:r>
    </w:p>
    <w:p w14:paraId="0A2F1CA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3.2.1 </w:t>
      </w:r>
      <w:r>
        <w:rPr>
          <w:rFonts w:hint="eastAsia" w:ascii="宋体" w:hAnsi="宋体" w:eastAsia="宋体" w:cs="宋体"/>
          <w:color w:val="000000"/>
          <w:sz w:val="21"/>
          <w:szCs w:val="21"/>
          <w:highlight w:val="none"/>
        </w:rPr>
        <w:t>项目经理：</w:t>
      </w:r>
    </w:p>
    <w:p w14:paraId="26413AD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B67D86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4D715BD">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建造师执业资格等级：</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CFAEB3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建造师注册证书号：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4EA8EA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建造师执业印章号：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36EE0E5">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安全生产考核合格证书号：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7606E8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E898D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6A2BBD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F0DC3B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承包人对项目经理的授权范围如下：</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19A738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关于项目经理每月在施工现场的时间要求：</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6FE5B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承包人未提交劳动合同，以及没有为项目经理缴纳社会保险证明的违约责任：</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D092F9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项目经理未经批准，擅自离开施工现场的违约责任：</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6E7017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 承包人擅自更换项目经理的违约责任：</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C606CD3">
      <w:pPr>
        <w:pageBreakBefore w:val="0"/>
        <w:widowControl w:val="0"/>
        <w:kinsoku/>
        <w:wordWrap/>
        <w:overflowPunct/>
        <w:topLinePunct w:val="0"/>
        <w:bidi w:val="0"/>
        <w:snapToGrid w:val="0"/>
        <w:spacing w:line="360" w:lineRule="auto"/>
        <w:jc w:val="left"/>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bookmarkStart w:id="792" w:name="_Toc2642"/>
      <w:bookmarkStart w:id="793" w:name="_Toc32553"/>
      <w:bookmarkStart w:id="794" w:name="_Toc17087"/>
      <w:bookmarkStart w:id="795" w:name="_Toc6100"/>
      <w:bookmarkStart w:id="796" w:name="_Toc32363"/>
      <w:r>
        <w:rPr>
          <w:rFonts w:hint="eastAsia" w:ascii="宋体" w:hAnsi="宋体" w:eastAsia="宋体" w:cs="宋体"/>
          <w:color w:val="000000"/>
          <w:sz w:val="21"/>
          <w:szCs w:val="21"/>
          <w:highlight w:val="none"/>
        </w:rPr>
        <w:t>3.2.4 承包人无正当理由拒绝更换项目经理的违约责任：</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bookmarkEnd w:id="792"/>
      <w:bookmarkEnd w:id="793"/>
      <w:bookmarkEnd w:id="794"/>
      <w:bookmarkEnd w:id="795"/>
      <w:bookmarkEnd w:id="796"/>
    </w:p>
    <w:p w14:paraId="28ECE6EF">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承包人人员</w:t>
      </w:r>
    </w:p>
    <w:p w14:paraId="54ADA49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承包人提交项目管理机构及施工现场管理人员安排报告的期限：</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74F525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承包人无正当理由拒绝撤换主要施工管理人员的违约责任：</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4E5E5D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3.3.4 承包人主要施工管理人员离开施工现场的批准要求：</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4E497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3.3.5承包人擅自更换主要施工管理人员的违约责任：</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7851FD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承包人主要施工管理人员擅自离开施工现场的违约责任：</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9D2D7D6">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bookmarkStart w:id="797" w:name="_Toc296890987"/>
      <w:bookmarkStart w:id="798" w:name="_Toc296503159"/>
      <w:bookmarkStart w:id="799" w:name="_Toc292559869"/>
      <w:bookmarkStart w:id="800" w:name="_Toc304295523"/>
      <w:bookmarkStart w:id="801" w:name="_Toc296346660"/>
      <w:bookmarkStart w:id="802" w:name="_Toc296347158"/>
      <w:bookmarkStart w:id="803" w:name="_Toc300934945"/>
      <w:bookmarkStart w:id="804" w:name="_Toc297216151"/>
      <w:bookmarkStart w:id="805" w:name="_Toc297123492"/>
      <w:bookmarkStart w:id="806" w:name="_Toc292559364"/>
      <w:bookmarkStart w:id="807" w:name="_Toc297120459"/>
      <w:bookmarkStart w:id="808" w:name="_Toc296891199"/>
      <w:bookmarkStart w:id="809" w:name="_Toc303539102"/>
      <w:bookmarkStart w:id="810" w:name="_Toc296944498"/>
      <w:bookmarkStart w:id="811" w:name="_Toc312677988"/>
      <w:bookmarkStart w:id="812" w:name="_Toc297048345"/>
      <w:r>
        <w:rPr>
          <w:rFonts w:hint="eastAsia" w:ascii="宋体" w:hAnsi="宋体" w:eastAsia="宋体" w:cs="宋体"/>
          <w:color w:val="000000"/>
          <w:sz w:val="21"/>
          <w:szCs w:val="21"/>
          <w:highlight w:val="none"/>
        </w:rPr>
        <w:t>.5 分包</w:t>
      </w:r>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14:paraId="3198477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813" w:name="_Toc297123493"/>
      <w:bookmarkStart w:id="814" w:name="_Toc296347159"/>
      <w:bookmarkStart w:id="815" w:name="_Toc296891200"/>
      <w:bookmarkStart w:id="816" w:name="_Toc296346661"/>
      <w:bookmarkStart w:id="817" w:name="_Toc296890988"/>
      <w:bookmarkStart w:id="818" w:name="_Toc304295524"/>
      <w:bookmarkStart w:id="819" w:name="_Toc297048346"/>
      <w:bookmarkStart w:id="820" w:name="_Toc297120460"/>
      <w:bookmarkStart w:id="821" w:name="_Toc296944499"/>
      <w:bookmarkStart w:id="822" w:name="_Toc292559870"/>
      <w:bookmarkStart w:id="823" w:name="_Toc300934946"/>
      <w:bookmarkStart w:id="824" w:name="_Toc296503160"/>
      <w:bookmarkStart w:id="825" w:name="_Toc292559365"/>
      <w:bookmarkStart w:id="826" w:name="_Toc297216152"/>
      <w:bookmarkStart w:id="827" w:name="_Toc303539103"/>
      <w:bookmarkStart w:id="828" w:name="_Toc318581158"/>
      <w:bookmarkStart w:id="829" w:name="_Toc312677989"/>
      <w:r>
        <w:rPr>
          <w:rFonts w:hint="eastAsia" w:ascii="宋体" w:hAnsi="宋体" w:eastAsia="宋体" w:cs="宋体"/>
          <w:sz w:val="21"/>
          <w:szCs w:val="21"/>
          <w:highlight w:val="none"/>
        </w:rPr>
        <w:t>.5.1 分包的一般约定</w:t>
      </w:r>
    </w:p>
    <w:p w14:paraId="7E8816F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禁止分包的工程包括：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94047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主体结构、关键性工作的范围：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Start w:id="830" w:name="_Toc303539104"/>
      <w:bookmarkStart w:id="831" w:name="_Toc296891201"/>
      <w:bookmarkStart w:id="832" w:name="_Toc296503161"/>
      <w:bookmarkStart w:id="833" w:name="_Toc297120461"/>
      <w:bookmarkStart w:id="834" w:name="_Toc296347160"/>
      <w:bookmarkStart w:id="835" w:name="_Toc296346662"/>
      <w:bookmarkStart w:id="836" w:name="_Toc296890989"/>
      <w:bookmarkStart w:id="837" w:name="_Toc304295525"/>
      <w:bookmarkStart w:id="838" w:name="_Toc300934947"/>
      <w:bookmarkStart w:id="839" w:name="_Toc297048347"/>
      <w:bookmarkStart w:id="840" w:name="_Toc297216153"/>
      <w:bookmarkStart w:id="841" w:name="_Toc297123494"/>
      <w:bookmarkStart w:id="842" w:name="_Toc296944500"/>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64EE3F35">
      <w:pPr>
        <w:pageBreakBefore w:val="0"/>
        <w:widowControl w:val="0"/>
        <w:kinsoku/>
        <w:wordWrap/>
        <w:overflowPunct/>
        <w:topLinePunct w:val="0"/>
        <w:bidi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w:t>
      </w:r>
      <w:bookmarkStart w:id="843" w:name="_Toc318581159"/>
      <w:bookmarkStart w:id="844" w:name="_Toc312677990"/>
      <w:r>
        <w:rPr>
          <w:rFonts w:hint="eastAsia" w:ascii="宋体" w:hAnsi="宋体" w:eastAsia="宋体" w:cs="宋体"/>
          <w:sz w:val="21"/>
          <w:szCs w:val="21"/>
          <w:highlight w:val="none"/>
        </w:rPr>
        <w:t>.5.2分包的确定</w:t>
      </w:r>
    </w:p>
    <w:p w14:paraId="36AD23B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允许分包的专业工程包括：</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52309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其他关于分包的约定：</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C59D4F8">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3.5.4 分包合同价款</w:t>
      </w:r>
    </w:p>
    <w:p w14:paraId="0AC1097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关于分包合同价款支付的约定：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843"/>
    <w:bookmarkEnd w:id="844"/>
    <w:p w14:paraId="180034EF">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工程照管与成品、半成品保护</w:t>
      </w:r>
    </w:p>
    <w:p w14:paraId="0AC5E9EE">
      <w:pPr>
        <w:pageBreakBefore w:val="0"/>
        <w:widowControl w:val="0"/>
        <w:kinsoku/>
        <w:wordWrap/>
        <w:overflowPunct/>
        <w:topLinePunct w:val="0"/>
        <w:bidi w:val="0"/>
        <w:snapToGrid w:val="0"/>
        <w:spacing w:before="120" w:after="120" w:line="360" w:lineRule="auto"/>
        <w:ind w:firstLine="420" w:firstLineChars="200"/>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承包人负责照管工程及工程相关的材料、工程设备的起始时间：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454352E2">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 履约担保</w:t>
      </w:r>
    </w:p>
    <w:p w14:paraId="5C3F4FF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承包人是否提供履约担保：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333E59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rPr>
        <w:t>承包人提供履约担保的形式、金额及期限的：</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none"/>
          <w:lang w:eastAsia="zh-CN"/>
        </w:rPr>
        <w:t>。</w:t>
      </w:r>
    </w:p>
    <w:p w14:paraId="3795B4E7">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845" w:name="_Toc351203636"/>
      <w:r>
        <w:rPr>
          <w:rFonts w:hint="eastAsia" w:ascii="宋体" w:hAnsi="宋体" w:eastAsia="宋体" w:cs="宋体"/>
          <w:b w:val="0"/>
          <w:color w:val="000000"/>
          <w:sz w:val="21"/>
          <w:szCs w:val="21"/>
          <w:highlight w:val="none"/>
        </w:rPr>
        <w:t>4</w:t>
      </w:r>
      <w:bookmarkStart w:id="846" w:name="_Toc296944501"/>
      <w:bookmarkStart w:id="847" w:name="_Toc297120462"/>
      <w:bookmarkStart w:id="848" w:name="_Toc292559871"/>
      <w:bookmarkStart w:id="849" w:name="_Toc296503162"/>
      <w:bookmarkStart w:id="850" w:name="_Toc296346663"/>
      <w:bookmarkStart w:id="851" w:name="_Toc296891202"/>
      <w:bookmarkStart w:id="852" w:name="_Toc296890990"/>
      <w:bookmarkStart w:id="853" w:name="_Toc296347161"/>
      <w:bookmarkStart w:id="854" w:name="_Toc267251413"/>
      <w:bookmarkStart w:id="855" w:name="_Toc297048348"/>
      <w:bookmarkStart w:id="856" w:name="_Toc292559366"/>
      <w:r>
        <w:rPr>
          <w:rFonts w:hint="eastAsia" w:ascii="宋体" w:hAnsi="宋体" w:eastAsia="宋体" w:cs="宋体"/>
          <w:b w:val="0"/>
          <w:color w:val="000000"/>
          <w:sz w:val="21"/>
          <w:szCs w:val="21"/>
          <w:highlight w:val="none"/>
        </w:rPr>
        <w:t>. 监</w:t>
      </w:r>
      <w:bookmarkEnd w:id="846"/>
      <w:bookmarkEnd w:id="847"/>
      <w:bookmarkEnd w:id="848"/>
      <w:bookmarkEnd w:id="849"/>
      <w:bookmarkEnd w:id="850"/>
      <w:bookmarkEnd w:id="851"/>
      <w:bookmarkEnd w:id="852"/>
      <w:bookmarkEnd w:id="853"/>
      <w:bookmarkEnd w:id="854"/>
      <w:bookmarkEnd w:id="855"/>
      <w:bookmarkEnd w:id="856"/>
      <w:r>
        <w:rPr>
          <w:rFonts w:hint="eastAsia" w:ascii="宋体" w:hAnsi="宋体" w:eastAsia="宋体" w:cs="宋体"/>
          <w:b w:val="0"/>
          <w:color w:val="000000"/>
          <w:sz w:val="21"/>
          <w:szCs w:val="21"/>
          <w:highlight w:val="none"/>
        </w:rPr>
        <w:t>理人</w:t>
      </w:r>
      <w:bookmarkEnd w:id="845"/>
    </w:p>
    <w:p w14:paraId="266137D4">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4.1监理人的一般规定</w:t>
      </w:r>
    </w:p>
    <w:p w14:paraId="6D6D68B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26AB22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关于监理人的监理权限：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631C613D">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关于监理人在施工现场的办公场所、生活场所的提供和费用承担的约定：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EED3AE2">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监理人员</w:t>
      </w:r>
    </w:p>
    <w:p w14:paraId="2B80F8A8">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p w14:paraId="79CAF58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446B01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7F80CF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监理工程师执业资格证书号：</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2BD5FC3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1B88AC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54E13F4E">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7765A5AF">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关于监理人的其他约定：</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2376BD9C">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 商定或确定</w:t>
      </w:r>
    </w:p>
    <w:p w14:paraId="3BF754D0">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bookmarkStart w:id="857" w:name="_Toc267251418"/>
      <w:r>
        <w:rPr>
          <w:rFonts w:hint="eastAsia" w:ascii="宋体" w:hAnsi="宋体" w:eastAsia="宋体" w:cs="宋体"/>
          <w:color w:val="000000"/>
          <w:sz w:val="21"/>
          <w:szCs w:val="21"/>
          <w:highlight w:val="none"/>
        </w:rPr>
        <w:t>在发包人和承包人不能通过协商达成一致意见时，发包人授权监理人对以下事项进行确定：</w:t>
      </w:r>
    </w:p>
    <w:p w14:paraId="161BC06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491D5E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733D00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56834E">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858" w:name="_Toc351203637"/>
      <w:r>
        <w:rPr>
          <w:rFonts w:hint="eastAsia" w:ascii="宋体" w:hAnsi="宋体" w:eastAsia="宋体" w:cs="宋体"/>
          <w:b w:val="0"/>
          <w:color w:val="000000"/>
          <w:sz w:val="21"/>
          <w:szCs w:val="21"/>
          <w:highlight w:val="none"/>
        </w:rPr>
        <w:t>5</w:t>
      </w:r>
      <w:bookmarkEnd w:id="857"/>
      <w:bookmarkStart w:id="859" w:name="_Toc292559367"/>
      <w:bookmarkStart w:id="860" w:name="_Toc297048349"/>
      <w:bookmarkStart w:id="861" w:name="_Toc296944502"/>
      <w:bookmarkStart w:id="862" w:name="_Toc296347162"/>
      <w:bookmarkStart w:id="863" w:name="_Toc296890991"/>
      <w:bookmarkStart w:id="864" w:name="_Toc297120463"/>
      <w:bookmarkStart w:id="865" w:name="_Toc292559872"/>
      <w:bookmarkStart w:id="866" w:name="_Toc296346664"/>
      <w:bookmarkStart w:id="867" w:name="_Toc296891203"/>
      <w:bookmarkStart w:id="868" w:name="_Toc296503163"/>
      <w:r>
        <w:rPr>
          <w:rFonts w:hint="eastAsia" w:ascii="宋体" w:hAnsi="宋体" w:eastAsia="宋体" w:cs="宋体"/>
          <w:b w:val="0"/>
          <w:color w:val="000000"/>
          <w:sz w:val="21"/>
          <w:szCs w:val="21"/>
          <w:highlight w:val="none"/>
        </w:rPr>
        <w:t>. 工程质量</w:t>
      </w:r>
      <w:bookmarkEnd w:id="858"/>
    </w:p>
    <w:p w14:paraId="4A6CF927">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869" w:name="_Toc26127"/>
      <w:bookmarkStart w:id="870" w:name="_Toc8918"/>
      <w:bookmarkStart w:id="871" w:name="_Toc10267"/>
      <w:bookmarkStart w:id="872" w:name="_Toc11700"/>
      <w:bookmarkStart w:id="873" w:name="_Toc20946"/>
      <w:r>
        <w:rPr>
          <w:rFonts w:hint="eastAsia" w:ascii="宋体" w:hAnsi="宋体" w:eastAsia="宋体" w:cs="宋体"/>
          <w:color w:val="000000"/>
          <w:sz w:val="21"/>
          <w:szCs w:val="21"/>
          <w:highlight w:val="none"/>
        </w:rPr>
        <w:t>5.1 质量要求</w:t>
      </w:r>
      <w:bookmarkEnd w:id="869"/>
      <w:bookmarkEnd w:id="870"/>
      <w:bookmarkEnd w:id="871"/>
      <w:bookmarkEnd w:id="872"/>
      <w:bookmarkEnd w:id="873"/>
    </w:p>
    <w:p w14:paraId="2385A04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bookmarkStart w:id="874" w:name="_Toc303539106"/>
      <w:bookmarkStart w:id="875" w:name="_Toc304295527"/>
      <w:bookmarkStart w:id="876" w:name="_Toc300934949"/>
      <w:bookmarkStart w:id="877" w:name="_Toc297216155"/>
      <w:bookmarkStart w:id="878" w:name="_Toc318581164"/>
      <w:bookmarkStart w:id="879" w:name="_Toc297123496"/>
      <w:bookmarkStart w:id="880" w:name="_Toc312677997"/>
      <w:r>
        <w:rPr>
          <w:rFonts w:hint="eastAsia" w:ascii="宋体" w:hAnsi="宋体" w:eastAsia="宋体" w:cs="宋体"/>
          <w:sz w:val="21"/>
          <w:szCs w:val="21"/>
          <w:highlight w:val="none"/>
        </w:rPr>
        <w:t>.1.1 特殊质量标准和要求：</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9D9E1A7">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关于工程奖项的约定：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9C0F90E">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881" w:name="_Toc5276"/>
      <w:bookmarkStart w:id="882" w:name="_Toc6876"/>
      <w:bookmarkStart w:id="883" w:name="_Toc12189"/>
      <w:bookmarkStart w:id="884" w:name="_Toc29655"/>
      <w:bookmarkStart w:id="885" w:name="_Toc2075"/>
      <w:r>
        <w:rPr>
          <w:rFonts w:hint="eastAsia" w:ascii="宋体" w:hAnsi="宋体" w:eastAsia="宋体" w:cs="宋体"/>
          <w:color w:val="000000"/>
          <w:sz w:val="21"/>
          <w:szCs w:val="21"/>
          <w:highlight w:val="none"/>
        </w:rPr>
        <w:t>5.3 隐蔽工程检查</w:t>
      </w:r>
      <w:bookmarkEnd w:id="881"/>
      <w:bookmarkEnd w:id="882"/>
      <w:bookmarkEnd w:id="883"/>
      <w:bookmarkEnd w:id="884"/>
      <w:bookmarkEnd w:id="885"/>
    </w:p>
    <w:p w14:paraId="53CC5095">
      <w:pPr>
        <w:pageBreakBefore w:val="0"/>
        <w:widowControl w:val="0"/>
        <w:kinsoku/>
        <w:wordWrap/>
        <w:overflowPunct/>
        <w:topLinePunct w:val="0"/>
        <w:bidi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5.3.2承包人提前通知监理人隐蔽工程检查的期限的约定：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87AE73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监理人不能按时进行检查时，应提前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小时提交书面延期要求。</w:t>
      </w:r>
    </w:p>
    <w:p w14:paraId="7F5D485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小时。</w:t>
      </w:r>
    </w:p>
    <w:p w14:paraId="5A0D0908">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886" w:name="_Toc351203638"/>
      <w:r>
        <w:rPr>
          <w:rFonts w:hint="eastAsia" w:ascii="宋体" w:hAnsi="宋体" w:eastAsia="宋体" w:cs="宋体"/>
          <w:b w:val="0"/>
          <w:color w:val="000000"/>
          <w:sz w:val="21"/>
          <w:szCs w:val="21"/>
          <w:highlight w:val="none"/>
        </w:rPr>
        <w:t>6. 安全文明施工与环境保护</w:t>
      </w:r>
      <w:bookmarkEnd w:id="886"/>
    </w:p>
    <w:p w14:paraId="2E52CF4E">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6.1安全文明施工</w:t>
      </w:r>
    </w:p>
    <w:p w14:paraId="02BFE33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w:t>
      </w:r>
      <w:r>
        <w:rPr>
          <w:rFonts w:hint="eastAsia" w:ascii="宋体" w:hAnsi="宋体" w:eastAsia="宋体" w:cs="宋体"/>
          <w:color w:val="000000"/>
          <w:sz w:val="21"/>
          <w:szCs w:val="21"/>
          <w:highlight w:val="none"/>
        </w:rPr>
        <w:t xml:space="preserve"> 项目安全生产的达标目标及相应事项的约定：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026501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6.1.4 关于治安保卫的特别约定：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84497B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6C03F4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6.1.5 文明施工</w:t>
      </w:r>
    </w:p>
    <w:p w14:paraId="1F49268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EB96A8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6.1.6 关于安全文明施工费支付比例和支付期限的约定：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bookmarkEnd w:id="874"/>
    <w:bookmarkEnd w:id="875"/>
    <w:bookmarkEnd w:id="876"/>
    <w:bookmarkEnd w:id="877"/>
    <w:bookmarkEnd w:id="878"/>
    <w:bookmarkEnd w:id="879"/>
    <w:bookmarkEnd w:id="880"/>
    <w:p w14:paraId="4BF1BA04">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887" w:name="_Toc351203639"/>
      <w:r>
        <w:rPr>
          <w:rFonts w:hint="eastAsia" w:ascii="宋体" w:hAnsi="宋体" w:eastAsia="宋体" w:cs="宋体"/>
          <w:b w:val="0"/>
          <w:color w:val="000000"/>
          <w:sz w:val="21"/>
          <w:szCs w:val="21"/>
          <w:highlight w:val="none"/>
        </w:rPr>
        <w:t>7. 工期和进度</w:t>
      </w:r>
      <w:bookmarkEnd w:id="887"/>
    </w:p>
    <w:p w14:paraId="2FF26B9B">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 施工组织设计</w:t>
      </w:r>
    </w:p>
    <w:p w14:paraId="4549746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 xml:space="preserve">7.1.1 </w:t>
      </w:r>
      <w:r>
        <w:rPr>
          <w:rFonts w:hint="eastAsia" w:ascii="宋体" w:hAnsi="宋体" w:eastAsia="宋体" w:cs="宋体"/>
          <w:color w:val="000000"/>
          <w:sz w:val="21"/>
          <w:szCs w:val="21"/>
          <w:highlight w:val="none"/>
        </w:rPr>
        <w:t>合</w:t>
      </w:r>
      <w:r>
        <w:rPr>
          <w:rFonts w:hint="eastAsia" w:ascii="宋体" w:hAnsi="宋体" w:eastAsia="宋体" w:cs="宋体"/>
          <w:color w:val="000000"/>
          <w:kern w:val="0"/>
          <w:sz w:val="21"/>
          <w:szCs w:val="21"/>
          <w:highlight w:val="none"/>
        </w:rPr>
        <w:t>同当事人约定的施工组织设计应包括的其他内容：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CF3F61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7.1.2</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kern w:val="0"/>
          <w:sz w:val="21"/>
          <w:szCs w:val="21"/>
          <w:highlight w:val="none"/>
        </w:rPr>
        <w:t>施工组织设计的提交和修改</w:t>
      </w:r>
    </w:p>
    <w:p w14:paraId="3129929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承包人提交详细施工组织设计的期限的约定：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2C63963">
      <w:pPr>
        <w:pageBreakBefore w:val="0"/>
        <w:widowControl w:val="0"/>
        <w:kinsoku/>
        <w:wordWrap/>
        <w:overflowPunct/>
        <w:topLinePunct w:val="0"/>
        <w:bidi w:val="0"/>
        <w:snapToGrid w:val="0"/>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发包人和监理人在收到详细的施工组织设计后确认或提出修改意见的期限：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D6B1B90">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bookmarkStart w:id="888" w:name="_Toc297123514"/>
      <w:bookmarkStart w:id="889" w:name="_Toc312678005"/>
      <w:bookmarkStart w:id="890" w:name="_Toc300934966"/>
      <w:bookmarkStart w:id="891" w:name="_Toc312677479"/>
      <w:bookmarkStart w:id="892" w:name="_Toc304295541"/>
      <w:bookmarkStart w:id="893" w:name="_Toc297216173"/>
      <w:bookmarkStart w:id="894" w:name="_Toc303539123"/>
      <w:r>
        <w:rPr>
          <w:rFonts w:hint="eastAsia" w:ascii="宋体" w:hAnsi="宋体" w:eastAsia="宋体" w:cs="宋体"/>
          <w:color w:val="000000"/>
          <w:sz w:val="21"/>
          <w:szCs w:val="21"/>
          <w:highlight w:val="none"/>
        </w:rPr>
        <w:t>.2 施工进度计划</w:t>
      </w:r>
    </w:p>
    <w:p w14:paraId="222B5DC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7.2.2 施工进度计划的修订</w:t>
      </w:r>
    </w:p>
    <w:p w14:paraId="58DA0B6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发包人和监理人在收到修订的施工进度计划后确认或提出修改意见的期限：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5D54C53">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 开工</w:t>
      </w:r>
    </w:p>
    <w:p w14:paraId="6D966D4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7.3.1 开工准备</w:t>
      </w:r>
    </w:p>
    <w:p w14:paraId="1F2F784C">
      <w:pPr>
        <w:pageBreakBefore w:val="0"/>
        <w:widowControl w:val="0"/>
        <w:kinsoku/>
        <w:wordWrap/>
        <w:overflowPunct/>
        <w:topLinePunct w:val="0"/>
        <w:bidi w:val="0"/>
        <w:snapToGrid w:val="0"/>
        <w:spacing w:line="360" w:lineRule="auto"/>
        <w:ind w:firstLine="645"/>
        <w:jc w:val="left"/>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rPr>
        <w:t>关于承包人提交</w:t>
      </w:r>
      <w:r>
        <w:rPr>
          <w:rFonts w:hint="eastAsia" w:ascii="宋体" w:hAnsi="宋体" w:eastAsia="宋体" w:cs="宋体"/>
          <w:color w:val="000000"/>
          <w:kern w:val="0"/>
          <w:sz w:val="21"/>
          <w:szCs w:val="21"/>
          <w:highlight w:val="none"/>
        </w:rPr>
        <w:t>工程开工报审表的期限：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6D54037">
      <w:pPr>
        <w:pageBreakBefore w:val="0"/>
        <w:widowControl w:val="0"/>
        <w:kinsoku/>
        <w:wordWrap/>
        <w:overflowPunct/>
        <w:topLinePunct w:val="0"/>
        <w:bidi w:val="0"/>
        <w:snapToGrid w:val="0"/>
        <w:spacing w:line="360" w:lineRule="auto"/>
        <w:ind w:firstLine="630" w:firstLineChars="3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关于发包人应完成的其他开工准备工作及期限：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BDDC064">
      <w:pPr>
        <w:pageBreakBefore w:val="0"/>
        <w:widowControl w:val="0"/>
        <w:kinsoku/>
        <w:wordWrap/>
        <w:overflowPunct/>
        <w:topLinePunct w:val="0"/>
        <w:bidi w:val="0"/>
        <w:snapToGrid w:val="0"/>
        <w:spacing w:line="360" w:lineRule="auto"/>
        <w:ind w:firstLine="630" w:firstLineChars="3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关于承包人应完成的其他开工准备工作及期限：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B44318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7.3.2开工通知</w:t>
      </w:r>
    </w:p>
    <w:p w14:paraId="4735818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因发包人原因造成监理人未能在计划开工日期之日起</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天内发出开工通知的，承包人有权提出价格调整要求，或者解除合同。</w:t>
      </w:r>
    </w:p>
    <w:bookmarkEnd w:id="888"/>
    <w:bookmarkEnd w:id="889"/>
    <w:bookmarkEnd w:id="890"/>
    <w:bookmarkEnd w:id="891"/>
    <w:bookmarkEnd w:id="892"/>
    <w:bookmarkEnd w:id="893"/>
    <w:bookmarkEnd w:id="894"/>
    <w:p w14:paraId="6936834C">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 测量放线</w:t>
      </w:r>
    </w:p>
    <w:p w14:paraId="0A56055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7.4.1发包人通过监理人向承包人提供测量基准点、基准线和水准点及其书面资料的期限：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A8B2125">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bookmarkStart w:id="895" w:name="_Toc297123516"/>
      <w:bookmarkStart w:id="896" w:name="_Toc300934968"/>
      <w:bookmarkStart w:id="897" w:name="_Toc303539125"/>
      <w:bookmarkStart w:id="898" w:name="_Toc297216175"/>
      <w:bookmarkStart w:id="899" w:name="_Toc312677484"/>
      <w:bookmarkStart w:id="900" w:name="_Toc312678010"/>
      <w:bookmarkStart w:id="901" w:name="_Toc304295546"/>
      <w:r>
        <w:rPr>
          <w:rFonts w:hint="eastAsia" w:ascii="宋体" w:hAnsi="宋体" w:eastAsia="宋体" w:cs="宋体"/>
          <w:color w:val="000000"/>
          <w:sz w:val="21"/>
          <w:szCs w:val="21"/>
          <w:highlight w:val="none"/>
        </w:rPr>
        <w:t>.5 工期延误</w:t>
      </w:r>
    </w:p>
    <w:bookmarkEnd w:id="895"/>
    <w:bookmarkEnd w:id="896"/>
    <w:bookmarkEnd w:id="897"/>
    <w:bookmarkEnd w:id="898"/>
    <w:bookmarkEnd w:id="899"/>
    <w:bookmarkEnd w:id="900"/>
    <w:bookmarkEnd w:id="901"/>
    <w:p w14:paraId="6297741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7.5.1 因发包人原因导致工期延误</w:t>
      </w:r>
    </w:p>
    <w:p w14:paraId="421AC975">
      <w:pPr>
        <w:pageBreakBefore w:val="0"/>
        <w:widowControl w:val="0"/>
        <w:kinsoku/>
        <w:wordWrap/>
        <w:overflowPunct/>
        <w:topLinePunct w:val="0"/>
        <w:bidi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（7）因发包人原因导致工期延误的其他情形：</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7245F0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w:t>
      </w:r>
      <w:bookmarkStart w:id="902" w:name="_Toc312677486"/>
      <w:bookmarkStart w:id="903" w:name="_Toc318581169"/>
      <w:bookmarkStart w:id="904" w:name="_Toc312678012"/>
      <w:bookmarkStart w:id="905" w:name="_Toc297123518"/>
      <w:bookmarkStart w:id="906" w:name="_Toc303539127"/>
      <w:bookmarkStart w:id="907" w:name="_Toc300934970"/>
      <w:bookmarkStart w:id="908" w:name="_Toc297216177"/>
      <w:bookmarkStart w:id="909" w:name="_Toc304295548"/>
      <w:r>
        <w:rPr>
          <w:rFonts w:hint="eastAsia" w:ascii="宋体" w:hAnsi="宋体" w:eastAsia="宋体" w:cs="宋体"/>
          <w:sz w:val="21"/>
          <w:szCs w:val="21"/>
          <w:highlight w:val="none"/>
        </w:rPr>
        <w:t>.5.2 因承包人原因导致工期延误</w:t>
      </w:r>
    </w:p>
    <w:bookmarkEnd w:id="902"/>
    <w:bookmarkEnd w:id="903"/>
    <w:bookmarkEnd w:id="904"/>
    <w:p w14:paraId="2DF4A76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因</w:t>
      </w:r>
      <w:bookmarkStart w:id="910" w:name="_Toc312678013"/>
      <w:bookmarkStart w:id="911" w:name="_Toc312677487"/>
      <w:bookmarkStart w:id="912" w:name="_Toc318581170"/>
      <w:r>
        <w:rPr>
          <w:rFonts w:hint="eastAsia" w:ascii="宋体" w:hAnsi="宋体" w:eastAsia="宋体" w:cs="宋体"/>
          <w:sz w:val="21"/>
          <w:szCs w:val="21"/>
          <w:highlight w:val="none"/>
        </w:rPr>
        <w:t>承包人原因造成工期延误，逾期竣工违约金的计算方法为：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bookmarkEnd w:id="905"/>
      <w:bookmarkEnd w:id="906"/>
      <w:bookmarkEnd w:id="907"/>
      <w:bookmarkEnd w:id="908"/>
      <w:bookmarkEnd w:id="909"/>
      <w:bookmarkEnd w:id="910"/>
      <w:bookmarkEnd w:id="911"/>
    </w:p>
    <w:bookmarkEnd w:id="912"/>
    <w:p w14:paraId="2EF9E48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因承包人原因造成工期延误，逾</w:t>
      </w:r>
      <w:bookmarkStart w:id="913" w:name="_Toc318581171"/>
      <w:bookmarkStart w:id="914" w:name="_Toc312678014"/>
      <w:r>
        <w:rPr>
          <w:rFonts w:hint="eastAsia" w:ascii="宋体" w:hAnsi="宋体" w:eastAsia="宋体" w:cs="宋体"/>
          <w:sz w:val="21"/>
          <w:szCs w:val="21"/>
          <w:highlight w:val="none"/>
        </w:rPr>
        <w:t>期竣工违约金的上限：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bookmarkEnd w:id="913"/>
    <w:bookmarkEnd w:id="914"/>
    <w:p w14:paraId="4DC47DC3">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bookmarkStart w:id="915" w:name="_Toc312678015"/>
      <w:bookmarkStart w:id="916" w:name="_Toc297123519"/>
      <w:bookmarkStart w:id="917" w:name="_Toc300934971"/>
      <w:bookmarkStart w:id="918" w:name="_Toc303539128"/>
      <w:bookmarkStart w:id="919" w:name="_Toc304295549"/>
      <w:bookmarkStart w:id="920" w:name="_Toc297216178"/>
      <w:r>
        <w:rPr>
          <w:rFonts w:hint="eastAsia" w:ascii="宋体" w:hAnsi="宋体" w:eastAsia="宋体" w:cs="宋体"/>
          <w:color w:val="000000"/>
          <w:sz w:val="21"/>
          <w:szCs w:val="21"/>
          <w:highlight w:val="none"/>
        </w:rPr>
        <w:t>.6 不</w:t>
      </w:r>
      <w:bookmarkEnd w:id="915"/>
      <w:bookmarkEnd w:id="916"/>
      <w:bookmarkEnd w:id="917"/>
      <w:bookmarkEnd w:id="918"/>
      <w:bookmarkEnd w:id="919"/>
      <w:bookmarkEnd w:id="920"/>
      <w:r>
        <w:rPr>
          <w:rFonts w:hint="eastAsia" w:ascii="宋体" w:hAnsi="宋体" w:eastAsia="宋体" w:cs="宋体"/>
          <w:color w:val="000000"/>
          <w:sz w:val="21"/>
          <w:szCs w:val="21"/>
          <w:highlight w:val="none"/>
        </w:rPr>
        <w:t>利物质条件</w:t>
      </w:r>
    </w:p>
    <w:p w14:paraId="1CE07FD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bookmarkStart w:id="921" w:name="_Toc303539129"/>
      <w:bookmarkStart w:id="922" w:name="_Toc304295550"/>
      <w:bookmarkStart w:id="923" w:name="_Toc297216179"/>
      <w:bookmarkStart w:id="924" w:name="_Toc300934972"/>
      <w:bookmarkStart w:id="925" w:name="_Toc297123520"/>
      <w:bookmarkStart w:id="926" w:name="_Toc312678016"/>
      <w:bookmarkStart w:id="927" w:name="_Toc318581172"/>
      <w:r>
        <w:rPr>
          <w:rFonts w:hint="eastAsia" w:ascii="宋体" w:hAnsi="宋体" w:eastAsia="宋体" w:cs="宋体"/>
          <w:sz w:val="21"/>
          <w:szCs w:val="21"/>
          <w:highlight w:val="none"/>
        </w:rPr>
        <w:t>不利物质条件的其他情形和有关约定：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bookmarkEnd w:id="921"/>
    <w:bookmarkEnd w:id="922"/>
    <w:bookmarkEnd w:id="923"/>
    <w:bookmarkEnd w:id="924"/>
    <w:bookmarkEnd w:id="925"/>
    <w:bookmarkEnd w:id="926"/>
    <w:bookmarkEnd w:id="927"/>
    <w:p w14:paraId="402DB628">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bookmarkStart w:id="928" w:name="_Toc297216180"/>
      <w:bookmarkStart w:id="929" w:name="_Toc312678017"/>
      <w:bookmarkStart w:id="930" w:name="_Toc303539130"/>
      <w:bookmarkStart w:id="931" w:name="_Toc297123521"/>
      <w:bookmarkStart w:id="932" w:name="_Toc304295551"/>
      <w:bookmarkStart w:id="933" w:name="_Toc300934973"/>
      <w:r>
        <w:rPr>
          <w:rFonts w:hint="eastAsia" w:ascii="宋体" w:hAnsi="宋体" w:eastAsia="宋体" w:cs="宋体"/>
          <w:color w:val="000000"/>
          <w:sz w:val="21"/>
          <w:szCs w:val="21"/>
          <w:highlight w:val="none"/>
        </w:rPr>
        <w:t>.7异常恶劣的气候条件</w:t>
      </w:r>
    </w:p>
    <w:bookmarkEnd w:id="928"/>
    <w:bookmarkEnd w:id="929"/>
    <w:bookmarkEnd w:id="930"/>
    <w:bookmarkEnd w:id="931"/>
    <w:bookmarkEnd w:id="932"/>
    <w:bookmarkEnd w:id="933"/>
    <w:p w14:paraId="618D81E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发包人和承包人同意以下情形视为异常恶劣的气候条件：</w:t>
      </w:r>
    </w:p>
    <w:p w14:paraId="343B1C4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5B8007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EAD471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2EDF80C">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934" w:name="_Toc26293"/>
      <w:bookmarkStart w:id="935" w:name="_Toc21221"/>
      <w:bookmarkStart w:id="936" w:name="_Toc32448"/>
      <w:bookmarkStart w:id="937" w:name="_Toc30284"/>
      <w:bookmarkStart w:id="938" w:name="_Toc30620"/>
      <w:r>
        <w:rPr>
          <w:rFonts w:hint="eastAsia" w:ascii="宋体" w:hAnsi="宋体" w:eastAsia="宋体" w:cs="宋体"/>
          <w:color w:val="000000"/>
          <w:sz w:val="21"/>
          <w:szCs w:val="21"/>
          <w:highlight w:val="none"/>
        </w:rPr>
        <w:t>7.9 提前竣工的奖励</w:t>
      </w:r>
      <w:bookmarkEnd w:id="934"/>
      <w:bookmarkEnd w:id="935"/>
      <w:bookmarkEnd w:id="936"/>
      <w:bookmarkEnd w:id="937"/>
      <w:bookmarkEnd w:id="938"/>
    </w:p>
    <w:p w14:paraId="1CF4A26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7.9.2提前竣工的奖励：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7D1F590">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939" w:name="_Toc351203640"/>
      <w:r>
        <w:rPr>
          <w:rFonts w:hint="eastAsia" w:ascii="宋体" w:hAnsi="宋体" w:eastAsia="宋体" w:cs="宋体"/>
          <w:b w:val="0"/>
          <w:color w:val="000000"/>
          <w:sz w:val="21"/>
          <w:szCs w:val="21"/>
          <w:highlight w:val="none"/>
        </w:rPr>
        <w:t>8. 材料与设备</w:t>
      </w:r>
      <w:bookmarkEnd w:id="939"/>
    </w:p>
    <w:bookmarkEnd w:id="859"/>
    <w:bookmarkEnd w:id="860"/>
    <w:bookmarkEnd w:id="861"/>
    <w:bookmarkEnd w:id="862"/>
    <w:bookmarkEnd w:id="863"/>
    <w:bookmarkEnd w:id="864"/>
    <w:bookmarkEnd w:id="865"/>
    <w:bookmarkEnd w:id="866"/>
    <w:bookmarkEnd w:id="867"/>
    <w:bookmarkEnd w:id="868"/>
    <w:p w14:paraId="6807826D">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bookmarkStart w:id="940" w:name="_Toc300934979"/>
      <w:bookmarkStart w:id="941" w:name="_Toc292559372"/>
      <w:bookmarkStart w:id="942" w:name="_Toc297120467"/>
      <w:bookmarkStart w:id="943" w:name="_Toc303539136"/>
      <w:bookmarkStart w:id="944" w:name="_Toc296347166"/>
      <w:bookmarkStart w:id="945" w:name="_Toc296346668"/>
      <w:bookmarkStart w:id="946" w:name="_Toc312678019"/>
      <w:bookmarkStart w:id="947" w:name="_Toc297123527"/>
      <w:bookmarkStart w:id="948" w:name="_Toc292559877"/>
      <w:bookmarkStart w:id="949" w:name="_Toc296503167"/>
      <w:bookmarkStart w:id="950" w:name="_Toc297048353"/>
      <w:bookmarkStart w:id="951" w:name="_Toc296891207"/>
      <w:bookmarkStart w:id="952" w:name="_Toc304295556"/>
      <w:bookmarkStart w:id="953" w:name="_Toc312677493"/>
      <w:bookmarkStart w:id="954" w:name="_Toc296944506"/>
      <w:bookmarkStart w:id="955" w:name="_Toc280868654"/>
      <w:bookmarkStart w:id="956" w:name="_Toc296890995"/>
      <w:bookmarkStart w:id="957" w:name="_Toc297216186"/>
      <w:bookmarkStart w:id="958" w:name="_Toc280868656"/>
      <w:bookmarkStart w:id="959" w:name="_Toc267251424"/>
      <w:bookmarkStart w:id="960" w:name="_Toc280868655"/>
      <w:r>
        <w:rPr>
          <w:rFonts w:hint="eastAsia" w:ascii="宋体" w:hAnsi="宋体" w:eastAsia="宋体" w:cs="宋体"/>
          <w:color w:val="000000"/>
          <w:sz w:val="21"/>
          <w:szCs w:val="21"/>
          <w:highlight w:val="none"/>
        </w:rPr>
        <w:t>.4材料与工程设备的保管与使用</w:t>
      </w:r>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5862AEB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w:t>
      </w:r>
      <w:bookmarkStart w:id="961" w:name="_Toc292559878"/>
      <w:bookmarkStart w:id="962" w:name="_Toc292559373"/>
      <w:bookmarkStart w:id="963" w:name="_Toc296891208"/>
      <w:bookmarkStart w:id="964" w:name="_Toc296347167"/>
      <w:bookmarkStart w:id="965" w:name="_Toc296944507"/>
      <w:bookmarkStart w:id="966" w:name="_Toc296503168"/>
      <w:bookmarkStart w:id="967" w:name="_Toc296346669"/>
      <w:bookmarkStart w:id="968" w:name="_Toc312677494"/>
      <w:bookmarkStart w:id="969" w:name="_Toc318581173"/>
      <w:bookmarkStart w:id="970" w:name="_Toc297123528"/>
      <w:bookmarkStart w:id="971" w:name="_Toc300934980"/>
      <w:bookmarkStart w:id="972" w:name="_Toc312678020"/>
      <w:bookmarkStart w:id="973" w:name="_Toc296890996"/>
      <w:bookmarkStart w:id="974" w:name="_Toc297120468"/>
      <w:bookmarkStart w:id="975" w:name="_Toc304295557"/>
      <w:bookmarkStart w:id="976" w:name="_Toc297048354"/>
      <w:bookmarkStart w:id="977" w:name="_Toc303539137"/>
      <w:bookmarkStart w:id="978" w:name="_Toc297216187"/>
      <w:r>
        <w:rPr>
          <w:rFonts w:hint="eastAsia" w:ascii="宋体" w:hAnsi="宋体" w:eastAsia="宋体" w:cs="宋体"/>
          <w:sz w:val="21"/>
          <w:szCs w:val="21"/>
          <w:highlight w:val="none"/>
        </w:rPr>
        <w:t>.4.1发包人供应的材料设备的保管费用的承担：</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bookmarkEnd w:id="961"/>
      <w:bookmarkEnd w:id="962"/>
    </w:p>
    <w:p w14:paraId="7DE0A476">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979" w:name="_Toc6828"/>
      <w:bookmarkStart w:id="980" w:name="_Toc70"/>
      <w:bookmarkStart w:id="981" w:name="_Toc6105"/>
      <w:bookmarkStart w:id="982" w:name="_Toc11672"/>
      <w:bookmarkStart w:id="983" w:name="_Toc26678"/>
      <w:r>
        <w:rPr>
          <w:rFonts w:hint="eastAsia" w:ascii="宋体" w:hAnsi="宋体" w:eastAsia="宋体" w:cs="宋体"/>
          <w:color w:val="000000"/>
          <w:sz w:val="21"/>
          <w:szCs w:val="21"/>
          <w:highlight w:val="none"/>
        </w:rPr>
        <w:t>8.6 样品</w:t>
      </w:r>
      <w:bookmarkEnd w:id="979"/>
      <w:bookmarkEnd w:id="980"/>
      <w:bookmarkEnd w:id="981"/>
      <w:bookmarkEnd w:id="982"/>
      <w:bookmarkEnd w:id="983"/>
    </w:p>
    <w:p w14:paraId="354B519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8.6.1</w:t>
      </w:r>
      <w:r>
        <w:rPr>
          <w:rFonts w:hint="eastAsia" w:ascii="宋体" w:hAnsi="宋体" w:eastAsia="宋体" w:cs="宋体"/>
          <w:color w:val="000000"/>
          <w:kern w:val="0"/>
          <w:sz w:val="21"/>
          <w:szCs w:val="21"/>
          <w:highlight w:val="none"/>
        </w:rPr>
        <w:tab/>
      </w:r>
      <w:r>
        <w:rPr>
          <w:rFonts w:hint="eastAsia" w:ascii="宋体" w:hAnsi="宋体" w:eastAsia="宋体" w:cs="宋体"/>
          <w:color w:val="000000"/>
          <w:kern w:val="0"/>
          <w:sz w:val="21"/>
          <w:szCs w:val="21"/>
          <w:highlight w:val="none"/>
        </w:rPr>
        <w:t>样品的报送与封存</w:t>
      </w:r>
    </w:p>
    <w:p w14:paraId="19AC9A58">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需要承包人报送样品的材料或工程设备，样品的种类、名称、规格、数量要求：</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80169ED">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984" w:name="_Toc15568"/>
      <w:bookmarkStart w:id="985" w:name="_Toc29974"/>
      <w:bookmarkStart w:id="986" w:name="_Toc27534"/>
      <w:bookmarkStart w:id="987" w:name="_Toc2775"/>
      <w:bookmarkStart w:id="988" w:name="_Toc26460"/>
      <w:r>
        <w:rPr>
          <w:rFonts w:hint="eastAsia" w:ascii="宋体" w:hAnsi="宋体" w:eastAsia="宋体" w:cs="宋体"/>
          <w:color w:val="000000"/>
          <w:sz w:val="21"/>
          <w:szCs w:val="21"/>
          <w:highlight w:val="none"/>
        </w:rPr>
        <w:t>8.8 施工设备和临时设施</w:t>
      </w:r>
      <w:bookmarkEnd w:id="984"/>
      <w:bookmarkEnd w:id="985"/>
      <w:bookmarkEnd w:id="986"/>
      <w:bookmarkEnd w:id="987"/>
      <w:bookmarkEnd w:id="988"/>
    </w:p>
    <w:p w14:paraId="1C4FA69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8.8.1 承包人提供的施工设备和临时设施</w:t>
      </w:r>
    </w:p>
    <w:p w14:paraId="4A7D62AF">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关于修建临时设施费用承担的约定：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14:paraId="18153CD1">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989" w:name="_Toc351203641"/>
      <w:r>
        <w:rPr>
          <w:rFonts w:hint="eastAsia" w:ascii="宋体" w:hAnsi="宋体" w:eastAsia="宋体" w:cs="宋体"/>
          <w:b w:val="0"/>
          <w:color w:val="000000"/>
          <w:sz w:val="21"/>
          <w:szCs w:val="21"/>
          <w:highlight w:val="none"/>
        </w:rPr>
        <w:t>9</w:t>
      </w:r>
      <w:bookmarkEnd w:id="958"/>
      <w:bookmarkEnd w:id="959"/>
      <w:bookmarkEnd w:id="960"/>
      <w:bookmarkStart w:id="990" w:name="_Toc312678021"/>
      <w:bookmarkStart w:id="991" w:name="_Toc300934982"/>
      <w:bookmarkStart w:id="992" w:name="_Toc312677495"/>
      <w:bookmarkStart w:id="993" w:name="_Toc297216192"/>
      <w:bookmarkStart w:id="994" w:name="_Toc303539139"/>
      <w:bookmarkStart w:id="995" w:name="_Toc297123533"/>
      <w:bookmarkStart w:id="996" w:name="_Toc304295559"/>
      <w:bookmarkStart w:id="997" w:name="_Toc296347172"/>
      <w:bookmarkStart w:id="998" w:name="_Toc296891001"/>
      <w:bookmarkStart w:id="999" w:name="_Toc296346674"/>
      <w:bookmarkStart w:id="1000" w:name="_Toc297048359"/>
      <w:bookmarkStart w:id="1001" w:name="_Toc296891213"/>
      <w:bookmarkStart w:id="1002" w:name="_Toc296503173"/>
      <w:bookmarkStart w:id="1003" w:name="_Toc267251427"/>
      <w:bookmarkStart w:id="1004" w:name="_Toc292559378"/>
      <w:bookmarkStart w:id="1005" w:name="_Toc297120473"/>
      <w:bookmarkStart w:id="1006" w:name="_Toc292559883"/>
      <w:bookmarkStart w:id="1007" w:name="_Toc267251428"/>
      <w:bookmarkStart w:id="1008" w:name="_Toc296944512"/>
      <w:r>
        <w:rPr>
          <w:rFonts w:hint="eastAsia" w:ascii="宋体" w:hAnsi="宋体" w:eastAsia="宋体" w:cs="宋体"/>
          <w:b w:val="0"/>
          <w:color w:val="000000"/>
          <w:sz w:val="21"/>
          <w:szCs w:val="21"/>
          <w:highlight w:val="none"/>
        </w:rPr>
        <w:t>. 试验与检验</w:t>
      </w:r>
      <w:bookmarkEnd w:id="989"/>
    </w:p>
    <w:bookmarkEnd w:id="990"/>
    <w:bookmarkEnd w:id="991"/>
    <w:bookmarkEnd w:id="992"/>
    <w:bookmarkEnd w:id="993"/>
    <w:bookmarkEnd w:id="994"/>
    <w:bookmarkEnd w:id="995"/>
    <w:bookmarkEnd w:id="996"/>
    <w:p w14:paraId="30019BF5">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bookmarkStart w:id="1009" w:name="_Toc300934983"/>
      <w:bookmarkStart w:id="1010" w:name="_Toc297123534"/>
      <w:bookmarkStart w:id="1011" w:name="_Toc312678022"/>
      <w:bookmarkStart w:id="1012" w:name="_Toc303539140"/>
      <w:bookmarkStart w:id="1013" w:name="_Toc312677496"/>
      <w:bookmarkStart w:id="1014" w:name="_Toc297216193"/>
      <w:bookmarkStart w:id="1015" w:name="_Toc304295560"/>
      <w:r>
        <w:rPr>
          <w:rFonts w:hint="eastAsia" w:ascii="宋体" w:hAnsi="宋体" w:eastAsia="宋体" w:cs="宋体"/>
          <w:color w:val="000000"/>
          <w:sz w:val="21"/>
          <w:szCs w:val="21"/>
          <w:highlight w:val="none"/>
        </w:rPr>
        <w:t>.1试验设备与试验人员</w:t>
      </w:r>
    </w:p>
    <w:bookmarkEnd w:id="1009"/>
    <w:bookmarkEnd w:id="1010"/>
    <w:bookmarkEnd w:id="1011"/>
    <w:bookmarkEnd w:id="1012"/>
    <w:bookmarkEnd w:id="1013"/>
    <w:bookmarkEnd w:id="1014"/>
    <w:bookmarkEnd w:id="1015"/>
    <w:p w14:paraId="08DA3E1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w:t>
      </w:r>
      <w:bookmarkStart w:id="1016" w:name="_Toc297216194"/>
      <w:bookmarkStart w:id="1017" w:name="_Toc304295561"/>
      <w:bookmarkStart w:id="1018" w:name="_Toc303539141"/>
      <w:bookmarkStart w:id="1019" w:name="_Toc300934984"/>
      <w:bookmarkStart w:id="1020" w:name="_Toc312678023"/>
      <w:bookmarkStart w:id="1021" w:name="_Toc297123535"/>
      <w:bookmarkStart w:id="1022" w:name="_Toc312677497"/>
      <w:bookmarkStart w:id="1023" w:name="_Toc318581174"/>
      <w:r>
        <w:rPr>
          <w:rFonts w:hint="eastAsia" w:ascii="宋体" w:hAnsi="宋体" w:eastAsia="宋体" w:cs="宋体"/>
          <w:sz w:val="21"/>
          <w:szCs w:val="21"/>
          <w:highlight w:val="none"/>
        </w:rPr>
        <w:t>.1.2 试验设备</w:t>
      </w:r>
    </w:p>
    <w:p w14:paraId="4467CF2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施工现场需要配置的试验场所：</w:t>
      </w:r>
      <w:bookmarkEnd w:id="1016"/>
      <w:bookmarkEnd w:id="1017"/>
      <w:bookmarkEnd w:id="1018"/>
      <w:bookmarkEnd w:id="1019"/>
      <w:bookmarkEnd w:id="1020"/>
      <w:bookmarkEnd w:id="1021"/>
      <w:bookmarkEnd w:id="1022"/>
      <w:bookmarkStart w:id="1024" w:name="_Toc303539142"/>
      <w:bookmarkStart w:id="1025" w:name="_Toc312678024"/>
      <w:bookmarkStart w:id="1026" w:name="_Toc297216195"/>
      <w:bookmarkStart w:id="1027" w:name="_Toc300934985"/>
      <w:bookmarkStart w:id="1028" w:name="_Toc312677498"/>
      <w:bookmarkStart w:id="1029" w:name="_Toc304295562"/>
      <w:bookmarkStart w:id="1030" w:name="_Toc297123536"/>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35D1021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施工现场需要配备的试验设备：</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4BCFBA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施工现场需要具备的其他试验条件：</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648141C">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031" w:name="_Toc28557"/>
      <w:bookmarkStart w:id="1032" w:name="_Toc16182"/>
      <w:bookmarkStart w:id="1033" w:name="_Toc26878"/>
      <w:bookmarkStart w:id="1034" w:name="_Toc12267"/>
      <w:bookmarkStart w:id="1035" w:name="_Toc31233"/>
      <w:r>
        <w:rPr>
          <w:rFonts w:hint="eastAsia" w:ascii="宋体" w:hAnsi="宋体" w:eastAsia="宋体" w:cs="宋体"/>
          <w:color w:val="000000"/>
          <w:sz w:val="21"/>
          <w:szCs w:val="21"/>
          <w:highlight w:val="none"/>
        </w:rPr>
        <w:t>9.4 现场工艺试验</w:t>
      </w:r>
      <w:bookmarkEnd w:id="1031"/>
      <w:bookmarkEnd w:id="1032"/>
      <w:bookmarkEnd w:id="1033"/>
      <w:bookmarkEnd w:id="1034"/>
      <w:bookmarkEnd w:id="1035"/>
      <w:r>
        <w:rPr>
          <w:rFonts w:hint="eastAsia" w:ascii="宋体" w:hAnsi="宋体" w:eastAsia="宋体" w:cs="宋体"/>
          <w:color w:val="000000"/>
          <w:sz w:val="21"/>
          <w:szCs w:val="21"/>
          <w:highlight w:val="none"/>
        </w:rPr>
        <w:t xml:space="preserve"> </w:t>
      </w:r>
    </w:p>
    <w:p w14:paraId="648FD0D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现场工艺试验的有关约定：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bookmarkEnd w:id="1023"/>
    <w:bookmarkEnd w:id="1024"/>
    <w:bookmarkEnd w:id="1025"/>
    <w:bookmarkEnd w:id="1026"/>
    <w:bookmarkEnd w:id="1027"/>
    <w:bookmarkEnd w:id="1028"/>
    <w:bookmarkEnd w:id="1029"/>
    <w:bookmarkEnd w:id="1030"/>
    <w:p w14:paraId="1787DB16">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036" w:name="_Toc351203642"/>
      <w:r>
        <w:rPr>
          <w:rFonts w:hint="eastAsia" w:ascii="宋体" w:hAnsi="宋体" w:eastAsia="宋体" w:cs="宋体"/>
          <w:b w:val="0"/>
          <w:color w:val="000000"/>
          <w:sz w:val="21"/>
          <w:szCs w:val="21"/>
          <w:highlight w:val="none"/>
        </w:rPr>
        <w:t>1</w:t>
      </w:r>
      <w:bookmarkEnd w:id="997"/>
      <w:bookmarkEnd w:id="998"/>
      <w:bookmarkEnd w:id="999"/>
      <w:bookmarkEnd w:id="1000"/>
      <w:bookmarkEnd w:id="1001"/>
      <w:bookmarkEnd w:id="1002"/>
      <w:bookmarkEnd w:id="1003"/>
      <w:bookmarkEnd w:id="1004"/>
      <w:bookmarkEnd w:id="1005"/>
      <w:bookmarkEnd w:id="1006"/>
      <w:bookmarkEnd w:id="1007"/>
      <w:bookmarkEnd w:id="1008"/>
      <w:bookmarkStart w:id="1037" w:name="_Toc296891021"/>
      <w:bookmarkStart w:id="1038" w:name="_Toc297216199"/>
      <w:bookmarkStart w:id="1039" w:name="_Toc297120493"/>
      <w:bookmarkStart w:id="1040" w:name="_Toc296347192"/>
      <w:bookmarkStart w:id="1041" w:name="_Toc296503193"/>
      <w:bookmarkStart w:id="1042" w:name="_Toc296891233"/>
      <w:bookmarkStart w:id="1043" w:name="_Toc304295566"/>
      <w:bookmarkStart w:id="1044" w:name="_Toc300934989"/>
      <w:bookmarkStart w:id="1045" w:name="_Toc303539146"/>
      <w:bookmarkStart w:id="1046" w:name="_Toc297048379"/>
      <w:bookmarkStart w:id="1047" w:name="_Toc296944532"/>
      <w:bookmarkStart w:id="1048" w:name="_Toc292559398"/>
      <w:bookmarkStart w:id="1049" w:name="_Toc296346694"/>
      <w:bookmarkStart w:id="1050" w:name="_Toc297123540"/>
      <w:bookmarkStart w:id="1051" w:name="_Toc292559903"/>
      <w:bookmarkStart w:id="1052" w:name="_Toc312677499"/>
      <w:bookmarkStart w:id="1053" w:name="_Toc312678025"/>
      <w:bookmarkStart w:id="1054" w:name="_Toc267251440"/>
      <w:bookmarkStart w:id="1055" w:name="_Toc267251435"/>
      <w:bookmarkStart w:id="1056" w:name="_Toc267251437"/>
      <w:bookmarkStart w:id="1057" w:name="_Toc267251441"/>
      <w:bookmarkStart w:id="1058" w:name="_Toc267251439"/>
      <w:bookmarkStart w:id="1059" w:name="_Toc267251433"/>
      <w:bookmarkStart w:id="1060" w:name="_Toc267251442"/>
      <w:r>
        <w:rPr>
          <w:rFonts w:hint="eastAsia" w:ascii="宋体" w:hAnsi="宋体" w:eastAsia="宋体" w:cs="宋体"/>
          <w:b w:val="0"/>
          <w:color w:val="000000"/>
          <w:sz w:val="21"/>
          <w:szCs w:val="21"/>
          <w:highlight w:val="none"/>
        </w:rPr>
        <w:t>0. 变更</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bookmarkEnd w:id="1052"/>
    <w:bookmarkEnd w:id="1053"/>
    <w:p w14:paraId="19A1C8CC">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1061" w:name="_Toc292559904"/>
      <w:bookmarkStart w:id="1062" w:name="_Toc312677500"/>
      <w:bookmarkStart w:id="1063" w:name="_Toc296891022"/>
      <w:bookmarkStart w:id="1064" w:name="_Toc297120494"/>
      <w:bookmarkStart w:id="1065" w:name="_Toc292559399"/>
      <w:bookmarkStart w:id="1066" w:name="_Toc296891234"/>
      <w:bookmarkStart w:id="1067" w:name="_Toc304295567"/>
      <w:bookmarkStart w:id="1068" w:name="_Toc296346695"/>
      <w:bookmarkStart w:id="1069" w:name="_Toc297216200"/>
      <w:bookmarkStart w:id="1070" w:name="_Toc300934990"/>
      <w:bookmarkStart w:id="1071" w:name="_Toc303539147"/>
      <w:bookmarkStart w:id="1072" w:name="_Toc312678026"/>
      <w:bookmarkStart w:id="1073" w:name="_Toc297048380"/>
      <w:bookmarkStart w:id="1074" w:name="_Toc296944533"/>
      <w:bookmarkStart w:id="1075" w:name="_Toc296347193"/>
      <w:bookmarkStart w:id="1076" w:name="_Toc297123541"/>
      <w:bookmarkStart w:id="1077" w:name="_Toc296503194"/>
      <w:r>
        <w:rPr>
          <w:rFonts w:hint="eastAsia" w:ascii="宋体" w:hAnsi="宋体" w:eastAsia="宋体" w:cs="宋体"/>
          <w:color w:val="000000"/>
          <w:sz w:val="21"/>
          <w:szCs w:val="21"/>
          <w:highlight w:val="none"/>
        </w:rPr>
        <w:t>0.1变更的范围</w:t>
      </w:r>
    </w:p>
    <w:p w14:paraId="171F2C4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关于变更的范围的约定：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4A81BCDF">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078" w:name="_Toc9042"/>
      <w:bookmarkStart w:id="1079" w:name="_Toc20746"/>
      <w:bookmarkStart w:id="1080" w:name="_Toc16727"/>
      <w:bookmarkStart w:id="1081" w:name="_Toc3836"/>
      <w:bookmarkStart w:id="1082" w:name="_Toc23823"/>
      <w:r>
        <w:rPr>
          <w:rFonts w:hint="eastAsia" w:ascii="宋体" w:hAnsi="宋体" w:eastAsia="宋体" w:cs="宋体"/>
          <w:color w:val="000000"/>
          <w:sz w:val="21"/>
          <w:szCs w:val="21"/>
          <w:highlight w:val="none"/>
        </w:rPr>
        <w:t>10.4 变更估价</w:t>
      </w:r>
      <w:bookmarkEnd w:id="1078"/>
      <w:bookmarkEnd w:id="1079"/>
      <w:bookmarkEnd w:id="1080"/>
      <w:bookmarkEnd w:id="1081"/>
      <w:bookmarkEnd w:id="1082"/>
    </w:p>
    <w:p w14:paraId="39DB690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10.4.1 变更估价原则</w:t>
      </w:r>
    </w:p>
    <w:p w14:paraId="4ED0748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关于变更估价的约定: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51DDAFB5">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Start w:id="1083" w:name="_Toc297120497"/>
      <w:bookmarkStart w:id="1084" w:name="_Toc303539150"/>
      <w:bookmarkStart w:id="1085" w:name="_Toc296891025"/>
      <w:bookmarkStart w:id="1086" w:name="_Toc297123544"/>
      <w:bookmarkStart w:id="1087" w:name="_Toc296944536"/>
      <w:bookmarkStart w:id="1088" w:name="_Toc296891237"/>
      <w:bookmarkStart w:id="1089" w:name="_Toc297216203"/>
      <w:bookmarkStart w:id="1090" w:name="_Toc297048383"/>
      <w:bookmarkStart w:id="1091" w:name="_Toc296347196"/>
      <w:bookmarkStart w:id="1092" w:name="_Toc292559402"/>
      <w:bookmarkStart w:id="1093" w:name="_Toc292559907"/>
      <w:bookmarkStart w:id="1094" w:name="_Toc296346698"/>
      <w:bookmarkStart w:id="1095" w:name="_Toc300934993"/>
      <w:bookmarkStart w:id="1096" w:name="_Toc296503197"/>
      <w:bookmarkStart w:id="1097" w:name="_Toc304295570"/>
      <w:bookmarkStart w:id="1098" w:name="_Toc312677503"/>
      <w:bookmarkStart w:id="1099" w:name="_Toc312678029"/>
      <w:r>
        <w:rPr>
          <w:rFonts w:hint="eastAsia" w:ascii="宋体" w:hAnsi="宋体" w:eastAsia="宋体" w:cs="宋体"/>
          <w:color w:val="000000"/>
          <w:sz w:val="21"/>
          <w:szCs w:val="21"/>
          <w:highlight w:val="none"/>
        </w:rPr>
        <w:t>0.5承</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Start w:id="1100" w:name="_Toc296347202"/>
      <w:bookmarkStart w:id="1101" w:name="_Toc296944542"/>
      <w:bookmarkStart w:id="1102" w:name="_Toc296891031"/>
      <w:bookmarkStart w:id="1103" w:name="_Toc292559913"/>
      <w:bookmarkStart w:id="1104" w:name="_Toc297120503"/>
      <w:bookmarkStart w:id="1105" w:name="_Toc296891243"/>
      <w:bookmarkStart w:id="1106" w:name="_Toc303539151"/>
      <w:bookmarkStart w:id="1107" w:name="_Toc297216204"/>
      <w:bookmarkStart w:id="1108" w:name="_Toc296346704"/>
      <w:bookmarkStart w:id="1109" w:name="_Toc292559408"/>
      <w:bookmarkStart w:id="1110" w:name="_Toc297123545"/>
      <w:bookmarkStart w:id="1111" w:name="_Toc296503203"/>
      <w:bookmarkStart w:id="1112" w:name="_Toc297048389"/>
      <w:bookmarkStart w:id="1113" w:name="_Toc300934994"/>
      <w:r>
        <w:rPr>
          <w:rFonts w:hint="eastAsia" w:ascii="宋体" w:hAnsi="宋体" w:eastAsia="宋体" w:cs="宋体"/>
          <w:color w:val="000000"/>
          <w:sz w:val="21"/>
          <w:szCs w:val="21"/>
          <w:highlight w:val="none"/>
        </w:rPr>
        <w:t>包人的合理化建议</w:t>
      </w:r>
    </w:p>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14:paraId="5088B67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监理人审查承包人合理化建议的期限：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339374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发包人审批承包人合理化建议的期限：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300820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w:t>
      </w:r>
      <w:bookmarkStart w:id="1114" w:name="_Toc318581175"/>
      <w:bookmarkStart w:id="1115" w:name="_Toc297048390"/>
      <w:bookmarkStart w:id="1116" w:name="_Toc312678030"/>
      <w:bookmarkStart w:id="1117" w:name="_Toc297120504"/>
      <w:bookmarkStart w:id="1118" w:name="_Toc296346705"/>
      <w:bookmarkStart w:id="1119" w:name="_Toc296891244"/>
      <w:bookmarkStart w:id="1120" w:name="_Toc292559914"/>
      <w:bookmarkStart w:id="1121" w:name="_Toc296503204"/>
      <w:bookmarkStart w:id="1122" w:name="_Toc297216205"/>
      <w:bookmarkStart w:id="1123" w:name="_Toc297123546"/>
      <w:bookmarkStart w:id="1124" w:name="_Toc300934995"/>
      <w:bookmarkStart w:id="1125" w:name="_Toc304295571"/>
      <w:bookmarkStart w:id="1126" w:name="_Toc312677504"/>
      <w:bookmarkStart w:id="1127" w:name="_Toc296891032"/>
      <w:bookmarkStart w:id="1128" w:name="_Toc296944543"/>
      <w:bookmarkStart w:id="1129" w:name="_Toc292559409"/>
      <w:bookmarkStart w:id="1130" w:name="_Toc296347203"/>
      <w:bookmarkStart w:id="1131" w:name="_Toc303539152"/>
      <w:r>
        <w:rPr>
          <w:rFonts w:hint="eastAsia" w:ascii="宋体" w:hAnsi="宋体" w:eastAsia="宋体" w:cs="宋体"/>
          <w:sz w:val="21"/>
          <w:szCs w:val="21"/>
          <w:highlight w:val="none"/>
        </w:rPr>
        <w:t>包人提出的合理化建议降低了合同价格或者提高了工程经济效益的奖励的方法和金额为：</w:t>
      </w:r>
      <w:r>
        <w:rPr>
          <w:rFonts w:hint="eastAsia" w:ascii="宋体" w:hAnsi="宋体" w:eastAsia="宋体" w:cs="宋体"/>
          <w:sz w:val="21"/>
          <w:szCs w:val="21"/>
          <w:highlight w:val="none"/>
          <w:u w:val="single"/>
        </w:rPr>
        <w:t xml:space="preserve">                                </w:t>
      </w:r>
    </w:p>
    <w:p w14:paraId="22FEFD75">
      <w:pPr>
        <w:pageBreakBefore w:val="0"/>
        <w:widowControl w:val="0"/>
        <w:kinsoku/>
        <w:wordWrap/>
        <w:overflowPunct/>
        <w:topLinePunct w:val="0"/>
        <w:bidi w:val="0"/>
        <w:snapToGrid w:val="0"/>
        <w:spacing w:line="360" w:lineRule="auto"/>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14:paraId="75FE77CB">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132" w:name="_Toc21378"/>
      <w:bookmarkStart w:id="1133" w:name="_Toc24677"/>
      <w:bookmarkStart w:id="1134" w:name="_Toc19173"/>
      <w:bookmarkStart w:id="1135" w:name="_Toc14782"/>
      <w:bookmarkStart w:id="1136" w:name="_Toc905"/>
      <w:r>
        <w:rPr>
          <w:rFonts w:hint="eastAsia" w:ascii="宋体" w:hAnsi="宋体" w:eastAsia="宋体" w:cs="宋体"/>
          <w:color w:val="000000"/>
          <w:sz w:val="21"/>
          <w:szCs w:val="21"/>
          <w:highlight w:val="none"/>
        </w:rPr>
        <w:t>1</w:t>
      </w:r>
      <w:bookmarkStart w:id="1137" w:name="_Toc296503199"/>
      <w:bookmarkStart w:id="1138" w:name="_Toc296891239"/>
      <w:bookmarkStart w:id="1139" w:name="_Toc297123548"/>
      <w:bookmarkStart w:id="1140" w:name="_Toc300934997"/>
      <w:bookmarkStart w:id="1141" w:name="_Toc304295574"/>
      <w:bookmarkStart w:id="1142" w:name="_Toc296347198"/>
      <w:bookmarkStart w:id="1143" w:name="_Toc297216207"/>
      <w:bookmarkStart w:id="1144" w:name="_Toc296346700"/>
      <w:bookmarkStart w:id="1145" w:name="_Toc292559404"/>
      <w:bookmarkStart w:id="1146" w:name="_Toc312677507"/>
      <w:bookmarkStart w:id="1147" w:name="_Toc297120499"/>
      <w:bookmarkStart w:id="1148" w:name="_Toc303539154"/>
      <w:bookmarkStart w:id="1149" w:name="_Toc296944538"/>
      <w:bookmarkStart w:id="1150" w:name="_Toc292559909"/>
      <w:bookmarkStart w:id="1151" w:name="_Toc296891027"/>
      <w:bookmarkStart w:id="1152" w:name="_Toc312678033"/>
      <w:bookmarkStart w:id="1153" w:name="_Toc297048385"/>
      <w:r>
        <w:rPr>
          <w:rFonts w:hint="eastAsia" w:ascii="宋体" w:hAnsi="宋体" w:eastAsia="宋体" w:cs="宋体"/>
          <w:color w:val="000000"/>
          <w:sz w:val="21"/>
          <w:szCs w:val="21"/>
          <w:highlight w:val="none"/>
        </w:rPr>
        <w:t>0.7 暂估价</w:t>
      </w:r>
      <w:bookmarkEnd w:id="1132"/>
      <w:bookmarkEnd w:id="1133"/>
      <w:bookmarkEnd w:id="1134"/>
      <w:bookmarkEnd w:id="1135"/>
      <w:bookmarkEnd w:id="1136"/>
    </w:p>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14:paraId="5EE9A1D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暂</w:t>
      </w:r>
      <w:bookmarkStart w:id="1154" w:name="_Toc312677508"/>
      <w:bookmarkStart w:id="1155" w:name="_Toc318581176"/>
      <w:bookmarkStart w:id="1156" w:name="_Toc312678034"/>
      <w:r>
        <w:rPr>
          <w:rFonts w:hint="eastAsia" w:ascii="宋体" w:hAnsi="宋体" w:eastAsia="宋体" w:cs="宋体"/>
          <w:kern w:val="0"/>
          <w:sz w:val="21"/>
          <w:szCs w:val="21"/>
          <w:highlight w:val="none"/>
        </w:rPr>
        <w:t>估价材料和工程设备的明细详见附件11：《</w:t>
      </w:r>
      <w:r>
        <w:rPr>
          <w:rFonts w:hint="eastAsia" w:ascii="宋体" w:hAnsi="宋体" w:eastAsia="宋体" w:cs="宋体"/>
          <w:color w:val="000000"/>
          <w:sz w:val="21"/>
          <w:szCs w:val="21"/>
          <w:highlight w:val="none"/>
        </w:rPr>
        <w:t>暂估价一览表》</w:t>
      </w:r>
      <w:r>
        <w:rPr>
          <w:rFonts w:hint="eastAsia" w:ascii="宋体" w:hAnsi="宋体" w:eastAsia="宋体" w:cs="宋体"/>
          <w:kern w:val="0"/>
          <w:sz w:val="21"/>
          <w:szCs w:val="21"/>
          <w:highlight w:val="none"/>
        </w:rPr>
        <w:t>。</w:t>
      </w:r>
    </w:p>
    <w:bookmarkEnd w:id="1154"/>
    <w:bookmarkEnd w:id="1155"/>
    <w:bookmarkEnd w:id="1156"/>
    <w:p w14:paraId="1EB0DBF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1157" w:name="_Toc312678035"/>
      <w:bookmarkStart w:id="1158" w:name="_Toc318581177"/>
      <w:bookmarkStart w:id="1159" w:name="_Toc312677509"/>
      <w:r>
        <w:rPr>
          <w:rFonts w:hint="eastAsia" w:ascii="宋体" w:hAnsi="宋体" w:eastAsia="宋体" w:cs="宋体"/>
          <w:sz w:val="21"/>
          <w:szCs w:val="21"/>
          <w:highlight w:val="none"/>
        </w:rPr>
        <w:t>0.7.1 依法必须招标的暂估价项目</w:t>
      </w:r>
    </w:p>
    <w:bookmarkEnd w:id="1157"/>
    <w:bookmarkEnd w:id="1158"/>
    <w:bookmarkEnd w:id="1159"/>
    <w:p w14:paraId="7BF05DD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对于依法必须招标的暂估价项目的确认和批准采取第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种方式确定。</w:t>
      </w:r>
    </w:p>
    <w:p w14:paraId="1C9BE36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10.7.2 不属于依法必须招标的暂估价项目</w:t>
      </w:r>
    </w:p>
    <w:p w14:paraId="5DC5400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对于不属于依法必须招标的暂估价项目的确认和批准采取第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种方式确定。</w:t>
      </w:r>
    </w:p>
    <w:p w14:paraId="1C7E8F4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第3种方式：</w:t>
      </w:r>
      <w:r>
        <w:rPr>
          <w:rFonts w:hint="eastAsia" w:ascii="宋体" w:hAnsi="宋体" w:eastAsia="宋体" w:cs="宋体"/>
          <w:color w:val="000000"/>
          <w:kern w:val="0"/>
          <w:sz w:val="21"/>
          <w:szCs w:val="21"/>
          <w:highlight w:val="none"/>
        </w:rPr>
        <w:t>承包人直接实施的暂估价项目</w:t>
      </w:r>
    </w:p>
    <w:p w14:paraId="72D1977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承包人直接实施的暂估价项目的约定：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A08BC8B">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10.8 暂列金额</w:t>
      </w:r>
    </w:p>
    <w:p w14:paraId="67B4A641">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合同当事人关于暂列金额使用的约定：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p>
    <w:p w14:paraId="2A07DBFB">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160" w:name="_Toc351203643"/>
      <w:r>
        <w:rPr>
          <w:rFonts w:hint="eastAsia" w:ascii="宋体" w:hAnsi="宋体" w:eastAsia="宋体" w:cs="宋体"/>
          <w:b w:val="0"/>
          <w:color w:val="000000"/>
          <w:sz w:val="21"/>
          <w:szCs w:val="21"/>
          <w:highlight w:val="none"/>
        </w:rPr>
        <w:t>11. 价格调整</w:t>
      </w:r>
      <w:bookmarkEnd w:id="1160"/>
    </w:p>
    <w:p w14:paraId="66399634">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bookmarkStart w:id="1161" w:name="_Toc292559911"/>
      <w:bookmarkStart w:id="1162" w:name="_Toc296891241"/>
      <w:bookmarkStart w:id="1163" w:name="_Toc303539157"/>
      <w:bookmarkStart w:id="1164" w:name="_Toc296346702"/>
      <w:bookmarkStart w:id="1165" w:name="_Toc297123550"/>
      <w:bookmarkStart w:id="1166" w:name="_Toc296347200"/>
      <w:bookmarkStart w:id="1167" w:name="_Toc297216209"/>
      <w:bookmarkStart w:id="1168" w:name="_Toc297120501"/>
      <w:bookmarkStart w:id="1169" w:name="_Toc312678039"/>
      <w:bookmarkStart w:id="1170" w:name="_Toc296891029"/>
      <w:bookmarkStart w:id="1171" w:name="_Toc296503201"/>
      <w:bookmarkStart w:id="1172" w:name="_Toc296944540"/>
      <w:bookmarkStart w:id="1173" w:name="_Toc304295577"/>
      <w:bookmarkStart w:id="1174" w:name="_Toc292559406"/>
      <w:bookmarkStart w:id="1175" w:name="_Toc297048387"/>
      <w:bookmarkStart w:id="1176" w:name="_Toc300935000"/>
      <w:r>
        <w:rPr>
          <w:rFonts w:hint="eastAsia" w:ascii="宋体" w:hAnsi="宋体" w:eastAsia="宋体" w:cs="宋体"/>
          <w:color w:val="000000"/>
          <w:sz w:val="21"/>
          <w:szCs w:val="21"/>
          <w:highlight w:val="none"/>
        </w:rPr>
        <w:t>11.1 市场价格波动引起的调整</w:t>
      </w:r>
    </w:p>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14:paraId="4291A5A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市场价格波动是否调整合同价格的约定：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1B99AF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因市场价格波动调整合同价格，采用以下</w:t>
      </w: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种方式对合同价格进行调整：</w:t>
      </w:r>
    </w:p>
    <w:p w14:paraId="39B455F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第1种方式：采用价格指数进行价格调整。</w:t>
      </w:r>
    </w:p>
    <w:p w14:paraId="2BC1646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关于各可调因子、定值和变值权重，以及基本价格指数及其来源的约定：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5CE7527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第2种方式：采用造价信息进行价格调整。</w:t>
      </w:r>
    </w:p>
    <w:p w14:paraId="0F3ED89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（2）关于基准价格的约定：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6BCCC8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%时，或材料单价跌幅以已标价工程量清单或预算书中载明材料单价为基础超过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%时，其超过部分据实调整。</w:t>
      </w:r>
    </w:p>
    <w:p w14:paraId="32DE0BE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%时，材料单价涨幅以已标价工程量清单或预算书中载明材料单价为基础超过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%时，其超过部分据实调整。</w:t>
      </w:r>
    </w:p>
    <w:p w14:paraId="76E1C4E2">
      <w:pPr>
        <w:pageBreakBefore w:val="0"/>
        <w:widowControl w:val="0"/>
        <w:kinsoku/>
        <w:wordWrap/>
        <w:overflowPunct/>
        <w:topLinePunct w:val="0"/>
        <w:bidi w:val="0"/>
        <w:snapToGrid w:val="0"/>
        <w:spacing w:line="360" w:lineRule="auto"/>
        <w:ind w:firstLine="64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%时，其超过部分据实调整。</w:t>
      </w:r>
    </w:p>
    <w:p w14:paraId="0D7FB44F">
      <w:pPr>
        <w:pageBreakBefore w:val="0"/>
        <w:widowControl w:val="0"/>
        <w:kinsoku/>
        <w:wordWrap/>
        <w:overflowPunct/>
        <w:topLinePunct w:val="0"/>
        <w:bidi w:val="0"/>
        <w:snapToGrid w:val="0"/>
        <w:spacing w:line="360" w:lineRule="auto"/>
        <w:ind w:firstLine="630" w:firstLineChars="3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第3种方式：其他价格调整方式：</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bookmarkEnd w:id="1054"/>
    <w:bookmarkEnd w:id="1055"/>
    <w:bookmarkEnd w:id="1056"/>
    <w:bookmarkEnd w:id="1057"/>
    <w:bookmarkEnd w:id="1058"/>
    <w:bookmarkEnd w:id="1059"/>
    <w:p w14:paraId="72A85359">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177" w:name="_Toc292559410"/>
      <w:bookmarkStart w:id="1178" w:name="_Toc292559915"/>
      <w:bookmarkStart w:id="1179" w:name="_Toc296891245"/>
      <w:bookmarkStart w:id="1180" w:name="_Toc297048391"/>
      <w:bookmarkStart w:id="1181" w:name="_Toc296891033"/>
      <w:bookmarkStart w:id="1182" w:name="_Toc297120505"/>
      <w:bookmarkStart w:id="1183" w:name="_Toc296503205"/>
      <w:bookmarkStart w:id="1184" w:name="_Toc296347204"/>
      <w:bookmarkStart w:id="1185" w:name="_Toc296346706"/>
      <w:bookmarkStart w:id="1186" w:name="_Toc296944544"/>
      <w:bookmarkStart w:id="1187" w:name="_Toc351203644"/>
      <w:bookmarkStart w:id="1188" w:name="_Toc297216211"/>
      <w:bookmarkStart w:id="1189" w:name="_Toc297123552"/>
      <w:bookmarkStart w:id="1190" w:name="_Toc303539159"/>
      <w:bookmarkStart w:id="1191" w:name="_Toc304295579"/>
      <w:bookmarkStart w:id="1192" w:name="_Toc300935002"/>
      <w:bookmarkStart w:id="1193" w:name="_Toc312678040"/>
      <w:r>
        <w:rPr>
          <w:rFonts w:hint="eastAsia" w:ascii="宋体" w:hAnsi="宋体" w:eastAsia="宋体" w:cs="宋体"/>
          <w:b w:val="0"/>
          <w:color w:val="000000"/>
          <w:sz w:val="21"/>
          <w:szCs w:val="21"/>
          <w:highlight w:val="none"/>
        </w:rPr>
        <w:t xml:space="preserve">12. </w:t>
      </w:r>
      <w:bookmarkEnd w:id="1177"/>
      <w:bookmarkEnd w:id="1178"/>
      <w:bookmarkEnd w:id="1179"/>
      <w:bookmarkEnd w:id="1180"/>
      <w:bookmarkEnd w:id="1181"/>
      <w:bookmarkEnd w:id="1182"/>
      <w:bookmarkEnd w:id="1183"/>
      <w:bookmarkEnd w:id="1184"/>
      <w:bookmarkEnd w:id="1185"/>
      <w:bookmarkEnd w:id="1186"/>
      <w:r>
        <w:rPr>
          <w:rFonts w:hint="eastAsia" w:ascii="宋体" w:hAnsi="宋体" w:eastAsia="宋体" w:cs="宋体"/>
          <w:b w:val="0"/>
          <w:color w:val="000000"/>
          <w:sz w:val="21"/>
          <w:szCs w:val="21"/>
          <w:highlight w:val="none"/>
        </w:rPr>
        <w:t>合同价格、计量与支付</w:t>
      </w:r>
      <w:bookmarkEnd w:id="1187"/>
    </w:p>
    <w:bookmarkEnd w:id="1188"/>
    <w:bookmarkEnd w:id="1189"/>
    <w:bookmarkEnd w:id="1190"/>
    <w:bookmarkEnd w:id="1191"/>
    <w:bookmarkEnd w:id="1192"/>
    <w:bookmarkEnd w:id="1193"/>
    <w:p w14:paraId="40A14FB5">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bookmarkStart w:id="1194" w:name="_Toc292559411"/>
      <w:bookmarkStart w:id="1195" w:name="_Toc292559916"/>
      <w:bookmarkStart w:id="1196" w:name="_Toc267251461"/>
      <w:bookmarkStart w:id="1197" w:name="_Toc296347205"/>
      <w:bookmarkStart w:id="1198" w:name="_Toc296944545"/>
      <w:bookmarkStart w:id="1199" w:name="_Toc296891034"/>
      <w:bookmarkStart w:id="1200" w:name="_Toc296346707"/>
      <w:bookmarkStart w:id="1201" w:name="_Toc297048392"/>
      <w:bookmarkStart w:id="1202" w:name="_Toc296503206"/>
      <w:bookmarkStart w:id="1203" w:name="_Toc297120506"/>
      <w:bookmarkStart w:id="1204" w:name="_Toc296891246"/>
      <w:bookmarkStart w:id="1205" w:name="_Toc303539160"/>
      <w:bookmarkStart w:id="1206" w:name="_Toc304295580"/>
      <w:bookmarkStart w:id="1207" w:name="_Toc312678041"/>
      <w:bookmarkStart w:id="1208" w:name="_Toc300935003"/>
      <w:bookmarkStart w:id="1209" w:name="_Toc297123553"/>
      <w:bookmarkStart w:id="1210" w:name="_Toc297216212"/>
      <w:r>
        <w:rPr>
          <w:rFonts w:hint="eastAsia" w:ascii="宋体" w:hAnsi="宋体" w:eastAsia="宋体" w:cs="宋体"/>
          <w:color w:val="000000"/>
          <w:sz w:val="21"/>
          <w:szCs w:val="21"/>
          <w:highlight w:val="none"/>
        </w:rPr>
        <w:t>12.1 合</w:t>
      </w:r>
      <w:bookmarkEnd w:id="1194"/>
      <w:bookmarkEnd w:id="1195"/>
      <w:bookmarkEnd w:id="1196"/>
      <w:r>
        <w:rPr>
          <w:rFonts w:hint="eastAsia" w:ascii="宋体" w:hAnsi="宋体" w:eastAsia="宋体" w:cs="宋体"/>
          <w:color w:val="000000"/>
          <w:sz w:val="21"/>
          <w:szCs w:val="21"/>
          <w:highlight w:val="none"/>
        </w:rPr>
        <w:t>同价</w:t>
      </w:r>
      <w:bookmarkEnd w:id="1197"/>
      <w:bookmarkEnd w:id="1198"/>
      <w:bookmarkEnd w:id="1199"/>
      <w:bookmarkEnd w:id="1200"/>
      <w:bookmarkEnd w:id="1201"/>
      <w:bookmarkEnd w:id="1202"/>
      <w:bookmarkEnd w:id="1203"/>
      <w:bookmarkEnd w:id="1204"/>
      <w:r>
        <w:rPr>
          <w:rFonts w:hint="eastAsia" w:ascii="宋体" w:hAnsi="宋体" w:eastAsia="宋体" w:cs="宋体"/>
          <w:color w:val="000000"/>
          <w:sz w:val="21"/>
          <w:szCs w:val="21"/>
          <w:highlight w:val="none"/>
        </w:rPr>
        <w:t>格形式</w:t>
      </w:r>
    </w:p>
    <w:bookmarkEnd w:id="1205"/>
    <w:bookmarkEnd w:id="1206"/>
    <w:bookmarkEnd w:id="1207"/>
    <w:bookmarkEnd w:id="1208"/>
    <w:bookmarkEnd w:id="1209"/>
    <w:bookmarkEnd w:id="1210"/>
    <w:p w14:paraId="69E66CA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w:t>
      </w:r>
    </w:p>
    <w:p w14:paraId="0D85B6A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综合单价包含的风险范围：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6803874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风险费用的计算方法：</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13B91E2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5A09C82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w:t>
      </w:r>
    </w:p>
    <w:p w14:paraId="1EFD329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总价包含的风险范围：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485C878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风险费用的计算方法：</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5048BE8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38DD6C7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3、其他价格方式：</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73FEACD2">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bookmarkStart w:id="1211" w:name="_Toc312678042"/>
      <w:bookmarkStart w:id="1212" w:name="_Toc304295581"/>
      <w:bookmarkStart w:id="1213" w:name="_Toc303539161"/>
      <w:bookmarkStart w:id="1214" w:name="_Toc297123554"/>
      <w:bookmarkStart w:id="1215" w:name="_Toc297216213"/>
      <w:bookmarkStart w:id="1216" w:name="_Toc300935004"/>
      <w:bookmarkStart w:id="1217" w:name="_Toc296503207"/>
      <w:bookmarkStart w:id="1218" w:name="_Toc297048393"/>
      <w:bookmarkStart w:id="1219" w:name="_Toc297120507"/>
      <w:bookmarkStart w:id="1220" w:name="_Toc296346708"/>
      <w:bookmarkStart w:id="1221" w:name="_Toc292559917"/>
      <w:bookmarkStart w:id="1222" w:name="_Toc296891035"/>
      <w:bookmarkStart w:id="1223" w:name="_Toc292559412"/>
      <w:bookmarkStart w:id="1224" w:name="_Toc296944546"/>
      <w:bookmarkStart w:id="1225" w:name="_Toc296891247"/>
      <w:bookmarkStart w:id="1226" w:name="_Toc296347206"/>
      <w:r>
        <w:rPr>
          <w:rFonts w:hint="eastAsia" w:ascii="宋体" w:hAnsi="宋体" w:eastAsia="宋体" w:cs="宋体"/>
          <w:color w:val="000000"/>
          <w:sz w:val="21"/>
          <w:szCs w:val="21"/>
          <w:highlight w:val="none"/>
        </w:rPr>
        <w:t>12.2 预付款</w:t>
      </w:r>
    </w:p>
    <w:bookmarkEnd w:id="1211"/>
    <w:bookmarkEnd w:id="1212"/>
    <w:bookmarkEnd w:id="1213"/>
    <w:bookmarkEnd w:id="1214"/>
    <w:bookmarkEnd w:id="1215"/>
    <w:bookmarkEnd w:id="1216"/>
    <w:p w14:paraId="5FF5352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01CBEE4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30EB3B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E6988F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预付款扣回的方式：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B92067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502E176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25E491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1217"/>
    <w:bookmarkEnd w:id="1218"/>
    <w:bookmarkEnd w:id="1219"/>
    <w:bookmarkEnd w:id="1220"/>
    <w:bookmarkEnd w:id="1221"/>
    <w:bookmarkEnd w:id="1222"/>
    <w:bookmarkEnd w:id="1223"/>
    <w:bookmarkEnd w:id="1224"/>
    <w:bookmarkEnd w:id="1225"/>
    <w:bookmarkEnd w:id="1226"/>
    <w:p w14:paraId="61760299">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 计量</w:t>
      </w:r>
    </w:p>
    <w:p w14:paraId="1393763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12.3.1 计量原则</w:t>
      </w:r>
    </w:p>
    <w:p w14:paraId="7C91B93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工程量计算规则：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D83BA7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12.3.2 计量周期</w:t>
      </w:r>
    </w:p>
    <w:p w14:paraId="0ED9183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关于计量周期的约定：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E68939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12.3.3 单价合同的计量</w:t>
      </w:r>
    </w:p>
    <w:p w14:paraId="14F4BD5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关于单价合同计量的约定：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07FDAE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12.3.4 总价合同的计量</w:t>
      </w:r>
    </w:p>
    <w:p w14:paraId="701BE9B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关于总价合同计量的约定：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2AEDD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12.3.5总价合同采用支付分解表计量支付的，是否适用第</w:t>
      </w:r>
      <w:r>
        <w:rPr>
          <w:rFonts w:hint="eastAsia" w:ascii="宋体" w:hAnsi="宋体" w:eastAsia="宋体" w:cs="宋体"/>
          <w:color w:val="000000"/>
          <w:kern w:val="0"/>
          <w:sz w:val="21"/>
          <w:szCs w:val="21"/>
          <w:highlight w:val="none"/>
        </w:rPr>
        <w:t xml:space="preserve">12.3.4 </w:t>
      </w:r>
      <w:r>
        <w:rPr>
          <w:rFonts w:hint="eastAsia" w:ascii="宋体" w:hAnsi="宋体" w:eastAsia="宋体" w:cs="宋体"/>
          <w:color w:val="000000"/>
          <w:sz w:val="21"/>
          <w:szCs w:val="21"/>
          <w:highlight w:val="none"/>
        </w:rPr>
        <w:t>项</w:t>
      </w:r>
      <w:r>
        <w:rPr>
          <w:rFonts w:hint="eastAsia" w:ascii="宋体" w:hAnsi="宋体" w:eastAsia="宋体" w:cs="宋体"/>
          <w:color w:val="000000"/>
          <w:kern w:val="0"/>
          <w:sz w:val="21"/>
          <w:szCs w:val="21"/>
          <w:highlight w:val="none"/>
        </w:rPr>
        <w:t>〔总价合同的计量〕</w:t>
      </w:r>
      <w:r>
        <w:rPr>
          <w:rFonts w:hint="eastAsia" w:ascii="宋体" w:hAnsi="宋体" w:eastAsia="宋体" w:cs="宋体"/>
          <w:color w:val="000000"/>
          <w:sz w:val="21"/>
          <w:szCs w:val="21"/>
          <w:highlight w:val="none"/>
        </w:rPr>
        <w:t>约定进行计量：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72CD54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12.3.6 其他价格形式合同的计量</w:t>
      </w:r>
    </w:p>
    <w:p w14:paraId="2C211A1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其他价格形式的计量方式和程序：</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194B18AD">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 工程进度款支付</w:t>
      </w:r>
    </w:p>
    <w:p w14:paraId="4F56306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bookmarkStart w:id="1227" w:name="_Toc303539163"/>
      <w:bookmarkStart w:id="1228" w:name="_Toc296891251"/>
      <w:bookmarkStart w:id="1229" w:name="_Toc297123556"/>
      <w:bookmarkStart w:id="1230" w:name="_Toc300935006"/>
      <w:bookmarkStart w:id="1231" w:name="_Toc296347210"/>
      <w:bookmarkStart w:id="1232" w:name="_Toc296346712"/>
      <w:bookmarkStart w:id="1233" w:name="_Toc297216215"/>
      <w:bookmarkStart w:id="1234" w:name="_Toc292559921"/>
      <w:bookmarkStart w:id="1235" w:name="_Toc292559416"/>
      <w:bookmarkStart w:id="1236" w:name="_Toc297048397"/>
      <w:bookmarkStart w:id="1237" w:name="_Toc297120511"/>
      <w:bookmarkStart w:id="1238" w:name="_Toc296503211"/>
      <w:bookmarkStart w:id="1239" w:name="_Toc296891039"/>
      <w:bookmarkStart w:id="1240" w:name="_Toc296944550"/>
      <w:r>
        <w:rPr>
          <w:rFonts w:hint="eastAsia" w:ascii="宋体" w:hAnsi="宋体" w:eastAsia="宋体" w:cs="宋体"/>
          <w:color w:val="000000"/>
          <w:sz w:val="21"/>
          <w:szCs w:val="21"/>
          <w:highlight w:val="none"/>
        </w:rPr>
        <w:t>12.4.1 付款周期</w:t>
      </w:r>
    </w:p>
    <w:p w14:paraId="7D4CEC7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关于付款周期的约定：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A1A5B9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12.4.2 进度付款申请单的编制</w:t>
      </w:r>
    </w:p>
    <w:p w14:paraId="30EC143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关于进度付款申请单编制的约定：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00CB797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Pr>
          <w:rFonts w:hint="eastAsia" w:ascii="宋体" w:hAnsi="宋体" w:eastAsia="宋体" w:cs="宋体"/>
          <w:color w:val="000000"/>
          <w:sz w:val="21"/>
          <w:szCs w:val="21"/>
          <w:highlight w:val="none"/>
        </w:rPr>
        <w:t>2.4.3 进度付款申请单的提交</w:t>
      </w:r>
    </w:p>
    <w:p w14:paraId="1EAE782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（1）单价合同进度付款申请单提交的约定：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4069DE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（2）总价合同进度付款申请单提交的约定：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CB74DD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（3）其他价格形式合同进度付款申请单提交的约定：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09611A9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12.4.4 进度款审核和支付</w:t>
      </w:r>
    </w:p>
    <w:p w14:paraId="70D1566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（1）监理人审查并报送发包人的期限：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7E29B2C">
      <w:pPr>
        <w:pageBreakBefore w:val="0"/>
        <w:widowControl w:val="0"/>
        <w:kinsoku/>
        <w:wordWrap/>
        <w:overflowPunct/>
        <w:topLinePunct w:val="0"/>
        <w:bidi w:val="0"/>
        <w:snapToGrid w:val="0"/>
        <w:spacing w:line="360" w:lineRule="auto"/>
        <w:ind w:firstLine="630" w:firstLineChars="3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发包人完成审批并签发进度款支付证书的期限：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492FDDF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（2）发包人支付进度款的期限：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AC07B4">
      <w:pPr>
        <w:pageBreakBefore w:val="0"/>
        <w:widowControl w:val="0"/>
        <w:kinsoku/>
        <w:wordWrap/>
        <w:overflowPunct/>
        <w:topLinePunct w:val="0"/>
        <w:bidi w:val="0"/>
        <w:snapToGrid w:val="0"/>
        <w:spacing w:line="360" w:lineRule="auto"/>
        <w:ind w:firstLine="630" w:firstLineChars="3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发包人逾期支付进度款的违约金的计算方式：</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0C2B99AB">
      <w:pPr>
        <w:pageBreakBefore w:val="0"/>
        <w:widowControl w:val="0"/>
        <w:kinsoku/>
        <w:wordWrap/>
        <w:overflowPunct/>
        <w:topLinePunct w:val="0"/>
        <w:bidi w:val="0"/>
        <w:snapToGrid w:val="0"/>
        <w:spacing w:line="360" w:lineRule="auto"/>
        <w:ind w:firstLine="525" w:firstLineChars="2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12.4.6 支付分解表的编制</w:t>
      </w:r>
    </w:p>
    <w:p w14:paraId="2D6CDD9B">
      <w:pPr>
        <w:pageBreakBefore w:val="0"/>
        <w:widowControl w:val="0"/>
        <w:kinsoku/>
        <w:wordWrap/>
        <w:overflowPunct/>
        <w:topLinePunct w:val="0"/>
        <w:bidi w:val="0"/>
        <w:snapToGrid w:val="0"/>
        <w:spacing w:line="360" w:lineRule="auto"/>
        <w:ind w:left="4200" w:leftChars="200" w:hanging="3780" w:hangingChars="18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2、总价合同支付分解表的编制与审批：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789C976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3、单价合同的总价项目支付分解表的编制与审批：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bookmarkEnd w:id="1060"/>
    <w:p w14:paraId="251F86C3">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241" w:name="_Toc351203645"/>
      <w:bookmarkStart w:id="1242" w:name="_Toc296891047"/>
      <w:bookmarkStart w:id="1243" w:name="_Toc304295593"/>
      <w:bookmarkStart w:id="1244" w:name="_Toc296503219"/>
      <w:bookmarkStart w:id="1245" w:name="_Toc292559929"/>
      <w:bookmarkStart w:id="1246" w:name="_Toc296891259"/>
      <w:bookmarkStart w:id="1247" w:name="_Toc303539172"/>
      <w:bookmarkStart w:id="1248" w:name="_Toc300935015"/>
      <w:bookmarkStart w:id="1249" w:name="_Toc296347218"/>
      <w:bookmarkStart w:id="1250" w:name="_Toc297120519"/>
      <w:bookmarkStart w:id="1251" w:name="_Toc297048405"/>
      <w:bookmarkStart w:id="1252" w:name="_Toc292559424"/>
      <w:bookmarkStart w:id="1253" w:name="_Toc297123564"/>
      <w:bookmarkStart w:id="1254" w:name="_Toc296346720"/>
      <w:bookmarkStart w:id="1255" w:name="_Toc297216223"/>
      <w:bookmarkStart w:id="1256" w:name="_Toc312678053"/>
      <w:bookmarkStart w:id="1257" w:name="_Toc296944558"/>
      <w:r>
        <w:rPr>
          <w:rFonts w:hint="eastAsia" w:ascii="宋体" w:hAnsi="宋体" w:eastAsia="宋体" w:cs="宋体"/>
          <w:b w:val="0"/>
          <w:color w:val="000000"/>
          <w:sz w:val="21"/>
          <w:szCs w:val="21"/>
          <w:highlight w:val="none"/>
        </w:rPr>
        <w:t>13. 验收和工程试车</w:t>
      </w:r>
      <w:bookmarkEnd w:id="1241"/>
    </w:p>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14:paraId="53CB963C">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 分部分项工程验收</w:t>
      </w:r>
    </w:p>
    <w:p w14:paraId="6617A89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13.1.2监理人不能按时进行验收时，应提前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小时提交书面延期要求。</w:t>
      </w:r>
    </w:p>
    <w:p w14:paraId="0B09D9F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小时。</w:t>
      </w:r>
    </w:p>
    <w:p w14:paraId="05C0E2BD">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bookmarkStart w:id="1258" w:name="_Toc297120523"/>
      <w:bookmarkStart w:id="1259" w:name="_Toc296944562"/>
      <w:bookmarkStart w:id="1260" w:name="_Toc297216224"/>
      <w:bookmarkStart w:id="1261" w:name="_Toc292559428"/>
      <w:bookmarkStart w:id="1262" w:name="_Toc297123565"/>
      <w:bookmarkStart w:id="1263" w:name="_Toc296891263"/>
      <w:bookmarkStart w:id="1264" w:name="_Toc297048409"/>
      <w:bookmarkStart w:id="1265" w:name="_Toc296347222"/>
      <w:bookmarkStart w:id="1266" w:name="_Toc296891051"/>
      <w:bookmarkStart w:id="1267" w:name="_Toc296346724"/>
      <w:bookmarkStart w:id="1268" w:name="_Toc312678056"/>
      <w:bookmarkStart w:id="1269" w:name="_Toc292559933"/>
      <w:bookmarkStart w:id="1270" w:name="_Toc296503223"/>
      <w:bookmarkStart w:id="1271" w:name="_Toc300935016"/>
      <w:bookmarkStart w:id="1272" w:name="_Toc303539173"/>
      <w:bookmarkStart w:id="1273" w:name="_Toc304295596"/>
      <w:bookmarkStart w:id="1274" w:name="_Toc267251474"/>
      <w:bookmarkStart w:id="1275" w:name="_Toc267251475"/>
      <w:bookmarkStart w:id="1276" w:name="_Toc267251471"/>
      <w:bookmarkStart w:id="1277" w:name="_Toc267251472"/>
      <w:bookmarkStart w:id="1278" w:name="_Toc267251470"/>
      <w:bookmarkStart w:id="1279" w:name="_Toc267251476"/>
      <w:bookmarkStart w:id="1280" w:name="_Toc267251473"/>
      <w:r>
        <w:rPr>
          <w:rFonts w:hint="eastAsia" w:ascii="宋体" w:hAnsi="宋体" w:eastAsia="宋体" w:cs="宋体"/>
          <w:color w:val="000000"/>
          <w:sz w:val="21"/>
          <w:szCs w:val="21"/>
          <w:highlight w:val="none"/>
        </w:rPr>
        <w:t>13.2 竣工验收</w:t>
      </w:r>
    </w:p>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14:paraId="34D73C4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bookmarkStart w:id="1281" w:name="_Toc280868704"/>
      <w:bookmarkStart w:id="1282" w:name="_Toc280868705"/>
      <w:bookmarkStart w:id="1283" w:name="_Toc280868706"/>
      <w:bookmarkStart w:id="1284" w:name="_Toc280868707"/>
      <w:bookmarkStart w:id="1285" w:name="_Toc280868708"/>
      <w:bookmarkStart w:id="1286" w:name="_Toc280868709"/>
      <w:r>
        <w:rPr>
          <w:rFonts w:hint="eastAsia" w:ascii="宋体" w:hAnsi="宋体" w:eastAsia="宋体" w:cs="宋体"/>
          <w:color w:val="000000"/>
          <w:sz w:val="21"/>
          <w:szCs w:val="21"/>
          <w:highlight w:val="none"/>
        </w:rPr>
        <w:t>13.2.2竣工验收程序</w:t>
      </w:r>
    </w:p>
    <w:bookmarkEnd w:id="1281"/>
    <w:p w14:paraId="6557B607">
      <w:pPr>
        <w:pageBreakBefore w:val="0"/>
        <w:widowControl w:val="0"/>
        <w:kinsoku/>
        <w:wordWrap/>
        <w:overflowPunct/>
        <w:topLinePunct w:val="0"/>
        <w:bidi w:val="0"/>
        <w:snapToGrid w:val="0"/>
        <w:spacing w:line="360" w:lineRule="auto"/>
        <w:ind w:left="4200" w:leftChars="200" w:hanging="3780" w:hangingChars="18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关于竣工验收程序的约定：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40C3147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发包人不按照本项约定组织竣工验收、颁发工程接收证书的违约金的计算方法：</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bookmarkEnd w:id="1282"/>
    <w:p w14:paraId="08D9425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13.2.5移交、接收全部与部分工程</w:t>
      </w:r>
    </w:p>
    <w:bookmarkEnd w:id="1283"/>
    <w:p w14:paraId="5C701DA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承包人向发包人移交工程的期限：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479553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发包人未按本合同约定接收全部或部分工程的，违约金的计算方法为：</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1284"/>
    <w:p w14:paraId="29D578A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承包人未按时移交工程的，违约金的计算方法为：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53BAB7FB">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 工程试车</w:t>
      </w:r>
    </w:p>
    <w:bookmarkEnd w:id="1285"/>
    <w:p w14:paraId="0D5987A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13.3.1 试车程序</w:t>
      </w:r>
    </w:p>
    <w:p w14:paraId="34A3793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工程试车内容：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184F2D6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（1）单机无负荷试车费用由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承担；</w:t>
      </w:r>
    </w:p>
    <w:p w14:paraId="53BB394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（2）无负荷联动试车费用由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承担。</w:t>
      </w:r>
    </w:p>
    <w:p w14:paraId="5AA5169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13.3.3 投料试车</w:t>
      </w:r>
    </w:p>
    <w:p w14:paraId="63A8A21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关于投料试车相关事项的约定：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01FAC588">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287" w:name="_Toc22520"/>
      <w:bookmarkStart w:id="1288" w:name="_Toc29196"/>
      <w:bookmarkStart w:id="1289" w:name="_Toc11017"/>
      <w:bookmarkStart w:id="1290" w:name="_Toc30040"/>
      <w:bookmarkStart w:id="1291" w:name="_Toc15429"/>
      <w:r>
        <w:rPr>
          <w:rFonts w:hint="eastAsia" w:ascii="宋体" w:hAnsi="宋体" w:eastAsia="宋体" w:cs="宋体"/>
          <w:color w:val="000000"/>
          <w:sz w:val="21"/>
          <w:szCs w:val="21"/>
          <w:highlight w:val="none"/>
        </w:rPr>
        <w:t>13.6 竣工退场</w:t>
      </w:r>
      <w:bookmarkEnd w:id="1287"/>
      <w:bookmarkEnd w:id="1288"/>
      <w:bookmarkEnd w:id="1289"/>
      <w:bookmarkEnd w:id="1290"/>
      <w:bookmarkEnd w:id="1291"/>
    </w:p>
    <w:p w14:paraId="20A2FB5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13.6.1 竣工退场</w:t>
      </w:r>
    </w:p>
    <w:p w14:paraId="4776E99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承包人完成竣工退场的期限：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577945EF">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292" w:name="_Toc351203646"/>
      <w:r>
        <w:rPr>
          <w:rFonts w:hint="eastAsia" w:ascii="宋体" w:hAnsi="宋体" w:eastAsia="宋体" w:cs="宋体"/>
          <w:b w:val="0"/>
          <w:color w:val="000000"/>
          <w:sz w:val="21"/>
          <w:szCs w:val="21"/>
          <w:highlight w:val="none"/>
        </w:rPr>
        <w:t>14. 竣工结算</w:t>
      </w:r>
      <w:bookmarkEnd w:id="1292"/>
    </w:p>
    <w:p w14:paraId="351E2D79">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竣工结算申请</w:t>
      </w:r>
    </w:p>
    <w:p w14:paraId="6DA1A26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承包人提交竣工结算申请单的期限：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2A398E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竣工结算申请单应包括的内容：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01EA9126">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293" w:name="_Toc32439"/>
      <w:bookmarkStart w:id="1294" w:name="_Toc13276"/>
      <w:bookmarkStart w:id="1295" w:name="_Toc13289"/>
      <w:bookmarkStart w:id="1296" w:name="_Toc31705"/>
      <w:bookmarkStart w:id="1297" w:name="_Toc23614"/>
      <w:r>
        <w:rPr>
          <w:rFonts w:hint="eastAsia" w:ascii="宋体" w:hAnsi="宋体" w:eastAsia="宋体" w:cs="宋体"/>
          <w:color w:val="000000"/>
          <w:sz w:val="21"/>
          <w:szCs w:val="21"/>
          <w:highlight w:val="none"/>
        </w:rPr>
        <w:t>14.2 竣工结算审核</w:t>
      </w:r>
      <w:bookmarkEnd w:id="1293"/>
      <w:bookmarkEnd w:id="1294"/>
      <w:bookmarkEnd w:id="1295"/>
      <w:bookmarkEnd w:id="1296"/>
      <w:bookmarkEnd w:id="1297"/>
    </w:p>
    <w:p w14:paraId="6429562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发包人审批竣工付款申请单的期限：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F4733F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发包人完成竣工付款的期限：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8396FC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关于竣工付款证书异议部分复核的方式和程序：</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18D61DC8">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14.4 最终结清</w:t>
      </w:r>
    </w:p>
    <w:p w14:paraId="152E482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14.4.1 最终结清申请单</w:t>
      </w:r>
    </w:p>
    <w:p w14:paraId="4C88B02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承包人提交最终结清申请单的份数：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27A029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承包人提交最终结算申请单的期限：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 xml:space="preserve"> </w:t>
      </w:r>
    </w:p>
    <w:p w14:paraId="640A5A3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14.4.2 最终结清证书和支付</w:t>
      </w:r>
    </w:p>
    <w:p w14:paraId="3A12F2D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（1）发包人完成最终结清申请单的审批并颁发最终结清证书的期限：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E85EFB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（2）发包人完成支付的期限：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1274"/>
    <w:bookmarkEnd w:id="1275"/>
    <w:bookmarkEnd w:id="1276"/>
    <w:bookmarkEnd w:id="1277"/>
    <w:bookmarkEnd w:id="1278"/>
    <w:bookmarkEnd w:id="1279"/>
    <w:bookmarkEnd w:id="1280"/>
    <w:bookmarkEnd w:id="1286"/>
    <w:p w14:paraId="169679B8">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298" w:name="_Toc351203647"/>
      <w:bookmarkStart w:id="1299" w:name="_Toc267251483"/>
      <w:bookmarkStart w:id="1300" w:name="_Toc267251484"/>
      <w:bookmarkStart w:id="1301" w:name="_Toc267251482"/>
      <w:bookmarkStart w:id="1302" w:name="_Toc267251485"/>
      <w:bookmarkStart w:id="1303" w:name="_Toc267251488"/>
      <w:bookmarkStart w:id="1304" w:name="_Toc267251486"/>
      <w:bookmarkStart w:id="1305" w:name="_Toc267251490"/>
      <w:bookmarkStart w:id="1306" w:name="_Toc267251489"/>
      <w:bookmarkStart w:id="1307" w:name="_Toc267251497"/>
      <w:bookmarkStart w:id="1308" w:name="_Toc267251493"/>
      <w:bookmarkStart w:id="1309" w:name="_Toc267251491"/>
      <w:bookmarkStart w:id="1310" w:name="_Toc267251495"/>
      <w:bookmarkStart w:id="1311" w:name="_Toc267251502"/>
      <w:bookmarkStart w:id="1312" w:name="_Toc267251496"/>
      <w:bookmarkStart w:id="1313" w:name="_Toc267251499"/>
      <w:bookmarkStart w:id="1314" w:name="_Toc267251503"/>
      <w:bookmarkStart w:id="1315" w:name="_Toc267251492"/>
      <w:bookmarkStart w:id="1316" w:name="_Toc267251498"/>
      <w:bookmarkStart w:id="1317" w:name="_Toc267251501"/>
      <w:bookmarkStart w:id="1318" w:name="_Toc267251494"/>
      <w:bookmarkStart w:id="1319" w:name="_Toc267251504"/>
      <w:bookmarkStart w:id="1320" w:name="_Toc267251506"/>
      <w:bookmarkStart w:id="1321" w:name="_Toc267251507"/>
      <w:bookmarkStart w:id="1322" w:name="_Toc267251508"/>
      <w:bookmarkStart w:id="1323" w:name="_Toc267251510"/>
      <w:bookmarkStart w:id="1324" w:name="_Toc267251514"/>
      <w:bookmarkStart w:id="1325" w:name="_Toc267251513"/>
      <w:bookmarkStart w:id="1326" w:name="_Toc267251515"/>
      <w:bookmarkStart w:id="1327" w:name="_Toc267251509"/>
      <w:bookmarkStart w:id="1328" w:name="_Toc267251511"/>
      <w:r>
        <w:rPr>
          <w:rFonts w:hint="eastAsia" w:ascii="宋体" w:hAnsi="宋体" w:eastAsia="宋体" w:cs="宋体"/>
          <w:b w:val="0"/>
          <w:color w:val="000000"/>
          <w:sz w:val="21"/>
          <w:szCs w:val="21"/>
          <w:highlight w:val="none"/>
        </w:rPr>
        <w:t>15. 缺陷责任期与保修</w:t>
      </w:r>
      <w:bookmarkEnd w:id="1298"/>
    </w:p>
    <w:p w14:paraId="7DF34EAE">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15.2缺陷责任期</w:t>
      </w:r>
      <w:bookmarkEnd w:id="1299"/>
    </w:p>
    <w:p w14:paraId="1266417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缺陷责任期的具体期限：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p>
    <w:p w14:paraId="4B6F56B3">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329" w:name="_Toc27863"/>
      <w:bookmarkStart w:id="1330" w:name="_Toc1339"/>
      <w:bookmarkStart w:id="1331" w:name="_Toc32071"/>
      <w:bookmarkStart w:id="1332" w:name="_Toc32077"/>
      <w:bookmarkStart w:id="1333" w:name="_Toc13784"/>
      <w:r>
        <w:rPr>
          <w:rFonts w:hint="eastAsia" w:ascii="宋体" w:hAnsi="宋体" w:eastAsia="宋体" w:cs="宋体"/>
          <w:color w:val="000000"/>
          <w:sz w:val="21"/>
          <w:szCs w:val="21"/>
          <w:highlight w:val="none"/>
        </w:rPr>
        <w:t>15.3 质量保证金</w:t>
      </w:r>
      <w:bookmarkEnd w:id="1329"/>
      <w:bookmarkEnd w:id="1330"/>
      <w:bookmarkEnd w:id="1331"/>
      <w:bookmarkEnd w:id="1332"/>
      <w:bookmarkEnd w:id="1333"/>
    </w:p>
    <w:p w14:paraId="6A5E875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关于是否扣留质量保证金的约定：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。在工程项目竣工前，承包人按专用合同条款第3.7条提供履约担保的，发包人不得同时预留工程质量保证金。</w:t>
      </w:r>
    </w:p>
    <w:p w14:paraId="558BD0C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p>
    <w:p w14:paraId="1208329F">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334" w:name="_Toc18198"/>
      <w:bookmarkStart w:id="1335" w:name="_Toc32263"/>
      <w:bookmarkStart w:id="1336" w:name="_Toc4946"/>
      <w:bookmarkStart w:id="1337" w:name="_Toc11243"/>
      <w:bookmarkStart w:id="1338" w:name="_Toc5976"/>
      <w:r>
        <w:rPr>
          <w:rFonts w:hint="eastAsia" w:ascii="宋体" w:hAnsi="宋体" w:eastAsia="宋体" w:cs="宋体"/>
          <w:color w:val="000000"/>
          <w:sz w:val="21"/>
          <w:szCs w:val="21"/>
          <w:highlight w:val="none"/>
        </w:rPr>
        <w:t>15.3.1 承包人提供质量保证金的方式</w:t>
      </w:r>
      <w:bookmarkEnd w:id="1334"/>
      <w:bookmarkEnd w:id="1335"/>
      <w:bookmarkEnd w:id="1336"/>
      <w:bookmarkEnd w:id="1337"/>
      <w:bookmarkEnd w:id="1338"/>
    </w:p>
    <w:p w14:paraId="6970F61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5A401D83">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（1）质量保证金保函，保证金额为：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 xml:space="preserve">； </w:t>
      </w:r>
    </w:p>
    <w:p w14:paraId="386C96FE">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%的工程款；</w:t>
      </w:r>
    </w:p>
    <w:p w14:paraId="378C5F46">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（3）其他方式:</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6A02E80">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339" w:name="_Toc18413"/>
      <w:bookmarkStart w:id="1340" w:name="_Toc1417"/>
      <w:bookmarkStart w:id="1341" w:name="_Toc29377"/>
      <w:bookmarkStart w:id="1342" w:name="_Toc16320"/>
      <w:bookmarkStart w:id="1343" w:name="_Toc2422"/>
      <w:r>
        <w:rPr>
          <w:rFonts w:hint="eastAsia" w:ascii="宋体" w:hAnsi="宋体" w:eastAsia="宋体" w:cs="宋体"/>
          <w:color w:val="000000"/>
          <w:sz w:val="21"/>
          <w:szCs w:val="21"/>
          <w:highlight w:val="none"/>
        </w:rPr>
        <w:t>15.3.2 质量保证金的扣留</w:t>
      </w:r>
      <w:bookmarkEnd w:id="1339"/>
      <w:bookmarkEnd w:id="1340"/>
      <w:bookmarkEnd w:id="1341"/>
      <w:bookmarkEnd w:id="1342"/>
      <w:bookmarkEnd w:id="1343"/>
      <w:r>
        <w:rPr>
          <w:rFonts w:hint="eastAsia" w:ascii="宋体" w:hAnsi="宋体" w:eastAsia="宋体" w:cs="宋体"/>
          <w:color w:val="000000"/>
          <w:sz w:val="21"/>
          <w:szCs w:val="21"/>
          <w:highlight w:val="none"/>
        </w:rPr>
        <w:t xml:space="preserve"> </w:t>
      </w:r>
    </w:p>
    <w:p w14:paraId="2AD1837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质量保证金的扣留采取以下第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4B0D10FD">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（1）在支付工程进度款时逐次扣留，在此情形下，质量保证金的计算基数不包括预付款的支付、扣回以及价格调整的金额；</w:t>
      </w:r>
    </w:p>
    <w:p w14:paraId="1A0A749E">
      <w:pPr>
        <w:pageBreakBefore w:val="0"/>
        <w:widowControl w:val="0"/>
        <w:kinsoku/>
        <w:wordWrap/>
        <w:overflowPunct/>
        <w:topLinePunct w:val="0"/>
        <w:autoSpaceDE w:val="0"/>
        <w:autoSpaceDN w:val="0"/>
        <w:bidi w:val="0"/>
        <w:adjustRightInd w:val="0"/>
        <w:snapToGrid w:val="0"/>
        <w:spacing w:line="360" w:lineRule="auto"/>
        <w:ind w:firstLine="420" w:firstLineChars="200"/>
        <w:jc w:val="left"/>
        <w:outlineLvl w:val="0"/>
        <w:rPr>
          <w:rFonts w:hint="eastAsia" w:ascii="宋体" w:hAnsi="宋体" w:eastAsia="宋体" w:cs="宋体"/>
          <w:color w:val="000000"/>
          <w:kern w:val="0"/>
          <w:sz w:val="21"/>
          <w:szCs w:val="21"/>
          <w:highlight w:val="none"/>
        </w:rPr>
      </w:pPr>
      <w:bookmarkStart w:id="1344" w:name="_Toc31518"/>
      <w:bookmarkStart w:id="1345" w:name="_Toc32084"/>
      <w:bookmarkStart w:id="1346" w:name="_Toc19972"/>
      <w:bookmarkStart w:id="1347" w:name="_Toc12321"/>
      <w:bookmarkStart w:id="1348" w:name="_Toc7613"/>
      <w:r>
        <w:rPr>
          <w:rFonts w:hint="eastAsia" w:ascii="宋体" w:hAnsi="宋体" w:eastAsia="宋体" w:cs="宋体"/>
          <w:color w:val="000000"/>
          <w:kern w:val="0"/>
          <w:sz w:val="21"/>
          <w:szCs w:val="21"/>
          <w:highlight w:val="none"/>
        </w:rPr>
        <w:t>（2）工程竣工结算时一次性扣留质量保证金；</w:t>
      </w:r>
      <w:bookmarkEnd w:id="1344"/>
      <w:bookmarkEnd w:id="1345"/>
      <w:bookmarkEnd w:id="1346"/>
      <w:bookmarkEnd w:id="1347"/>
      <w:bookmarkEnd w:id="1348"/>
    </w:p>
    <w:p w14:paraId="5E1B9E90">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（3）其他扣留方式:</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ADAE23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关于质量保证金的补充约定：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p>
    <w:bookmarkEnd w:id="1300"/>
    <w:bookmarkEnd w:id="1301"/>
    <w:p w14:paraId="5C635AB5">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15.4保修</w:t>
      </w:r>
    </w:p>
    <w:bookmarkEnd w:id="1302"/>
    <w:p w14:paraId="360FD8F7">
      <w:pPr>
        <w:pageBreakBefore w:val="0"/>
        <w:widowControl w:val="0"/>
        <w:kinsoku/>
        <w:wordWrap/>
        <w:overflowPunct/>
        <w:topLinePunct w:val="0"/>
        <w:bidi w:val="0"/>
        <w:snapToGrid w:val="0"/>
        <w:spacing w:line="360" w:lineRule="auto"/>
        <w:ind w:firstLine="409" w:firstLineChars="19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15.4.1 保修责任</w:t>
      </w:r>
    </w:p>
    <w:p w14:paraId="357F27D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工程保修期为：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p>
    <w:p w14:paraId="5FD5655B">
      <w:pPr>
        <w:pageBreakBefore w:val="0"/>
        <w:widowControl w:val="0"/>
        <w:kinsoku/>
        <w:wordWrap/>
        <w:overflowPunct/>
        <w:topLinePunct w:val="0"/>
        <w:bidi w:val="0"/>
        <w:snapToGrid w:val="0"/>
        <w:spacing w:line="360" w:lineRule="auto"/>
        <w:ind w:firstLine="409" w:firstLineChars="19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15.4.3 修复通知</w:t>
      </w:r>
    </w:p>
    <w:p w14:paraId="1FC7331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承包人收到保修通知并到达工程现场的合理时间：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p>
    <w:bookmarkEnd w:id="1303"/>
    <w:bookmarkEnd w:id="1304"/>
    <w:bookmarkEnd w:id="1305"/>
    <w:bookmarkEnd w:id="1306"/>
    <w:p w14:paraId="498F52FC">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349" w:name="_Toc351203648"/>
      <w:bookmarkStart w:id="1350" w:name="_Toc280868717"/>
      <w:bookmarkStart w:id="1351" w:name="_Toc280868718"/>
      <w:r>
        <w:rPr>
          <w:rFonts w:hint="eastAsia" w:ascii="宋体" w:hAnsi="宋体" w:eastAsia="宋体" w:cs="宋体"/>
          <w:b w:val="0"/>
          <w:color w:val="000000"/>
          <w:sz w:val="21"/>
          <w:szCs w:val="21"/>
          <w:highlight w:val="none"/>
        </w:rPr>
        <w:t>16. 违约</w:t>
      </w:r>
      <w:bookmarkEnd w:id="1349"/>
    </w:p>
    <w:p w14:paraId="7222FF62">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352" w:name="_Toc8881"/>
      <w:bookmarkStart w:id="1353" w:name="_Toc22038"/>
      <w:bookmarkStart w:id="1354" w:name="_Toc27672"/>
      <w:bookmarkStart w:id="1355" w:name="_Toc31228"/>
      <w:bookmarkStart w:id="1356" w:name="_Toc25"/>
      <w:r>
        <w:rPr>
          <w:rFonts w:hint="eastAsia" w:ascii="宋体" w:hAnsi="宋体" w:eastAsia="宋体" w:cs="宋体"/>
          <w:color w:val="000000"/>
          <w:sz w:val="21"/>
          <w:szCs w:val="21"/>
          <w:highlight w:val="none"/>
        </w:rPr>
        <w:t>16.1 发包人违约</w:t>
      </w:r>
      <w:bookmarkEnd w:id="1352"/>
      <w:bookmarkEnd w:id="1353"/>
      <w:bookmarkEnd w:id="1354"/>
      <w:bookmarkEnd w:id="1355"/>
      <w:bookmarkEnd w:id="1356"/>
    </w:p>
    <w:p w14:paraId="4F2CD54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16.1.1发包人违约的情形</w:t>
      </w:r>
    </w:p>
    <w:p w14:paraId="0349FECA">
      <w:pPr>
        <w:pageBreakBefore w:val="0"/>
        <w:widowControl w:val="0"/>
        <w:kinsoku/>
        <w:wordWrap/>
        <w:overflowPunct/>
        <w:topLinePunct w:val="0"/>
        <w:bidi w:val="0"/>
        <w:snapToGrid w:val="0"/>
        <w:spacing w:line="360" w:lineRule="auto"/>
        <w:ind w:left="1050" w:leftChars="200" w:hanging="630" w:hangingChars="3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发包人违约的其他情形：</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p>
    <w:p w14:paraId="621E22E6">
      <w:pPr>
        <w:pageBreakBefore w:val="0"/>
        <w:widowControl w:val="0"/>
        <w:kinsoku/>
        <w:wordWrap/>
        <w:overflowPunct/>
        <w:topLinePunct w:val="0"/>
        <w:bidi w:val="0"/>
        <w:snapToGrid w:val="0"/>
        <w:spacing w:line="360" w:lineRule="auto"/>
        <w:ind w:left="1500" w:hanging="1050" w:hangingChars="5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16.1.2 发包人违约的责任</w:t>
      </w:r>
    </w:p>
    <w:p w14:paraId="6AF1EC5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发包人违约责任的承担方式和计算方法：</w:t>
      </w:r>
    </w:p>
    <w:p w14:paraId="37667C8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（1）因发包人原因未能在计划开工日期前7天内下达开工通知的违约责任：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71B90EB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（2）因发包人原因未能按合同约定支付合同价款的违约责任：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5D2DC6C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4162E2C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53002FA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（5）因发包人违反合同约定造成暂停施工的违约责任：</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761CB84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（6）发包人无正当理由没有在约定期限内发出复工指示，导致承包人无法复工的违约责任：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64EA371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（7）其他：</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76C6B2B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16.1.3 因发包人违约解除合同</w:t>
      </w:r>
    </w:p>
    <w:p w14:paraId="5EB9E339">
      <w:pPr>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承包人按16.1.1项〔发包人违约的情形〕约定暂停施工满</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天后发包人仍不纠正其违约行为并致使合同目的不能实现的，承包人有权解除合同。</w:t>
      </w:r>
    </w:p>
    <w:p w14:paraId="22135CBC">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357" w:name="_Toc9121"/>
      <w:bookmarkStart w:id="1358" w:name="_Toc1202"/>
      <w:bookmarkStart w:id="1359" w:name="_Toc13999"/>
      <w:bookmarkStart w:id="1360" w:name="_Toc30888"/>
      <w:bookmarkStart w:id="1361" w:name="_Toc28347"/>
      <w:r>
        <w:rPr>
          <w:rFonts w:hint="eastAsia" w:ascii="宋体" w:hAnsi="宋体" w:eastAsia="宋体" w:cs="宋体"/>
          <w:color w:val="000000"/>
          <w:sz w:val="21"/>
          <w:szCs w:val="21"/>
          <w:highlight w:val="none"/>
        </w:rPr>
        <w:t>16.2 承包人违约</w:t>
      </w:r>
      <w:bookmarkEnd w:id="1357"/>
      <w:bookmarkEnd w:id="1358"/>
      <w:bookmarkEnd w:id="1359"/>
      <w:bookmarkEnd w:id="1360"/>
      <w:bookmarkEnd w:id="1361"/>
    </w:p>
    <w:p w14:paraId="26AFAA12">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16.2.1 承包人违约的情形</w:t>
      </w:r>
    </w:p>
    <w:p w14:paraId="05ACD9E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承包人违约的其他情形：</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p>
    <w:p w14:paraId="7D514C1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16.2.2承包人违约的责任</w:t>
      </w:r>
    </w:p>
    <w:p w14:paraId="471BE1B4">
      <w:pPr>
        <w:pageBreakBefore w:val="0"/>
        <w:widowControl w:val="0"/>
        <w:kinsoku/>
        <w:wordWrap/>
        <w:overflowPunct/>
        <w:topLinePunct w:val="0"/>
        <w:bidi w:val="0"/>
        <w:snapToGrid w:val="0"/>
        <w:spacing w:line="360" w:lineRule="auto"/>
        <w:ind w:left="1050" w:leftChars="200" w:hanging="630" w:hangingChars="300"/>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承包人违约责任的承担方式和计算方法：</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 xml:space="preserve">    </w:t>
      </w:r>
    </w:p>
    <w:p w14:paraId="480063E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16.2.3 因承包人违约解除合同</w:t>
      </w:r>
    </w:p>
    <w:p w14:paraId="6BA18C89">
      <w:pPr>
        <w:pageBreakBefore w:val="0"/>
        <w:widowControl w:val="0"/>
        <w:kinsoku/>
        <w:wordWrap/>
        <w:overflowPunct/>
        <w:topLinePunct w:val="0"/>
        <w:bidi w:val="0"/>
        <w:snapToGrid w:val="0"/>
        <w:spacing w:before="120" w:after="120"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关于承包人违约解除合同的特别约定：</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color w:val="000000"/>
          <w:kern w:val="0"/>
          <w:sz w:val="21"/>
          <w:szCs w:val="21"/>
          <w:highlight w:val="none"/>
        </w:rPr>
        <w:t>。</w:t>
      </w:r>
    </w:p>
    <w:p w14:paraId="42EB0D8E">
      <w:pPr>
        <w:pageBreakBefore w:val="0"/>
        <w:widowControl w:val="0"/>
        <w:kinsoku/>
        <w:wordWrap/>
        <w:overflowPunct/>
        <w:topLinePunct w:val="0"/>
        <w:bidi w:val="0"/>
        <w:snapToGrid w:val="0"/>
        <w:spacing w:before="120" w:after="120"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2E4A9DBE">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362" w:name="_Toc351203649"/>
      <w:r>
        <w:rPr>
          <w:rFonts w:hint="eastAsia" w:ascii="宋体" w:hAnsi="宋体" w:eastAsia="宋体" w:cs="宋体"/>
          <w:b w:val="0"/>
          <w:color w:val="000000"/>
          <w:sz w:val="21"/>
          <w:szCs w:val="21"/>
          <w:highlight w:val="none"/>
        </w:rPr>
        <w:t>17. 不可抗力</w:t>
      </w:r>
      <w:bookmarkEnd w:id="1362"/>
      <w:r>
        <w:rPr>
          <w:rFonts w:hint="eastAsia" w:ascii="宋体" w:hAnsi="宋体" w:eastAsia="宋体" w:cs="宋体"/>
          <w:b w:val="0"/>
          <w:color w:val="000000"/>
          <w:sz w:val="21"/>
          <w:szCs w:val="21"/>
          <w:highlight w:val="none"/>
        </w:rPr>
        <w:t xml:space="preserve"> </w:t>
      </w:r>
      <w:bookmarkEnd w:id="1350"/>
    </w:p>
    <w:p w14:paraId="072BABBC">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 不可抗力的确认</w:t>
      </w:r>
    </w:p>
    <w:p w14:paraId="478E0B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rPr>
        <w:t xml:space="preserve">除通用合同条款约定的不可抗力事件之外，视为不可抗力的其他情形：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23B0CC28">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363" w:name="_Toc18229"/>
      <w:bookmarkStart w:id="1364" w:name="_Toc9528"/>
      <w:bookmarkStart w:id="1365" w:name="_Toc17315"/>
      <w:bookmarkStart w:id="1366" w:name="_Toc4713"/>
      <w:bookmarkStart w:id="1367" w:name="_Toc6928"/>
      <w:r>
        <w:rPr>
          <w:rFonts w:hint="eastAsia" w:ascii="宋体" w:hAnsi="宋体" w:eastAsia="宋体" w:cs="宋体"/>
          <w:color w:val="000000"/>
          <w:sz w:val="21"/>
          <w:szCs w:val="21"/>
          <w:highlight w:val="none"/>
        </w:rPr>
        <w:t>17.4 因不可抗力解除合同</w:t>
      </w:r>
      <w:bookmarkEnd w:id="1363"/>
      <w:bookmarkEnd w:id="1364"/>
      <w:bookmarkEnd w:id="1365"/>
      <w:bookmarkEnd w:id="1366"/>
      <w:bookmarkEnd w:id="1367"/>
    </w:p>
    <w:p w14:paraId="79B8F0AA">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合同解除后，发包人应在商定或确定发包人应支付款项后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天内完成款项的支付。</w:t>
      </w:r>
    </w:p>
    <w:p w14:paraId="0BD21A0D">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368" w:name="_Toc351203650"/>
      <w:r>
        <w:rPr>
          <w:rFonts w:hint="eastAsia" w:ascii="宋体" w:hAnsi="宋体" w:eastAsia="宋体" w:cs="宋体"/>
          <w:b w:val="0"/>
          <w:color w:val="000000"/>
          <w:sz w:val="21"/>
          <w:szCs w:val="21"/>
          <w:highlight w:val="none"/>
        </w:rPr>
        <w:t>18. 保险</w:t>
      </w:r>
      <w:bookmarkEnd w:id="1368"/>
    </w:p>
    <w:bookmarkEnd w:id="1351"/>
    <w:p w14:paraId="538748E9">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18.1 工程保险</w:t>
      </w:r>
    </w:p>
    <w:p w14:paraId="65822FE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关于工程保险的特别约定：</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9CA42E6">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369" w:name="_Toc14283"/>
      <w:bookmarkStart w:id="1370" w:name="_Toc29979"/>
      <w:bookmarkStart w:id="1371" w:name="_Toc9024"/>
      <w:bookmarkStart w:id="1372" w:name="_Toc26585"/>
      <w:bookmarkStart w:id="1373" w:name="_Toc19808"/>
      <w:r>
        <w:rPr>
          <w:rFonts w:hint="eastAsia" w:ascii="宋体" w:hAnsi="宋体" w:eastAsia="宋体" w:cs="宋体"/>
          <w:color w:val="000000"/>
          <w:sz w:val="21"/>
          <w:szCs w:val="21"/>
          <w:highlight w:val="none"/>
        </w:rPr>
        <w:t>18.3 其他保险</w:t>
      </w:r>
      <w:bookmarkEnd w:id="1369"/>
      <w:bookmarkEnd w:id="1370"/>
      <w:bookmarkEnd w:id="1371"/>
      <w:bookmarkEnd w:id="1372"/>
      <w:bookmarkEnd w:id="1373"/>
    </w:p>
    <w:p w14:paraId="771E480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关于其他保险的约定：</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697D9AF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承包人是否应为其施工设备等办理财产保险：</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9AE76F6">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18.7 通知义务</w:t>
      </w:r>
    </w:p>
    <w:p w14:paraId="0AC7387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关于变更保险合同时的通知义务的约定：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1307"/>
    <w:bookmarkEnd w:id="1308"/>
    <w:bookmarkEnd w:id="1309"/>
    <w:bookmarkEnd w:id="1310"/>
    <w:bookmarkEnd w:id="1311"/>
    <w:bookmarkEnd w:id="1312"/>
    <w:bookmarkEnd w:id="1313"/>
    <w:bookmarkEnd w:id="1314"/>
    <w:bookmarkEnd w:id="1315"/>
    <w:bookmarkEnd w:id="1316"/>
    <w:bookmarkEnd w:id="1317"/>
    <w:bookmarkEnd w:id="1318"/>
    <w:p w14:paraId="39CD7C50">
      <w:pPr>
        <w:pStyle w:val="5"/>
        <w:pageBreakBefore w:val="0"/>
        <w:widowControl w:val="0"/>
        <w:kinsoku/>
        <w:wordWrap/>
        <w:overflowPunct/>
        <w:topLinePunct w:val="0"/>
        <w:bidi w:val="0"/>
        <w:snapToGrid w:val="0"/>
        <w:spacing w:before="120" w:after="120" w:line="360" w:lineRule="auto"/>
        <w:rPr>
          <w:rFonts w:hint="eastAsia" w:ascii="宋体" w:hAnsi="宋体" w:eastAsia="宋体" w:cs="宋体"/>
          <w:b w:val="0"/>
          <w:color w:val="000000"/>
          <w:sz w:val="21"/>
          <w:szCs w:val="21"/>
          <w:highlight w:val="none"/>
        </w:rPr>
      </w:pPr>
      <w:bookmarkStart w:id="1374" w:name="_Toc351203651"/>
      <w:r>
        <w:rPr>
          <w:rFonts w:hint="eastAsia" w:ascii="宋体" w:hAnsi="宋体" w:eastAsia="宋体" w:cs="宋体"/>
          <w:b w:val="0"/>
          <w:color w:val="000000"/>
          <w:sz w:val="21"/>
          <w:szCs w:val="21"/>
          <w:highlight w:val="none"/>
        </w:rPr>
        <w:t>20. 争议解决</w:t>
      </w:r>
      <w:bookmarkEnd w:id="1374"/>
    </w:p>
    <w:bookmarkEnd w:id="1319"/>
    <w:bookmarkEnd w:id="1320"/>
    <w:p w14:paraId="3B408A97">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375" w:name="_Toc16698"/>
      <w:bookmarkStart w:id="1376" w:name="_Toc21602"/>
      <w:bookmarkStart w:id="1377" w:name="_Toc18979"/>
      <w:bookmarkStart w:id="1378" w:name="_Toc3371"/>
      <w:bookmarkStart w:id="1379" w:name="_Toc6169"/>
      <w:r>
        <w:rPr>
          <w:rFonts w:hint="eastAsia" w:ascii="宋体" w:hAnsi="宋体" w:eastAsia="宋体" w:cs="宋体"/>
          <w:color w:val="000000"/>
          <w:sz w:val="21"/>
          <w:szCs w:val="21"/>
          <w:highlight w:val="none"/>
        </w:rPr>
        <w:t>20.3 争</w:t>
      </w:r>
      <w:bookmarkEnd w:id="1321"/>
      <w:r>
        <w:rPr>
          <w:rFonts w:hint="eastAsia" w:ascii="宋体" w:hAnsi="宋体" w:eastAsia="宋体" w:cs="宋体"/>
          <w:color w:val="000000"/>
          <w:sz w:val="21"/>
          <w:szCs w:val="21"/>
          <w:highlight w:val="none"/>
        </w:rPr>
        <w:t>议评审</w:t>
      </w:r>
      <w:bookmarkEnd w:id="1375"/>
      <w:bookmarkEnd w:id="1376"/>
      <w:bookmarkEnd w:id="1377"/>
      <w:bookmarkEnd w:id="1378"/>
      <w:bookmarkEnd w:id="1379"/>
    </w:p>
    <w:p w14:paraId="3BA6DC41">
      <w:pPr>
        <w:pageBreakBefore w:val="0"/>
        <w:widowControl w:val="0"/>
        <w:kinsoku/>
        <w:wordWrap/>
        <w:overflowPunct/>
        <w:topLinePunct w:val="0"/>
        <w:bidi w:val="0"/>
        <w:snapToGrid w:val="0"/>
        <w:spacing w:line="360" w:lineRule="auto"/>
        <w:ind w:left="149" w:leftChars="71"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5A13D6E7">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380" w:name="_Toc28925"/>
      <w:bookmarkStart w:id="1381" w:name="_Toc3046"/>
      <w:bookmarkStart w:id="1382" w:name="_Toc10997"/>
      <w:bookmarkStart w:id="1383" w:name="_Toc26147"/>
      <w:bookmarkStart w:id="1384" w:name="_Toc5593"/>
      <w:r>
        <w:rPr>
          <w:rFonts w:hint="eastAsia" w:ascii="宋体" w:hAnsi="宋体" w:eastAsia="宋体" w:cs="宋体"/>
          <w:color w:val="000000"/>
          <w:sz w:val="21"/>
          <w:szCs w:val="21"/>
          <w:highlight w:val="none"/>
        </w:rPr>
        <w:t>20.3.1 争议评审小组的确定</w:t>
      </w:r>
      <w:bookmarkEnd w:id="1380"/>
      <w:bookmarkEnd w:id="1381"/>
      <w:bookmarkEnd w:id="1382"/>
      <w:bookmarkEnd w:id="1383"/>
      <w:bookmarkEnd w:id="1384"/>
    </w:p>
    <w:p w14:paraId="57BE022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AE4DDE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74C30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争议评审小组成员的报酬承担方式：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8705685">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0DB82E5">
      <w:pPr>
        <w:pageBreakBefore w:val="0"/>
        <w:widowControl w:val="0"/>
        <w:kinsoku/>
        <w:wordWrap/>
        <w:overflowPunct/>
        <w:topLinePunct w:val="0"/>
        <w:autoSpaceDE w:val="0"/>
        <w:autoSpaceDN w:val="0"/>
        <w:bidi w:val="0"/>
        <w:adjustRightInd w:val="0"/>
        <w:snapToGrid w:val="0"/>
        <w:spacing w:line="360" w:lineRule="auto"/>
        <w:ind w:firstLine="420" w:firstLineChars="200"/>
        <w:jc w:val="left"/>
        <w:outlineLvl w:val="0"/>
        <w:rPr>
          <w:rFonts w:hint="eastAsia" w:ascii="宋体" w:hAnsi="宋体" w:eastAsia="宋体" w:cs="宋体"/>
          <w:color w:val="000000"/>
          <w:kern w:val="0"/>
          <w:sz w:val="21"/>
          <w:szCs w:val="21"/>
          <w:highlight w:val="none"/>
        </w:rPr>
      </w:pPr>
      <w:bookmarkStart w:id="1385" w:name="_Toc18805"/>
      <w:bookmarkStart w:id="1386" w:name="_Toc14248"/>
      <w:bookmarkStart w:id="1387" w:name="_Toc21540"/>
      <w:bookmarkStart w:id="1388" w:name="_Toc2283"/>
      <w:bookmarkStart w:id="1389" w:name="_Toc18035"/>
      <w:r>
        <w:rPr>
          <w:rFonts w:hint="eastAsia" w:ascii="宋体" w:hAnsi="宋体" w:eastAsia="宋体" w:cs="宋体"/>
          <w:color w:val="000000"/>
          <w:kern w:val="0"/>
          <w:sz w:val="21"/>
          <w:szCs w:val="21"/>
          <w:highlight w:val="none"/>
        </w:rPr>
        <w:t>20.3.2 争议评审小组的决定</w:t>
      </w:r>
      <w:bookmarkEnd w:id="1385"/>
      <w:bookmarkEnd w:id="1386"/>
      <w:bookmarkEnd w:id="1387"/>
      <w:bookmarkEnd w:id="1388"/>
      <w:bookmarkEnd w:id="1389"/>
    </w:p>
    <w:p w14:paraId="37B851E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08410E">
      <w:pPr>
        <w:pageBreakBefore w:val="0"/>
        <w:widowControl w:val="0"/>
        <w:kinsoku/>
        <w:wordWrap/>
        <w:overflowPunct/>
        <w:topLinePunct w:val="0"/>
        <w:bidi w:val="0"/>
        <w:snapToGrid w:val="0"/>
        <w:spacing w:after="120" w:line="360" w:lineRule="auto"/>
        <w:ind w:firstLine="420" w:firstLineChars="200"/>
        <w:outlineLvl w:val="0"/>
        <w:rPr>
          <w:rFonts w:hint="eastAsia" w:ascii="宋体" w:hAnsi="宋体" w:eastAsia="宋体" w:cs="宋体"/>
          <w:color w:val="000000"/>
          <w:sz w:val="21"/>
          <w:szCs w:val="21"/>
          <w:highlight w:val="none"/>
        </w:rPr>
      </w:pPr>
      <w:bookmarkStart w:id="1390" w:name="_Toc3839"/>
      <w:bookmarkStart w:id="1391" w:name="_Toc15081"/>
      <w:bookmarkStart w:id="1392" w:name="_Toc17104"/>
      <w:bookmarkStart w:id="1393" w:name="_Toc24767"/>
      <w:bookmarkStart w:id="1394" w:name="_Toc14777"/>
      <w:r>
        <w:rPr>
          <w:rFonts w:hint="eastAsia" w:ascii="宋体" w:hAnsi="宋体" w:eastAsia="宋体" w:cs="宋体"/>
          <w:color w:val="000000"/>
          <w:sz w:val="21"/>
          <w:szCs w:val="21"/>
          <w:highlight w:val="none"/>
        </w:rPr>
        <w:t>20.4仲裁或诉讼</w:t>
      </w:r>
      <w:bookmarkEnd w:id="1322"/>
      <w:bookmarkEnd w:id="1390"/>
      <w:bookmarkEnd w:id="1391"/>
      <w:bookmarkEnd w:id="1392"/>
      <w:bookmarkEnd w:id="1393"/>
      <w:bookmarkEnd w:id="1394"/>
    </w:p>
    <w:p w14:paraId="4EA5EF9B">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种方式解决：</w:t>
      </w:r>
    </w:p>
    <w:p w14:paraId="62050EE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仲裁委员会申请仲裁；</w:t>
      </w:r>
    </w:p>
    <w:p w14:paraId="0DD8B06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人民法院起诉。</w:t>
      </w:r>
      <w:bookmarkEnd w:id="1323"/>
      <w:bookmarkEnd w:id="1324"/>
      <w:bookmarkEnd w:id="1325"/>
      <w:bookmarkEnd w:id="1326"/>
      <w:bookmarkEnd w:id="1327"/>
      <w:bookmarkEnd w:id="1328"/>
    </w:p>
    <w:p w14:paraId="7BA6F7A5">
      <w:pPr>
        <w:pageBreakBefore w:val="0"/>
        <w:widowControl w:val="0"/>
        <w:kinsoku/>
        <w:wordWrap/>
        <w:overflowPunct/>
        <w:topLinePunct w:val="0"/>
        <w:bidi w:val="0"/>
        <w:snapToGrid w:val="0"/>
        <w:spacing w:line="360" w:lineRule="auto"/>
        <w:jc w:val="left"/>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br w:type="page"/>
      </w:r>
      <w:bookmarkStart w:id="1395" w:name="_Toc351203652"/>
      <w:r>
        <w:rPr>
          <w:rFonts w:hint="eastAsia" w:ascii="宋体" w:hAnsi="宋体" w:eastAsia="宋体" w:cs="宋体"/>
          <w:b/>
          <w:color w:val="000000"/>
          <w:sz w:val="21"/>
          <w:szCs w:val="21"/>
          <w:highlight w:val="none"/>
        </w:rPr>
        <w:t>附件</w:t>
      </w:r>
      <w:bookmarkEnd w:id="1395"/>
    </w:p>
    <w:p w14:paraId="104C6B08">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62B5F7B7">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附件1：承包人承揽工程项目一览表</w:t>
      </w:r>
    </w:p>
    <w:p w14:paraId="1EADBB6F">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0F964036">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附件2：发包人供应材料设备一览表</w:t>
      </w:r>
    </w:p>
    <w:p w14:paraId="30252CB7">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附件3：工程质量保修书</w:t>
      </w:r>
    </w:p>
    <w:p w14:paraId="73AE09AC">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附件4：主要建设工程文件目录</w:t>
      </w:r>
    </w:p>
    <w:p w14:paraId="29027367">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附件5：承包人用于本工程施工的机械设备表</w:t>
      </w:r>
    </w:p>
    <w:p w14:paraId="1C055AF6">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附件6：承包人主要施工管理人员表</w:t>
      </w:r>
    </w:p>
    <w:p w14:paraId="5B92C2F1">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附件7：分包人主要施工管理人员表</w:t>
      </w:r>
    </w:p>
    <w:p w14:paraId="7CECCB0C">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附件8：履约担保格式</w:t>
      </w:r>
    </w:p>
    <w:p w14:paraId="41DC1BE4">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附件9：预付款担保格式</w:t>
      </w:r>
    </w:p>
    <w:p w14:paraId="5AFEF25D">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附件10：支付担保格式</w:t>
      </w:r>
    </w:p>
    <w:p w14:paraId="5809F7D8">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color w:val="000000"/>
          <w:sz w:val="21"/>
          <w:szCs w:val="21"/>
          <w:highlight w:val="none"/>
        </w:rPr>
        <w:t>附件11：暂估价一览表</w:t>
      </w:r>
    </w:p>
    <w:p w14:paraId="766651AA">
      <w:pPr>
        <w:pageBreakBefore w:val="0"/>
        <w:widowControl w:val="0"/>
        <w:kinsoku/>
        <w:wordWrap/>
        <w:overflowPunct/>
        <w:topLinePunct w:val="0"/>
        <w:bidi w:val="0"/>
        <w:snapToGrid w:val="0"/>
        <w:spacing w:before="156" w:beforeLines="50" w:after="156" w:afterLines="50"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w:t>
      </w:r>
    </w:p>
    <w:p w14:paraId="74060265">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31"/>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9050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783A01F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07D7BCC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298E420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建筑面积(平方米)</w:t>
            </w:r>
          </w:p>
        </w:tc>
        <w:tc>
          <w:tcPr>
            <w:tcW w:w="2410" w:type="dxa"/>
            <w:tcBorders>
              <w:top w:val="single" w:color="auto" w:sz="12" w:space="0"/>
              <w:bottom w:val="double" w:color="auto" w:sz="6" w:space="0"/>
            </w:tcBorders>
            <w:noWrap w:val="0"/>
            <w:vAlign w:val="center"/>
          </w:tcPr>
          <w:p w14:paraId="6D66F49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463581D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2A971D0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2825F33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7DA3B5F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1205D6A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5F987BD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竣工日期</w:t>
            </w:r>
          </w:p>
        </w:tc>
      </w:tr>
      <w:tr w14:paraId="268B3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4DCF964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7201CE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0DE0567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tcBorders>
              <w:top w:val="double" w:color="auto" w:sz="6" w:space="0"/>
              <w:bottom w:val="single" w:color="auto" w:sz="6" w:space="0"/>
            </w:tcBorders>
            <w:noWrap w:val="0"/>
            <w:vAlign w:val="center"/>
          </w:tcPr>
          <w:p w14:paraId="75398DC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5AA966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45EBAE8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329A3D9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2C7A3C3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0D27020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347D059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D2C4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8882E1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73256D6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117462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1958A08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21B424B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2DC7B34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659D7D5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081FE99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1A2DCC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50ACF18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26A8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FA5992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1FF088E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3D2052B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27010E0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31126B2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14D965E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21CAFB4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4327C73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7954F59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4B4FD97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2D17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092528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6B9D466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3ACE8C1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2F66F0A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75A9C45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7F71AE0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0FE0AFF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73131E3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7399C72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6D036CE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43B1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D8BDCD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4BD9D1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2C42092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50386D3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46676A7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65CF95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5147572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2E3582A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630C3B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5EBB04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0878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78DF62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345A46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2B8F5C2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0F8960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4880402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0807AE5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567424E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5D364FF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1498F86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33D3986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42B0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ED5F6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55A17C5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7023FA2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3E76163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608F054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54458AD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52EB6F4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667CEA4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72F3CD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3BA8FF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823D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A96F47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03451A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2132516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50155A2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1C42C25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01F00C7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7B2F860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2D209DF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70EEB2B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29A59E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37E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BF2F62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4AAA7E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5199D6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3852D26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18EAC45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20C7EE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5347DE5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263F7D0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228D19D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5CEABA9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EEAE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1CABAE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224C5F4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61B622C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079265B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05A945E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4DAE4E3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6667C8B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2F6ACF1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68B37D1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23B0472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928E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D31F54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598E49C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1F73648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0F959AF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05BA0B0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207DE4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5235B8F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7FC588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59BC82D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0EE6E4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bl>
    <w:p w14:paraId="7D1D9083">
      <w:pPr>
        <w:pageBreakBefore w:val="0"/>
        <w:widowControl w:val="0"/>
        <w:kinsoku/>
        <w:wordWrap/>
        <w:overflowPunct/>
        <w:topLinePunct w:val="0"/>
        <w:bidi w:val="0"/>
        <w:snapToGrid w:val="0"/>
        <w:spacing w:line="360" w:lineRule="auto"/>
        <w:rPr>
          <w:rFonts w:hint="eastAsia" w:ascii="宋体" w:hAnsi="宋体" w:eastAsia="宋体" w:cs="宋体"/>
          <w:b/>
          <w:color w:val="000000"/>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30681E6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1396" w:name="_Toc267261692"/>
      <w:bookmarkStart w:id="1397" w:name="_Toc296891265"/>
      <w:bookmarkStart w:id="1398" w:name="_Toc296891053"/>
      <w:bookmarkStart w:id="1399" w:name="_Toc296503225"/>
      <w:bookmarkStart w:id="1400" w:name="_Toc296944564"/>
      <w:bookmarkStart w:id="1401" w:name="_Toc296346726"/>
      <w:bookmarkStart w:id="1402" w:name="_Toc296347224"/>
      <w:r>
        <w:rPr>
          <w:rFonts w:hint="eastAsia" w:ascii="宋体" w:hAnsi="宋体" w:eastAsia="宋体" w:cs="宋体"/>
          <w:color w:val="000000"/>
          <w:sz w:val="21"/>
          <w:szCs w:val="21"/>
          <w:highlight w:val="none"/>
        </w:rPr>
        <w:t>件2：</w:t>
      </w:r>
    </w:p>
    <w:bookmarkEnd w:id="1396"/>
    <w:bookmarkEnd w:id="1397"/>
    <w:bookmarkEnd w:id="1398"/>
    <w:bookmarkEnd w:id="1399"/>
    <w:bookmarkEnd w:id="1400"/>
    <w:bookmarkEnd w:id="1401"/>
    <w:bookmarkEnd w:id="1402"/>
    <w:p w14:paraId="45BEBAFD">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发包人供应材料设备一览表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067F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294E491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276" w:type="dxa"/>
            <w:tcBorders>
              <w:top w:val="single" w:color="auto" w:sz="12" w:space="0"/>
              <w:bottom w:val="double" w:color="auto" w:sz="6" w:space="0"/>
            </w:tcBorders>
            <w:noWrap w:val="0"/>
            <w:vAlign w:val="center"/>
          </w:tcPr>
          <w:p w14:paraId="37735CF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 xml:space="preserve">  材料、</w:t>
            </w:r>
          </w:p>
          <w:p w14:paraId="51B16452">
            <w:pPr>
              <w:pStyle w:val="11"/>
              <w:keepNext/>
              <w:pageBreakBefore w:val="0"/>
              <w:widowControl w:val="0"/>
              <w:kinsoku/>
              <w:wordWrap/>
              <w:overflowPunct/>
              <w:topLinePunct w:val="0"/>
              <w:bidi w:val="0"/>
              <w:snapToGrid w:val="0"/>
              <w:spacing w:after="0" w:line="360" w:lineRule="auto"/>
              <w:ind w:left="0" w:leftChars="0" w:right="63"/>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设备品种</w:t>
            </w:r>
          </w:p>
        </w:tc>
        <w:tc>
          <w:tcPr>
            <w:tcW w:w="1418" w:type="dxa"/>
            <w:tcBorders>
              <w:top w:val="single" w:color="auto" w:sz="12" w:space="0"/>
              <w:bottom w:val="double" w:color="auto" w:sz="6" w:space="0"/>
            </w:tcBorders>
            <w:noWrap w:val="0"/>
            <w:vAlign w:val="center"/>
          </w:tcPr>
          <w:p w14:paraId="15B3F5F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规格型号</w:t>
            </w:r>
          </w:p>
        </w:tc>
        <w:tc>
          <w:tcPr>
            <w:tcW w:w="940" w:type="dxa"/>
            <w:tcBorders>
              <w:top w:val="single" w:color="auto" w:sz="12" w:space="0"/>
              <w:bottom w:val="double" w:color="auto" w:sz="6" w:space="0"/>
            </w:tcBorders>
            <w:noWrap w:val="0"/>
            <w:vAlign w:val="center"/>
          </w:tcPr>
          <w:p w14:paraId="0058ACE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w:t>
            </w:r>
          </w:p>
        </w:tc>
        <w:tc>
          <w:tcPr>
            <w:tcW w:w="851" w:type="dxa"/>
            <w:tcBorders>
              <w:top w:val="single" w:color="auto" w:sz="12" w:space="0"/>
              <w:bottom w:val="double" w:color="auto" w:sz="6" w:space="0"/>
            </w:tcBorders>
            <w:noWrap w:val="0"/>
            <w:vAlign w:val="center"/>
          </w:tcPr>
          <w:p w14:paraId="2029A1E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73F4D79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单价（元）</w:t>
            </w:r>
          </w:p>
        </w:tc>
        <w:tc>
          <w:tcPr>
            <w:tcW w:w="992" w:type="dxa"/>
            <w:tcBorders>
              <w:top w:val="single" w:color="auto" w:sz="12" w:space="0"/>
              <w:bottom w:val="double" w:color="auto" w:sz="6" w:space="0"/>
            </w:tcBorders>
            <w:noWrap w:val="0"/>
            <w:vAlign w:val="center"/>
          </w:tcPr>
          <w:p w14:paraId="47F53C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质量等级</w:t>
            </w:r>
          </w:p>
        </w:tc>
        <w:tc>
          <w:tcPr>
            <w:tcW w:w="851" w:type="dxa"/>
            <w:tcBorders>
              <w:top w:val="single" w:color="auto" w:sz="12" w:space="0"/>
              <w:bottom w:val="double" w:color="auto" w:sz="6" w:space="0"/>
            </w:tcBorders>
            <w:noWrap w:val="0"/>
            <w:vAlign w:val="center"/>
          </w:tcPr>
          <w:p w14:paraId="2029A80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1979338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送达地点</w:t>
            </w:r>
          </w:p>
        </w:tc>
        <w:tc>
          <w:tcPr>
            <w:tcW w:w="992" w:type="dxa"/>
            <w:tcBorders>
              <w:top w:val="single" w:color="auto" w:sz="12" w:space="0"/>
              <w:bottom w:val="double" w:color="auto" w:sz="6" w:space="0"/>
            </w:tcBorders>
            <w:noWrap w:val="0"/>
            <w:vAlign w:val="center"/>
          </w:tcPr>
          <w:p w14:paraId="4DF47AC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7797B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2D5A9D4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14:paraId="1F018B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532019F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tcBorders>
              <w:top w:val="double" w:color="auto" w:sz="6" w:space="0"/>
              <w:bottom w:val="single" w:color="auto" w:sz="6" w:space="0"/>
            </w:tcBorders>
            <w:noWrap w:val="0"/>
            <w:vAlign w:val="center"/>
          </w:tcPr>
          <w:p w14:paraId="59B94C8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273C964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3ABC8DC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14:paraId="46A0041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28A4371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019C239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14:paraId="0EA4A37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E70B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08BD5E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tcBorders>
              <w:top w:val="nil"/>
            </w:tcBorders>
            <w:noWrap w:val="0"/>
            <w:vAlign w:val="center"/>
          </w:tcPr>
          <w:p w14:paraId="0C3B72E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center"/>
          </w:tcPr>
          <w:p w14:paraId="7CC3444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tcBorders>
              <w:top w:val="nil"/>
            </w:tcBorders>
            <w:noWrap w:val="0"/>
            <w:vAlign w:val="center"/>
          </w:tcPr>
          <w:p w14:paraId="3AA8CDA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2E86D57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tcBorders>
              <w:top w:val="nil"/>
            </w:tcBorders>
            <w:noWrap w:val="0"/>
            <w:vAlign w:val="center"/>
          </w:tcPr>
          <w:p w14:paraId="6A704C6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tcBorders>
              <w:top w:val="nil"/>
            </w:tcBorders>
            <w:noWrap w:val="0"/>
            <w:vAlign w:val="center"/>
          </w:tcPr>
          <w:p w14:paraId="3E85A0D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39746FA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tcBorders>
              <w:top w:val="nil"/>
            </w:tcBorders>
            <w:noWrap w:val="0"/>
            <w:vAlign w:val="center"/>
          </w:tcPr>
          <w:p w14:paraId="6358ED1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tcBorders>
              <w:top w:val="nil"/>
            </w:tcBorders>
            <w:noWrap w:val="0"/>
            <w:vAlign w:val="center"/>
          </w:tcPr>
          <w:p w14:paraId="79637E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83A1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D9F5A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363A697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54B9AA4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1502AA5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1161DE0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1998E17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3E6EBA7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27E4B22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2EE7FC9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5FCEA64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24B8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D8B068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3D8E513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1F2B0BA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61C56CE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4B2298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73447F9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673EA35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72D1AD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6049BDF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1F88A5B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679F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2694D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57EBC19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246E723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4A2F6B0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485B6C5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0DD4337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669B89C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3C6E0D3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1F5302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2E3634B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E477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24DE6E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2B3D738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570550E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498C9F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4798F92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3FE363D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58B4CC2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3D07A9E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16F0FA9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448E4C6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0B09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9A00A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53DAEC5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D29D2A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71FA0A4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5B3D35A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1EB141E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75D6B69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339F31F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1D5398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21B2F28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F95B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41E96B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2144FF8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1B756D6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36EE6FC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012D477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1936DD0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0B9CD18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52E6653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5F0D155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4D025B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DA6E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627576">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4938646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21C71F2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2736AFB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1A0E9F11">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5558A416">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03735517">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5F10188E">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2921FB8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11240FD6">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7CF44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DE793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65A49E9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47F3BB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79A6CE9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0173D9F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7FB6FF2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1F9FE02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4202F25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643E74E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5B506D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A5BF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A5EFD1">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724A759F">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6FBD820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19B1A9DD">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4B78EB28">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351668F1">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4DBA2D1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78EC451F">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4404632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6CBD4771">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056EB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65FD36">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4A596A15">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5146C485">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58CBEB5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5CF9A627">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72CE9CE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5CCD558C">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7CE6B36D">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60346DB3">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117E7212">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0DE45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942D43">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0C4D6914">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23635E0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380C1A68">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5DABA8E2">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033136E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7EF06951">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5B641202">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7202AD71">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1AA46C34">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42B8D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C6BD5DA">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27F5E358">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13B82D35">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36F92CCD">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437F0126">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64273EF4">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0A3B3C8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32AC676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29222D6D">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20A25AE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493BE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5A2C3FF">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0C219E43">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1A2AE41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6F33F43A">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7BFC90A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20E4524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28193F71">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3035E457">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3DC9F05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2019374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01C7D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BF4B1A2">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31A9A544">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0CC06784">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07CBB81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0BE9E1FD">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4F0FAECC">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5E198673">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6C2BAED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49A296E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6FC91D3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565DB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24FCC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24DF663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58500A5F">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34883FAF">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0E269AAA">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59F65F83">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0ADA547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3E79E0FC">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759F78A9">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210E187C">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r w14:paraId="2D08E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F9B768C">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276" w:type="dxa"/>
            <w:noWrap w:val="0"/>
            <w:vAlign w:val="center"/>
          </w:tcPr>
          <w:p w14:paraId="6EA3AF42">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18" w:type="dxa"/>
            <w:noWrap w:val="0"/>
            <w:vAlign w:val="center"/>
          </w:tcPr>
          <w:p w14:paraId="4360CCEA">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40" w:type="dxa"/>
            <w:noWrap w:val="0"/>
            <w:vAlign w:val="center"/>
          </w:tcPr>
          <w:p w14:paraId="602433FB">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502DA795">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044" w:type="dxa"/>
            <w:noWrap w:val="0"/>
            <w:vAlign w:val="center"/>
          </w:tcPr>
          <w:p w14:paraId="13D067F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2B2C54CC">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851" w:type="dxa"/>
            <w:noWrap w:val="0"/>
            <w:vAlign w:val="center"/>
          </w:tcPr>
          <w:p w14:paraId="1F279ED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1487" w:type="dxa"/>
            <w:noWrap w:val="0"/>
            <w:vAlign w:val="center"/>
          </w:tcPr>
          <w:p w14:paraId="0FD7240D">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c>
          <w:tcPr>
            <w:tcW w:w="992" w:type="dxa"/>
            <w:noWrap w:val="0"/>
            <w:vAlign w:val="center"/>
          </w:tcPr>
          <w:p w14:paraId="0334AA9E">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p>
        </w:tc>
      </w:tr>
    </w:tbl>
    <w:p w14:paraId="614D2AE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4237C12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1403" w:name="_Toc267261693"/>
      <w:bookmarkStart w:id="1404" w:name="_Toc296347225"/>
      <w:bookmarkStart w:id="1405" w:name="_Toc296891054"/>
      <w:bookmarkStart w:id="1406" w:name="_Toc296891266"/>
      <w:bookmarkStart w:id="1407" w:name="_Toc296346727"/>
      <w:bookmarkStart w:id="1408" w:name="_Toc296944565"/>
      <w:bookmarkStart w:id="1409" w:name="_Toc296503226"/>
      <w:r>
        <w:rPr>
          <w:rFonts w:hint="eastAsia" w:ascii="宋体" w:hAnsi="宋体" w:eastAsia="宋体" w:cs="宋体"/>
          <w:color w:val="000000"/>
          <w:sz w:val="21"/>
          <w:szCs w:val="21"/>
          <w:highlight w:val="none"/>
        </w:rPr>
        <w:t>件3：</w:t>
      </w:r>
      <w:bookmarkEnd w:id="1403"/>
      <w:bookmarkEnd w:id="1404"/>
      <w:bookmarkEnd w:id="1405"/>
      <w:bookmarkEnd w:id="1406"/>
      <w:bookmarkEnd w:id="1407"/>
      <w:bookmarkEnd w:id="1408"/>
      <w:bookmarkEnd w:id="1409"/>
      <w:r>
        <w:rPr>
          <w:rFonts w:hint="eastAsia" w:ascii="宋体" w:hAnsi="宋体" w:eastAsia="宋体" w:cs="宋体"/>
          <w:color w:val="000000"/>
          <w:sz w:val="21"/>
          <w:szCs w:val="21"/>
          <w:highlight w:val="none"/>
        </w:rPr>
        <w:t xml:space="preserve">    </w:t>
      </w:r>
    </w:p>
    <w:p w14:paraId="7CAAAFC8">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工程质量保修书</w:t>
      </w:r>
    </w:p>
    <w:p w14:paraId="47DC219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发包人（全称）：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0963573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承包人（全称）：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4931AF8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6054B91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发包人和承包人根据《中华人民共和国建筑法》和《建设工程质量管理条例》，经协商一致就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（工程全称）签订工程质量保修书。</w:t>
      </w:r>
    </w:p>
    <w:p w14:paraId="37C062A4">
      <w:pPr>
        <w:pageBreakBefore w:val="0"/>
        <w:widowControl w:val="0"/>
        <w:kinsoku/>
        <w:wordWrap/>
        <w:overflowPunct/>
        <w:topLinePunct w:val="0"/>
        <w:bidi w:val="0"/>
        <w:snapToGrid w:val="0"/>
        <w:spacing w:line="360" w:lineRule="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bookmarkStart w:id="1410" w:name="_Toc16214"/>
      <w:bookmarkStart w:id="1411" w:name="_Toc9239"/>
      <w:bookmarkStart w:id="1412" w:name="_Toc9552"/>
      <w:bookmarkStart w:id="1413" w:name="_Toc6577"/>
      <w:bookmarkStart w:id="1414" w:name="_Toc22569"/>
      <w:r>
        <w:rPr>
          <w:rFonts w:hint="eastAsia" w:ascii="宋体" w:hAnsi="宋体" w:eastAsia="宋体" w:cs="宋体"/>
          <w:color w:val="000000"/>
          <w:sz w:val="21"/>
          <w:szCs w:val="21"/>
          <w:highlight w:val="none"/>
        </w:rPr>
        <w:t>一、工程质量保修范围和内容</w:t>
      </w:r>
      <w:bookmarkEnd w:id="1410"/>
      <w:bookmarkEnd w:id="1411"/>
      <w:bookmarkEnd w:id="1412"/>
      <w:bookmarkEnd w:id="1413"/>
      <w:bookmarkEnd w:id="1414"/>
    </w:p>
    <w:p w14:paraId="1E70CCD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承包人在质量保修期内，按照有关法律规定和合同约定，承担工程质量保修责任。</w:t>
      </w:r>
    </w:p>
    <w:p w14:paraId="7F784F8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24FC1B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BC2D7C">
      <w:pPr>
        <w:pageBreakBefore w:val="0"/>
        <w:widowControl w:val="0"/>
        <w:kinsoku/>
        <w:wordWrap/>
        <w:overflowPunct/>
        <w:topLinePunct w:val="0"/>
        <w:bidi w:val="0"/>
        <w:snapToGrid w:val="0"/>
        <w:spacing w:line="360" w:lineRule="auto"/>
        <w:outlineLvl w:val="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　　</w:t>
      </w:r>
      <w:bookmarkStart w:id="1415" w:name="_Toc10539"/>
      <w:bookmarkStart w:id="1416" w:name="_Toc30892"/>
      <w:bookmarkStart w:id="1417" w:name="_Toc27317"/>
      <w:bookmarkStart w:id="1418" w:name="_Toc10290"/>
      <w:bookmarkStart w:id="1419" w:name="_Toc15493"/>
      <w:r>
        <w:rPr>
          <w:rFonts w:hint="eastAsia" w:ascii="宋体" w:hAnsi="宋体" w:eastAsia="宋体" w:cs="宋体"/>
          <w:color w:val="000000"/>
          <w:sz w:val="21"/>
          <w:szCs w:val="21"/>
          <w:highlight w:val="none"/>
        </w:rPr>
        <w:t>二、质量保修期</w:t>
      </w:r>
      <w:bookmarkEnd w:id="1415"/>
      <w:bookmarkEnd w:id="1416"/>
      <w:bookmarkEnd w:id="1417"/>
      <w:bookmarkEnd w:id="1418"/>
      <w:bookmarkEnd w:id="1419"/>
    </w:p>
    <w:p w14:paraId="47A2407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根据《建设工程质量管理条例》及有关规定，工程的质量保修期如下：</w:t>
      </w:r>
    </w:p>
    <w:p w14:paraId="18CBBD2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地基基础工程和主体结构工程为设计文件规定的工程合理使用年限；</w:t>
      </w:r>
    </w:p>
    <w:p w14:paraId="66CCD64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屋面防水工程、有防水要求的卫生间、房间和外墙面的防渗     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6DA7B72A">
      <w:pPr>
        <w:pageBreakBefore w:val="0"/>
        <w:widowControl w:val="0"/>
        <w:kinsoku/>
        <w:wordWrap/>
        <w:overflowPunct/>
        <w:topLinePunct w:val="0"/>
        <w:bidi w:val="0"/>
        <w:snapToGrid w:val="0"/>
        <w:spacing w:line="360" w:lineRule="auto"/>
        <w:ind w:left="420" w:leftChars="200" w:firstLine="105" w:firstLineChars="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装修工程为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1DCD9FA3">
      <w:pPr>
        <w:pageBreakBefore w:val="0"/>
        <w:widowControl w:val="0"/>
        <w:kinsoku/>
        <w:wordWrap/>
        <w:overflowPunct/>
        <w:topLinePunct w:val="0"/>
        <w:bidi w:val="0"/>
        <w:snapToGrid w:val="0"/>
        <w:spacing w:line="360" w:lineRule="auto"/>
        <w:ind w:left="420" w:leftChars="200" w:firstLine="105" w:firstLineChars="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电气管线、给排水管道、设备安装工程为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6C50D2B8">
      <w:pPr>
        <w:pageBreakBefore w:val="0"/>
        <w:widowControl w:val="0"/>
        <w:kinsoku/>
        <w:wordWrap/>
        <w:overflowPunct/>
        <w:topLinePunct w:val="0"/>
        <w:bidi w:val="0"/>
        <w:snapToGrid w:val="0"/>
        <w:spacing w:line="360" w:lineRule="auto"/>
        <w:ind w:left="420" w:leftChars="200" w:firstLine="105" w:firstLineChars="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供热与供冷系统为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个采暖期、供冷期；</w:t>
      </w:r>
    </w:p>
    <w:p w14:paraId="15B5E87F">
      <w:pPr>
        <w:pageBreakBefore w:val="0"/>
        <w:widowControl w:val="0"/>
        <w:kinsoku/>
        <w:wordWrap/>
        <w:overflowPunct/>
        <w:topLinePunct w:val="0"/>
        <w:bidi w:val="0"/>
        <w:snapToGrid w:val="0"/>
        <w:spacing w:line="360" w:lineRule="auto"/>
        <w:ind w:left="420" w:leftChars="200" w:firstLine="105" w:firstLineChars="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住宅小区内的给排水设施、道路等配套工程为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15D44C16">
      <w:pPr>
        <w:pageBreakBefore w:val="0"/>
        <w:widowControl w:val="0"/>
        <w:kinsoku/>
        <w:wordWrap/>
        <w:overflowPunct/>
        <w:topLinePunct w:val="0"/>
        <w:bidi w:val="0"/>
        <w:snapToGrid w:val="0"/>
        <w:spacing w:line="360" w:lineRule="auto"/>
        <w:ind w:left="420" w:leftChars="200" w:firstLine="105" w:firstLineChars="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其他项目保修期限约定如下：</w:t>
      </w:r>
    </w:p>
    <w:p w14:paraId="16042EA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CB43A5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质量保修期自工程竣工验收合格之日起计算。</w:t>
      </w:r>
    </w:p>
    <w:p w14:paraId="5B0F64E5">
      <w:pPr>
        <w:pageBreakBefore w:val="0"/>
        <w:widowControl w:val="0"/>
        <w:kinsoku/>
        <w:wordWrap/>
        <w:overflowPunct/>
        <w:topLinePunct w:val="0"/>
        <w:bidi w:val="0"/>
        <w:snapToGrid w:val="0"/>
        <w:spacing w:line="360" w:lineRule="auto"/>
        <w:ind w:firstLine="420" w:firstLineChars="200"/>
        <w:outlineLvl w:val="0"/>
        <w:rPr>
          <w:rFonts w:hint="eastAsia" w:ascii="宋体" w:hAnsi="宋体" w:eastAsia="宋体" w:cs="宋体"/>
          <w:color w:val="000000"/>
          <w:sz w:val="21"/>
          <w:szCs w:val="21"/>
          <w:highlight w:val="none"/>
        </w:rPr>
      </w:pPr>
      <w:bookmarkStart w:id="1420" w:name="_Toc10884"/>
      <w:bookmarkStart w:id="1421" w:name="_Toc25930"/>
      <w:bookmarkStart w:id="1422" w:name="_Toc14762"/>
      <w:bookmarkStart w:id="1423" w:name="_Toc17165"/>
      <w:bookmarkStart w:id="1424" w:name="_Toc26504"/>
      <w:r>
        <w:rPr>
          <w:rFonts w:hint="eastAsia" w:ascii="宋体" w:hAnsi="宋体" w:eastAsia="宋体" w:cs="宋体"/>
          <w:color w:val="000000"/>
          <w:sz w:val="21"/>
          <w:szCs w:val="21"/>
          <w:highlight w:val="none"/>
        </w:rPr>
        <w:t>三、缺陷责任期</w:t>
      </w:r>
      <w:bookmarkEnd w:id="1420"/>
      <w:bookmarkEnd w:id="1421"/>
      <w:bookmarkEnd w:id="1422"/>
      <w:bookmarkEnd w:id="1423"/>
      <w:bookmarkEnd w:id="1424"/>
    </w:p>
    <w:p w14:paraId="48C4A39E">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个月，缺陷责任期自工程通过竣工验收之日起计算。单位工程先于全部工程进行验收，单位工程缺陷责任期自单位工程验收合格之日起算。</w:t>
      </w:r>
    </w:p>
    <w:p w14:paraId="0DB5E539">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缺陷责任期终止后，发包人应退还剩余的质量保证金。</w:t>
      </w:r>
    </w:p>
    <w:p w14:paraId="1A8E6F04">
      <w:pPr>
        <w:pageBreakBefore w:val="0"/>
        <w:widowControl w:val="0"/>
        <w:kinsoku/>
        <w:wordWrap/>
        <w:overflowPunct/>
        <w:topLinePunct w:val="0"/>
        <w:bidi w:val="0"/>
        <w:snapToGrid w:val="0"/>
        <w:spacing w:line="360" w:lineRule="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bookmarkStart w:id="1425" w:name="_Toc21945"/>
      <w:bookmarkStart w:id="1426" w:name="_Toc11899"/>
      <w:bookmarkStart w:id="1427" w:name="_Toc30477"/>
      <w:bookmarkStart w:id="1428" w:name="_Toc6763"/>
      <w:bookmarkStart w:id="1429" w:name="_Toc13635"/>
      <w:r>
        <w:rPr>
          <w:rFonts w:hint="eastAsia" w:ascii="宋体" w:hAnsi="宋体" w:eastAsia="宋体" w:cs="宋体"/>
          <w:color w:val="000000"/>
          <w:sz w:val="21"/>
          <w:szCs w:val="21"/>
          <w:highlight w:val="none"/>
        </w:rPr>
        <w:t>四、质量保修责任</w:t>
      </w:r>
      <w:bookmarkEnd w:id="1425"/>
      <w:bookmarkEnd w:id="1426"/>
      <w:bookmarkEnd w:id="1427"/>
      <w:bookmarkEnd w:id="1428"/>
      <w:bookmarkEnd w:id="1429"/>
    </w:p>
    <w:p w14:paraId="58EE2DCD">
      <w:pPr>
        <w:pageBreakBefore w:val="0"/>
        <w:widowControl w:val="0"/>
        <w:kinsoku/>
        <w:wordWrap/>
        <w:overflowPunct/>
        <w:topLinePunct w:val="0"/>
        <w:bidi w:val="0"/>
        <w:snapToGrid w:val="0"/>
        <w:spacing w:line="360" w:lineRule="auto"/>
        <w:ind w:left="105" w:leftChars="50" w:firstLine="430" w:firstLineChars="20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属于保修范围、内容的项目，承包人应当在接到保修通知之日起7天内派人保修。承包人不在约定期限内派人保修的，发包人可以委托他人修理。</w:t>
      </w:r>
    </w:p>
    <w:p w14:paraId="283EF0B3">
      <w:pPr>
        <w:pageBreakBefore w:val="0"/>
        <w:widowControl w:val="0"/>
        <w:kinsoku/>
        <w:wordWrap/>
        <w:overflowPunct/>
        <w:topLinePunct w:val="0"/>
        <w:bidi w:val="0"/>
        <w:snapToGrid w:val="0"/>
        <w:spacing w:line="360" w:lineRule="auto"/>
        <w:ind w:left="105" w:leftChars="50" w:firstLine="430" w:firstLineChars="20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发生紧急事故需抢修的，承包人在接到事故通知后，应当立即到达事故现场抢修。</w:t>
      </w:r>
    </w:p>
    <w:p w14:paraId="4223FA83">
      <w:pPr>
        <w:pageBreakBefore w:val="0"/>
        <w:widowControl w:val="0"/>
        <w:kinsoku/>
        <w:wordWrap/>
        <w:overflowPunct/>
        <w:topLinePunct w:val="0"/>
        <w:bidi w:val="0"/>
        <w:snapToGrid w:val="0"/>
        <w:spacing w:line="360" w:lineRule="auto"/>
        <w:ind w:left="105" w:leftChars="50" w:firstLine="430" w:firstLineChars="20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13DA38D">
      <w:pPr>
        <w:pageBreakBefore w:val="0"/>
        <w:widowControl w:val="0"/>
        <w:kinsoku/>
        <w:wordWrap/>
        <w:overflowPunct/>
        <w:topLinePunct w:val="0"/>
        <w:bidi w:val="0"/>
        <w:snapToGrid w:val="0"/>
        <w:spacing w:line="360" w:lineRule="auto"/>
        <w:ind w:left="420" w:leftChars="200" w:firstLine="105" w:firstLineChars="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质量保修完成后，由发包人组织验收。</w:t>
      </w:r>
    </w:p>
    <w:p w14:paraId="0E48C4B5">
      <w:pPr>
        <w:pageBreakBefore w:val="0"/>
        <w:widowControl w:val="0"/>
        <w:kinsoku/>
        <w:wordWrap/>
        <w:overflowPunct/>
        <w:topLinePunct w:val="0"/>
        <w:bidi w:val="0"/>
        <w:snapToGrid w:val="0"/>
        <w:spacing w:line="360" w:lineRule="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bookmarkStart w:id="1430" w:name="_Toc1060"/>
      <w:bookmarkStart w:id="1431" w:name="_Toc23287"/>
      <w:bookmarkStart w:id="1432" w:name="_Toc1036"/>
      <w:bookmarkStart w:id="1433" w:name="_Toc31172"/>
      <w:bookmarkStart w:id="1434" w:name="_Toc20636"/>
      <w:r>
        <w:rPr>
          <w:rFonts w:hint="eastAsia" w:ascii="宋体" w:hAnsi="宋体" w:eastAsia="宋体" w:cs="宋体"/>
          <w:color w:val="000000"/>
          <w:sz w:val="21"/>
          <w:szCs w:val="21"/>
          <w:highlight w:val="none"/>
        </w:rPr>
        <w:t>五、保修费用</w:t>
      </w:r>
      <w:bookmarkEnd w:id="1430"/>
      <w:bookmarkEnd w:id="1431"/>
      <w:bookmarkEnd w:id="1432"/>
      <w:bookmarkEnd w:id="1433"/>
      <w:bookmarkEnd w:id="1434"/>
    </w:p>
    <w:p w14:paraId="3DCA7F9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保修费用由造成质量缺陷的责任方承担。</w:t>
      </w:r>
    </w:p>
    <w:p w14:paraId="0688F406">
      <w:pPr>
        <w:pageBreakBefore w:val="0"/>
        <w:widowControl w:val="0"/>
        <w:kinsoku/>
        <w:wordWrap/>
        <w:overflowPunct/>
        <w:topLinePunct w:val="0"/>
        <w:bidi w:val="0"/>
        <w:snapToGrid w:val="0"/>
        <w:spacing w:line="360" w:lineRule="auto"/>
        <w:ind w:firstLine="600"/>
        <w:jc w:val="left"/>
        <w:outlineLvl w:val="0"/>
        <w:rPr>
          <w:rFonts w:hint="eastAsia" w:ascii="宋体" w:hAnsi="宋体" w:eastAsia="宋体" w:cs="宋体"/>
          <w:color w:val="000000"/>
          <w:sz w:val="21"/>
          <w:szCs w:val="21"/>
          <w:highlight w:val="none"/>
          <w:u w:val="single"/>
        </w:rPr>
      </w:pPr>
      <w:bookmarkStart w:id="1435" w:name="_Toc14449"/>
      <w:bookmarkStart w:id="1436" w:name="_Toc29042"/>
      <w:bookmarkStart w:id="1437" w:name="_Toc21534"/>
      <w:bookmarkStart w:id="1438" w:name="_Toc9585"/>
      <w:bookmarkStart w:id="1439" w:name="_Toc24012"/>
      <w:r>
        <w:rPr>
          <w:rFonts w:hint="eastAsia" w:ascii="宋体" w:hAnsi="宋体" w:eastAsia="宋体" w:cs="宋体"/>
          <w:b/>
          <w:color w:val="000000"/>
          <w:sz w:val="21"/>
          <w:szCs w:val="21"/>
          <w:highlight w:val="none"/>
        </w:rPr>
        <w:t>六</w:t>
      </w:r>
      <w:r>
        <w:rPr>
          <w:rFonts w:hint="eastAsia" w:ascii="宋体" w:hAnsi="宋体" w:eastAsia="宋体" w:cs="宋体"/>
          <w:color w:val="000000"/>
          <w:sz w:val="21"/>
          <w:szCs w:val="21"/>
          <w:highlight w:val="none"/>
        </w:rPr>
        <w:t>、双方约定的其他工程质量保修事项：</w:t>
      </w:r>
      <w:bookmarkEnd w:id="1435"/>
      <w:bookmarkEnd w:id="1436"/>
      <w:bookmarkEnd w:id="1437"/>
      <w:bookmarkEnd w:id="1438"/>
      <w:bookmarkEnd w:id="1439"/>
      <w:r>
        <w:rPr>
          <w:rFonts w:hint="eastAsia" w:ascii="宋体" w:hAnsi="宋体" w:eastAsia="宋体" w:cs="宋体"/>
          <w:color w:val="000000"/>
          <w:sz w:val="21"/>
          <w:szCs w:val="21"/>
          <w:highlight w:val="none"/>
          <w:u w:val="single"/>
        </w:rPr>
        <w:t xml:space="preserve">                  </w:t>
      </w:r>
    </w:p>
    <w:p w14:paraId="0504E1DE">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ED96788">
      <w:pPr>
        <w:pageBreakBefore w:val="0"/>
        <w:widowControl w:val="0"/>
        <w:kinsoku/>
        <w:wordWrap/>
        <w:overflowPunct/>
        <w:topLinePunct w:val="0"/>
        <w:bidi w:val="0"/>
        <w:snapToGrid w:val="0"/>
        <w:spacing w:line="360" w:lineRule="auto"/>
        <w:ind w:firstLine="399" w:firstLineChars="19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工程质量保修书由发包人、承包人在工程竣工验收前共同签署，作为施工合同附件，其有效期限至保修期满。</w:t>
      </w:r>
    </w:p>
    <w:p w14:paraId="1C5E09CE">
      <w:pPr>
        <w:pageBreakBefore w:val="0"/>
        <w:widowControl w:val="0"/>
        <w:kinsoku/>
        <w:wordWrap/>
        <w:overflowPunct/>
        <w:topLinePunct w:val="0"/>
        <w:bidi w:val="0"/>
        <w:snapToGrid w:val="0"/>
        <w:spacing w:line="360" w:lineRule="auto"/>
        <w:ind w:firstLine="420"/>
        <w:rPr>
          <w:rFonts w:hint="eastAsia" w:ascii="宋体" w:hAnsi="宋体" w:eastAsia="宋体" w:cs="宋体"/>
          <w:color w:val="000000"/>
          <w:sz w:val="21"/>
          <w:szCs w:val="21"/>
          <w:highlight w:val="none"/>
        </w:rPr>
      </w:pPr>
    </w:p>
    <w:p w14:paraId="2CDC26D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发包人(公章)：</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 xml:space="preserve"> 承包人(公章)：</w:t>
      </w:r>
      <w:r>
        <w:rPr>
          <w:rFonts w:hint="eastAsia" w:ascii="宋体" w:hAnsi="宋体" w:eastAsia="宋体" w:cs="宋体"/>
          <w:color w:val="000000"/>
          <w:sz w:val="21"/>
          <w:szCs w:val="21"/>
          <w:highlight w:val="none"/>
          <w:u w:val="single"/>
        </w:rPr>
        <w:t xml:space="preserve">           </w:t>
      </w:r>
    </w:p>
    <w:p w14:paraId="7D208CE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地  址：</w:t>
      </w:r>
      <w:r>
        <w:rPr>
          <w:rFonts w:hint="eastAsia" w:ascii="宋体" w:hAnsi="宋体" w:eastAsia="宋体" w:cs="宋体"/>
          <w:color w:val="000000"/>
          <w:sz w:val="21"/>
          <w:szCs w:val="21"/>
          <w:highlight w:val="none"/>
          <w:u w:val="single"/>
        </w:rPr>
        <w:t xml:space="preserve">       </w:t>
      </w:r>
    </w:p>
    <w:p w14:paraId="010AF42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法定代表人(签字)：</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法定代表人(签字)：</w:t>
      </w:r>
      <w:r>
        <w:rPr>
          <w:rFonts w:hint="eastAsia" w:ascii="宋体" w:hAnsi="宋体" w:eastAsia="宋体" w:cs="宋体"/>
          <w:color w:val="000000"/>
          <w:sz w:val="21"/>
          <w:szCs w:val="21"/>
          <w:highlight w:val="none"/>
          <w:u w:val="single"/>
        </w:rPr>
        <w:t xml:space="preserve">       </w:t>
      </w:r>
    </w:p>
    <w:p w14:paraId="0042FFB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委托代理人(签字)：</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委托代理人(签字)：</w:t>
      </w:r>
      <w:r>
        <w:rPr>
          <w:rFonts w:hint="eastAsia" w:ascii="宋体" w:hAnsi="宋体" w:eastAsia="宋体" w:cs="宋体"/>
          <w:color w:val="000000"/>
          <w:sz w:val="21"/>
          <w:szCs w:val="21"/>
          <w:highlight w:val="none"/>
          <w:u w:val="single"/>
        </w:rPr>
        <w:t xml:space="preserve">       </w:t>
      </w:r>
    </w:p>
    <w:p w14:paraId="2658DCD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  话：</w:t>
      </w:r>
      <w:r>
        <w:rPr>
          <w:rFonts w:hint="eastAsia" w:ascii="宋体" w:hAnsi="宋体" w:eastAsia="宋体" w:cs="宋体"/>
          <w:color w:val="000000"/>
          <w:sz w:val="21"/>
          <w:szCs w:val="21"/>
          <w:highlight w:val="none"/>
          <w:u w:val="single"/>
        </w:rPr>
        <w:t xml:space="preserve">     </w:t>
      </w:r>
    </w:p>
    <w:p w14:paraId="1343AFD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传  真：</w:t>
      </w:r>
      <w:r>
        <w:rPr>
          <w:rFonts w:hint="eastAsia" w:ascii="宋体" w:hAnsi="宋体" w:eastAsia="宋体" w:cs="宋体"/>
          <w:color w:val="000000"/>
          <w:sz w:val="21"/>
          <w:szCs w:val="21"/>
          <w:highlight w:val="none"/>
          <w:u w:val="single"/>
        </w:rPr>
        <w:t xml:space="preserve">     </w:t>
      </w:r>
    </w:p>
    <w:p w14:paraId="04C7E9F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开户银行：</w:t>
      </w:r>
      <w:r>
        <w:rPr>
          <w:rFonts w:hint="eastAsia" w:ascii="宋体" w:hAnsi="宋体" w:eastAsia="宋体" w:cs="宋体"/>
          <w:color w:val="000000"/>
          <w:sz w:val="21"/>
          <w:szCs w:val="21"/>
          <w:highlight w:val="none"/>
          <w:u w:val="single"/>
        </w:rPr>
        <w:t xml:space="preserve">   </w:t>
      </w:r>
    </w:p>
    <w:p w14:paraId="32BC507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账  号：</w:t>
      </w:r>
      <w:r>
        <w:rPr>
          <w:rFonts w:hint="eastAsia" w:ascii="宋体" w:hAnsi="宋体" w:eastAsia="宋体" w:cs="宋体"/>
          <w:color w:val="000000"/>
          <w:sz w:val="21"/>
          <w:szCs w:val="21"/>
          <w:highlight w:val="none"/>
          <w:u w:val="single"/>
        </w:rPr>
        <w:t xml:space="preserve">     </w:t>
      </w:r>
    </w:p>
    <w:p w14:paraId="5B98F9A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邮政编码：</w:t>
      </w:r>
      <w:r>
        <w:rPr>
          <w:rFonts w:hint="eastAsia" w:ascii="宋体" w:hAnsi="宋体" w:eastAsia="宋体" w:cs="宋体"/>
          <w:color w:val="000000"/>
          <w:sz w:val="21"/>
          <w:szCs w:val="21"/>
          <w:highlight w:val="none"/>
          <w:u w:val="single"/>
        </w:rPr>
        <w:t xml:space="preserve">   </w:t>
      </w:r>
    </w:p>
    <w:p w14:paraId="7BD6ECB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color w:val="000000"/>
          <w:sz w:val="21"/>
          <w:szCs w:val="21"/>
          <w:highlight w:val="none"/>
        </w:rPr>
        <w:t>附件4：</w:t>
      </w:r>
    </w:p>
    <w:p w14:paraId="7DA5796B">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主要建设工程文件目录</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C624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01AB808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文件名称</w:t>
            </w:r>
          </w:p>
        </w:tc>
        <w:tc>
          <w:tcPr>
            <w:tcW w:w="1276" w:type="dxa"/>
            <w:tcBorders>
              <w:top w:val="single" w:color="auto" w:sz="12" w:space="0"/>
              <w:bottom w:val="double" w:color="auto" w:sz="6" w:space="0"/>
            </w:tcBorders>
            <w:noWrap w:val="0"/>
            <w:vAlign w:val="center"/>
          </w:tcPr>
          <w:p w14:paraId="3C25B3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3DBBDDB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6C055AC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6712B060">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移交时间</w:t>
            </w:r>
          </w:p>
        </w:tc>
        <w:tc>
          <w:tcPr>
            <w:tcW w:w="1667" w:type="dxa"/>
            <w:tcBorders>
              <w:top w:val="single" w:color="auto" w:sz="12" w:space="0"/>
              <w:bottom w:val="double" w:color="auto" w:sz="6" w:space="0"/>
            </w:tcBorders>
            <w:noWrap w:val="0"/>
            <w:vAlign w:val="top"/>
          </w:tcPr>
          <w:p w14:paraId="5145637D">
            <w:pPr>
              <w:pageBreakBefore w:val="0"/>
              <w:widowControl w:val="0"/>
              <w:kinsoku/>
              <w:wordWrap/>
              <w:overflowPunct/>
              <w:topLinePunct w:val="0"/>
              <w:bidi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责任人</w:t>
            </w:r>
          </w:p>
        </w:tc>
      </w:tr>
      <w:tr w14:paraId="1C74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E9C794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14:paraId="6E75F4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3E0E02E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749A0B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17A91CF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tcBorders>
              <w:top w:val="double" w:color="auto" w:sz="6" w:space="0"/>
              <w:bottom w:val="single" w:color="auto" w:sz="6" w:space="0"/>
            </w:tcBorders>
            <w:noWrap w:val="0"/>
            <w:vAlign w:val="center"/>
          </w:tcPr>
          <w:p w14:paraId="2A258A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927B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0A662B4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tcBorders>
              <w:top w:val="nil"/>
            </w:tcBorders>
            <w:noWrap w:val="0"/>
            <w:vAlign w:val="center"/>
          </w:tcPr>
          <w:p w14:paraId="56A933D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tcBorders>
              <w:top w:val="nil"/>
            </w:tcBorders>
            <w:noWrap w:val="0"/>
            <w:vAlign w:val="center"/>
          </w:tcPr>
          <w:p w14:paraId="2876322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tcBorders>
              <w:top w:val="nil"/>
            </w:tcBorders>
            <w:noWrap w:val="0"/>
            <w:vAlign w:val="center"/>
          </w:tcPr>
          <w:p w14:paraId="10A83F5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tcBorders>
              <w:top w:val="nil"/>
            </w:tcBorders>
            <w:noWrap w:val="0"/>
            <w:vAlign w:val="center"/>
          </w:tcPr>
          <w:p w14:paraId="3E00985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tcBorders>
              <w:top w:val="nil"/>
            </w:tcBorders>
            <w:noWrap w:val="0"/>
            <w:vAlign w:val="center"/>
          </w:tcPr>
          <w:p w14:paraId="7042C71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0F7A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1A5599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47AAD67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0891E38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23B4C79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3EC48C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3CC4AC1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7D6A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8AE904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54D5B02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48DEF69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4F856CB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17E1C7F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594BD04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CDA4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4CECFC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57EE3C2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505BA0D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6932F4E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471E344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59C3534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BDAB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04B749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55568DA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5FAD504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53858EA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15F423C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29561A4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9DA1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34A253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29F683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3690E6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484C97A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364AB37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01E4C0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2E29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68F8DC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1620F31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586F2DB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65E57F3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2C6F7E5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0BE9213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E24D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A715EFE">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7A2C389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5B2D34B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07FF27E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56A89BB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36C9442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4B4B8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24D728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30DD6C3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0D0975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2013B04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6E80D2D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6504238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BB7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EE5894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397796B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4199696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3DB57F0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589B8F3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7B38655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2DC2E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AFDC29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1CEDC88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4C3A555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68F18FE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4DDE95D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0423E77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0D372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1FC3D7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7BF5C1C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7925143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70B4ADF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579156D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3BFF60D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7D046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AB4064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4C7249C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3528102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3744B9C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4CC5E71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6B3405B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19AE7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9EAEA8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55E28EC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0F3354A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782668F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28B2FB1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593EA69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02EB5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F82DB2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675D153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06BFC33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2D0BE93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2684DCD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7515AFF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20D56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AC1007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2D5364C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3A45D81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78C039A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5CF75CF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4314E33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2123E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AA90B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0019762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0383675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1A4DF2D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51DA665E">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773610F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75B73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02F1EE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76" w:type="dxa"/>
            <w:noWrap w:val="0"/>
            <w:vAlign w:val="top"/>
          </w:tcPr>
          <w:p w14:paraId="7D82EAF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27F382A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243" w:type="dxa"/>
            <w:noWrap w:val="0"/>
            <w:vAlign w:val="top"/>
          </w:tcPr>
          <w:p w14:paraId="12AEA47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50" w:type="dxa"/>
            <w:noWrap w:val="0"/>
            <w:vAlign w:val="top"/>
          </w:tcPr>
          <w:p w14:paraId="4EC25B9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667" w:type="dxa"/>
            <w:noWrap w:val="0"/>
            <w:vAlign w:val="top"/>
          </w:tcPr>
          <w:p w14:paraId="793C537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bl>
    <w:p w14:paraId="4A17DC5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4B5C8DB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1440" w:name="_Toc296891267"/>
      <w:bookmarkStart w:id="1441" w:name="_Toc296503227"/>
      <w:bookmarkStart w:id="1442" w:name="_Toc296891055"/>
      <w:bookmarkStart w:id="1443" w:name="_Toc296347226"/>
      <w:bookmarkStart w:id="1444" w:name="_Toc296346728"/>
      <w:bookmarkStart w:id="1445" w:name="_Toc267261698"/>
      <w:bookmarkStart w:id="1446" w:name="_Toc296944566"/>
      <w:r>
        <w:rPr>
          <w:rFonts w:hint="eastAsia" w:ascii="宋体" w:hAnsi="宋体" w:eastAsia="宋体" w:cs="宋体"/>
          <w:color w:val="000000"/>
          <w:sz w:val="21"/>
          <w:szCs w:val="21"/>
          <w:highlight w:val="none"/>
        </w:rPr>
        <w:t>件5：</w:t>
      </w:r>
    </w:p>
    <w:bookmarkEnd w:id="1440"/>
    <w:bookmarkEnd w:id="1441"/>
    <w:bookmarkEnd w:id="1442"/>
    <w:bookmarkEnd w:id="1443"/>
    <w:bookmarkEnd w:id="1444"/>
    <w:bookmarkEnd w:id="1445"/>
    <w:bookmarkEnd w:id="1446"/>
    <w:p w14:paraId="2F9D36F9">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306D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0BFA74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522D7BE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5A1E3EC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56FEC4B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1B79FEF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产地</w:t>
            </w:r>
          </w:p>
        </w:tc>
        <w:tc>
          <w:tcPr>
            <w:tcW w:w="1020" w:type="dxa"/>
            <w:tcBorders>
              <w:top w:val="single" w:color="auto" w:sz="12" w:space="0"/>
              <w:bottom w:val="double" w:color="auto" w:sz="6" w:space="0"/>
            </w:tcBorders>
            <w:noWrap w:val="0"/>
            <w:vAlign w:val="center"/>
          </w:tcPr>
          <w:p w14:paraId="6F9AA1F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制造年份</w:t>
            </w:r>
          </w:p>
        </w:tc>
        <w:tc>
          <w:tcPr>
            <w:tcW w:w="1480" w:type="dxa"/>
            <w:tcBorders>
              <w:top w:val="single" w:color="auto" w:sz="12" w:space="0"/>
              <w:bottom w:val="double" w:color="auto" w:sz="6" w:space="0"/>
            </w:tcBorders>
            <w:noWrap w:val="0"/>
            <w:vAlign w:val="center"/>
          </w:tcPr>
          <w:p w14:paraId="7433E24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额定功率(kW)</w:t>
            </w:r>
          </w:p>
        </w:tc>
        <w:tc>
          <w:tcPr>
            <w:tcW w:w="1020" w:type="dxa"/>
            <w:tcBorders>
              <w:top w:val="single" w:color="auto" w:sz="12" w:space="0"/>
              <w:bottom w:val="double" w:color="auto" w:sz="6" w:space="0"/>
            </w:tcBorders>
            <w:noWrap w:val="0"/>
            <w:vAlign w:val="center"/>
          </w:tcPr>
          <w:p w14:paraId="35452B7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生产能力</w:t>
            </w:r>
          </w:p>
        </w:tc>
        <w:tc>
          <w:tcPr>
            <w:tcW w:w="921" w:type="dxa"/>
            <w:tcBorders>
              <w:top w:val="single" w:color="auto" w:sz="12" w:space="0"/>
              <w:bottom w:val="double" w:color="auto" w:sz="6" w:space="0"/>
            </w:tcBorders>
            <w:noWrap w:val="0"/>
            <w:vAlign w:val="center"/>
          </w:tcPr>
          <w:p w14:paraId="3156EFF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78D3B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527D438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3E1AE10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5757604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38F4B58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3DFC56E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14:paraId="224EC3A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tcBorders>
              <w:top w:val="double" w:color="auto" w:sz="6" w:space="0"/>
              <w:bottom w:val="single" w:color="auto" w:sz="6" w:space="0"/>
            </w:tcBorders>
            <w:noWrap w:val="0"/>
            <w:vAlign w:val="center"/>
          </w:tcPr>
          <w:p w14:paraId="6F278D9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14:paraId="3DD9DB0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tcBorders>
              <w:top w:val="double" w:color="auto" w:sz="6" w:space="0"/>
              <w:bottom w:val="single" w:color="auto" w:sz="6" w:space="0"/>
            </w:tcBorders>
            <w:noWrap w:val="0"/>
            <w:vAlign w:val="center"/>
          </w:tcPr>
          <w:p w14:paraId="3356C6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B8EA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D1A03C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center"/>
          </w:tcPr>
          <w:p w14:paraId="267C1AA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573CE60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tcBorders>
              <w:top w:val="nil"/>
            </w:tcBorders>
            <w:noWrap w:val="0"/>
            <w:vAlign w:val="center"/>
          </w:tcPr>
          <w:p w14:paraId="27187EE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tcBorders>
              <w:top w:val="nil"/>
            </w:tcBorders>
            <w:noWrap w:val="0"/>
            <w:vAlign w:val="center"/>
          </w:tcPr>
          <w:p w14:paraId="2726D98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tcBorders>
              <w:top w:val="nil"/>
            </w:tcBorders>
            <w:noWrap w:val="0"/>
            <w:vAlign w:val="center"/>
          </w:tcPr>
          <w:p w14:paraId="4AA8279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tcBorders>
              <w:top w:val="nil"/>
            </w:tcBorders>
            <w:noWrap w:val="0"/>
            <w:vAlign w:val="center"/>
          </w:tcPr>
          <w:p w14:paraId="1DC73EA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tcBorders>
              <w:top w:val="nil"/>
            </w:tcBorders>
            <w:noWrap w:val="0"/>
            <w:vAlign w:val="center"/>
          </w:tcPr>
          <w:p w14:paraId="338D4DD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tcBorders>
              <w:top w:val="nil"/>
            </w:tcBorders>
            <w:noWrap w:val="0"/>
            <w:vAlign w:val="center"/>
          </w:tcPr>
          <w:p w14:paraId="5FC13A2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92AE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733FE4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7ABF1FE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3F5D88E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092886D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371C17B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00F8FD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5A216B0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5101E85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09B6BD5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72B7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2F1A33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93764D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24D4BBA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4EDB88B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3DD3917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042FEE3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59A742E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364E589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2966548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DB92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4F6509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E3779F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0FEE347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6BB4FD8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299E8AE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370AC0B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1315ED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58E1A88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713CE5F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4381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9C7CD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EABDB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26646C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19DA7E9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4872212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093B008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09893B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735F7DA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424EF2E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FD40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F2A93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FAFEA7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25B4C02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4CA2310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1713F6F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58FEB34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7CDFE2F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0F5EFC6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72B4DC9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82E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CF07A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BB6022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6484267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189093C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04071C2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60ED9B6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141CC72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754E7A7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23C5488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212B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AC47F7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049A7FD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487D41E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21B3C62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08DC095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34B175D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33D1C11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184890A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1BE1659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2C42C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B0DAA6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382EFCF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0D6C76D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0A2EC7E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2B6A42B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45A79C6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02BB562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5E1747E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31FB1F5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4B11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11B56A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1F6124F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1F4C004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5F2A7A8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466A558E">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16A3491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6D911DE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48B6733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31943BB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03200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0F3ACC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5F744D3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47A0011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0833BF1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400DCCC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20412AE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16CADA5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090949D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6E2AD0D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3A2EC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17238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0FDF96D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3CED88A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098D32D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5D5A9FC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341D1FD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2F2BC66E">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2A7F6B7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338AD74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51D5E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0C3625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50D2131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4C57EF6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4F2F9A3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39F57AF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6CFF825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6B92CF0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5F7A8D8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29B6758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78C7C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893433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5F04830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36291CB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114EC39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3602494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27429D1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070924C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25DF0D2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6E25E58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22419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AAC9FF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3B763A2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5682B85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368E5A2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4F6C992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29DAA2E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49A840A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4FCF346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51A8A86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762F6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ECF582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6C975EC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24094EF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1255A7D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2A64FC9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5C2A1D0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16BBAA5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7214518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163CF98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44754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33FD41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5FC61CE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6E564E4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4E8BAFA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5103C9E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0DC7795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7B28F06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13235C8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7778AC6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r w14:paraId="2C292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1D78BAE">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18" w:type="dxa"/>
            <w:noWrap w:val="0"/>
            <w:vAlign w:val="top"/>
          </w:tcPr>
          <w:p w14:paraId="4626058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50" w:type="dxa"/>
            <w:noWrap w:val="0"/>
            <w:vAlign w:val="top"/>
          </w:tcPr>
          <w:p w14:paraId="7934AA4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58" w:type="dxa"/>
            <w:noWrap w:val="0"/>
            <w:vAlign w:val="top"/>
          </w:tcPr>
          <w:p w14:paraId="51FEBB9D">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880" w:type="dxa"/>
            <w:noWrap w:val="0"/>
            <w:vAlign w:val="top"/>
          </w:tcPr>
          <w:p w14:paraId="29AFC9D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0C97E04B">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480" w:type="dxa"/>
            <w:noWrap w:val="0"/>
            <w:vAlign w:val="top"/>
          </w:tcPr>
          <w:p w14:paraId="748A6058">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1020" w:type="dxa"/>
            <w:noWrap w:val="0"/>
            <w:vAlign w:val="top"/>
          </w:tcPr>
          <w:p w14:paraId="2D470A3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c>
          <w:tcPr>
            <w:tcW w:w="921" w:type="dxa"/>
            <w:noWrap w:val="0"/>
            <w:vAlign w:val="top"/>
          </w:tcPr>
          <w:p w14:paraId="625FEC6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tc>
      </w:tr>
    </w:tbl>
    <w:p w14:paraId="466DC1D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1447" w:name="_Toc296891268"/>
      <w:bookmarkStart w:id="1448" w:name="_Toc267261699"/>
      <w:bookmarkStart w:id="1449" w:name="_Toc296891056"/>
      <w:bookmarkStart w:id="1450" w:name="_Toc296347227"/>
      <w:bookmarkStart w:id="1451" w:name="_Toc296346729"/>
      <w:bookmarkStart w:id="1452" w:name="_Toc296503228"/>
      <w:bookmarkStart w:id="1453" w:name="_Toc296944567"/>
      <w:r>
        <w:rPr>
          <w:rFonts w:hint="eastAsia" w:ascii="宋体" w:hAnsi="宋体" w:eastAsia="宋体" w:cs="宋体"/>
          <w:color w:val="000000"/>
          <w:sz w:val="21"/>
          <w:szCs w:val="21"/>
          <w:highlight w:val="none"/>
        </w:rPr>
        <w:t>件6：</w:t>
      </w:r>
    </w:p>
    <w:bookmarkEnd w:id="1447"/>
    <w:bookmarkEnd w:id="1448"/>
    <w:bookmarkEnd w:id="1449"/>
    <w:bookmarkEnd w:id="1450"/>
    <w:bookmarkEnd w:id="1451"/>
    <w:bookmarkEnd w:id="1452"/>
    <w:bookmarkEnd w:id="1453"/>
    <w:p w14:paraId="20B83568">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6509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915471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1688475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1DDB3EE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1A98916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14:paraId="5B02E8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主要资历、经验及承担过的项目</w:t>
            </w:r>
          </w:p>
        </w:tc>
      </w:tr>
      <w:tr w14:paraId="4E890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5677D9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一、总部人员</w:t>
            </w:r>
          </w:p>
        </w:tc>
      </w:tr>
      <w:tr w14:paraId="6DC22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AEB3C0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项目主管</w:t>
            </w:r>
          </w:p>
        </w:tc>
        <w:tc>
          <w:tcPr>
            <w:tcW w:w="1418" w:type="dxa"/>
            <w:tcBorders>
              <w:top w:val="nil"/>
            </w:tcBorders>
            <w:noWrap w:val="0"/>
            <w:vAlign w:val="center"/>
          </w:tcPr>
          <w:p w14:paraId="6B60A1E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02F628C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5CF3AA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tcBorders>
              <w:top w:val="nil"/>
            </w:tcBorders>
            <w:noWrap w:val="0"/>
            <w:vAlign w:val="center"/>
          </w:tcPr>
          <w:p w14:paraId="2585AED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F3DB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96AD55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5BE302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2382DE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BCE6CF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4071F8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3186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D3ECE0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4A74239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C1EFB0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65C65F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6AAE68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3B94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6C1268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E1D065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5645E2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39D0E1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AAF7B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1F52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8E5E91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二、现场人员</w:t>
            </w:r>
          </w:p>
        </w:tc>
      </w:tr>
      <w:tr w14:paraId="1162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C39AD6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项目经理</w:t>
            </w:r>
          </w:p>
        </w:tc>
        <w:tc>
          <w:tcPr>
            <w:tcW w:w="1418" w:type="dxa"/>
            <w:noWrap w:val="0"/>
            <w:vAlign w:val="center"/>
          </w:tcPr>
          <w:p w14:paraId="40808BC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D8B562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CA9A2B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6E4F08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4815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BBC39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项目副经理</w:t>
            </w:r>
          </w:p>
        </w:tc>
        <w:tc>
          <w:tcPr>
            <w:tcW w:w="1418" w:type="dxa"/>
            <w:noWrap w:val="0"/>
            <w:vAlign w:val="center"/>
          </w:tcPr>
          <w:p w14:paraId="74C927B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38B1D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1D60D5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BD4CC2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0902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28C97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技术负责人</w:t>
            </w:r>
          </w:p>
        </w:tc>
        <w:tc>
          <w:tcPr>
            <w:tcW w:w="1418" w:type="dxa"/>
            <w:noWrap w:val="0"/>
            <w:vAlign w:val="center"/>
          </w:tcPr>
          <w:p w14:paraId="173A887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9AD5C0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B14087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39CDF6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1512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201DB4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造价管理</w:t>
            </w:r>
          </w:p>
        </w:tc>
        <w:tc>
          <w:tcPr>
            <w:tcW w:w="1418" w:type="dxa"/>
            <w:noWrap w:val="0"/>
            <w:vAlign w:val="center"/>
          </w:tcPr>
          <w:p w14:paraId="61D7043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290CCD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F81611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BD2730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B445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A8556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质量管理</w:t>
            </w:r>
          </w:p>
        </w:tc>
        <w:tc>
          <w:tcPr>
            <w:tcW w:w="1418" w:type="dxa"/>
            <w:noWrap w:val="0"/>
            <w:vAlign w:val="center"/>
          </w:tcPr>
          <w:p w14:paraId="36DB4DD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54CD4B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F32F7C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038C1D9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2F16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CDDB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材料管理</w:t>
            </w:r>
          </w:p>
        </w:tc>
        <w:tc>
          <w:tcPr>
            <w:tcW w:w="1418" w:type="dxa"/>
            <w:noWrap w:val="0"/>
            <w:vAlign w:val="center"/>
          </w:tcPr>
          <w:p w14:paraId="111CEB6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81DD58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5EC75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01B10E1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8F3B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A151BB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计划管理</w:t>
            </w:r>
          </w:p>
        </w:tc>
        <w:tc>
          <w:tcPr>
            <w:tcW w:w="1418" w:type="dxa"/>
            <w:noWrap w:val="0"/>
            <w:vAlign w:val="center"/>
          </w:tcPr>
          <w:p w14:paraId="78B97F1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D3A16F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FA67B4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448CD4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B94B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96CB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安全管理</w:t>
            </w:r>
          </w:p>
        </w:tc>
        <w:tc>
          <w:tcPr>
            <w:tcW w:w="1418" w:type="dxa"/>
            <w:noWrap w:val="0"/>
            <w:vAlign w:val="center"/>
          </w:tcPr>
          <w:p w14:paraId="1289EAB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D5414C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BEB7FD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0B0866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0085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4AEBEE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45D754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9DC1FE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960680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E082CC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63C8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5F785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bottom w:val="nil"/>
            </w:tcBorders>
            <w:noWrap w:val="0"/>
            <w:vAlign w:val="center"/>
          </w:tcPr>
          <w:p w14:paraId="3D2DA2F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120A1DB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19F110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tcBorders>
              <w:bottom w:val="nil"/>
            </w:tcBorders>
            <w:noWrap w:val="0"/>
            <w:vAlign w:val="center"/>
          </w:tcPr>
          <w:p w14:paraId="64B3BF3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B5A8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34320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1C7DF3A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F5E2EA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F1C18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70D157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3C4F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58E5FF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ECFA2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61F57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7B8797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95C411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E140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2ABDCB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550995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320154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5B79D7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F1CE4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A78D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0F5B48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bottom w:val="single" w:color="auto" w:sz="12" w:space="0"/>
            </w:tcBorders>
            <w:noWrap w:val="0"/>
            <w:vAlign w:val="center"/>
          </w:tcPr>
          <w:p w14:paraId="4DDF2FA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3AF28CC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3072F10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tcBorders>
              <w:bottom w:val="single" w:color="auto" w:sz="12" w:space="0"/>
            </w:tcBorders>
            <w:noWrap w:val="0"/>
            <w:vAlign w:val="center"/>
          </w:tcPr>
          <w:p w14:paraId="7930A0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bl>
    <w:p w14:paraId="542D0D6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1454" w:name="_Toc296891269"/>
      <w:bookmarkStart w:id="1455" w:name="_Toc296944568"/>
      <w:bookmarkStart w:id="1456" w:name="_Toc296346730"/>
      <w:bookmarkStart w:id="1457" w:name="_Toc296347228"/>
      <w:bookmarkStart w:id="1458" w:name="_Toc296891057"/>
      <w:bookmarkStart w:id="1459" w:name="_Toc296503229"/>
      <w:r>
        <w:rPr>
          <w:rFonts w:hint="eastAsia" w:ascii="宋体" w:hAnsi="宋体" w:eastAsia="宋体" w:cs="宋体"/>
          <w:color w:val="000000"/>
          <w:sz w:val="21"/>
          <w:szCs w:val="21"/>
          <w:highlight w:val="none"/>
        </w:rPr>
        <w:t>件7：</w:t>
      </w:r>
    </w:p>
    <w:bookmarkEnd w:id="1454"/>
    <w:bookmarkEnd w:id="1455"/>
    <w:bookmarkEnd w:id="1456"/>
    <w:bookmarkEnd w:id="1457"/>
    <w:bookmarkEnd w:id="1458"/>
    <w:bookmarkEnd w:id="1459"/>
    <w:p w14:paraId="502459A4">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分包人主要施工管理人员表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587A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6876A0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1B09C80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52DA2B0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66EB45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14:paraId="1698ECB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主要资历、经验及承担过的项目</w:t>
            </w:r>
          </w:p>
        </w:tc>
      </w:tr>
      <w:tr w14:paraId="155B8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085A6E5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一、总部人员</w:t>
            </w:r>
          </w:p>
        </w:tc>
      </w:tr>
      <w:tr w14:paraId="27CD1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3AF31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项目主管</w:t>
            </w:r>
          </w:p>
        </w:tc>
        <w:tc>
          <w:tcPr>
            <w:tcW w:w="1418" w:type="dxa"/>
            <w:tcBorders>
              <w:top w:val="nil"/>
            </w:tcBorders>
            <w:noWrap w:val="0"/>
            <w:vAlign w:val="center"/>
          </w:tcPr>
          <w:p w14:paraId="4773C6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5CCA66E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625CE10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tcBorders>
              <w:top w:val="nil"/>
            </w:tcBorders>
            <w:noWrap w:val="0"/>
            <w:vAlign w:val="center"/>
          </w:tcPr>
          <w:p w14:paraId="69BAA64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AB91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B1F4EE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5CD911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92537C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4E4A94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C944C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5702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46B25A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784C465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17E433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1A98A2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B5A335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6791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16E8ED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235FE1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CB156B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C8065F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1A2D95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98A9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D0A300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二、现场人员</w:t>
            </w:r>
          </w:p>
        </w:tc>
      </w:tr>
      <w:tr w14:paraId="1758A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849DD7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项目经理</w:t>
            </w:r>
          </w:p>
        </w:tc>
        <w:tc>
          <w:tcPr>
            <w:tcW w:w="1418" w:type="dxa"/>
            <w:noWrap w:val="0"/>
            <w:vAlign w:val="center"/>
          </w:tcPr>
          <w:p w14:paraId="398D70D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FE3A97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AAEB7F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735F45B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226F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E039A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项目副经理</w:t>
            </w:r>
          </w:p>
        </w:tc>
        <w:tc>
          <w:tcPr>
            <w:tcW w:w="1418" w:type="dxa"/>
            <w:noWrap w:val="0"/>
            <w:vAlign w:val="center"/>
          </w:tcPr>
          <w:p w14:paraId="2ED92B1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5984E5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B2800F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13DA3C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FD27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D6ADA1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技术负责人</w:t>
            </w:r>
          </w:p>
        </w:tc>
        <w:tc>
          <w:tcPr>
            <w:tcW w:w="1418" w:type="dxa"/>
            <w:noWrap w:val="0"/>
            <w:vAlign w:val="center"/>
          </w:tcPr>
          <w:p w14:paraId="781AD57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F03E16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B80B3F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5C5343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5812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DD68D3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造价管理</w:t>
            </w:r>
          </w:p>
        </w:tc>
        <w:tc>
          <w:tcPr>
            <w:tcW w:w="1418" w:type="dxa"/>
            <w:noWrap w:val="0"/>
            <w:vAlign w:val="center"/>
          </w:tcPr>
          <w:p w14:paraId="1D80A91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9EBACF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0474AA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B89307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A6DE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04E66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质量管理</w:t>
            </w:r>
          </w:p>
        </w:tc>
        <w:tc>
          <w:tcPr>
            <w:tcW w:w="1418" w:type="dxa"/>
            <w:noWrap w:val="0"/>
            <w:vAlign w:val="center"/>
          </w:tcPr>
          <w:p w14:paraId="6073C16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D16985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227853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097C188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2044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9C7A97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材料管理</w:t>
            </w:r>
          </w:p>
        </w:tc>
        <w:tc>
          <w:tcPr>
            <w:tcW w:w="1418" w:type="dxa"/>
            <w:noWrap w:val="0"/>
            <w:vAlign w:val="center"/>
          </w:tcPr>
          <w:p w14:paraId="68B4B12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EFF28C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66BF82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23B63B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333D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733B5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计划管理</w:t>
            </w:r>
          </w:p>
        </w:tc>
        <w:tc>
          <w:tcPr>
            <w:tcW w:w="1418" w:type="dxa"/>
            <w:noWrap w:val="0"/>
            <w:vAlign w:val="center"/>
          </w:tcPr>
          <w:p w14:paraId="41C1836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CD0BB2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8457AC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898B36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2E68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A7E14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安全管理</w:t>
            </w:r>
          </w:p>
        </w:tc>
        <w:tc>
          <w:tcPr>
            <w:tcW w:w="1418" w:type="dxa"/>
            <w:noWrap w:val="0"/>
            <w:vAlign w:val="center"/>
          </w:tcPr>
          <w:p w14:paraId="15EDE4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FDCAF5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1AD172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09C13E4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B491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7A393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7F3B03E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33AEF0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A01C62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62E9D9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DA23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02DFDE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bottom w:val="nil"/>
            </w:tcBorders>
            <w:noWrap w:val="0"/>
            <w:vAlign w:val="center"/>
          </w:tcPr>
          <w:p w14:paraId="2221771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40E6FA2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719D58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tcBorders>
              <w:bottom w:val="nil"/>
            </w:tcBorders>
            <w:noWrap w:val="0"/>
            <w:vAlign w:val="center"/>
          </w:tcPr>
          <w:p w14:paraId="1B60ADE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C7B4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963198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A7DF75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594390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CADD0D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D90B2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87F1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01FEC5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AE21C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73C814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62D2AD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E100FF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38BC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05B83F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355060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720C04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44E830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590901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6501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D5AFFB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bottom w:val="single" w:color="auto" w:sz="12" w:space="0"/>
            </w:tcBorders>
            <w:noWrap w:val="0"/>
            <w:vAlign w:val="center"/>
          </w:tcPr>
          <w:p w14:paraId="64CB2AD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3446784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15899A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252" w:type="dxa"/>
            <w:tcBorders>
              <w:bottom w:val="single" w:color="auto" w:sz="12" w:space="0"/>
            </w:tcBorders>
            <w:noWrap w:val="0"/>
            <w:vAlign w:val="center"/>
          </w:tcPr>
          <w:p w14:paraId="714A36B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bl>
    <w:p w14:paraId="26D8554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bookmarkStart w:id="1460" w:name="_Toc267261701"/>
      <w:r>
        <w:rPr>
          <w:rFonts w:hint="eastAsia" w:ascii="宋体" w:hAnsi="宋体" w:eastAsia="宋体" w:cs="宋体"/>
          <w:color w:val="000000"/>
          <w:sz w:val="21"/>
          <w:szCs w:val="21"/>
          <w:highlight w:val="none"/>
        </w:rPr>
        <w:t>附</w:t>
      </w:r>
      <w:bookmarkStart w:id="1461" w:name="_Toc296891271"/>
      <w:bookmarkStart w:id="1462" w:name="_Toc296944570"/>
      <w:bookmarkStart w:id="1463" w:name="_Toc296346732"/>
      <w:bookmarkStart w:id="1464" w:name="_Toc296891059"/>
      <w:bookmarkStart w:id="1465" w:name="_Toc296347230"/>
      <w:bookmarkStart w:id="1466" w:name="_Toc296503231"/>
      <w:r>
        <w:rPr>
          <w:rFonts w:hint="eastAsia" w:ascii="宋体" w:hAnsi="宋体" w:eastAsia="宋体" w:cs="宋体"/>
          <w:color w:val="000000"/>
          <w:sz w:val="21"/>
          <w:szCs w:val="21"/>
          <w:highlight w:val="none"/>
        </w:rPr>
        <w:t>件8：</w:t>
      </w:r>
    </w:p>
    <w:bookmarkEnd w:id="1460"/>
    <w:bookmarkEnd w:id="1461"/>
    <w:bookmarkEnd w:id="1462"/>
    <w:bookmarkEnd w:id="1463"/>
    <w:bookmarkEnd w:id="1464"/>
    <w:bookmarkEnd w:id="1465"/>
    <w:bookmarkEnd w:id="1466"/>
    <w:p w14:paraId="672DAE42">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履约担保</w:t>
      </w:r>
    </w:p>
    <w:p w14:paraId="50C98CD3">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（发包人名称）：</w:t>
      </w:r>
    </w:p>
    <w:p w14:paraId="45591AB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31400F1C">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鉴于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（发包人名称，以下简称“发包人”）与</w:t>
      </w:r>
    </w:p>
    <w:p w14:paraId="2533F85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（承包人名称）（以下称“承包人”）于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41A4EF0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担保金额人民币（大写）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4E1C03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担保有效期自你方与承包人签订的合同生效之日起至你方签发或应签发工程接收证书之日止。</w:t>
      </w:r>
    </w:p>
    <w:p w14:paraId="62B2552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在本担保有效期内，因承包人违反合同约定的义务给你方造成经济损失时，我方在收到你方以书面形式提出的在担保金额内的赔偿要求后，在7天内无条件支付。</w:t>
      </w:r>
    </w:p>
    <w:p w14:paraId="37602751">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你方和承包人按合同约定变更合同时，我方承担本担保规定的义务不变。</w:t>
      </w:r>
    </w:p>
    <w:p w14:paraId="53AA5EC3">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因本保函发生的纠纷，可由双方协商解决，协商不成的，任何一方均可提请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仲裁委员会仲裁。</w:t>
      </w:r>
    </w:p>
    <w:p w14:paraId="2F868A2A">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 本保函自我方法定代表人（或其授权代理人）签字并加盖公章之日起生效。</w:t>
      </w:r>
    </w:p>
    <w:p w14:paraId="4CC50DC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272EAAE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 保 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（盖单位章）</w:t>
      </w:r>
    </w:p>
    <w:p w14:paraId="19200152">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098F537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w:t>
      </w:r>
    </w:p>
    <w:p w14:paraId="7C96C94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w:t>
      </w:r>
    </w:p>
    <w:p w14:paraId="707E168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14:paraId="0B875BC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p>
    <w:p w14:paraId="5F326F71">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u w:val="single"/>
        </w:rPr>
      </w:pPr>
    </w:p>
    <w:p w14:paraId="28CE595B">
      <w:pPr>
        <w:pageBreakBefore w:val="0"/>
        <w:widowControl w:val="0"/>
        <w:kinsoku/>
        <w:wordWrap/>
        <w:overflowPunct/>
        <w:topLinePunct w:val="0"/>
        <w:bidi w:val="0"/>
        <w:snapToGrid w:val="0"/>
        <w:spacing w:line="360" w:lineRule="auto"/>
        <w:ind w:left="1899" w:hanging="1329" w:hangingChars="63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1FB8E111">
      <w:pPr>
        <w:pageBreakBefore w:val="0"/>
        <w:widowControl w:val="0"/>
        <w:kinsoku/>
        <w:wordWrap/>
        <w:overflowPunct/>
        <w:topLinePunct w:val="0"/>
        <w:bidi w:val="0"/>
        <w:snapToGrid w:val="0"/>
        <w:spacing w:line="360" w:lineRule="auto"/>
        <w:ind w:left="1899" w:hanging="1329" w:hangingChars="633"/>
        <w:rPr>
          <w:rFonts w:hint="eastAsia" w:ascii="宋体" w:hAnsi="宋体" w:eastAsia="宋体" w:cs="宋体"/>
          <w:color w:val="000000"/>
          <w:sz w:val="21"/>
          <w:szCs w:val="21"/>
          <w:highlight w:val="none"/>
        </w:rPr>
      </w:pPr>
    </w:p>
    <w:p w14:paraId="59E75C7D">
      <w:pPr>
        <w:pageBreakBefore w:val="0"/>
        <w:widowControl w:val="0"/>
        <w:kinsoku/>
        <w:wordWrap/>
        <w:overflowPunct/>
        <w:topLinePunct w:val="0"/>
        <w:bidi w:val="0"/>
        <w:snapToGrid w:val="0"/>
        <w:spacing w:line="360" w:lineRule="auto"/>
        <w:ind w:left="1899" w:hanging="1329" w:hangingChars="633"/>
        <w:rPr>
          <w:rFonts w:hint="eastAsia" w:ascii="宋体" w:hAnsi="宋体" w:eastAsia="宋体" w:cs="宋体"/>
          <w:color w:val="000000"/>
          <w:sz w:val="21"/>
          <w:szCs w:val="21"/>
          <w:highlight w:val="none"/>
        </w:rPr>
      </w:pPr>
    </w:p>
    <w:p w14:paraId="4CDC54B6">
      <w:pPr>
        <w:pageBreakBefore w:val="0"/>
        <w:widowControl w:val="0"/>
        <w:kinsoku/>
        <w:wordWrap/>
        <w:overflowPunct/>
        <w:topLinePunct w:val="0"/>
        <w:bidi w:val="0"/>
        <w:snapToGrid w:val="0"/>
        <w:spacing w:line="360" w:lineRule="auto"/>
        <w:ind w:left="1899" w:hanging="1329" w:hangingChars="633"/>
        <w:rPr>
          <w:rFonts w:hint="eastAsia" w:ascii="宋体" w:hAnsi="宋体" w:eastAsia="宋体" w:cs="宋体"/>
          <w:color w:val="000000"/>
          <w:sz w:val="21"/>
          <w:szCs w:val="21"/>
          <w:highlight w:val="none"/>
        </w:rPr>
      </w:pPr>
    </w:p>
    <w:p w14:paraId="65868302">
      <w:pPr>
        <w:pageBreakBefore w:val="0"/>
        <w:widowControl w:val="0"/>
        <w:kinsoku/>
        <w:wordWrap/>
        <w:overflowPunct/>
        <w:topLinePunct w:val="0"/>
        <w:bidi w:val="0"/>
        <w:snapToGrid w:val="0"/>
        <w:spacing w:line="360" w:lineRule="auto"/>
        <w:ind w:left="1899" w:hanging="1329" w:hangingChars="633"/>
        <w:rPr>
          <w:rFonts w:hint="eastAsia" w:ascii="宋体" w:hAnsi="宋体" w:eastAsia="宋体" w:cs="宋体"/>
          <w:color w:val="000000"/>
          <w:sz w:val="21"/>
          <w:szCs w:val="21"/>
          <w:highlight w:val="none"/>
        </w:rPr>
      </w:pPr>
    </w:p>
    <w:p w14:paraId="7B74F43E">
      <w:pPr>
        <w:pageBreakBefore w:val="0"/>
        <w:widowControl w:val="0"/>
        <w:kinsoku/>
        <w:wordWrap/>
        <w:overflowPunct/>
        <w:topLinePunct w:val="0"/>
        <w:bidi w:val="0"/>
        <w:snapToGrid w:val="0"/>
        <w:spacing w:line="360" w:lineRule="auto"/>
        <w:ind w:left="1899" w:hanging="1329" w:hangingChars="633"/>
        <w:rPr>
          <w:rFonts w:hint="eastAsia" w:ascii="宋体" w:hAnsi="宋体" w:eastAsia="宋体" w:cs="宋体"/>
          <w:color w:val="000000"/>
          <w:sz w:val="21"/>
          <w:szCs w:val="21"/>
          <w:highlight w:val="none"/>
        </w:rPr>
      </w:pPr>
    </w:p>
    <w:p w14:paraId="20C5CEC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1467" w:name="_Toc296944571"/>
      <w:bookmarkStart w:id="1468" w:name="_Toc296346733"/>
      <w:bookmarkStart w:id="1469" w:name="_Toc296503232"/>
      <w:bookmarkStart w:id="1470" w:name="_Toc296347231"/>
      <w:bookmarkStart w:id="1471" w:name="_Toc267261702"/>
      <w:bookmarkStart w:id="1472" w:name="_Toc296891060"/>
      <w:bookmarkStart w:id="1473" w:name="_Toc296891272"/>
      <w:r>
        <w:rPr>
          <w:rFonts w:hint="eastAsia" w:ascii="宋体" w:hAnsi="宋体" w:eastAsia="宋体" w:cs="宋体"/>
          <w:color w:val="000000"/>
          <w:sz w:val="21"/>
          <w:szCs w:val="21"/>
          <w:highlight w:val="none"/>
        </w:rPr>
        <w:t>件9 ：</w:t>
      </w:r>
    </w:p>
    <w:bookmarkEnd w:id="1467"/>
    <w:bookmarkEnd w:id="1468"/>
    <w:bookmarkEnd w:id="1469"/>
    <w:bookmarkEnd w:id="1470"/>
    <w:bookmarkEnd w:id="1471"/>
    <w:bookmarkEnd w:id="1472"/>
    <w:bookmarkEnd w:id="1473"/>
    <w:p w14:paraId="417C551F">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w:t>
      </w:r>
    </w:p>
    <w:p w14:paraId="063CD88F">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（发包人名称）：</w:t>
      </w:r>
    </w:p>
    <w:p w14:paraId="326D5251">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378E9E52">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（承包人名称）（以下称“承包人”）与</w:t>
      </w:r>
    </w:p>
    <w:p w14:paraId="56CD3F9E">
      <w:pPr>
        <w:pageBreakBefore w:val="0"/>
        <w:widowControl w:val="0"/>
        <w:kinsoku/>
        <w:wordWrap/>
        <w:overflowPunct/>
        <w:topLinePunct w:val="0"/>
        <w:bidi w:val="0"/>
        <w:snapToGrid w:val="0"/>
        <w:spacing w:line="360" w:lineRule="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bookmarkStart w:id="1474" w:name="_Toc7921"/>
      <w:bookmarkStart w:id="1475" w:name="_Toc2882"/>
      <w:bookmarkStart w:id="1476" w:name="_Toc7776"/>
      <w:bookmarkStart w:id="1477" w:name="_Toc6949"/>
      <w:bookmarkStart w:id="1478" w:name="_Toc23633"/>
      <w:r>
        <w:rPr>
          <w:rFonts w:hint="eastAsia" w:ascii="宋体" w:hAnsi="宋体" w:eastAsia="宋体" w:cs="宋体"/>
          <w:color w:val="000000"/>
          <w:sz w:val="21"/>
          <w:szCs w:val="21"/>
          <w:highlight w:val="none"/>
        </w:rPr>
        <w:t>（发包人名称）（以下简称“发包人”）</w:t>
      </w:r>
      <w:bookmarkEnd w:id="1474"/>
      <w:bookmarkEnd w:id="1475"/>
      <w:bookmarkEnd w:id="1476"/>
      <w:bookmarkEnd w:id="1477"/>
      <w:bookmarkEnd w:id="1478"/>
    </w:p>
    <w:p w14:paraId="21D0840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日签订的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C26A526">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担保金额人民币（大写）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35A87CB">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担保有效期自预付款支付给承包人起生效，至你方签发的进度款支付证书说明已完全扣清止。</w:t>
      </w:r>
    </w:p>
    <w:p w14:paraId="40194234">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6BDFB3D">
      <w:pPr>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你方和承包人按合同约定变更合同时，我方承担本保函规定的义务不变。</w:t>
      </w:r>
    </w:p>
    <w:p w14:paraId="26603CA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因本保函发生的纠纷，可由双方协商解决，协商不成的，任何一方均可提请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仲裁委员会仲裁。</w:t>
      </w:r>
    </w:p>
    <w:p w14:paraId="77662C8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 本保函自我方法定代表人（或其授权代理人）签字并加盖公章之日起生效。</w:t>
      </w:r>
    </w:p>
    <w:p w14:paraId="372F6C2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7B0FFB1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1438DB60">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担保人：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（盖单位章）</w:t>
      </w:r>
    </w:p>
    <w:p w14:paraId="6913EAD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2FAC722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510E939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668F1584">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39F1E6EC">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55BB9A9A">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14:paraId="16C97BF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u w:val="single"/>
        </w:rPr>
      </w:pPr>
    </w:p>
    <w:p w14:paraId="11520515">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3E82C439">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color w:val="000000"/>
          <w:sz w:val="21"/>
          <w:szCs w:val="21"/>
          <w:highlight w:val="none"/>
        </w:rPr>
        <w:t>附</w:t>
      </w:r>
      <w:bookmarkStart w:id="1479" w:name="_Toc296346734"/>
      <w:bookmarkStart w:id="1480" w:name="_Toc296503233"/>
      <w:bookmarkStart w:id="1481" w:name="_Toc296347232"/>
      <w:bookmarkStart w:id="1482" w:name="_Toc296891061"/>
      <w:bookmarkStart w:id="1483" w:name="_Toc296891273"/>
      <w:bookmarkStart w:id="1484" w:name="_Toc296944572"/>
      <w:r>
        <w:rPr>
          <w:rFonts w:hint="eastAsia" w:ascii="宋体" w:hAnsi="宋体" w:eastAsia="宋体" w:cs="宋体"/>
          <w:color w:val="000000"/>
          <w:sz w:val="21"/>
          <w:szCs w:val="21"/>
          <w:highlight w:val="none"/>
        </w:rPr>
        <w:t xml:space="preserve">件10:  </w:t>
      </w:r>
    </w:p>
    <w:bookmarkEnd w:id="1479"/>
    <w:bookmarkEnd w:id="1480"/>
    <w:bookmarkEnd w:id="1481"/>
    <w:bookmarkEnd w:id="1482"/>
    <w:bookmarkEnd w:id="1483"/>
    <w:bookmarkEnd w:id="1484"/>
    <w:p w14:paraId="31CAF0CD">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支付担保</w:t>
      </w:r>
    </w:p>
    <w:p w14:paraId="7446C64E">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（承包人）：</w:t>
      </w:r>
    </w:p>
    <w:p w14:paraId="22B138DC">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p>
    <w:p w14:paraId="35F4F87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鉴于你方作为承包人已经与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（发包人名称）（以下称“发包人”）于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日签订了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（工程名称）《建设工程施工合同》（以下称“主合同”），应发包人的申请，我方愿就发包人履行主合同约定的工程款支付义务以保证的方式向你方提供如下担保：</w:t>
      </w:r>
    </w:p>
    <w:p w14:paraId="0DC4CDEF">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485" w:name="_Toc1223"/>
      <w:bookmarkStart w:id="1486" w:name="_Toc23927"/>
      <w:bookmarkStart w:id="1487" w:name="_Toc28312"/>
      <w:bookmarkStart w:id="1488" w:name="_Toc2610"/>
      <w:bookmarkStart w:id="1489" w:name="_Toc13695"/>
      <w:r>
        <w:rPr>
          <w:rFonts w:hint="eastAsia" w:ascii="宋体" w:hAnsi="宋体" w:eastAsia="宋体" w:cs="宋体"/>
          <w:color w:val="000000"/>
          <w:sz w:val="21"/>
          <w:szCs w:val="21"/>
          <w:highlight w:val="none"/>
        </w:rPr>
        <w:t>一、保证的范围及保证金额</w:t>
      </w:r>
      <w:bookmarkEnd w:id="1485"/>
      <w:bookmarkEnd w:id="1486"/>
      <w:bookmarkEnd w:id="1487"/>
      <w:bookmarkEnd w:id="1488"/>
      <w:bookmarkEnd w:id="1489"/>
    </w:p>
    <w:p w14:paraId="3AFE47D1">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我方的保证范围是主合同约定的工程款。</w:t>
      </w:r>
    </w:p>
    <w:p w14:paraId="117B3DA6">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本保函所称主合同约定的工程款是指主合同约定的除工程质量保证金以外的合同价款。</w:t>
      </w:r>
    </w:p>
    <w:p w14:paraId="19DF3DA9">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我方保证的金额是主合同约定的工程款的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%，数额最高不超过人民币元（大写：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817265">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490" w:name="_Toc31612"/>
      <w:bookmarkStart w:id="1491" w:name="_Toc17261"/>
      <w:bookmarkStart w:id="1492" w:name="_Toc12796"/>
      <w:bookmarkStart w:id="1493" w:name="_Toc3027"/>
      <w:bookmarkStart w:id="1494" w:name="_Toc2976"/>
      <w:r>
        <w:rPr>
          <w:rFonts w:hint="eastAsia" w:ascii="宋体" w:hAnsi="宋体" w:eastAsia="宋体" w:cs="宋体"/>
          <w:color w:val="000000"/>
          <w:sz w:val="21"/>
          <w:szCs w:val="21"/>
          <w:highlight w:val="none"/>
        </w:rPr>
        <w:t>二、保证的方式及保证期间</w:t>
      </w:r>
      <w:bookmarkEnd w:id="1490"/>
      <w:bookmarkEnd w:id="1491"/>
      <w:bookmarkEnd w:id="1492"/>
      <w:bookmarkEnd w:id="1493"/>
      <w:bookmarkEnd w:id="1494"/>
    </w:p>
    <w:p w14:paraId="641A0CCC">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我方保证的方式为：连带责任保证。</w:t>
      </w:r>
    </w:p>
    <w:p w14:paraId="5B8F815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我方保证的期间为：自本合同生效之日起至主合同约定的工程款支付完毕之日后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日内。</w:t>
      </w:r>
    </w:p>
    <w:p w14:paraId="0AB31FC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你方与发包人协议变更工程款支付日期的，经我方书面同意后，保证期间按照变更后的支付日期做相应调整。</w:t>
      </w:r>
    </w:p>
    <w:p w14:paraId="4B7F9EFF">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495" w:name="_Toc17957"/>
      <w:bookmarkStart w:id="1496" w:name="_Toc5311"/>
      <w:bookmarkStart w:id="1497" w:name="_Toc32343"/>
      <w:bookmarkStart w:id="1498" w:name="_Toc3011"/>
      <w:bookmarkStart w:id="1499" w:name="_Toc12313"/>
      <w:r>
        <w:rPr>
          <w:rFonts w:hint="eastAsia" w:ascii="宋体" w:hAnsi="宋体" w:eastAsia="宋体" w:cs="宋体"/>
          <w:color w:val="000000"/>
          <w:sz w:val="21"/>
          <w:szCs w:val="21"/>
          <w:highlight w:val="none"/>
        </w:rPr>
        <w:t>三、承担保证责任的形式</w:t>
      </w:r>
      <w:bookmarkEnd w:id="1495"/>
      <w:bookmarkEnd w:id="1496"/>
      <w:bookmarkEnd w:id="1497"/>
      <w:bookmarkEnd w:id="1498"/>
      <w:bookmarkEnd w:id="1499"/>
    </w:p>
    <w:p w14:paraId="73F09AA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我方承担保证责任的形式是代为支付。发包人未按主合同约定向你方支付工程款的，由我方在保证金额内代为支付。</w:t>
      </w:r>
    </w:p>
    <w:p w14:paraId="6656CD7D">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500" w:name="_Toc13572"/>
      <w:bookmarkStart w:id="1501" w:name="_Toc17549"/>
      <w:bookmarkStart w:id="1502" w:name="_Toc25389"/>
      <w:bookmarkStart w:id="1503" w:name="_Toc11816"/>
      <w:bookmarkStart w:id="1504" w:name="_Toc19055"/>
      <w:r>
        <w:rPr>
          <w:rFonts w:hint="eastAsia" w:ascii="宋体" w:hAnsi="宋体" w:eastAsia="宋体" w:cs="宋体"/>
          <w:color w:val="000000"/>
          <w:sz w:val="21"/>
          <w:szCs w:val="21"/>
          <w:highlight w:val="none"/>
        </w:rPr>
        <w:t>四、代偿的安排</w:t>
      </w:r>
      <w:bookmarkEnd w:id="1500"/>
      <w:bookmarkEnd w:id="1501"/>
      <w:bookmarkEnd w:id="1502"/>
      <w:bookmarkEnd w:id="1503"/>
      <w:bookmarkEnd w:id="1504"/>
    </w:p>
    <w:p w14:paraId="77CFDD0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27004A9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64567C2E">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我方收到你方的书面索赔通知及相应的证明材料后７天内无条件支付。</w:t>
      </w:r>
    </w:p>
    <w:p w14:paraId="5A91A0EB">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505" w:name="_Toc26143"/>
      <w:bookmarkStart w:id="1506" w:name="_Toc14017"/>
      <w:bookmarkStart w:id="1507" w:name="_Toc1164"/>
      <w:bookmarkStart w:id="1508" w:name="_Toc21160"/>
      <w:bookmarkStart w:id="1509" w:name="_Toc29627"/>
      <w:r>
        <w:rPr>
          <w:rFonts w:hint="eastAsia" w:ascii="宋体" w:hAnsi="宋体" w:eastAsia="宋体" w:cs="宋体"/>
          <w:color w:val="000000"/>
          <w:sz w:val="21"/>
          <w:szCs w:val="21"/>
          <w:highlight w:val="none"/>
        </w:rPr>
        <w:t>五、保证责任的解除</w:t>
      </w:r>
      <w:bookmarkEnd w:id="1505"/>
      <w:bookmarkEnd w:id="1506"/>
      <w:bookmarkEnd w:id="1507"/>
      <w:bookmarkEnd w:id="1508"/>
      <w:bookmarkEnd w:id="1509"/>
    </w:p>
    <w:p w14:paraId="7F79D2E8">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在本保函承诺的保证期间内，你方未书面向我方主张保证责任的，自保证期间届满次日起，我方保证责任解除。</w:t>
      </w:r>
    </w:p>
    <w:p w14:paraId="679DD54B">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发包人按主合同约定履行了工程款的全部支付义务的，自本保函承诺的保证期间届满次日起，我方保证责任解除。</w:t>
      </w:r>
    </w:p>
    <w:p w14:paraId="7F34FFF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我方按照本保函向你方履行保证责任所支付金额达到本保函保证金额时，自我方向你方支付（支付款项从我方账户划出）之日起，保证责任即解除。</w:t>
      </w:r>
    </w:p>
    <w:p w14:paraId="088343C3">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按照法律法规的规定或出现应解除我方保证责任的其他情形的，我方在本保函项下的保证责任亦解除。</w:t>
      </w:r>
    </w:p>
    <w:p w14:paraId="145F864F">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p>
    <w:p w14:paraId="3782C37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我方解除保证责任后，你方应自我方保证责任解除之日起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个工作日内，将本保函原件返还我方。</w:t>
      </w:r>
    </w:p>
    <w:p w14:paraId="0E2CD8E6">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510" w:name="_Toc7142"/>
      <w:bookmarkStart w:id="1511" w:name="_Toc1858"/>
      <w:bookmarkStart w:id="1512" w:name="_Toc13453"/>
      <w:bookmarkStart w:id="1513" w:name="_Toc31044"/>
      <w:bookmarkStart w:id="1514" w:name="_Toc3822"/>
      <w:r>
        <w:rPr>
          <w:rFonts w:hint="eastAsia" w:ascii="宋体" w:hAnsi="宋体" w:eastAsia="宋体" w:cs="宋体"/>
          <w:color w:val="000000"/>
          <w:sz w:val="21"/>
          <w:szCs w:val="21"/>
          <w:highlight w:val="none"/>
        </w:rPr>
        <w:t>六、免责条款</w:t>
      </w:r>
      <w:bookmarkEnd w:id="1510"/>
      <w:bookmarkEnd w:id="1511"/>
      <w:bookmarkEnd w:id="1512"/>
      <w:bookmarkEnd w:id="1513"/>
      <w:bookmarkEnd w:id="1514"/>
    </w:p>
    <w:p w14:paraId="1B1957B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因你方违约致使发包人不能履行义务的，我方不承担保证责任。</w:t>
      </w:r>
    </w:p>
    <w:p w14:paraId="188DC85D">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依照法律法规的规定或你方与发包人的另行约定，免除发包人部分或全部义务的，我方亦免除其相应的保证责任。</w:t>
      </w:r>
    </w:p>
    <w:p w14:paraId="202D76E7">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3834AE4">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因不可抗力造成发包人不能履行义务的，我方不承担保证责任。</w:t>
      </w:r>
    </w:p>
    <w:p w14:paraId="0933773D">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515" w:name="_Toc28714"/>
      <w:bookmarkStart w:id="1516" w:name="_Toc2531"/>
      <w:bookmarkStart w:id="1517" w:name="_Toc16939"/>
      <w:bookmarkStart w:id="1518" w:name="_Toc31711"/>
      <w:bookmarkStart w:id="1519" w:name="_Toc30054"/>
      <w:r>
        <w:rPr>
          <w:rFonts w:hint="eastAsia" w:ascii="宋体" w:hAnsi="宋体" w:eastAsia="宋体" w:cs="宋体"/>
          <w:color w:val="000000"/>
          <w:sz w:val="21"/>
          <w:szCs w:val="21"/>
          <w:highlight w:val="none"/>
        </w:rPr>
        <w:t>七、争议解决</w:t>
      </w:r>
      <w:bookmarkEnd w:id="1515"/>
      <w:bookmarkEnd w:id="1516"/>
      <w:bookmarkEnd w:id="1517"/>
      <w:bookmarkEnd w:id="1518"/>
      <w:bookmarkEnd w:id="1519"/>
    </w:p>
    <w:p w14:paraId="4B7F5404">
      <w:pPr>
        <w:pageBreakBefore w:val="0"/>
        <w:widowControl w:val="0"/>
        <w:kinsoku/>
        <w:wordWrap/>
        <w:overflowPunct/>
        <w:topLinePunct w:val="0"/>
        <w:bidi w:val="0"/>
        <w:snapToGrid w:val="0"/>
        <w:spacing w:after="12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因本保函或本保函相关事项发生的纠纷，可由双方协商解决，协商不成的，按下列第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种方式解决：</w:t>
      </w:r>
    </w:p>
    <w:p w14:paraId="39FD811F">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仲裁委员会申请仲裁；</w:t>
      </w:r>
    </w:p>
    <w:p w14:paraId="7A16F4F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人民法院起诉。</w:t>
      </w:r>
    </w:p>
    <w:p w14:paraId="00840ED9">
      <w:pPr>
        <w:pageBreakBefore w:val="0"/>
        <w:widowControl w:val="0"/>
        <w:kinsoku/>
        <w:wordWrap/>
        <w:overflowPunct/>
        <w:topLinePunct w:val="0"/>
        <w:bidi w:val="0"/>
        <w:snapToGrid w:val="0"/>
        <w:spacing w:line="360" w:lineRule="auto"/>
        <w:ind w:firstLine="420" w:firstLineChars="200"/>
        <w:jc w:val="left"/>
        <w:outlineLvl w:val="0"/>
        <w:rPr>
          <w:rFonts w:hint="eastAsia" w:ascii="宋体" w:hAnsi="宋体" w:eastAsia="宋体" w:cs="宋体"/>
          <w:color w:val="000000"/>
          <w:sz w:val="21"/>
          <w:szCs w:val="21"/>
          <w:highlight w:val="none"/>
        </w:rPr>
      </w:pPr>
      <w:bookmarkStart w:id="1520" w:name="_Toc14681"/>
      <w:bookmarkStart w:id="1521" w:name="_Toc18529"/>
      <w:bookmarkStart w:id="1522" w:name="_Toc19712"/>
      <w:bookmarkStart w:id="1523" w:name="_Toc2262"/>
      <w:bookmarkStart w:id="1524" w:name="_Toc15943"/>
      <w:r>
        <w:rPr>
          <w:rFonts w:hint="eastAsia" w:ascii="宋体" w:hAnsi="宋体" w:eastAsia="宋体" w:cs="宋体"/>
          <w:color w:val="000000"/>
          <w:sz w:val="21"/>
          <w:szCs w:val="21"/>
          <w:highlight w:val="none"/>
        </w:rPr>
        <w:t>八、保函的生效</w:t>
      </w:r>
      <w:bookmarkEnd w:id="1520"/>
      <w:bookmarkEnd w:id="1521"/>
      <w:bookmarkEnd w:id="1522"/>
      <w:bookmarkEnd w:id="1523"/>
      <w:bookmarkEnd w:id="1524"/>
    </w:p>
    <w:p w14:paraId="25603880">
      <w:pPr>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本保函自我方法定代表人（或其授权代理人）签字并加盖公章之日起生效。</w:t>
      </w:r>
    </w:p>
    <w:p w14:paraId="1B7F0995">
      <w:pPr>
        <w:pageBreakBefore w:val="0"/>
        <w:widowControl w:val="0"/>
        <w:kinsoku/>
        <w:wordWrap/>
        <w:overflowPunct/>
        <w:topLinePunct w:val="0"/>
        <w:bidi w:val="0"/>
        <w:snapToGrid w:val="0"/>
        <w:spacing w:line="360" w:lineRule="auto"/>
        <w:ind w:right="600"/>
        <w:jc w:val="left"/>
        <w:rPr>
          <w:rFonts w:hint="eastAsia" w:ascii="宋体" w:hAnsi="宋体" w:eastAsia="宋体" w:cs="宋体"/>
          <w:color w:val="000000"/>
          <w:sz w:val="21"/>
          <w:szCs w:val="21"/>
          <w:highlight w:val="none"/>
        </w:rPr>
      </w:pPr>
    </w:p>
    <w:p w14:paraId="37C6D73C">
      <w:pPr>
        <w:pageBreakBefore w:val="0"/>
        <w:widowControl w:val="0"/>
        <w:kinsoku/>
        <w:wordWrap/>
        <w:overflowPunct/>
        <w:topLinePunct w:val="0"/>
        <w:bidi w:val="0"/>
        <w:snapToGrid w:val="0"/>
        <w:spacing w:line="360" w:lineRule="auto"/>
        <w:ind w:right="6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担保人：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（盖章）</w:t>
      </w:r>
    </w:p>
    <w:p w14:paraId="79760F96">
      <w:pPr>
        <w:pageBreakBefore w:val="0"/>
        <w:widowControl w:val="0"/>
        <w:kinsoku/>
        <w:wordWrap/>
        <w:overflowPunct/>
        <w:topLinePunct w:val="0"/>
        <w:bidi w:val="0"/>
        <w:snapToGrid w:val="0"/>
        <w:spacing w:line="360" w:lineRule="auto"/>
        <w:ind w:right="1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26768388">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w:t>
      </w:r>
    </w:p>
    <w:p w14:paraId="79E848AD">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w:t>
      </w:r>
    </w:p>
    <w:p w14:paraId="363DAE4A">
      <w:pPr>
        <w:pageBreakBefore w:val="0"/>
        <w:widowControl w:val="0"/>
        <w:kinsoku/>
        <w:wordWrap/>
        <w:overflowPunct/>
        <w:topLinePunct w:val="0"/>
        <w:bidi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p>
    <w:p w14:paraId="235CD5B8">
      <w:pPr>
        <w:pageBreakBefore w:val="0"/>
        <w:widowControl w:val="0"/>
        <w:kinsoku/>
        <w:wordWrap/>
        <w:overflowPunct/>
        <w:topLinePunct w:val="0"/>
        <w:bidi w:val="0"/>
        <w:snapToGrid w:val="0"/>
        <w:spacing w:line="360" w:lineRule="auto"/>
        <w:ind w:right="150" w:firstLine="420" w:firstLineChars="200"/>
        <w:jc w:val="left"/>
        <w:rPr>
          <w:rFonts w:hint="eastAsia" w:ascii="宋体" w:hAnsi="宋体" w:eastAsia="宋体" w:cs="宋体"/>
          <w:color w:val="000000"/>
          <w:sz w:val="21"/>
          <w:szCs w:val="21"/>
          <w:highlight w:val="none"/>
          <w:u w:val="single"/>
        </w:rPr>
      </w:pPr>
    </w:p>
    <w:p w14:paraId="647DEC47">
      <w:pPr>
        <w:pageBreakBefore w:val="0"/>
        <w:widowControl w:val="0"/>
        <w:kinsoku/>
        <w:wordWrap/>
        <w:overflowPunct/>
        <w:topLinePunct w:val="0"/>
        <w:bidi w:val="0"/>
        <w:snapToGrid w:val="0"/>
        <w:spacing w:line="360" w:lineRule="auto"/>
        <w:ind w:right="15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18A6DE97">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附件11：</w:t>
      </w:r>
    </w:p>
    <w:p w14:paraId="2892F977">
      <w:pPr>
        <w:pageBreakBefore w:val="0"/>
        <w:widowControl w:val="0"/>
        <w:kinsoku/>
        <w:wordWrap/>
        <w:overflowPunct/>
        <w:topLinePunct w:val="0"/>
        <w:bidi w:val="0"/>
        <w:snapToGrid w:val="0"/>
        <w:spacing w:before="156" w:beforeLines="50" w:after="156" w:afterLines="50" w:line="360" w:lineRule="auto"/>
        <w:jc w:val="center"/>
        <w:outlineLvl w:val="0"/>
        <w:rPr>
          <w:rFonts w:hint="eastAsia" w:ascii="宋体" w:hAnsi="宋体" w:eastAsia="宋体" w:cs="宋体"/>
          <w:color w:val="000000"/>
          <w:sz w:val="21"/>
          <w:szCs w:val="21"/>
          <w:highlight w:val="none"/>
        </w:rPr>
      </w:pPr>
      <w:bookmarkStart w:id="1525" w:name="_Toc31584"/>
      <w:bookmarkStart w:id="1526" w:name="_Toc12320"/>
      <w:bookmarkStart w:id="1527" w:name="_Toc19348"/>
      <w:bookmarkStart w:id="1528" w:name="_Toc5261"/>
      <w:bookmarkStart w:id="1529" w:name="_Toc17865"/>
      <w:r>
        <w:rPr>
          <w:rFonts w:hint="eastAsia" w:ascii="宋体" w:hAnsi="宋体" w:eastAsia="宋体" w:cs="宋体"/>
          <w:color w:val="000000"/>
          <w:sz w:val="21"/>
          <w:szCs w:val="21"/>
          <w:highlight w:val="none"/>
        </w:rPr>
        <w:t>11-1：材料暂估价表</w:t>
      </w:r>
      <w:bookmarkEnd w:id="1525"/>
      <w:bookmarkEnd w:id="1526"/>
      <w:bookmarkEnd w:id="1527"/>
      <w:bookmarkEnd w:id="1528"/>
      <w:bookmarkEnd w:id="1529"/>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F071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2F9F495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1D35C19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14:paraId="761FCE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14:paraId="15E0E5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14:paraId="6E6317B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14:paraId="3069DD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14:paraId="060DA3A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55474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18D62F2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14:paraId="16CD638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top"/>
          </w:tcPr>
          <w:p w14:paraId="45B8F0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tcBorders>
              <w:top w:val="double" w:color="auto" w:sz="6" w:space="0"/>
              <w:bottom w:val="single" w:color="auto" w:sz="6" w:space="0"/>
            </w:tcBorders>
            <w:noWrap w:val="0"/>
            <w:vAlign w:val="top"/>
          </w:tcPr>
          <w:p w14:paraId="3C406D9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tcBorders>
              <w:top w:val="double" w:color="auto" w:sz="6" w:space="0"/>
              <w:bottom w:val="single" w:color="auto" w:sz="6" w:space="0"/>
            </w:tcBorders>
            <w:noWrap w:val="0"/>
            <w:vAlign w:val="top"/>
          </w:tcPr>
          <w:p w14:paraId="4EAB8F8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top"/>
          </w:tcPr>
          <w:p w14:paraId="6153486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tcBorders>
              <w:top w:val="double" w:color="auto" w:sz="6" w:space="0"/>
              <w:bottom w:val="single" w:color="auto" w:sz="6" w:space="0"/>
            </w:tcBorders>
            <w:noWrap w:val="0"/>
            <w:vAlign w:val="top"/>
          </w:tcPr>
          <w:p w14:paraId="195EC7A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8D92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0BE5D2B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tcBorders>
              <w:top w:val="nil"/>
            </w:tcBorders>
            <w:noWrap w:val="0"/>
            <w:vAlign w:val="top"/>
          </w:tcPr>
          <w:p w14:paraId="068324A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top"/>
          </w:tcPr>
          <w:p w14:paraId="3B758F6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tcBorders>
              <w:top w:val="nil"/>
            </w:tcBorders>
            <w:noWrap w:val="0"/>
            <w:vAlign w:val="top"/>
          </w:tcPr>
          <w:p w14:paraId="3AAA534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tcBorders>
              <w:top w:val="nil"/>
            </w:tcBorders>
            <w:noWrap w:val="0"/>
            <w:vAlign w:val="top"/>
          </w:tcPr>
          <w:p w14:paraId="27ED6B0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top"/>
          </w:tcPr>
          <w:p w14:paraId="160AF21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tcBorders>
              <w:top w:val="nil"/>
            </w:tcBorders>
            <w:noWrap w:val="0"/>
            <w:vAlign w:val="top"/>
          </w:tcPr>
          <w:p w14:paraId="340C734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04D1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6350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9A84C3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30A01E7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2F07AC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8B76BB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1B1EBC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05E40A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E1E1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930916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BA48A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A2AC53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0EBE5DD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0FFB59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19CB2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20AF36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A312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CD4637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96124F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2C824D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7D57EB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AAA8B2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58F8CE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6C2C7B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DB77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67C59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0FADCC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597823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78EAC4B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1FE248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34C3F0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033898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C4B4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BCBD6B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0A65EE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1BFBCAF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7FDDCD5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DD157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5CB7F0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23E91B5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DA53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A21E90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70CF2A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535D8C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6A9CAE4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7769A0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D9791C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E35C8C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5880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CC5164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D8646C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2CCD903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6A0E700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B829D0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E9CC5F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758475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681C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BFC7D1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819B28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368E857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66EBE7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5FB74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71615C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AD061A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DBF7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F5EABC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34D464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5B166EE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D20340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384E7A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937C0C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19A42E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6FC2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F68BE1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291528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74408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F2D57C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57A627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886E5A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FFC062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4C81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9E6CE9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07A2FD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41DB241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AD1825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F3DC01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DD014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2319084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5775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6947DC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F0B4A8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41246B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24C5F7C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76F68A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7CF106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53E8D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CC2B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93A994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F4D060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5D475E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176F21C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45A702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24F993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313E5E7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C9F2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4CF759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A31EC7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21E3EAB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4D94F6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EEFC7C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E351B7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AB8A3E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F29B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757DC5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FF9459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7B2FAE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7E8E269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8F45CC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3977E2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2BE9FB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1995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E35374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A41E95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2CD50C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13BC6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67B1D6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30AE25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BF7F86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2084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CD17D9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5B3967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75C2C79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086CD3C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EED564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592C0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201CAB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42C7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695D41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D140F3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2B3B47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25996C5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2C188C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46884E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E74EEB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81AA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86CCE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51CA75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14AF22E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1786732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1CA43A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63A34C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7D2C88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FDF5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EB6E94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41DEE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ACB831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FF7483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FAFEC6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137000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D7EA3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1A5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94BE3D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1D6A8B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51B7FFA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6B9470B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1DA258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760171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30B220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5961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4E38D2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2C81A7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3C37C1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75B87E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E4C3EA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FFB68A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AE1F40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B0ED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86BBC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614B5E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714A96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772CE6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D59C31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A2C696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BA8254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bl>
    <w:p w14:paraId="38EF1B4F">
      <w:pPr>
        <w:pageBreakBefore w:val="0"/>
        <w:widowControl w:val="0"/>
        <w:kinsoku/>
        <w:wordWrap/>
        <w:overflowPunct/>
        <w:topLinePunct w:val="0"/>
        <w:bidi w:val="0"/>
        <w:snapToGrid w:val="0"/>
        <w:spacing w:before="156" w:beforeLines="50" w:after="156" w:afterLines="50" w:line="360" w:lineRule="auto"/>
        <w:rPr>
          <w:rFonts w:hint="eastAsia" w:ascii="宋体" w:hAnsi="宋体" w:eastAsia="宋体" w:cs="宋体"/>
          <w:color w:val="000000"/>
          <w:sz w:val="21"/>
          <w:szCs w:val="21"/>
          <w:highlight w:val="none"/>
        </w:rPr>
      </w:pPr>
    </w:p>
    <w:p w14:paraId="11FD0A7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p>
    <w:p w14:paraId="5C572A75">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11-2：工程设备暂估价表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637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7701388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59E9FE9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14:paraId="56C4C36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14:paraId="6E4B067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14:paraId="1A4C508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14:paraId="01B132C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14:paraId="169E5EE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42F12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281BEB3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14:paraId="3BF9694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top"/>
          </w:tcPr>
          <w:p w14:paraId="17594F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tcBorders>
              <w:top w:val="double" w:color="auto" w:sz="6" w:space="0"/>
              <w:bottom w:val="single" w:color="auto" w:sz="6" w:space="0"/>
            </w:tcBorders>
            <w:noWrap w:val="0"/>
            <w:vAlign w:val="top"/>
          </w:tcPr>
          <w:p w14:paraId="71320AB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tcBorders>
              <w:top w:val="double" w:color="auto" w:sz="6" w:space="0"/>
              <w:bottom w:val="single" w:color="auto" w:sz="6" w:space="0"/>
            </w:tcBorders>
            <w:noWrap w:val="0"/>
            <w:vAlign w:val="top"/>
          </w:tcPr>
          <w:p w14:paraId="6FAFEAD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top"/>
          </w:tcPr>
          <w:p w14:paraId="3F5E4C4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tcBorders>
              <w:top w:val="double" w:color="auto" w:sz="6" w:space="0"/>
              <w:bottom w:val="single" w:color="auto" w:sz="6" w:space="0"/>
            </w:tcBorders>
            <w:noWrap w:val="0"/>
            <w:vAlign w:val="top"/>
          </w:tcPr>
          <w:p w14:paraId="04280D8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AE92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50D5F26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tcBorders>
              <w:top w:val="nil"/>
            </w:tcBorders>
            <w:noWrap w:val="0"/>
            <w:vAlign w:val="top"/>
          </w:tcPr>
          <w:p w14:paraId="7E0C69B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top"/>
          </w:tcPr>
          <w:p w14:paraId="25C12EB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tcBorders>
              <w:top w:val="nil"/>
            </w:tcBorders>
            <w:noWrap w:val="0"/>
            <w:vAlign w:val="top"/>
          </w:tcPr>
          <w:p w14:paraId="3A76EF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tcBorders>
              <w:top w:val="nil"/>
            </w:tcBorders>
            <w:noWrap w:val="0"/>
            <w:vAlign w:val="top"/>
          </w:tcPr>
          <w:p w14:paraId="52B3590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top"/>
          </w:tcPr>
          <w:p w14:paraId="08D8CE3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tcBorders>
              <w:top w:val="nil"/>
            </w:tcBorders>
            <w:noWrap w:val="0"/>
            <w:vAlign w:val="top"/>
          </w:tcPr>
          <w:p w14:paraId="050DBA2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B092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36C57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6D442E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2492644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4E43334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8DD6B6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52B8AB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B2567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19E2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57BBB5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A2ECDD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1271107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25FD33C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F5E59D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73CEFA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C9E99E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FC1C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E1D21E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226CE5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0D16EE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11CC587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05C119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DC1AA4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3427D2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B649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1275CC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83573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793BD6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729FF1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E1CC0A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270225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8099A3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BABF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F88C58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FF1CBA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25A7697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6CE781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EFE9AD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837C8D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C0DC4B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4775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F59F89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010822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13588DA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7FC645B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51A5BA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907966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B1DB2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2759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F26B63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FC168F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ED4E1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34D89C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7C190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8CE983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23FDDC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FA37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768C4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EDA449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6E6569D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40B9CCD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260C99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5F1020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C0DFFE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688D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EC8EC1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21C80A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5D20F09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0879D2F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2DA5EB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B65B8A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B0BB42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0260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EA609F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D909D6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30462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1E8B6C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56254F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3F2584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918E1F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C6D4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0704E8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15E04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1637C22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04E9C5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14ACD2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695A5C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296B9EA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D66E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937B6E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A9CE93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21E7B10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6E0C5B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7E1F74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9615AD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0B574F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E752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1EC793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95971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391D53F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07D795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AB110A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FAC89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43CC8D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4E20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10BD67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A8B8FA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7D5C2E3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71686F0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C7AFE2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A8E20C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B1ABB1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DFBA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3A9FA9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7A284B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11C5816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0AE904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9D58F3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05CB96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64C76A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FD65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6ED9EF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70D5BE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7F8556A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70F7CFC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B89B7E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E48A54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3AE0718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5A5D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FCDE7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C074C9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54E19D7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05BD3DB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98F936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F873D6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11B8C7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EA55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3729B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394989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18653E1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3316A94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A92830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498A9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06AC12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6FF2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7A3EF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C3173E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78D9A50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5427732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6C266D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CB3EA8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82E1CE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51E6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595748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4F7109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27DE85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275DFFC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A6C8D5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E4A693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5C910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11E0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9FEAB4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6A9F6F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4A3B4D7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6BBBB6B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1E1A65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719274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79F3BB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F7E1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3B981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43A0C1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76BD82F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4532D53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B8868C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61125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7148B8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5BBD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27CD1D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6C05F8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851" w:type="dxa"/>
            <w:noWrap w:val="0"/>
            <w:vAlign w:val="top"/>
          </w:tcPr>
          <w:p w14:paraId="0050ED1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774" w:type="dxa"/>
            <w:noWrap w:val="0"/>
            <w:vAlign w:val="top"/>
          </w:tcPr>
          <w:p w14:paraId="67CE9D3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1428A7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36F575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931030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bl>
    <w:p w14:paraId="795A4076">
      <w:pPr>
        <w:pageBreakBefore w:val="0"/>
        <w:widowControl w:val="0"/>
        <w:kinsoku/>
        <w:wordWrap/>
        <w:overflowPunct/>
        <w:topLinePunct w:val="0"/>
        <w:bidi w:val="0"/>
        <w:snapToGrid w:val="0"/>
        <w:spacing w:line="360" w:lineRule="auto"/>
        <w:rPr>
          <w:rFonts w:hint="eastAsia" w:ascii="宋体" w:hAnsi="宋体" w:eastAsia="宋体" w:cs="宋体"/>
          <w:color w:val="000000"/>
          <w:sz w:val="21"/>
          <w:szCs w:val="21"/>
          <w:highlight w:val="none"/>
        </w:rPr>
      </w:pPr>
    </w:p>
    <w:p w14:paraId="365E5545">
      <w:pPr>
        <w:pageBreakBefore w:val="0"/>
        <w:widowControl w:val="0"/>
        <w:kinsoku/>
        <w:wordWrap/>
        <w:overflowPunct/>
        <w:topLinePunct w:val="0"/>
        <w:bidi w:val="0"/>
        <w:snapToGrid w:val="0"/>
        <w:spacing w:before="156" w:beforeLines="50" w:after="156" w:afterLines="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11-3：专业工程暂估价表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0796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top"/>
          </w:tcPr>
          <w:p w14:paraId="0603E45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4383C9F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专业工程名称</w:t>
            </w:r>
          </w:p>
        </w:tc>
        <w:tc>
          <w:tcPr>
            <w:tcW w:w="4678" w:type="dxa"/>
            <w:tcBorders>
              <w:top w:val="single" w:color="auto" w:sz="12" w:space="0"/>
              <w:bottom w:val="double" w:color="auto" w:sz="6" w:space="0"/>
            </w:tcBorders>
            <w:noWrap w:val="0"/>
            <w:vAlign w:val="top"/>
          </w:tcPr>
          <w:p w14:paraId="65CF983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工程内容</w:t>
            </w:r>
          </w:p>
        </w:tc>
        <w:tc>
          <w:tcPr>
            <w:tcW w:w="1276" w:type="dxa"/>
            <w:tcBorders>
              <w:top w:val="single" w:color="auto" w:sz="12" w:space="0"/>
              <w:bottom w:val="double" w:color="auto" w:sz="6" w:space="0"/>
            </w:tcBorders>
            <w:noWrap w:val="0"/>
            <w:vAlign w:val="top"/>
          </w:tcPr>
          <w:p w14:paraId="2F3DFA7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金额</w:t>
            </w:r>
          </w:p>
        </w:tc>
      </w:tr>
      <w:tr w14:paraId="634DC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top"/>
          </w:tcPr>
          <w:p w14:paraId="1260455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14:paraId="5AE606C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tcBorders>
              <w:top w:val="double" w:color="auto" w:sz="6" w:space="0"/>
              <w:bottom w:val="single" w:color="auto" w:sz="6" w:space="0"/>
            </w:tcBorders>
            <w:noWrap w:val="0"/>
            <w:vAlign w:val="top"/>
          </w:tcPr>
          <w:p w14:paraId="60DF3A7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top"/>
          </w:tcPr>
          <w:p w14:paraId="0840E9F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6E2D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7A037D8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tcBorders>
              <w:top w:val="nil"/>
            </w:tcBorders>
            <w:noWrap w:val="0"/>
            <w:vAlign w:val="top"/>
          </w:tcPr>
          <w:p w14:paraId="56D6C69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tcBorders>
              <w:top w:val="nil"/>
            </w:tcBorders>
            <w:noWrap w:val="0"/>
            <w:vAlign w:val="top"/>
          </w:tcPr>
          <w:p w14:paraId="492F72C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tcBorders>
              <w:top w:val="nil"/>
            </w:tcBorders>
            <w:noWrap w:val="0"/>
            <w:vAlign w:val="top"/>
          </w:tcPr>
          <w:p w14:paraId="0F01585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00A7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235A42D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tcBorders>
              <w:top w:val="nil"/>
            </w:tcBorders>
            <w:noWrap w:val="0"/>
            <w:vAlign w:val="top"/>
          </w:tcPr>
          <w:p w14:paraId="6D4BA29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tcBorders>
              <w:top w:val="nil"/>
            </w:tcBorders>
            <w:noWrap w:val="0"/>
            <w:vAlign w:val="top"/>
          </w:tcPr>
          <w:p w14:paraId="368C610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tcBorders>
              <w:top w:val="nil"/>
            </w:tcBorders>
            <w:noWrap w:val="0"/>
            <w:vAlign w:val="top"/>
          </w:tcPr>
          <w:p w14:paraId="26606F2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65E1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39AE74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C6F580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5A022D8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308E7FB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B3EB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4B282F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512B43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22F5707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2399E65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1D88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A150A7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8470EB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013C43A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27ACCCF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612C6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34FA7B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8446A0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6D9503A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7BB29E5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3BE8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5B543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6E30CD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3A40C18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2CFAB0E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56D5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1F708A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953C7A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0FB0955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1E13F29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EFA7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166603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006E29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44793B7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1F05EF0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46F7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74DB5C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E3177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74BE233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0DDF0AA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0253A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70D20B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0FBFA6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54498686">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577B92F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F31C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09E2B7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E9C434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18AA3FF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355D3C3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1254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F136991">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5CD5BA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552FAB1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0AF1961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16C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54641A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53077E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3390596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1B3DCF9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552CF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236F8F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423D54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43DEDC9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6024EB5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26F4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AEB7F5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F126C2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777C4E9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50AB2A8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7204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4FCEEA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CB90DA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6BC521F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34F0ADE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4F6B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F12DF2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D35655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56D7231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019D31E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ECBD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7D29AE9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092F85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08E37F9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48CD3AF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2E4A8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7FD28E1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D5B4DD7">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1D90B8C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7F157CB9">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1AE41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D6E516F">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E7B86D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2DAC10A2">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63355E6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7AFBE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7E8EA10">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F8C247A">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1C59D79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14130DA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D291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30C0E6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4FB2928">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19799B4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647FD53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3A0CB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15CDEFC">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7E72BDE">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1C159FA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576B69EB">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A977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E5D85DD">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984" w:type="dxa"/>
            <w:noWrap w:val="0"/>
            <w:vAlign w:val="top"/>
          </w:tcPr>
          <w:p w14:paraId="6183B00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4678" w:type="dxa"/>
            <w:noWrap w:val="0"/>
            <w:vAlign w:val="top"/>
          </w:tcPr>
          <w:p w14:paraId="43738024">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c>
          <w:tcPr>
            <w:tcW w:w="1276" w:type="dxa"/>
            <w:noWrap w:val="0"/>
            <w:vAlign w:val="top"/>
          </w:tcPr>
          <w:p w14:paraId="0ECCF423">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p>
        </w:tc>
      </w:tr>
      <w:tr w14:paraId="46F65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noWrap w:val="0"/>
            <w:vAlign w:val="top"/>
          </w:tcPr>
          <w:p w14:paraId="46E29B55">
            <w:pPr>
              <w:pStyle w:val="11"/>
              <w:keepNext/>
              <w:pageBreakBefore w:val="0"/>
              <w:widowControl w:val="0"/>
              <w:kinsoku/>
              <w:wordWrap/>
              <w:overflowPunct/>
              <w:topLinePunct w:val="0"/>
              <w:bidi w:val="0"/>
              <w:snapToGrid w:val="0"/>
              <w:spacing w:after="0" w:line="360" w:lineRule="auto"/>
              <w:ind w:left="63" w:right="63"/>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小计：</w:t>
            </w:r>
          </w:p>
        </w:tc>
      </w:tr>
    </w:tbl>
    <w:p w14:paraId="0EA0B4AC">
      <w:pPr>
        <w:rPr>
          <w:rFonts w:cs="宋体"/>
          <w:sz w:val="24"/>
          <w:szCs w:val="24"/>
          <w:highlight w:val="none"/>
        </w:rPr>
      </w:pPr>
      <w:r>
        <w:rPr>
          <w:rFonts w:hint="eastAsia" w:ascii="宋体" w:hAnsi="宋体" w:cs="宋体"/>
          <w:color w:val="auto"/>
          <w:highlight w:val="none"/>
          <w:lang w:eastAsia="zh-CN"/>
        </w:rPr>
        <w:br w:type="page"/>
      </w:r>
    </w:p>
    <w:p w14:paraId="5F86009D">
      <w:pPr>
        <w:pStyle w:val="2"/>
        <w:spacing w:before="0" w:after="0"/>
        <w:jc w:val="center"/>
        <w:rPr>
          <w:rFonts w:ascii="宋体" w:hAnsi="宋体" w:cs="宋体"/>
          <w:bCs/>
          <w:sz w:val="28"/>
          <w:szCs w:val="28"/>
          <w:highlight w:val="none"/>
        </w:rPr>
      </w:pPr>
      <w:bookmarkStart w:id="1530" w:name="_Toc29547243"/>
      <w:bookmarkStart w:id="1531" w:name="_Toc16775"/>
      <w:bookmarkStart w:id="1532" w:name="_Toc11697"/>
      <w:r>
        <w:rPr>
          <w:rFonts w:hint="eastAsia" w:ascii="宋体" w:hAnsi="宋体" w:cs="宋体"/>
          <w:highlight w:val="none"/>
        </w:rPr>
        <w:t xml:space="preserve">第五章 </w:t>
      </w:r>
      <w:bookmarkEnd w:id="170"/>
      <w:bookmarkEnd w:id="1530"/>
      <w:bookmarkStart w:id="1533" w:name="_Toc359494612"/>
      <w:bookmarkStart w:id="1534" w:name="_Toc29547244"/>
      <w:r>
        <w:rPr>
          <w:rFonts w:hint="eastAsia" w:ascii="宋体" w:hAnsi="宋体" w:cs="宋体"/>
          <w:highlight w:val="none"/>
        </w:rPr>
        <w:t>工程量清单</w:t>
      </w:r>
      <w:r>
        <w:rPr>
          <w:rFonts w:hint="eastAsia" w:ascii="宋体" w:hAnsi="宋体" w:cs="宋体"/>
          <w:highlight w:val="none"/>
          <w:lang w:val="en-US" w:eastAsia="zh-CN"/>
        </w:rPr>
        <w:t>及图纸</w:t>
      </w:r>
      <w:bookmarkEnd w:id="1531"/>
      <w:bookmarkEnd w:id="1532"/>
    </w:p>
    <w:p w14:paraId="67067D56">
      <w:pPr>
        <w:snapToGrid w:val="0"/>
        <w:spacing w:line="360" w:lineRule="auto"/>
        <w:rPr>
          <w:rFonts w:ascii="宋体" w:hAnsi="宋体" w:cs="宋体"/>
          <w:highlight w:val="none"/>
        </w:rPr>
      </w:pPr>
    </w:p>
    <w:p w14:paraId="5880E7A8">
      <w:pPr>
        <w:pStyle w:val="11"/>
        <w:jc w:val="center"/>
        <w:rPr>
          <w:rFonts w:hint="eastAsia" w:ascii="宋体" w:hAnsi="宋体" w:eastAsia="宋体" w:cs="宋体"/>
          <w:kern w:val="2"/>
          <w:sz w:val="28"/>
          <w:szCs w:val="28"/>
          <w:highlight w:val="none"/>
          <w:shd w:val="clear" w:color="auto" w:fill="FFFFFF"/>
          <w:lang w:val="en-US" w:eastAsia="zh-CN" w:bidi="ar-SA"/>
        </w:rPr>
        <w:sectPr>
          <w:footerReference r:id="rId18" w:type="first"/>
          <w:headerReference r:id="rId16" w:type="default"/>
          <w:footerReference r:id="rId17" w:type="default"/>
          <w:pgSz w:w="11906" w:h="16838"/>
          <w:pgMar w:top="1276" w:right="991" w:bottom="1247" w:left="964" w:header="1134" w:footer="851" w:gutter="170"/>
          <w:pgNumType w:fmt="decimal"/>
          <w:cols w:space="720" w:num="1"/>
          <w:titlePg/>
          <w:docGrid w:type="linesAndChars" w:linePitch="328" w:charSpace="0"/>
        </w:sectPr>
      </w:pPr>
      <w:r>
        <w:rPr>
          <w:rFonts w:hint="eastAsia" w:ascii="宋体" w:hAnsi="宋体" w:eastAsia="宋体" w:cs="宋体"/>
          <w:kern w:val="2"/>
          <w:sz w:val="28"/>
          <w:szCs w:val="28"/>
          <w:highlight w:val="none"/>
          <w:shd w:val="clear" w:color="auto" w:fill="FFFFFF"/>
          <w:lang w:val="en-US" w:eastAsia="zh-CN" w:bidi="ar-SA"/>
        </w:rPr>
        <w:t>另册</w:t>
      </w:r>
    </w:p>
    <w:p w14:paraId="0C833BE1">
      <w:pPr>
        <w:pStyle w:val="2"/>
        <w:spacing w:before="0" w:after="0"/>
        <w:jc w:val="center"/>
        <w:rPr>
          <w:rFonts w:ascii="宋体" w:hAnsi="宋体" w:cs="宋体"/>
          <w:highlight w:val="none"/>
        </w:rPr>
      </w:pPr>
      <w:bookmarkStart w:id="1535" w:name="_Toc13558"/>
      <w:bookmarkStart w:id="1536" w:name="_Toc5522"/>
      <w:bookmarkStart w:id="1537" w:name="_Toc11836"/>
      <w:bookmarkStart w:id="1538" w:name="_Toc11930"/>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响应文件构成、要求及格式</w:t>
      </w:r>
      <w:bookmarkEnd w:id="1533"/>
      <w:bookmarkEnd w:id="1534"/>
      <w:bookmarkEnd w:id="1535"/>
      <w:bookmarkEnd w:id="1536"/>
      <w:bookmarkEnd w:id="1537"/>
      <w:bookmarkEnd w:id="1538"/>
    </w:p>
    <w:p w14:paraId="62FE838F">
      <w:pPr>
        <w:autoSpaceDE w:val="0"/>
        <w:autoSpaceDN w:val="0"/>
        <w:adjustRightInd w:val="0"/>
        <w:jc w:val="center"/>
        <w:rPr>
          <w:rFonts w:ascii="宋体" w:hAnsi="宋体" w:cs="宋体"/>
          <w:bCs/>
          <w:szCs w:val="21"/>
          <w:highlight w:val="none"/>
          <w:lang w:val="zh-CN"/>
        </w:rPr>
      </w:pPr>
    </w:p>
    <w:p w14:paraId="5FD8F146">
      <w:pPr>
        <w:autoSpaceDE w:val="0"/>
        <w:autoSpaceDN w:val="0"/>
        <w:adjustRightInd w:val="0"/>
        <w:rPr>
          <w:rFonts w:ascii="宋体" w:hAnsi="宋体" w:cs="宋体"/>
          <w:b/>
          <w:bCs/>
          <w:sz w:val="30"/>
          <w:szCs w:val="30"/>
          <w:highlight w:val="none"/>
          <w:lang w:val="zh-CN"/>
        </w:rPr>
      </w:pPr>
    </w:p>
    <w:p w14:paraId="226A3694">
      <w:pPr>
        <w:tabs>
          <w:tab w:val="left" w:pos="5364"/>
        </w:tabs>
        <w:autoSpaceDE w:val="0"/>
        <w:autoSpaceDN w:val="0"/>
        <w:adjustRightInd w:val="0"/>
        <w:jc w:val="right"/>
        <w:rPr>
          <w:rFonts w:ascii="宋体" w:hAnsi="宋体" w:cs="宋体"/>
          <w:bCs/>
          <w:szCs w:val="21"/>
          <w:highlight w:val="none"/>
          <w:lang w:val="zh-CN"/>
        </w:rPr>
      </w:pPr>
      <w:r>
        <w:rPr>
          <w:rFonts w:hint="eastAsia" w:ascii="宋体" w:hAnsi="宋体" w:cs="宋体"/>
          <w:b/>
          <w:sz w:val="44"/>
          <w:szCs w:val="44"/>
          <w:highlight w:val="none"/>
        </w:rPr>
        <w:br w:type="page"/>
      </w:r>
      <w:r>
        <w:rPr>
          <w:rFonts w:hint="eastAsia" w:ascii="宋体" w:hAnsi="宋体" w:cs="宋体"/>
          <w:b/>
          <w:sz w:val="44"/>
          <w:szCs w:val="44"/>
          <w:highlight w:val="none"/>
        </w:rPr>
        <w:t>【正本或副本】</w:t>
      </w:r>
    </w:p>
    <w:p w14:paraId="6E2C5307">
      <w:pPr>
        <w:rPr>
          <w:rFonts w:ascii="宋体" w:hAnsi="宋体" w:cs="宋体"/>
          <w:b/>
          <w:sz w:val="36"/>
          <w:szCs w:val="36"/>
          <w:highlight w:val="none"/>
        </w:rPr>
      </w:pPr>
    </w:p>
    <w:p w14:paraId="50B43AE8">
      <w:pPr>
        <w:rPr>
          <w:rFonts w:ascii="宋体" w:hAnsi="宋体" w:cs="宋体"/>
          <w:b/>
          <w:sz w:val="36"/>
          <w:szCs w:val="36"/>
          <w:highlight w:val="none"/>
        </w:rPr>
      </w:pPr>
    </w:p>
    <w:p w14:paraId="2A485CCE">
      <w:pPr>
        <w:rPr>
          <w:rFonts w:ascii="宋体" w:hAnsi="宋体" w:cs="宋体"/>
          <w:b/>
          <w:sz w:val="36"/>
          <w:szCs w:val="36"/>
          <w:highlight w:val="none"/>
        </w:rPr>
      </w:pPr>
    </w:p>
    <w:p w14:paraId="41F9A32A">
      <w:pPr>
        <w:jc w:val="center"/>
        <w:rPr>
          <w:rFonts w:ascii="宋体" w:hAnsi="宋体" w:cs="宋体"/>
          <w:b/>
          <w:sz w:val="44"/>
          <w:szCs w:val="44"/>
          <w:highlight w:val="none"/>
          <w:u w:val="single"/>
        </w:rPr>
      </w:pPr>
      <w:r>
        <w:rPr>
          <w:rFonts w:hint="eastAsia" w:ascii="宋体" w:hAnsi="宋体" w:cs="宋体"/>
          <w:b/>
          <w:sz w:val="44"/>
          <w:szCs w:val="44"/>
          <w:highlight w:val="none"/>
          <w:u w:val="single"/>
        </w:rPr>
        <w:t>（项目名称）</w:t>
      </w:r>
    </w:p>
    <w:p w14:paraId="51E221A7">
      <w:pPr>
        <w:jc w:val="center"/>
        <w:rPr>
          <w:rFonts w:ascii="宋体" w:hAnsi="宋体" w:cs="宋体"/>
          <w:b/>
          <w:sz w:val="44"/>
          <w:szCs w:val="44"/>
          <w:highlight w:val="none"/>
        </w:rPr>
      </w:pPr>
    </w:p>
    <w:p w14:paraId="262D000B">
      <w:pPr>
        <w:rPr>
          <w:rFonts w:ascii="宋体" w:hAnsi="宋体" w:cs="宋体"/>
          <w:b/>
          <w:sz w:val="84"/>
          <w:szCs w:val="84"/>
          <w:highlight w:val="none"/>
        </w:rPr>
      </w:pPr>
    </w:p>
    <w:p w14:paraId="753C1040">
      <w:pPr>
        <w:jc w:val="center"/>
        <w:rPr>
          <w:rFonts w:ascii="宋体" w:hAnsi="宋体" w:cs="宋体"/>
          <w:b/>
          <w:sz w:val="72"/>
          <w:szCs w:val="72"/>
          <w:highlight w:val="none"/>
        </w:rPr>
      </w:pPr>
      <w:r>
        <w:rPr>
          <w:rFonts w:hint="eastAsia" w:ascii="宋体" w:hAnsi="宋体" w:cs="宋体"/>
          <w:b/>
          <w:sz w:val="72"/>
          <w:szCs w:val="72"/>
          <w:highlight w:val="none"/>
        </w:rPr>
        <w:t>响 应 文 件</w:t>
      </w:r>
    </w:p>
    <w:p w14:paraId="328DBBA6">
      <w:pPr>
        <w:rPr>
          <w:rFonts w:ascii="宋体" w:hAnsi="宋体" w:cs="宋体"/>
          <w:sz w:val="36"/>
          <w:highlight w:val="none"/>
        </w:rPr>
      </w:pPr>
    </w:p>
    <w:p w14:paraId="294FBFCC">
      <w:pPr>
        <w:jc w:val="center"/>
        <w:rPr>
          <w:rFonts w:ascii="宋体" w:hAnsi="宋体" w:cs="宋体"/>
          <w:b/>
          <w:sz w:val="28"/>
          <w:szCs w:val="28"/>
          <w:highlight w:val="none"/>
        </w:rPr>
      </w:pPr>
      <w:r>
        <w:rPr>
          <w:rFonts w:hint="eastAsia" w:ascii="宋体" w:hAnsi="宋体" w:cs="宋体"/>
          <w:b/>
          <w:sz w:val="28"/>
          <w:szCs w:val="28"/>
          <w:highlight w:val="none"/>
        </w:rPr>
        <w:t>项目编号：</w:t>
      </w:r>
    </w:p>
    <w:p w14:paraId="755428DF">
      <w:pPr>
        <w:ind w:firstLine="320" w:firstLineChars="100"/>
        <w:jc w:val="center"/>
        <w:rPr>
          <w:rFonts w:ascii="宋体" w:hAnsi="宋体" w:cs="宋体"/>
          <w:b/>
          <w:sz w:val="32"/>
          <w:szCs w:val="32"/>
          <w:highlight w:val="none"/>
        </w:rPr>
      </w:pPr>
    </w:p>
    <w:p w14:paraId="501D8DC3">
      <w:pPr>
        <w:rPr>
          <w:rFonts w:ascii="宋体" w:hAnsi="宋体" w:cs="宋体"/>
          <w:sz w:val="30"/>
          <w:szCs w:val="30"/>
          <w:highlight w:val="none"/>
        </w:rPr>
      </w:pPr>
    </w:p>
    <w:p w14:paraId="54ED0DCB">
      <w:pPr>
        <w:rPr>
          <w:rFonts w:ascii="宋体" w:hAnsi="宋体" w:cs="宋体"/>
          <w:sz w:val="30"/>
          <w:szCs w:val="30"/>
          <w:highlight w:val="none"/>
        </w:rPr>
      </w:pPr>
    </w:p>
    <w:p w14:paraId="4BD29427">
      <w:pPr>
        <w:rPr>
          <w:rFonts w:ascii="宋体" w:hAnsi="宋体" w:cs="宋体"/>
          <w:sz w:val="32"/>
          <w:highlight w:val="none"/>
        </w:rPr>
      </w:pPr>
    </w:p>
    <w:p w14:paraId="2285AC1D">
      <w:pPr>
        <w:rPr>
          <w:rFonts w:ascii="宋体" w:hAnsi="宋体" w:cs="宋体"/>
          <w:sz w:val="32"/>
          <w:highlight w:val="none"/>
        </w:rPr>
      </w:pPr>
    </w:p>
    <w:p w14:paraId="35E21F08">
      <w:pPr>
        <w:ind w:firstLine="600" w:firstLineChars="200"/>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供应商</w:t>
      </w:r>
      <w:r>
        <w:rPr>
          <w:rFonts w:hint="eastAsia" w:ascii="宋体" w:hAnsi="宋体" w:cs="宋体"/>
          <w:b/>
          <w:color w:val="auto"/>
          <w:sz w:val="30"/>
          <w:szCs w:val="30"/>
          <w:lang w:val="en-US" w:eastAsia="zh-CN"/>
        </w:rPr>
        <w:t>名称</w:t>
      </w:r>
      <w:r>
        <w:rPr>
          <w:rFonts w:hint="eastAsia" w:ascii="宋体" w:hAnsi="宋体" w:eastAsia="宋体" w:cs="宋体"/>
          <w:b/>
          <w:color w:val="auto"/>
          <w:sz w:val="30"/>
          <w:szCs w:val="30"/>
        </w:rPr>
        <w:t>：</w:t>
      </w:r>
      <w:r>
        <w:rPr>
          <w:rFonts w:hint="eastAsia" w:ascii="宋体" w:hAnsi="宋体" w:eastAsia="宋体" w:cs="宋体"/>
          <w:b/>
          <w:color w:val="auto"/>
          <w:sz w:val="30"/>
          <w:szCs w:val="30"/>
          <w:u w:val="single"/>
        </w:rPr>
        <w:t xml:space="preserve">                       （盖章）</w:t>
      </w:r>
    </w:p>
    <w:p w14:paraId="3CBFE0A4">
      <w:pPr>
        <w:jc w:val="center"/>
        <w:rPr>
          <w:rFonts w:hint="eastAsia" w:ascii="宋体" w:hAnsi="宋体" w:eastAsia="宋体" w:cs="宋体"/>
          <w:b/>
          <w:color w:val="auto"/>
          <w:sz w:val="30"/>
          <w:szCs w:val="30"/>
        </w:rPr>
      </w:pPr>
      <w:r>
        <w:rPr>
          <w:rFonts w:hint="eastAsia" w:ascii="宋体" w:hAnsi="宋体" w:eastAsia="宋体" w:cs="宋体"/>
          <w:b/>
          <w:bCs/>
          <w:color w:val="auto"/>
          <w:sz w:val="30"/>
          <w:szCs w:val="30"/>
        </w:rPr>
        <w:t>法定代表人或其委托代理人</w:t>
      </w:r>
      <w:r>
        <w:rPr>
          <w:rFonts w:hint="eastAsia" w:ascii="宋体" w:hAnsi="宋体" w:eastAsia="宋体" w:cs="宋体"/>
          <w:b/>
          <w:color w:val="auto"/>
          <w:sz w:val="30"/>
          <w:szCs w:val="30"/>
        </w:rPr>
        <w:t>：</w:t>
      </w:r>
      <w:r>
        <w:rPr>
          <w:rFonts w:hint="eastAsia" w:ascii="宋体" w:hAnsi="宋体" w:eastAsia="宋体" w:cs="宋体"/>
          <w:b/>
          <w:color w:val="auto"/>
          <w:sz w:val="30"/>
          <w:szCs w:val="30"/>
          <w:u w:val="single"/>
        </w:rPr>
        <w:t xml:space="preserve">           （签字或盖章）</w:t>
      </w:r>
    </w:p>
    <w:p w14:paraId="0BC2E1B1">
      <w:pPr>
        <w:ind w:firstLine="600" w:firstLineChars="200"/>
        <w:jc w:val="center"/>
        <w:rPr>
          <w:rFonts w:hint="eastAsia" w:ascii="宋体" w:hAnsi="宋体" w:eastAsia="宋体" w:cs="宋体"/>
          <w:b/>
          <w:color w:val="auto"/>
          <w:sz w:val="30"/>
          <w:szCs w:val="30"/>
          <w:u w:val="single"/>
        </w:rPr>
      </w:pPr>
      <w:r>
        <w:rPr>
          <w:rFonts w:hint="eastAsia" w:ascii="宋体" w:hAnsi="宋体" w:eastAsia="宋体" w:cs="宋体"/>
          <w:b/>
          <w:color w:val="auto"/>
          <w:sz w:val="30"/>
          <w:szCs w:val="30"/>
        </w:rPr>
        <w:t>日期：</w:t>
      </w:r>
      <w:r>
        <w:rPr>
          <w:rFonts w:hint="eastAsia" w:ascii="宋体" w:hAnsi="宋体" w:eastAsia="宋体" w:cs="宋体"/>
          <w:b/>
          <w:color w:val="auto"/>
          <w:sz w:val="30"/>
          <w:szCs w:val="30"/>
          <w:u w:val="single"/>
        </w:rPr>
        <w:t xml:space="preserve">           年       月      日</w:t>
      </w:r>
    </w:p>
    <w:p w14:paraId="080D6C27">
      <w:pPr>
        <w:jc w:val="center"/>
        <w:rPr>
          <w:rFonts w:ascii="宋体" w:hAnsi="宋体" w:cs="宋体"/>
          <w:sz w:val="32"/>
          <w:szCs w:val="32"/>
          <w:highlight w:val="none"/>
        </w:rPr>
      </w:pPr>
      <w:r>
        <w:rPr>
          <w:rFonts w:hint="eastAsia" w:ascii="宋体" w:hAnsi="宋体" w:cs="宋体"/>
          <w:b/>
          <w:sz w:val="32"/>
          <w:szCs w:val="32"/>
          <w:highlight w:val="none"/>
          <w:u w:val="single"/>
        </w:rPr>
        <w:br w:type="page"/>
      </w:r>
      <w:r>
        <w:rPr>
          <w:rFonts w:hint="eastAsia" w:ascii="宋体" w:hAnsi="宋体" w:cs="宋体"/>
          <w:sz w:val="32"/>
          <w:szCs w:val="32"/>
          <w:highlight w:val="none"/>
        </w:rPr>
        <w:t>目 录</w:t>
      </w:r>
    </w:p>
    <w:p w14:paraId="2108AFDA">
      <w:pPr>
        <w:jc w:val="center"/>
        <w:rPr>
          <w:rFonts w:ascii="宋体" w:hAnsi="宋体" w:cs="宋体"/>
          <w:sz w:val="32"/>
          <w:szCs w:val="32"/>
          <w:highlight w:val="none"/>
        </w:rPr>
      </w:pPr>
      <w:r>
        <w:rPr>
          <w:rFonts w:hint="eastAsia" w:ascii="宋体" w:hAnsi="宋体" w:cs="宋体"/>
          <w:sz w:val="32"/>
          <w:szCs w:val="32"/>
          <w:highlight w:val="none"/>
        </w:rPr>
        <w:t xml:space="preserve"> </w:t>
      </w:r>
    </w:p>
    <w:p w14:paraId="3435C94D">
      <w:pPr>
        <w:spacing w:line="600" w:lineRule="exact"/>
        <w:jc w:val="center"/>
        <w:rPr>
          <w:rFonts w:ascii="宋体" w:hAnsi="宋体" w:cs="宋体"/>
          <w:b/>
          <w:bCs/>
          <w:sz w:val="24"/>
          <w:szCs w:val="24"/>
          <w:highlight w:val="none"/>
        </w:rPr>
      </w:pPr>
      <w:r>
        <w:rPr>
          <w:rFonts w:hint="eastAsia" w:ascii="宋体" w:hAnsi="宋体" w:cs="宋体"/>
          <w:b/>
          <w:bCs/>
          <w:sz w:val="24"/>
          <w:szCs w:val="24"/>
          <w:highlight w:val="none"/>
        </w:rPr>
        <w:t xml:space="preserve">自拟 </w:t>
      </w:r>
    </w:p>
    <w:p w14:paraId="2521BD92">
      <w:pPr>
        <w:spacing w:line="600" w:lineRule="exact"/>
        <w:jc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5C9601D">
      <w:pPr>
        <w:spacing w:line="600" w:lineRule="exact"/>
        <w:jc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238A2326">
      <w:pPr>
        <w:spacing w:line="600" w:lineRule="exact"/>
        <w:jc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020C43D5">
      <w:pPr>
        <w:spacing w:line="600" w:lineRule="exact"/>
        <w:jc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25EA343E">
      <w:pPr>
        <w:spacing w:line="600" w:lineRule="exact"/>
        <w:jc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7E406B50">
      <w:pPr>
        <w:spacing w:line="600" w:lineRule="exact"/>
        <w:jc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48E9CD60">
      <w:pPr>
        <w:pStyle w:val="15"/>
        <w:jc w:val="left"/>
        <w:outlineLvl w:val="9"/>
        <w:rPr>
          <w:rFonts w:hAnsi="宋体" w:cs="宋体"/>
          <w:b/>
          <w:bCs/>
          <w:sz w:val="30"/>
          <w:szCs w:val="30"/>
          <w:highlight w:val="none"/>
        </w:rPr>
      </w:pPr>
      <w:r>
        <w:rPr>
          <w:rFonts w:hint="eastAsia" w:hAnsi="宋体" w:cs="宋体"/>
          <w:b/>
          <w:bCs/>
          <w:sz w:val="30"/>
          <w:szCs w:val="30"/>
          <w:highlight w:val="none"/>
        </w:rPr>
        <w:br w:type="page"/>
      </w:r>
    </w:p>
    <w:p w14:paraId="7CCFDF91">
      <w:pPr>
        <w:autoSpaceDE w:val="0"/>
        <w:autoSpaceDN w:val="0"/>
        <w:adjustRightInd w:val="0"/>
        <w:spacing w:line="360" w:lineRule="auto"/>
        <w:ind w:firstLine="150" w:firstLineChars="50"/>
        <w:jc w:val="center"/>
        <w:rPr>
          <w:rFonts w:ascii="宋体" w:hAnsi="宋体" w:cs="宋体"/>
          <w:b/>
          <w:bCs/>
          <w:sz w:val="30"/>
          <w:szCs w:val="30"/>
          <w:highlight w:val="none"/>
        </w:rPr>
        <w:sectPr>
          <w:pgSz w:w="11906" w:h="16838"/>
          <w:pgMar w:top="1276" w:right="991" w:bottom="1247" w:left="964" w:header="1134" w:footer="851" w:gutter="170"/>
          <w:pgNumType w:fmt="decimal"/>
          <w:cols w:space="720" w:num="1"/>
          <w:titlePg/>
          <w:docGrid w:type="linesAndChars" w:linePitch="328" w:charSpace="0"/>
        </w:sectPr>
      </w:pPr>
    </w:p>
    <w:p w14:paraId="10DAAA00">
      <w:pPr>
        <w:spacing w:line="500" w:lineRule="exact"/>
        <w:jc w:val="center"/>
        <w:rPr>
          <w:rFonts w:ascii="宋体" w:hAnsi="宋体"/>
          <w:b/>
          <w:bCs/>
          <w:sz w:val="32"/>
          <w:szCs w:val="32"/>
        </w:rPr>
      </w:pPr>
      <w:r>
        <w:rPr>
          <w:rFonts w:hint="eastAsia" w:ascii="宋体" w:hAnsi="宋体"/>
          <w:b/>
          <w:bCs/>
          <w:sz w:val="32"/>
          <w:szCs w:val="32"/>
          <w:lang w:val="en-US" w:eastAsia="zh-CN"/>
        </w:rPr>
        <w:t>一</w:t>
      </w:r>
      <w:r>
        <w:rPr>
          <w:rFonts w:hint="eastAsia" w:ascii="宋体" w:hAnsi="宋体"/>
          <w:b/>
          <w:bCs/>
          <w:sz w:val="32"/>
          <w:szCs w:val="32"/>
        </w:rPr>
        <w:t>、首次报价表</w:t>
      </w:r>
    </w:p>
    <w:p w14:paraId="39286F68">
      <w:pPr>
        <w:rPr>
          <w:rFonts w:ascii="宋体" w:hAnsi="宋体"/>
          <w:bCs/>
          <w:sz w:val="28"/>
          <w:szCs w:val="28"/>
        </w:rPr>
      </w:pPr>
    </w:p>
    <w:p w14:paraId="4F281023">
      <w:pPr>
        <w:spacing w:line="360" w:lineRule="auto"/>
        <w:rPr>
          <w:rFonts w:ascii="宋体" w:hAnsi="宋体"/>
          <w:b/>
          <w:bCs/>
          <w:szCs w:val="21"/>
        </w:rPr>
      </w:pPr>
      <w:r>
        <w:rPr>
          <w:rFonts w:hint="eastAsia" w:ascii="宋体" w:hAnsi="宋体"/>
          <w:b/>
          <w:bCs/>
          <w:szCs w:val="21"/>
        </w:rPr>
        <w:t xml:space="preserve">项目名称： </w:t>
      </w:r>
    </w:p>
    <w:p w14:paraId="065BE21B">
      <w:pPr>
        <w:spacing w:line="360" w:lineRule="auto"/>
        <w:rPr>
          <w:rFonts w:ascii="宋体" w:hAnsi="宋体"/>
          <w:bCs/>
          <w:color w:val="FF0000"/>
          <w:szCs w:val="21"/>
        </w:rPr>
      </w:pPr>
      <w:r>
        <w:rPr>
          <w:rFonts w:hint="eastAsia" w:ascii="宋体" w:hAnsi="宋体"/>
          <w:b/>
          <w:bCs/>
          <w:color w:val="000000"/>
          <w:szCs w:val="21"/>
          <w:lang w:eastAsia="zh-CN"/>
        </w:rPr>
        <w:t>项目编号</w:t>
      </w:r>
      <w:r>
        <w:rPr>
          <w:rFonts w:hint="eastAsia" w:ascii="宋体" w:hAnsi="宋体"/>
          <w:b/>
          <w:bCs/>
          <w:color w:val="000000"/>
          <w:szCs w:val="21"/>
        </w:rPr>
        <w:t xml:space="preserve">： </w:t>
      </w:r>
      <w:r>
        <w:rPr>
          <w:rFonts w:hint="eastAsia" w:ascii="宋体" w:hAnsi="宋体"/>
          <w:b/>
          <w:bCs/>
          <w:szCs w:val="21"/>
        </w:rPr>
        <w:t xml:space="preserve">                         </w:t>
      </w:r>
    </w:p>
    <w:tbl>
      <w:tblPr>
        <w:tblStyle w:val="31"/>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2316"/>
        <w:gridCol w:w="2450"/>
        <w:gridCol w:w="1484"/>
      </w:tblGrid>
      <w:tr w14:paraId="7749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816" w:type="dxa"/>
            <w:vAlign w:val="center"/>
          </w:tcPr>
          <w:p w14:paraId="4E63C046">
            <w:pPr>
              <w:jc w:val="center"/>
            </w:pPr>
            <w:r>
              <w:rPr>
                <w:rFonts w:hint="eastAsia"/>
                <w:lang w:val="en-US" w:eastAsia="zh-CN"/>
              </w:rPr>
              <w:t>供应商名称</w:t>
            </w:r>
          </w:p>
        </w:tc>
        <w:tc>
          <w:tcPr>
            <w:tcW w:w="2316" w:type="dxa"/>
            <w:vAlign w:val="center"/>
          </w:tcPr>
          <w:p w14:paraId="388FA247">
            <w:pPr>
              <w:jc w:val="center"/>
              <w:rPr>
                <w:rFonts w:hint="eastAsia" w:eastAsia="宋体"/>
                <w:lang w:eastAsia="zh-CN"/>
              </w:rPr>
            </w:pPr>
            <w:r>
              <w:rPr>
                <w:rFonts w:hint="eastAsia" w:ascii="宋体" w:hAnsi="宋体" w:cs="宋体"/>
                <w:color w:val="auto"/>
                <w:szCs w:val="21"/>
              </w:rPr>
              <w:t>磋商报价（</w:t>
            </w:r>
            <w:r>
              <w:rPr>
                <w:rFonts w:hint="eastAsia" w:ascii="宋体" w:hAnsi="宋体" w:cs="宋体"/>
                <w:color w:val="auto"/>
                <w:szCs w:val="21"/>
                <w:lang w:val="en-US" w:eastAsia="zh-CN"/>
              </w:rPr>
              <w:t>总价：</w:t>
            </w:r>
            <w:r>
              <w:rPr>
                <w:rFonts w:hint="eastAsia" w:ascii="宋体" w:hAnsi="宋体" w:cs="宋体"/>
                <w:color w:val="auto"/>
                <w:szCs w:val="21"/>
              </w:rPr>
              <w:t>元）</w:t>
            </w:r>
          </w:p>
        </w:tc>
        <w:tc>
          <w:tcPr>
            <w:tcW w:w="2450" w:type="dxa"/>
            <w:vAlign w:val="center"/>
          </w:tcPr>
          <w:p w14:paraId="211E9904">
            <w:pPr>
              <w:jc w:val="center"/>
            </w:pPr>
            <w:r>
              <w:rPr>
                <w:rFonts w:hint="eastAsia"/>
              </w:rPr>
              <w:t>投标保证金（有/无）</w:t>
            </w:r>
          </w:p>
        </w:tc>
        <w:tc>
          <w:tcPr>
            <w:tcW w:w="1484" w:type="dxa"/>
            <w:vAlign w:val="center"/>
          </w:tcPr>
          <w:p w14:paraId="1CE73B6B">
            <w:pPr>
              <w:jc w:val="center"/>
            </w:pPr>
            <w:r>
              <w:rPr>
                <w:rFonts w:hint="eastAsia"/>
              </w:rPr>
              <w:t>合同履行期限</w:t>
            </w:r>
          </w:p>
        </w:tc>
      </w:tr>
      <w:tr w14:paraId="36B2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816" w:type="dxa"/>
            <w:vAlign w:val="center"/>
          </w:tcPr>
          <w:p w14:paraId="0C6E71E8">
            <w:pPr>
              <w:jc w:val="center"/>
            </w:pPr>
          </w:p>
        </w:tc>
        <w:tc>
          <w:tcPr>
            <w:tcW w:w="2316" w:type="dxa"/>
            <w:tcBorders>
              <w:left w:val="single" w:color="auto" w:sz="4" w:space="0"/>
            </w:tcBorders>
            <w:vAlign w:val="center"/>
          </w:tcPr>
          <w:p w14:paraId="1AE272A2">
            <w:pPr>
              <w:jc w:val="center"/>
            </w:pPr>
          </w:p>
        </w:tc>
        <w:tc>
          <w:tcPr>
            <w:tcW w:w="2450" w:type="dxa"/>
            <w:tcBorders>
              <w:left w:val="single" w:color="auto" w:sz="4" w:space="0"/>
            </w:tcBorders>
            <w:vAlign w:val="center"/>
          </w:tcPr>
          <w:p w14:paraId="7D66FFF1">
            <w:pPr>
              <w:jc w:val="center"/>
            </w:pPr>
          </w:p>
        </w:tc>
        <w:tc>
          <w:tcPr>
            <w:tcW w:w="1484" w:type="dxa"/>
            <w:tcBorders>
              <w:left w:val="single" w:color="auto" w:sz="4" w:space="0"/>
            </w:tcBorders>
            <w:vAlign w:val="center"/>
          </w:tcPr>
          <w:p w14:paraId="1306BC92">
            <w:pPr>
              <w:jc w:val="center"/>
            </w:pPr>
          </w:p>
        </w:tc>
      </w:tr>
    </w:tbl>
    <w:p w14:paraId="50D839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p>
    <w:p w14:paraId="392B5B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1、填报的内容必须和响应函中的内容一致；如不一致，以</w:t>
      </w:r>
      <w:r>
        <w:rPr>
          <w:rFonts w:hint="eastAsia" w:ascii="宋体" w:hAnsi="宋体"/>
          <w:b/>
          <w:bCs w:val="0"/>
          <w:szCs w:val="21"/>
          <w:lang w:val="en-US" w:eastAsia="zh-CN"/>
        </w:rPr>
        <w:t>报价函</w:t>
      </w:r>
      <w:r>
        <w:rPr>
          <w:rFonts w:hint="eastAsia" w:ascii="宋体" w:hAnsi="宋体"/>
          <w:b/>
          <w:bCs w:val="0"/>
          <w:szCs w:val="21"/>
        </w:rPr>
        <w:t>中相关内容为准；</w:t>
      </w:r>
    </w:p>
    <w:p w14:paraId="488512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2、</w:t>
      </w:r>
      <w:r>
        <w:rPr>
          <w:rFonts w:hint="eastAsia" w:ascii="宋体" w:hAnsi="宋体"/>
          <w:b/>
          <w:bCs w:val="0"/>
          <w:szCs w:val="21"/>
          <w:lang w:val="en-US" w:eastAsia="zh-CN"/>
        </w:rPr>
        <w:t>报价函</w:t>
      </w:r>
      <w:r>
        <w:rPr>
          <w:rFonts w:hint="eastAsia" w:ascii="宋体" w:hAnsi="宋体"/>
          <w:b/>
          <w:bCs w:val="0"/>
          <w:szCs w:val="21"/>
        </w:rPr>
        <w:t>、首次报价表中的报价不一致时，以</w:t>
      </w:r>
      <w:r>
        <w:rPr>
          <w:rFonts w:hint="eastAsia" w:ascii="宋体" w:hAnsi="宋体"/>
          <w:b/>
          <w:bCs w:val="0"/>
          <w:szCs w:val="21"/>
          <w:lang w:val="en-US" w:eastAsia="zh-CN"/>
        </w:rPr>
        <w:t>报价函</w:t>
      </w:r>
      <w:r>
        <w:rPr>
          <w:rFonts w:hint="eastAsia" w:ascii="宋体" w:hAnsi="宋体"/>
          <w:b/>
          <w:bCs w:val="0"/>
          <w:szCs w:val="21"/>
        </w:rPr>
        <w:t>中的报价为准。</w:t>
      </w:r>
    </w:p>
    <w:p w14:paraId="3FCA7B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lang w:val="en-US" w:eastAsia="zh-CN"/>
        </w:rPr>
      </w:pPr>
      <w:r>
        <w:rPr>
          <w:rFonts w:hint="eastAsia" w:ascii="宋体" w:hAnsi="宋体"/>
          <w:b/>
          <w:bCs w:val="0"/>
          <w:szCs w:val="21"/>
          <w:lang w:val="en-US" w:eastAsia="zh-CN"/>
        </w:rPr>
        <w:t>3、</w:t>
      </w:r>
      <w:r>
        <w:rPr>
          <w:rFonts w:hint="eastAsia" w:ascii="宋体" w:hAnsi="宋体"/>
          <w:b/>
          <w:bCs w:val="0"/>
          <w:szCs w:val="21"/>
        </w:rPr>
        <w:t>此表涉及内容需要全部填写完整，出现漏填视为不响应</w:t>
      </w:r>
      <w:r>
        <w:rPr>
          <w:rFonts w:hint="eastAsia" w:ascii="宋体" w:hAnsi="宋体"/>
          <w:b/>
          <w:bCs w:val="0"/>
          <w:szCs w:val="21"/>
          <w:lang w:val="en-US" w:eastAsia="zh-CN"/>
        </w:rPr>
        <w:t>磋商</w:t>
      </w:r>
      <w:r>
        <w:rPr>
          <w:rFonts w:hint="eastAsia" w:ascii="宋体" w:hAnsi="宋体"/>
          <w:b/>
          <w:bCs w:val="0"/>
          <w:szCs w:val="21"/>
        </w:rPr>
        <w:t>文件格式要求。</w:t>
      </w:r>
    </w:p>
    <w:p w14:paraId="02AF96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lang w:val="en-US" w:eastAsia="zh-CN"/>
        </w:rPr>
      </w:pPr>
      <w:r>
        <w:rPr>
          <w:rFonts w:hint="eastAsia" w:ascii="宋体" w:hAnsi="宋体"/>
          <w:b/>
          <w:bCs w:val="0"/>
          <w:szCs w:val="21"/>
          <w:lang w:val="en-US" w:eastAsia="zh-CN"/>
        </w:rPr>
        <w:t>4、</w:t>
      </w:r>
      <w:r>
        <w:rPr>
          <w:rFonts w:hint="eastAsia" w:ascii="宋体" w:hAnsi="宋体"/>
          <w:b/>
          <w:bCs w:val="0"/>
          <w:szCs w:val="21"/>
        </w:rPr>
        <w:t>投标报价四舍五入后，最多保留小数点后2位，以元为单位。</w:t>
      </w:r>
    </w:p>
    <w:p w14:paraId="0B639A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val="0"/>
          <w:szCs w:val="21"/>
        </w:rPr>
      </w:pPr>
    </w:p>
    <w:p w14:paraId="174B91C8">
      <w:pPr>
        <w:spacing w:line="360" w:lineRule="auto"/>
        <w:ind w:firstLine="435"/>
        <w:rPr>
          <w:rFonts w:ascii="宋体" w:hAnsi="宋体"/>
          <w:szCs w:val="21"/>
        </w:rPr>
      </w:pPr>
    </w:p>
    <w:p w14:paraId="3DEC7CED">
      <w:pPr>
        <w:spacing w:line="360" w:lineRule="auto"/>
        <w:rPr>
          <w:rFonts w:ascii="宋体" w:hAnsi="宋体"/>
          <w:bCs/>
          <w:szCs w:val="21"/>
        </w:rPr>
      </w:pPr>
    </w:p>
    <w:p w14:paraId="2AFDCF71">
      <w:pPr>
        <w:keepNext w:val="0"/>
        <w:keepLines w:val="0"/>
        <w:pageBreakBefore w:val="0"/>
        <w:widowControl w:val="0"/>
        <w:kinsoku/>
        <w:wordWrap/>
        <w:overflowPunct/>
        <w:topLinePunct w:val="0"/>
        <w:autoSpaceDE w:val="0"/>
        <w:autoSpaceDN w:val="0"/>
        <w:bidi w:val="0"/>
        <w:adjustRightInd w:val="0"/>
        <w:snapToGrid/>
        <w:spacing w:line="480" w:lineRule="auto"/>
        <w:ind w:firstLine="3360" w:firstLineChars="1600"/>
        <w:textAlignment w:val="auto"/>
        <w:rPr>
          <w:rFonts w:ascii="宋体" w:hAnsi="宋体"/>
          <w:bCs/>
          <w:color w:val="auto"/>
          <w:szCs w:val="21"/>
          <w:u w:val="single"/>
        </w:rPr>
      </w:pPr>
      <w:r>
        <w:rPr>
          <w:rFonts w:hint="eastAsia" w:ascii="宋体" w:hAnsi="宋体"/>
          <w:bCs/>
          <w:color w:val="auto"/>
          <w:szCs w:val="21"/>
        </w:rPr>
        <w:t>供应商名称（加盖公章）：</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u w:val="single"/>
        </w:rPr>
        <w:t xml:space="preserve">                </w:t>
      </w:r>
    </w:p>
    <w:p w14:paraId="5E428592">
      <w:pPr>
        <w:keepNext w:val="0"/>
        <w:keepLines w:val="0"/>
        <w:pageBreakBefore w:val="0"/>
        <w:widowControl w:val="0"/>
        <w:kinsoku/>
        <w:wordWrap/>
        <w:overflowPunct/>
        <w:topLinePunct w:val="0"/>
        <w:autoSpaceDE w:val="0"/>
        <w:autoSpaceDN w:val="0"/>
        <w:bidi w:val="0"/>
        <w:adjustRightInd w:val="0"/>
        <w:snapToGrid/>
        <w:spacing w:line="480" w:lineRule="auto"/>
        <w:ind w:firstLine="3360" w:firstLineChars="1600"/>
        <w:textAlignment w:val="auto"/>
        <w:rPr>
          <w:rFonts w:ascii="宋体" w:hAnsi="宋体"/>
          <w:bCs/>
          <w:color w:val="auto"/>
          <w:szCs w:val="21"/>
        </w:rPr>
      </w:pPr>
      <w:r>
        <w:rPr>
          <w:rFonts w:hint="eastAsia" w:ascii="宋体" w:hAnsi="宋体"/>
          <w:bCs/>
          <w:color w:val="auto"/>
          <w:szCs w:val="21"/>
        </w:rPr>
        <w:t>法定代表人或其委托代理人（签字或盖章）：</w:t>
      </w:r>
      <w:r>
        <w:rPr>
          <w:rFonts w:hint="eastAsia" w:ascii="宋体" w:hAnsi="宋体"/>
          <w:bCs/>
          <w:color w:val="auto"/>
          <w:szCs w:val="21"/>
          <w:u w:val="single"/>
        </w:rPr>
        <w:t xml:space="preserve">            </w:t>
      </w:r>
    </w:p>
    <w:p w14:paraId="0B06C490">
      <w:pPr>
        <w:keepNext w:val="0"/>
        <w:keepLines w:val="0"/>
        <w:pageBreakBefore w:val="0"/>
        <w:widowControl w:val="0"/>
        <w:kinsoku/>
        <w:wordWrap/>
        <w:overflowPunct/>
        <w:topLinePunct w:val="0"/>
        <w:autoSpaceDE w:val="0"/>
        <w:autoSpaceDN w:val="0"/>
        <w:bidi w:val="0"/>
        <w:adjustRightInd w:val="0"/>
        <w:snapToGrid/>
        <w:spacing w:line="480" w:lineRule="auto"/>
        <w:ind w:firstLine="3360" w:firstLineChars="1600"/>
        <w:textAlignment w:val="auto"/>
        <w:rPr>
          <w:rFonts w:hint="eastAsia" w:ascii="宋体" w:hAnsi="宋体" w:cs="宋体"/>
          <w:b/>
          <w:color w:val="auto"/>
          <w:szCs w:val="21"/>
        </w:rPr>
      </w:pPr>
      <w:r>
        <w:rPr>
          <w:rFonts w:hint="eastAsia" w:ascii="宋体" w:hAnsi="宋体"/>
          <w:color w:val="auto"/>
          <w:szCs w:val="21"/>
        </w:rPr>
        <w:t xml:space="preserve">日期：     年  </w:t>
      </w:r>
      <w:r>
        <w:rPr>
          <w:rFonts w:hint="eastAsia" w:ascii="宋体" w:hAnsi="宋体"/>
          <w:color w:val="auto"/>
          <w:szCs w:val="21"/>
          <w:lang w:val="en-US" w:eastAsia="zh-CN"/>
        </w:rPr>
        <w:t xml:space="preserve"> </w:t>
      </w:r>
      <w:r>
        <w:rPr>
          <w:rFonts w:hint="eastAsia" w:ascii="宋体" w:hAnsi="宋体"/>
          <w:color w:val="auto"/>
          <w:szCs w:val="21"/>
        </w:rPr>
        <w:t xml:space="preserve">  月  </w:t>
      </w:r>
      <w:r>
        <w:rPr>
          <w:rFonts w:hint="eastAsia" w:ascii="宋体" w:hAnsi="宋体"/>
          <w:color w:val="auto"/>
          <w:szCs w:val="21"/>
          <w:lang w:val="en-US" w:eastAsia="zh-CN"/>
        </w:rPr>
        <w:t xml:space="preserve">  </w:t>
      </w:r>
      <w:r>
        <w:rPr>
          <w:rFonts w:hint="eastAsia" w:ascii="宋体" w:hAnsi="宋体"/>
          <w:color w:val="auto"/>
          <w:szCs w:val="21"/>
        </w:rPr>
        <w:t xml:space="preserve"> 日</w:t>
      </w:r>
    </w:p>
    <w:p w14:paraId="294279CE">
      <w:pPr>
        <w:rPr>
          <w:rFonts w:hint="eastAsia" w:ascii="宋体" w:hAnsi="宋体" w:cs="宋体"/>
          <w:b/>
          <w:color w:val="auto"/>
          <w:szCs w:val="21"/>
        </w:rPr>
        <w:sectPr>
          <w:pgSz w:w="11906" w:h="16838"/>
          <w:pgMar w:top="1440" w:right="1558" w:bottom="1440" w:left="1560" w:header="851" w:footer="992" w:gutter="0"/>
          <w:cols w:space="720" w:num="1"/>
          <w:docGrid w:type="lines" w:linePitch="312" w:charSpace="0"/>
        </w:sectPr>
      </w:pPr>
    </w:p>
    <w:p w14:paraId="6CB7F2CE">
      <w:pPr>
        <w:autoSpaceDE w:val="0"/>
        <w:autoSpaceDN w:val="0"/>
        <w:adjustRightInd w:val="0"/>
        <w:spacing w:line="360" w:lineRule="auto"/>
        <w:ind w:firstLine="150" w:firstLineChars="50"/>
        <w:jc w:val="center"/>
        <w:rPr>
          <w:rFonts w:ascii="宋体" w:hAnsi="宋体" w:cs="宋体"/>
          <w:b/>
          <w:bCs/>
          <w:kern w:val="0"/>
          <w:sz w:val="30"/>
          <w:szCs w:val="30"/>
          <w:highlight w:val="none"/>
        </w:rPr>
      </w:pPr>
      <w:r>
        <w:rPr>
          <w:rFonts w:hint="eastAsia" w:ascii="宋体" w:hAnsi="宋体" w:cs="宋体"/>
          <w:b/>
          <w:bCs/>
          <w:sz w:val="30"/>
          <w:szCs w:val="30"/>
          <w:highlight w:val="none"/>
          <w:lang w:val="en-US" w:eastAsia="zh-CN"/>
        </w:rPr>
        <w:t>二</w:t>
      </w:r>
      <w:r>
        <w:rPr>
          <w:rFonts w:hint="eastAsia" w:ascii="宋体" w:hAnsi="宋体" w:cs="宋体"/>
          <w:b/>
          <w:bCs/>
          <w:sz w:val="30"/>
          <w:szCs w:val="30"/>
          <w:highlight w:val="none"/>
        </w:rPr>
        <w:t>、报价函</w:t>
      </w:r>
      <w:r>
        <w:rPr>
          <w:rFonts w:hint="eastAsia" w:ascii="宋体" w:hAnsi="宋体" w:cs="宋体"/>
          <w:b/>
          <w:bCs/>
          <w:kern w:val="0"/>
          <w:sz w:val="30"/>
          <w:szCs w:val="30"/>
          <w:highlight w:val="none"/>
        </w:rPr>
        <w:t>及报价函附录</w:t>
      </w:r>
    </w:p>
    <w:p w14:paraId="75A47167">
      <w:pPr>
        <w:autoSpaceDE w:val="0"/>
        <w:autoSpaceDN w:val="0"/>
        <w:adjustRightInd w:val="0"/>
        <w:spacing w:line="360" w:lineRule="auto"/>
        <w:ind w:firstLine="150" w:firstLineChars="50"/>
        <w:jc w:val="center"/>
        <w:rPr>
          <w:rFonts w:ascii="宋体" w:hAnsi="宋体" w:cs="宋体"/>
          <w:szCs w:val="21"/>
          <w:highlight w:val="none"/>
          <w:u w:val="single"/>
        </w:rPr>
      </w:pPr>
      <w:r>
        <w:rPr>
          <w:rFonts w:hint="eastAsia" w:ascii="宋体" w:hAnsi="宋体" w:cs="宋体"/>
          <w:b/>
          <w:bCs/>
          <w:kern w:val="0"/>
          <w:sz w:val="30"/>
          <w:szCs w:val="30"/>
          <w:highlight w:val="none"/>
        </w:rPr>
        <w:t>（一）报价函</w:t>
      </w:r>
    </w:p>
    <w:p w14:paraId="02DF31C1">
      <w:pPr>
        <w:autoSpaceDE w:val="0"/>
        <w:autoSpaceDN w:val="0"/>
        <w:adjustRightInd w:val="0"/>
        <w:spacing w:line="360" w:lineRule="auto"/>
        <w:ind w:firstLine="525" w:firstLineChars="250"/>
        <w:rPr>
          <w:rFonts w:ascii="宋体" w:hAnsi="宋体" w:cs="宋体"/>
          <w:szCs w:val="21"/>
          <w:highlight w:val="none"/>
        </w:rPr>
      </w:pPr>
      <w:r>
        <w:rPr>
          <w:rFonts w:hint="eastAsia" w:ascii="宋体" w:hAnsi="宋体" w:cs="宋体"/>
          <w:szCs w:val="21"/>
          <w:highlight w:val="none"/>
          <w:u w:val="single"/>
        </w:rPr>
        <w:t xml:space="preserve">     （采购人名称）           </w:t>
      </w:r>
      <w:r>
        <w:rPr>
          <w:rFonts w:hint="eastAsia" w:ascii="宋体" w:hAnsi="宋体" w:cs="宋体"/>
          <w:szCs w:val="21"/>
          <w:highlight w:val="none"/>
        </w:rPr>
        <w:t>：</w:t>
      </w:r>
    </w:p>
    <w:p w14:paraId="1520E8D0">
      <w:pPr>
        <w:autoSpaceDE w:val="0"/>
        <w:autoSpaceDN w:val="0"/>
        <w:adjustRightInd w:val="0"/>
        <w:ind w:firstLine="480"/>
        <w:rPr>
          <w:rFonts w:ascii="宋体" w:hAnsi="宋体" w:cs="宋体"/>
          <w:szCs w:val="21"/>
          <w:highlight w:val="none"/>
        </w:rPr>
      </w:pPr>
      <w:r>
        <w:rPr>
          <w:rFonts w:hint="eastAsia" w:ascii="宋体" w:hAnsi="宋体" w:cs="宋体"/>
          <w:szCs w:val="21"/>
          <w:highlight w:val="none"/>
        </w:rPr>
        <w:t xml:space="preserve">根据你方 </w:t>
      </w:r>
      <w:r>
        <w:rPr>
          <w:rFonts w:hint="eastAsia" w:ascii="宋体" w:hAnsi="宋体" w:cs="宋体"/>
          <w:szCs w:val="21"/>
          <w:highlight w:val="none"/>
          <w:u w:val="single"/>
        </w:rPr>
        <w:t xml:space="preserve">  （项目名称） </w:t>
      </w:r>
      <w:r>
        <w:rPr>
          <w:rFonts w:hint="eastAsia" w:ascii="宋体" w:hAnsi="宋体" w:cs="宋体"/>
          <w:szCs w:val="21"/>
          <w:highlight w:val="none"/>
        </w:rPr>
        <w:t>项目的编号为</w:t>
      </w:r>
      <w:r>
        <w:rPr>
          <w:rFonts w:hint="eastAsia" w:ascii="宋体" w:hAnsi="宋体" w:cs="宋体"/>
          <w:szCs w:val="21"/>
          <w:highlight w:val="none"/>
          <w:u w:val="single"/>
        </w:rPr>
        <w:t xml:space="preserve">  （项目编号）     </w:t>
      </w:r>
      <w:r>
        <w:rPr>
          <w:rFonts w:hint="eastAsia" w:ascii="宋体" w:hAnsi="宋体" w:cs="宋体"/>
          <w:szCs w:val="21"/>
          <w:highlight w:val="none"/>
        </w:rPr>
        <w:t>竞争性磋商文件，我方正式授权的下述签字人</w:t>
      </w:r>
      <w:r>
        <w:rPr>
          <w:rFonts w:hint="eastAsia" w:ascii="宋体" w:hAnsi="宋体" w:cs="宋体"/>
          <w:szCs w:val="21"/>
          <w:highlight w:val="none"/>
          <w:u w:val="single"/>
        </w:rPr>
        <w:t xml:space="preserve">  （姓名和职务）  </w:t>
      </w:r>
      <w:r>
        <w:rPr>
          <w:rFonts w:hint="eastAsia" w:ascii="宋体" w:hAnsi="宋体" w:cs="宋体"/>
          <w:szCs w:val="21"/>
          <w:highlight w:val="none"/>
        </w:rPr>
        <w:t>代表我方</w:t>
      </w:r>
      <w:r>
        <w:rPr>
          <w:rFonts w:hint="eastAsia" w:ascii="宋体" w:hAnsi="宋体" w:cs="宋体"/>
          <w:szCs w:val="21"/>
          <w:highlight w:val="none"/>
          <w:u w:val="single"/>
        </w:rPr>
        <w:t xml:space="preserve">  （供应商名称）  </w:t>
      </w:r>
      <w:r>
        <w:rPr>
          <w:rFonts w:hint="eastAsia" w:ascii="宋体" w:hAnsi="宋体" w:cs="宋体"/>
          <w:szCs w:val="21"/>
          <w:highlight w:val="none"/>
        </w:rPr>
        <w:t>，按照你方竞争性磋商文件的规定，以</w:t>
      </w:r>
      <w:r>
        <w:rPr>
          <w:rFonts w:hint="eastAsia" w:ascii="宋体" w:hAnsi="宋体" w:cs="宋体"/>
          <w:bCs/>
          <w:szCs w:val="18"/>
          <w:highlight w:val="none"/>
          <w:lang w:val="zh-CN"/>
        </w:rPr>
        <w:t>人民币(大写)</w:t>
      </w:r>
      <w:r>
        <w:rPr>
          <w:rFonts w:hint="eastAsia" w:ascii="宋体" w:hAnsi="宋体" w:cs="宋体"/>
          <w:bCs/>
          <w:szCs w:val="18"/>
          <w:highlight w:val="none"/>
          <w:u w:val="single"/>
          <w:lang w:val="zh-CN"/>
        </w:rPr>
        <w:t xml:space="preserve">             </w:t>
      </w:r>
      <w:r>
        <w:rPr>
          <w:rFonts w:hint="eastAsia" w:ascii="宋体" w:hAnsi="宋体" w:cs="宋体"/>
          <w:bCs/>
          <w:szCs w:val="18"/>
          <w:highlight w:val="none"/>
          <w:lang w:val="zh-CN"/>
        </w:rPr>
        <w:t>元(￥</w:t>
      </w:r>
      <w:r>
        <w:rPr>
          <w:rFonts w:hint="eastAsia" w:ascii="宋体" w:hAnsi="宋体" w:cs="宋体"/>
          <w:bCs/>
          <w:szCs w:val="18"/>
          <w:highlight w:val="none"/>
          <w:u w:val="single"/>
          <w:lang w:val="zh-CN"/>
        </w:rPr>
        <w:t xml:space="preserve">             </w:t>
      </w:r>
      <w:r>
        <w:rPr>
          <w:rFonts w:hint="eastAsia" w:ascii="宋体" w:hAnsi="宋体" w:cs="宋体"/>
          <w:bCs/>
          <w:szCs w:val="18"/>
          <w:highlight w:val="none"/>
          <w:lang w:val="zh-CN"/>
        </w:rPr>
        <w:t>)的投标总报价，</w:t>
      </w:r>
      <w:r>
        <w:rPr>
          <w:rFonts w:hint="eastAsia" w:ascii="宋体" w:hAnsi="宋体" w:cs="宋体"/>
          <w:szCs w:val="21"/>
          <w:highlight w:val="none"/>
        </w:rPr>
        <w:t>完成本项目的全部工作并保证所提供的全部文件是真实的、有效的和准确的。</w:t>
      </w:r>
    </w:p>
    <w:p w14:paraId="706EE716">
      <w:pPr>
        <w:autoSpaceDE w:val="0"/>
        <w:autoSpaceDN w:val="0"/>
        <w:adjustRightInd w:val="0"/>
        <w:ind w:firstLine="480"/>
        <w:rPr>
          <w:rFonts w:ascii="宋体" w:hAnsi="宋体" w:cs="宋体"/>
          <w:szCs w:val="21"/>
          <w:highlight w:val="none"/>
        </w:rPr>
      </w:pPr>
      <w:r>
        <w:rPr>
          <w:rFonts w:hint="eastAsia" w:ascii="宋体" w:hAnsi="宋体" w:cs="宋体"/>
          <w:szCs w:val="21"/>
          <w:highlight w:val="none"/>
        </w:rPr>
        <w:t>据此函，签字人兹宣布同意如下：</w:t>
      </w:r>
    </w:p>
    <w:p w14:paraId="20E5B53D">
      <w:pPr>
        <w:autoSpaceDE w:val="0"/>
        <w:autoSpaceDN w:val="0"/>
        <w:adjustRightInd w:val="0"/>
        <w:ind w:firstLine="420" w:firstLineChars="200"/>
        <w:rPr>
          <w:rFonts w:ascii="宋体" w:hAnsi="宋体" w:cs="宋体"/>
          <w:b/>
          <w:szCs w:val="21"/>
          <w:highlight w:val="none"/>
        </w:rPr>
      </w:pPr>
      <w:r>
        <w:rPr>
          <w:rFonts w:hint="eastAsia" w:ascii="宋体" w:hAnsi="宋体" w:cs="宋体"/>
          <w:b/>
          <w:szCs w:val="21"/>
          <w:highlight w:val="none"/>
        </w:rPr>
        <w:t>1.如果我方成为成交供应商，我们保证根据竞争性磋商文件规定履行合同责任和义务。</w:t>
      </w:r>
    </w:p>
    <w:p w14:paraId="16EB863D">
      <w:pPr>
        <w:autoSpaceDE w:val="0"/>
        <w:autoSpaceDN w:val="0"/>
        <w:adjustRightInd w:val="0"/>
        <w:ind w:firstLine="420" w:firstLineChars="200"/>
        <w:rPr>
          <w:rFonts w:ascii="宋体" w:hAnsi="宋体" w:cs="宋体"/>
          <w:b/>
          <w:szCs w:val="21"/>
          <w:highlight w:val="none"/>
        </w:rPr>
      </w:pPr>
      <w:r>
        <w:rPr>
          <w:rFonts w:hint="eastAsia" w:ascii="宋体" w:hAnsi="宋体" w:cs="宋体"/>
          <w:b/>
          <w:szCs w:val="21"/>
          <w:highlight w:val="none"/>
        </w:rPr>
        <w:t>2.我方人民币</w:t>
      </w:r>
      <w:r>
        <w:rPr>
          <w:rFonts w:hint="eastAsia" w:ascii="宋体" w:hAnsi="宋体" w:cs="宋体"/>
          <w:b/>
          <w:szCs w:val="21"/>
          <w:highlight w:val="none"/>
          <w:u w:val="single"/>
        </w:rPr>
        <w:t xml:space="preserve">        </w:t>
      </w:r>
      <w:r>
        <w:rPr>
          <w:rFonts w:hint="eastAsia" w:ascii="宋体" w:hAnsi="宋体" w:cs="宋体"/>
          <w:b/>
          <w:szCs w:val="21"/>
          <w:highlight w:val="none"/>
        </w:rPr>
        <w:t>元的磋商保证金与本响应文件同时提交。</w:t>
      </w:r>
    </w:p>
    <w:p w14:paraId="7784F85E">
      <w:pPr>
        <w:autoSpaceDE w:val="0"/>
        <w:autoSpaceDN w:val="0"/>
        <w:adjustRightInd w:val="0"/>
        <w:ind w:firstLine="420" w:firstLineChars="200"/>
        <w:rPr>
          <w:rFonts w:ascii="宋体" w:hAnsi="宋体" w:cs="宋体"/>
          <w:b/>
          <w:szCs w:val="21"/>
          <w:highlight w:val="none"/>
        </w:rPr>
      </w:pPr>
      <w:r>
        <w:rPr>
          <w:rFonts w:hint="eastAsia" w:ascii="宋体" w:hAnsi="宋体" w:cs="宋体"/>
          <w:b/>
          <w:szCs w:val="21"/>
          <w:highlight w:val="none"/>
        </w:rPr>
        <w:t>3.磋商有效期自开标之日起</w:t>
      </w:r>
      <w:r>
        <w:rPr>
          <w:rFonts w:hint="eastAsia" w:ascii="宋体" w:hAnsi="宋体" w:cs="宋体"/>
          <w:b/>
          <w:szCs w:val="21"/>
          <w:highlight w:val="none"/>
          <w:u w:val="single"/>
        </w:rPr>
        <w:t xml:space="preserve">    </w:t>
      </w:r>
      <w:r>
        <w:rPr>
          <w:rFonts w:hint="eastAsia" w:ascii="宋体" w:hAnsi="宋体" w:cs="宋体"/>
          <w:b/>
          <w:szCs w:val="21"/>
          <w:highlight w:val="none"/>
        </w:rPr>
        <w:t>天内有效。</w:t>
      </w:r>
    </w:p>
    <w:p w14:paraId="24B66E15">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4.如果我方成为成交供应商，我方保证按照竞争性磋商文件规定提交履约保证金，承担履约责任。</w:t>
      </w:r>
    </w:p>
    <w:p w14:paraId="15019CB8">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5.我们已详细阅读了全部竞争性磋商文件，包括竞争性磋商文件的修改、补充文件、参考资料及有关的附件，我们接受竞争性磋商文件的全部条款和条件，我们知道必须放弃提出含糊不清或误解的问题的权利。</w:t>
      </w:r>
    </w:p>
    <w:p w14:paraId="420D52C5">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6.我们对竞争性磋商文件关于时限、程序方面的规定没有异议，保证按照竞争性磋商文件规定的时限和程序参加投标活动。</w:t>
      </w:r>
    </w:p>
    <w:p w14:paraId="427AD9B5">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7.我们同意在供应商须知规定的开标时间起遵循本投标书，并在供应商须知规定的磋商有效期满之前均具有约束力，并有可能中标。</w:t>
      </w:r>
    </w:p>
    <w:p w14:paraId="50DDCD36">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8.我们如果在规定的磋商有效期内撤回投标，则你方可不予退还我们的磋商保证金。</w:t>
      </w:r>
    </w:p>
    <w:p w14:paraId="5461D7AF">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9.我们保证向你方提供你方可能要求的与本投标有关的任何证据或资料。</w:t>
      </w:r>
    </w:p>
    <w:p w14:paraId="291F746F">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10.我们完全理解你方不一定要接受最低报价的投标或收到的任何投标。</w:t>
      </w:r>
    </w:p>
    <w:p w14:paraId="10AA8D81">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11.我方保证严格遵守《中华人民共和国政府采购法》的有关规定，若有下列情形之一的，我方将被处不予退还磋商保证金，列入不良行为记录名单，在一至三年内禁止参加政府采购活动，并予以公告：</w:t>
      </w:r>
    </w:p>
    <w:p w14:paraId="492B03F7">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（1）提供虚假材料谋取中标、成交的；</w:t>
      </w:r>
    </w:p>
    <w:p w14:paraId="5342D92F">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（2）采取不正当手段诋毁、排挤其他供应商的；</w:t>
      </w:r>
    </w:p>
    <w:p w14:paraId="41269A8A">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（3）与其他供应商、采购机构或者采购人或者其他有关人员恶意串通的；</w:t>
      </w:r>
    </w:p>
    <w:p w14:paraId="763AE063">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（4）向磋商小组成员、采购机构或者采购人或者其他有关人员行贿或者提供其他不正当利益的；</w:t>
      </w:r>
    </w:p>
    <w:p w14:paraId="759D52C1">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（5）被评定中标后无正当理由不与采购人或者采购代理机构订立合同，或者中标后不按竞争性磋商文件和中标供应商的响应文件订立合同，或者与采购人另行订立背离合同实质性内容的协议的；</w:t>
      </w:r>
    </w:p>
    <w:p w14:paraId="76B43423">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（6）将中标项目转让给他人或者将中标项目分包给他人的；</w:t>
      </w:r>
    </w:p>
    <w:p w14:paraId="45BF36ED">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（7）签订合同后拒绝履行合同义务的；</w:t>
      </w:r>
    </w:p>
    <w:p w14:paraId="516CE651">
      <w:pPr>
        <w:autoSpaceDE w:val="0"/>
        <w:autoSpaceDN w:val="0"/>
        <w:adjustRightInd w:val="0"/>
        <w:ind w:firstLine="420" w:firstLineChars="200"/>
        <w:rPr>
          <w:rFonts w:ascii="宋体" w:hAnsi="宋体" w:cs="宋体"/>
          <w:szCs w:val="21"/>
          <w:highlight w:val="none"/>
        </w:rPr>
      </w:pPr>
      <w:r>
        <w:rPr>
          <w:rFonts w:hint="eastAsia" w:ascii="宋体" w:hAnsi="宋体" w:cs="宋体"/>
          <w:szCs w:val="21"/>
          <w:highlight w:val="none"/>
        </w:rPr>
        <w:t>（8）拒绝有关部门监督检查或提供虚假情况的。</w:t>
      </w:r>
    </w:p>
    <w:p w14:paraId="2320BB3B">
      <w:pPr>
        <w:autoSpaceDE w:val="0"/>
        <w:autoSpaceDN w:val="0"/>
        <w:adjustRightInd w:val="0"/>
        <w:spacing w:line="360" w:lineRule="auto"/>
        <w:ind w:left="3360" w:leftChars="1600"/>
        <w:rPr>
          <w:rFonts w:ascii="宋体" w:hAnsi="宋体" w:cs="宋体"/>
          <w:bCs/>
          <w:szCs w:val="21"/>
          <w:highlight w:val="none"/>
          <w:u w:val="single"/>
        </w:rPr>
      </w:pPr>
      <w:r>
        <w:rPr>
          <w:rFonts w:hint="eastAsia" w:ascii="宋体" w:hAnsi="宋体" w:cs="宋体"/>
          <w:bCs/>
          <w:szCs w:val="21"/>
          <w:highlight w:val="none"/>
        </w:rPr>
        <w:t>供应商名称（加盖公章）：</w:t>
      </w:r>
      <w:r>
        <w:rPr>
          <w:rFonts w:hint="eastAsia" w:ascii="宋体" w:hAnsi="宋体" w:cs="宋体"/>
          <w:bCs/>
          <w:szCs w:val="21"/>
          <w:highlight w:val="none"/>
          <w:u w:val="single"/>
        </w:rPr>
        <w:t xml:space="preserve">                      </w:t>
      </w:r>
    </w:p>
    <w:p w14:paraId="566925B7">
      <w:pPr>
        <w:autoSpaceDE w:val="0"/>
        <w:autoSpaceDN w:val="0"/>
        <w:adjustRightInd w:val="0"/>
        <w:spacing w:line="360" w:lineRule="auto"/>
        <w:ind w:left="2940" w:leftChars="1400" w:firstLine="482"/>
        <w:rPr>
          <w:rFonts w:ascii="宋体" w:hAnsi="宋体" w:cs="宋体"/>
          <w:bCs/>
          <w:szCs w:val="21"/>
          <w:highlight w:val="none"/>
        </w:rPr>
      </w:pPr>
      <w:r>
        <w:rPr>
          <w:rFonts w:hint="eastAsia" w:ascii="宋体" w:hAnsi="宋体" w:cs="宋体"/>
          <w:bCs/>
          <w:szCs w:val="21"/>
          <w:highlight w:val="none"/>
        </w:rPr>
        <w:t>法定代表人或其委托代理人（签字或盖章）：</w:t>
      </w:r>
      <w:r>
        <w:rPr>
          <w:rFonts w:hint="eastAsia" w:ascii="宋体" w:hAnsi="宋体" w:cs="宋体"/>
          <w:bCs/>
          <w:szCs w:val="21"/>
          <w:highlight w:val="none"/>
          <w:u w:val="single"/>
        </w:rPr>
        <w:t xml:space="preserve">     </w:t>
      </w:r>
    </w:p>
    <w:p w14:paraId="7BEE07A6">
      <w:pPr>
        <w:autoSpaceDE w:val="0"/>
        <w:autoSpaceDN w:val="0"/>
        <w:adjustRightInd w:val="0"/>
        <w:spacing w:line="360" w:lineRule="auto"/>
        <w:ind w:left="2940" w:leftChars="1400" w:firstLine="480"/>
        <w:rPr>
          <w:rFonts w:ascii="宋体" w:hAnsi="宋体" w:cs="宋体"/>
          <w:szCs w:val="21"/>
          <w:highlight w:val="none"/>
          <w:u w:val="single"/>
        </w:rPr>
      </w:pPr>
      <w:r>
        <w:rPr>
          <w:rFonts w:hint="eastAsia" w:ascii="宋体" w:hAnsi="宋体" w:cs="宋体"/>
          <w:szCs w:val="21"/>
          <w:highlight w:val="none"/>
        </w:rPr>
        <w:t xml:space="preserve">地址：  </w:t>
      </w:r>
      <w:r>
        <w:rPr>
          <w:rFonts w:hint="eastAsia" w:ascii="宋体" w:hAnsi="宋体" w:cs="宋体"/>
          <w:szCs w:val="21"/>
          <w:highlight w:val="none"/>
          <w:u w:val="single"/>
        </w:rPr>
        <w:t xml:space="preserve">                                     </w:t>
      </w:r>
    </w:p>
    <w:p w14:paraId="66FCDE55">
      <w:pPr>
        <w:autoSpaceDE w:val="0"/>
        <w:autoSpaceDN w:val="0"/>
        <w:adjustRightInd w:val="0"/>
        <w:spacing w:line="360" w:lineRule="auto"/>
        <w:ind w:left="2940" w:leftChars="1400" w:firstLine="480"/>
        <w:rPr>
          <w:rFonts w:ascii="宋体" w:hAnsi="宋体" w:cs="宋体"/>
          <w:szCs w:val="21"/>
          <w:highlight w:val="none"/>
          <w:u w:val="single"/>
        </w:rPr>
      </w:pPr>
      <w:r>
        <w:rPr>
          <w:rFonts w:hint="eastAsia" w:ascii="宋体" w:hAnsi="宋体" w:cs="宋体"/>
          <w:szCs w:val="21"/>
          <w:highlight w:val="none"/>
        </w:rPr>
        <w:t xml:space="preserve">电话、传真或电传：    </w:t>
      </w:r>
      <w:r>
        <w:rPr>
          <w:rFonts w:hint="eastAsia" w:ascii="宋体" w:hAnsi="宋体" w:cs="宋体"/>
          <w:szCs w:val="21"/>
          <w:highlight w:val="none"/>
          <w:u w:val="single"/>
        </w:rPr>
        <w:t xml:space="preserve">                       </w:t>
      </w:r>
    </w:p>
    <w:p w14:paraId="30674882">
      <w:pPr>
        <w:autoSpaceDE w:val="0"/>
        <w:autoSpaceDN w:val="0"/>
        <w:adjustRightInd w:val="0"/>
        <w:spacing w:line="360" w:lineRule="auto"/>
        <w:ind w:left="2940" w:leftChars="1400" w:firstLine="480"/>
        <w:rPr>
          <w:rFonts w:ascii="宋体" w:hAnsi="宋体" w:cs="宋体"/>
          <w:szCs w:val="21"/>
          <w:highlight w:val="none"/>
          <w:u w:val="singl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p>
    <w:p w14:paraId="6E95FA85">
      <w:pPr>
        <w:autoSpaceDE w:val="0"/>
        <w:autoSpaceDN w:val="0"/>
        <w:adjustRightInd w:val="0"/>
        <w:spacing w:line="360" w:lineRule="auto"/>
        <w:ind w:left="2940" w:leftChars="1400" w:firstLine="480"/>
        <w:rPr>
          <w:rFonts w:ascii="宋体" w:hAnsi="宋体" w:cs="宋体"/>
          <w:szCs w:val="21"/>
          <w:highlight w:val="none"/>
        </w:rPr>
      </w:pPr>
      <w:r>
        <w:rPr>
          <w:rFonts w:hint="eastAsia" w:ascii="宋体" w:hAnsi="宋体" w:cs="宋体"/>
          <w:szCs w:val="21"/>
          <w:highlight w:val="none"/>
        </w:rPr>
        <w:t>日期：    年    月   日</w:t>
      </w:r>
    </w:p>
    <w:p w14:paraId="70C06BF4">
      <w:pPr>
        <w:spacing w:before="328" w:beforeLines="100" w:after="164" w:afterLines="50" w:line="51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（二）报价函附录</w:t>
      </w:r>
    </w:p>
    <w:p w14:paraId="559D1EE5">
      <w:pPr>
        <w:spacing w:line="360" w:lineRule="auto"/>
        <w:ind w:firstLine="420" w:firstLineChars="200"/>
        <w:rPr>
          <w:rFonts w:ascii="宋体" w:hAnsi="宋体" w:cs="宋体"/>
          <w:szCs w:val="21"/>
          <w:highlight w:val="none"/>
        </w:rPr>
      </w:pPr>
      <w:r>
        <w:rPr>
          <w:rFonts w:hint="eastAsia" w:ascii="宋体" w:hAnsi="宋体" w:cs="宋体"/>
          <w:b/>
          <w:szCs w:val="21"/>
          <w:highlight w:val="none"/>
        </w:rPr>
        <w:t>项目名称：</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67"/>
        <w:gridCol w:w="5583"/>
        <w:gridCol w:w="1159"/>
      </w:tblGrid>
      <w:tr w14:paraId="2C30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9" w:type="dxa"/>
            <w:noWrap/>
            <w:vAlign w:val="center"/>
          </w:tcPr>
          <w:p w14:paraId="28C5A819">
            <w:pPr>
              <w:jc w:val="center"/>
              <w:rPr>
                <w:rFonts w:ascii="宋体" w:hAnsi="宋体" w:cs="宋体"/>
                <w:szCs w:val="21"/>
                <w:highlight w:val="none"/>
              </w:rPr>
            </w:pPr>
            <w:r>
              <w:rPr>
                <w:rFonts w:hint="eastAsia" w:ascii="宋体" w:hAnsi="宋体" w:cs="宋体"/>
                <w:szCs w:val="21"/>
                <w:highlight w:val="none"/>
              </w:rPr>
              <w:t>序 号</w:t>
            </w:r>
          </w:p>
        </w:tc>
        <w:tc>
          <w:tcPr>
            <w:tcW w:w="1767" w:type="dxa"/>
            <w:noWrap/>
            <w:vAlign w:val="center"/>
          </w:tcPr>
          <w:p w14:paraId="1460651F">
            <w:pPr>
              <w:jc w:val="center"/>
              <w:rPr>
                <w:rFonts w:ascii="宋体" w:hAnsi="宋体" w:cs="宋体"/>
                <w:szCs w:val="21"/>
                <w:highlight w:val="none"/>
              </w:rPr>
            </w:pPr>
            <w:r>
              <w:rPr>
                <w:rFonts w:hint="eastAsia" w:ascii="宋体" w:hAnsi="宋体" w:cs="宋体"/>
                <w:szCs w:val="21"/>
                <w:highlight w:val="none"/>
              </w:rPr>
              <w:t>条款内容</w:t>
            </w:r>
          </w:p>
        </w:tc>
        <w:tc>
          <w:tcPr>
            <w:tcW w:w="5583" w:type="dxa"/>
            <w:noWrap/>
            <w:vAlign w:val="center"/>
          </w:tcPr>
          <w:p w14:paraId="04FADCC7">
            <w:pPr>
              <w:jc w:val="center"/>
              <w:rPr>
                <w:rFonts w:ascii="宋体" w:hAnsi="宋体" w:cs="宋体"/>
                <w:szCs w:val="21"/>
                <w:highlight w:val="none"/>
              </w:rPr>
            </w:pPr>
            <w:r>
              <w:rPr>
                <w:rFonts w:hint="eastAsia" w:ascii="宋体" w:hAnsi="宋体" w:cs="宋体"/>
                <w:szCs w:val="21"/>
                <w:highlight w:val="none"/>
              </w:rPr>
              <w:t>约定内容</w:t>
            </w:r>
          </w:p>
        </w:tc>
        <w:tc>
          <w:tcPr>
            <w:tcW w:w="1159" w:type="dxa"/>
            <w:noWrap/>
            <w:vAlign w:val="center"/>
          </w:tcPr>
          <w:p w14:paraId="32E10A45">
            <w:pPr>
              <w:jc w:val="center"/>
              <w:rPr>
                <w:rFonts w:ascii="宋体" w:hAnsi="宋体" w:cs="宋体"/>
                <w:szCs w:val="21"/>
                <w:highlight w:val="none"/>
              </w:rPr>
            </w:pPr>
            <w:r>
              <w:rPr>
                <w:rFonts w:hint="eastAsia" w:ascii="宋体" w:hAnsi="宋体" w:cs="宋体"/>
                <w:szCs w:val="21"/>
                <w:highlight w:val="none"/>
              </w:rPr>
              <w:t>是否响应</w:t>
            </w:r>
          </w:p>
        </w:tc>
      </w:tr>
      <w:tr w14:paraId="421C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9" w:type="dxa"/>
            <w:noWrap/>
            <w:vAlign w:val="center"/>
          </w:tcPr>
          <w:p w14:paraId="3AA902F8">
            <w:pPr>
              <w:jc w:val="center"/>
              <w:rPr>
                <w:rFonts w:ascii="宋体" w:hAnsi="宋体" w:cs="宋体"/>
                <w:szCs w:val="21"/>
                <w:highlight w:val="none"/>
              </w:rPr>
            </w:pPr>
            <w:r>
              <w:rPr>
                <w:rFonts w:hint="eastAsia" w:ascii="宋体" w:hAnsi="宋体" w:cs="宋体"/>
                <w:szCs w:val="21"/>
                <w:highlight w:val="none"/>
              </w:rPr>
              <w:t>1</w:t>
            </w:r>
          </w:p>
        </w:tc>
        <w:tc>
          <w:tcPr>
            <w:tcW w:w="1767" w:type="dxa"/>
            <w:noWrap/>
            <w:vAlign w:val="center"/>
          </w:tcPr>
          <w:p w14:paraId="6C032AC4">
            <w:pPr>
              <w:jc w:val="center"/>
              <w:rPr>
                <w:rFonts w:ascii="宋体" w:hAnsi="宋体" w:cs="宋体"/>
                <w:highlight w:val="none"/>
              </w:rPr>
            </w:pPr>
            <w:r>
              <w:rPr>
                <w:rFonts w:hint="eastAsia" w:ascii="宋体" w:hAnsi="宋体" w:cs="宋体"/>
                <w:szCs w:val="21"/>
                <w:highlight w:val="none"/>
              </w:rPr>
              <w:t>项目经理</w:t>
            </w:r>
          </w:p>
        </w:tc>
        <w:tc>
          <w:tcPr>
            <w:tcW w:w="5583" w:type="dxa"/>
            <w:noWrap/>
            <w:vAlign w:val="center"/>
          </w:tcPr>
          <w:p w14:paraId="70ECA6A8">
            <w:pPr>
              <w:rPr>
                <w:rFonts w:ascii="宋体" w:hAnsi="宋体" w:cs="宋体"/>
                <w:highlight w:val="none"/>
              </w:rPr>
            </w:pPr>
            <w:r>
              <w:rPr>
                <w:rFonts w:hint="eastAsia" w:ascii="宋体" w:hAnsi="宋体" w:cs="宋体"/>
                <w:highlight w:val="none"/>
              </w:rPr>
              <w:t>姓名：</w:t>
            </w:r>
          </w:p>
          <w:p w14:paraId="1BDF3D4E">
            <w:pPr>
              <w:rPr>
                <w:rFonts w:ascii="宋体" w:hAnsi="宋体" w:cs="宋体"/>
                <w:highlight w:val="none"/>
              </w:rPr>
            </w:pPr>
            <w:r>
              <w:rPr>
                <w:rFonts w:hint="eastAsia" w:ascii="宋体" w:hAnsi="宋体" w:cs="宋体"/>
                <w:highlight w:val="none"/>
              </w:rPr>
              <w:t>注册证号：</w:t>
            </w:r>
          </w:p>
        </w:tc>
        <w:tc>
          <w:tcPr>
            <w:tcW w:w="1159" w:type="dxa"/>
            <w:noWrap/>
            <w:vAlign w:val="center"/>
          </w:tcPr>
          <w:p w14:paraId="3D00793E">
            <w:pPr>
              <w:jc w:val="center"/>
              <w:rPr>
                <w:rFonts w:ascii="宋体" w:hAnsi="宋体" w:cs="宋体"/>
                <w:szCs w:val="21"/>
                <w:highlight w:val="none"/>
              </w:rPr>
            </w:pPr>
          </w:p>
        </w:tc>
      </w:tr>
      <w:tr w14:paraId="2A34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shd w:val="clear" w:color="auto" w:fill="auto"/>
            <w:noWrap/>
            <w:vAlign w:val="center"/>
          </w:tcPr>
          <w:p w14:paraId="05B987D3">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2</w:t>
            </w:r>
          </w:p>
        </w:tc>
        <w:tc>
          <w:tcPr>
            <w:tcW w:w="1767" w:type="dxa"/>
            <w:noWrap/>
            <w:vAlign w:val="center"/>
          </w:tcPr>
          <w:p w14:paraId="309E8073">
            <w:pPr>
              <w:jc w:val="center"/>
              <w:rPr>
                <w:rFonts w:hint="eastAsia" w:ascii="宋体" w:hAnsi="宋体" w:cs="宋体"/>
                <w:szCs w:val="21"/>
                <w:highlight w:val="none"/>
              </w:rPr>
            </w:pPr>
            <w:r>
              <w:rPr>
                <w:rFonts w:hint="eastAsia" w:ascii="宋体" w:hAnsi="宋体" w:cs="宋体"/>
                <w:highlight w:val="none"/>
              </w:rPr>
              <w:t>采购需求</w:t>
            </w:r>
          </w:p>
        </w:tc>
        <w:tc>
          <w:tcPr>
            <w:tcW w:w="5583" w:type="dxa"/>
            <w:noWrap/>
            <w:vAlign w:val="center"/>
          </w:tcPr>
          <w:p w14:paraId="75D769EC">
            <w:pPr>
              <w:rPr>
                <w:rFonts w:hint="eastAsia" w:ascii="宋体" w:hAnsi="宋体" w:cs="宋体"/>
                <w:highlight w:val="none"/>
              </w:rPr>
            </w:pPr>
            <w:r>
              <w:rPr>
                <w:rFonts w:hint="eastAsia" w:ascii="宋体" w:hAnsi="宋体" w:cs="宋体"/>
                <w:highlight w:val="none"/>
                <w:lang w:val="en-US" w:eastAsia="zh-CN"/>
              </w:rPr>
              <w:t>附属设施项目（</w:t>
            </w:r>
            <w:r>
              <w:rPr>
                <w:rFonts w:hint="eastAsia" w:ascii="宋体" w:hAnsi="宋体" w:cs="宋体"/>
                <w:highlight w:val="none"/>
                <w:lang w:eastAsia="zh-CN"/>
              </w:rPr>
              <w:t>工程量清单及图纸所含全部内容）</w:t>
            </w:r>
          </w:p>
        </w:tc>
        <w:tc>
          <w:tcPr>
            <w:tcW w:w="1159" w:type="dxa"/>
            <w:noWrap/>
            <w:vAlign w:val="center"/>
          </w:tcPr>
          <w:p w14:paraId="35B138B7">
            <w:pPr>
              <w:jc w:val="center"/>
              <w:rPr>
                <w:rFonts w:ascii="宋体" w:hAnsi="宋体" w:cs="宋体"/>
                <w:szCs w:val="21"/>
                <w:highlight w:val="none"/>
              </w:rPr>
            </w:pPr>
          </w:p>
        </w:tc>
      </w:tr>
      <w:tr w14:paraId="1A8D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99" w:type="dxa"/>
            <w:shd w:val="clear" w:color="auto" w:fill="auto"/>
            <w:noWrap/>
            <w:vAlign w:val="center"/>
          </w:tcPr>
          <w:p w14:paraId="6EC94288">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3</w:t>
            </w:r>
          </w:p>
        </w:tc>
        <w:tc>
          <w:tcPr>
            <w:tcW w:w="1767" w:type="dxa"/>
            <w:shd w:val="clear" w:color="auto" w:fill="auto"/>
            <w:noWrap/>
            <w:vAlign w:val="center"/>
          </w:tcPr>
          <w:p w14:paraId="10F6DE1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color w:val="auto"/>
                <w:kern w:val="0"/>
                <w:szCs w:val="21"/>
                <w:highlight w:val="none"/>
              </w:rPr>
              <w:t>合同履行期限</w:t>
            </w:r>
          </w:p>
        </w:tc>
        <w:tc>
          <w:tcPr>
            <w:tcW w:w="5583" w:type="dxa"/>
            <w:shd w:val="clear" w:color="auto" w:fill="auto"/>
            <w:noWrap/>
            <w:vAlign w:val="center"/>
          </w:tcPr>
          <w:p w14:paraId="7EBB0D7E">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自合同签订之日起一个月内</w:t>
            </w:r>
          </w:p>
        </w:tc>
        <w:tc>
          <w:tcPr>
            <w:tcW w:w="1159" w:type="dxa"/>
            <w:noWrap/>
            <w:vAlign w:val="center"/>
          </w:tcPr>
          <w:p w14:paraId="5443740E">
            <w:pPr>
              <w:jc w:val="center"/>
              <w:rPr>
                <w:rFonts w:ascii="宋体" w:hAnsi="宋体" w:cs="宋体"/>
                <w:szCs w:val="21"/>
                <w:highlight w:val="none"/>
              </w:rPr>
            </w:pPr>
          </w:p>
        </w:tc>
      </w:tr>
      <w:tr w14:paraId="5F9B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9" w:type="dxa"/>
            <w:shd w:val="clear" w:color="auto" w:fill="auto"/>
            <w:noWrap/>
            <w:vAlign w:val="center"/>
          </w:tcPr>
          <w:p w14:paraId="664390C5">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4</w:t>
            </w:r>
          </w:p>
        </w:tc>
        <w:tc>
          <w:tcPr>
            <w:tcW w:w="1767" w:type="dxa"/>
            <w:shd w:val="clear" w:color="auto" w:fill="auto"/>
            <w:noWrap/>
            <w:vAlign w:val="center"/>
          </w:tcPr>
          <w:p w14:paraId="38FEAD28">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highlight w:val="none"/>
              </w:rPr>
              <w:t>质量要求</w:t>
            </w:r>
          </w:p>
        </w:tc>
        <w:tc>
          <w:tcPr>
            <w:tcW w:w="5583" w:type="dxa"/>
            <w:shd w:val="clear" w:color="auto" w:fill="auto"/>
            <w:noWrap/>
            <w:vAlign w:val="center"/>
          </w:tcPr>
          <w:p w14:paraId="03FCC710">
            <w:pPr>
              <w:autoSpaceDE w:val="0"/>
              <w:autoSpaceDN w:val="0"/>
              <w:adjustRightInd w:val="0"/>
              <w:spacing w:line="300" w:lineRule="exact"/>
              <w:jc w:val="left"/>
              <w:rPr>
                <w:rFonts w:hint="eastAsia" w:ascii="宋体" w:hAnsi="宋体" w:eastAsia="宋体" w:cs="宋体"/>
                <w:kern w:val="2"/>
                <w:sz w:val="21"/>
                <w:szCs w:val="21"/>
                <w:highlight w:val="none"/>
                <w:lang w:val="zh-CN" w:eastAsia="zh-CN" w:bidi="ar-SA"/>
              </w:rPr>
            </w:pPr>
            <w:r>
              <w:rPr>
                <w:rFonts w:hint="eastAsia" w:ascii="宋体" w:hAnsi="宋体" w:cs="宋体"/>
                <w:b w:val="0"/>
                <w:bCs w:val="0"/>
                <w:kern w:val="0"/>
                <w:sz w:val="21"/>
                <w:szCs w:val="21"/>
                <w:highlight w:val="none"/>
                <w:lang w:val="en-US" w:eastAsia="zh-CN" w:bidi="ar"/>
              </w:rPr>
              <w:t>符合国家现行工程施工质量验收规范标准的合格工程</w:t>
            </w:r>
          </w:p>
        </w:tc>
        <w:tc>
          <w:tcPr>
            <w:tcW w:w="1159" w:type="dxa"/>
            <w:noWrap/>
            <w:vAlign w:val="center"/>
          </w:tcPr>
          <w:p w14:paraId="4CC10882">
            <w:pPr>
              <w:jc w:val="center"/>
              <w:rPr>
                <w:rFonts w:ascii="宋体" w:hAnsi="宋体" w:cs="宋体"/>
                <w:szCs w:val="21"/>
                <w:highlight w:val="none"/>
              </w:rPr>
            </w:pPr>
          </w:p>
        </w:tc>
      </w:tr>
      <w:tr w14:paraId="60FE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99" w:type="dxa"/>
            <w:shd w:val="clear" w:color="auto" w:fill="auto"/>
            <w:noWrap/>
            <w:vAlign w:val="center"/>
          </w:tcPr>
          <w:p w14:paraId="2B2B3BC9">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1767" w:type="dxa"/>
            <w:shd w:val="clear" w:color="auto" w:fill="auto"/>
            <w:noWrap/>
            <w:vAlign w:val="center"/>
          </w:tcPr>
          <w:p w14:paraId="33E43308">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权利义务</w:t>
            </w:r>
          </w:p>
        </w:tc>
        <w:tc>
          <w:tcPr>
            <w:tcW w:w="5583" w:type="dxa"/>
            <w:shd w:val="clear" w:color="auto" w:fill="auto"/>
            <w:noWrap/>
            <w:vAlign w:val="center"/>
          </w:tcPr>
          <w:p w14:paraId="37B678F4">
            <w:pPr>
              <w:jc w:val="left"/>
              <w:rPr>
                <w:rFonts w:hint="eastAsia" w:ascii="宋体" w:hAnsi="宋体" w:eastAsia="宋体" w:cs="宋体"/>
                <w:kern w:val="2"/>
                <w:sz w:val="21"/>
                <w:szCs w:val="21"/>
                <w:highlight w:val="none"/>
                <w:lang w:val="zh-CN" w:eastAsia="zh-CN" w:bidi="ar-SA"/>
              </w:rPr>
            </w:pPr>
            <w:r>
              <w:rPr>
                <w:rFonts w:hint="eastAsia" w:ascii="宋体" w:hAnsi="宋体" w:cs="宋体"/>
                <w:bCs/>
                <w:szCs w:val="21"/>
                <w:highlight w:val="none"/>
              </w:rPr>
              <w:t>符合第四章“合同条款及格式”规定</w:t>
            </w:r>
          </w:p>
        </w:tc>
        <w:tc>
          <w:tcPr>
            <w:tcW w:w="1159" w:type="dxa"/>
            <w:noWrap/>
            <w:vAlign w:val="center"/>
          </w:tcPr>
          <w:p w14:paraId="526BA6FC">
            <w:pPr>
              <w:jc w:val="center"/>
              <w:rPr>
                <w:rFonts w:ascii="宋体" w:hAnsi="宋体" w:cs="宋体"/>
                <w:szCs w:val="21"/>
                <w:highlight w:val="none"/>
              </w:rPr>
            </w:pPr>
          </w:p>
        </w:tc>
      </w:tr>
      <w:tr w14:paraId="6E67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99" w:type="dxa"/>
            <w:shd w:val="clear" w:color="auto" w:fill="auto"/>
            <w:noWrap/>
            <w:vAlign w:val="center"/>
          </w:tcPr>
          <w:p w14:paraId="55215E3C">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6</w:t>
            </w:r>
          </w:p>
        </w:tc>
        <w:tc>
          <w:tcPr>
            <w:tcW w:w="1767" w:type="dxa"/>
            <w:shd w:val="clear" w:color="auto" w:fill="auto"/>
            <w:noWrap/>
            <w:vAlign w:val="center"/>
          </w:tcPr>
          <w:p w14:paraId="441D70BB">
            <w:pPr>
              <w:jc w:val="center"/>
              <w:rPr>
                <w:rFonts w:hint="eastAsia" w:ascii="宋体" w:hAnsi="宋体" w:eastAsia="宋体" w:cs="宋体"/>
                <w:kern w:val="2"/>
                <w:sz w:val="21"/>
                <w:highlight w:val="none"/>
                <w:lang w:val="en-US" w:eastAsia="zh-CN" w:bidi="ar-SA"/>
              </w:rPr>
            </w:pPr>
            <w:r>
              <w:rPr>
                <w:rFonts w:hint="eastAsia" w:ascii="宋体" w:hAnsi="宋体" w:cs="宋体"/>
                <w:highlight w:val="none"/>
                <w:lang w:eastAsia="zh-CN"/>
              </w:rPr>
              <w:t>建设地点</w:t>
            </w:r>
          </w:p>
        </w:tc>
        <w:tc>
          <w:tcPr>
            <w:tcW w:w="5583" w:type="dxa"/>
            <w:shd w:val="clear" w:color="auto" w:fill="auto"/>
            <w:noWrap/>
            <w:vAlign w:val="center"/>
          </w:tcPr>
          <w:p w14:paraId="79450839">
            <w:pP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吉林省长白山保护开发区</w:t>
            </w:r>
          </w:p>
        </w:tc>
        <w:tc>
          <w:tcPr>
            <w:tcW w:w="1159" w:type="dxa"/>
            <w:noWrap/>
            <w:vAlign w:val="center"/>
          </w:tcPr>
          <w:p w14:paraId="7F603073">
            <w:pPr>
              <w:jc w:val="center"/>
              <w:rPr>
                <w:rFonts w:ascii="宋体" w:hAnsi="宋体" w:cs="宋体"/>
                <w:szCs w:val="21"/>
                <w:highlight w:val="none"/>
              </w:rPr>
            </w:pPr>
          </w:p>
        </w:tc>
      </w:tr>
      <w:tr w14:paraId="78AB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9" w:type="dxa"/>
            <w:noWrap/>
            <w:vAlign w:val="center"/>
          </w:tcPr>
          <w:p w14:paraId="1FADE2E2">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1767" w:type="dxa"/>
            <w:shd w:val="clear" w:color="auto" w:fill="auto"/>
            <w:noWrap/>
            <w:vAlign w:val="center"/>
          </w:tcPr>
          <w:p w14:paraId="0F82C3B2">
            <w:pPr>
              <w:autoSpaceDE w:val="0"/>
              <w:autoSpaceDN w:val="0"/>
              <w:adjustRightInd w:val="0"/>
              <w:snapToGrid w:val="0"/>
              <w:spacing w:line="264" w:lineRule="auto"/>
              <w:jc w:val="center"/>
              <w:rPr>
                <w:rFonts w:hint="eastAsia" w:ascii="宋体" w:hAnsi="宋体" w:cs="宋体"/>
                <w:highlight w:val="none"/>
                <w:lang w:eastAsia="zh-CN"/>
              </w:rPr>
            </w:pPr>
            <w:r>
              <w:rPr>
                <w:rFonts w:hint="eastAsia" w:ascii="宋体" w:hAnsi="宋体" w:cs="宋体"/>
                <w:bCs/>
                <w:szCs w:val="21"/>
                <w:highlight w:val="none"/>
              </w:rPr>
              <w:t>备选方案</w:t>
            </w:r>
          </w:p>
        </w:tc>
        <w:tc>
          <w:tcPr>
            <w:tcW w:w="5583" w:type="dxa"/>
            <w:shd w:val="clear" w:color="auto" w:fill="auto"/>
            <w:noWrap/>
            <w:vAlign w:val="center"/>
          </w:tcPr>
          <w:p w14:paraId="3A9F1E7E">
            <w:pPr>
              <w:autoSpaceDE w:val="0"/>
              <w:autoSpaceDN w:val="0"/>
              <w:adjustRightInd w:val="0"/>
              <w:snapToGrid w:val="0"/>
              <w:spacing w:line="264" w:lineRule="auto"/>
              <w:rPr>
                <w:rFonts w:hint="default" w:ascii="宋体" w:hAnsi="宋体" w:cs="宋体"/>
                <w:highlight w:val="none"/>
                <w:lang w:val="en-US" w:eastAsia="zh-CN"/>
              </w:rPr>
            </w:pPr>
            <w:r>
              <w:rPr>
                <w:rFonts w:hint="eastAsia" w:ascii="宋体" w:hAnsi="宋体" w:cs="宋体"/>
                <w:bCs/>
                <w:szCs w:val="21"/>
                <w:highlight w:val="none"/>
              </w:rPr>
              <w:t>供应商不得提交两份或者多份内容不同的响应文件，或者在同一份响应文件中对同一招标项目有两个或者多个报价。</w:t>
            </w:r>
          </w:p>
        </w:tc>
        <w:tc>
          <w:tcPr>
            <w:tcW w:w="1159" w:type="dxa"/>
            <w:noWrap/>
            <w:vAlign w:val="center"/>
          </w:tcPr>
          <w:p w14:paraId="185C45C9">
            <w:pPr>
              <w:jc w:val="center"/>
              <w:rPr>
                <w:rFonts w:ascii="宋体" w:hAnsi="宋体" w:cs="宋体"/>
                <w:szCs w:val="21"/>
                <w:highlight w:val="none"/>
              </w:rPr>
            </w:pPr>
          </w:p>
        </w:tc>
      </w:tr>
      <w:tr w14:paraId="318A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99" w:type="dxa"/>
            <w:noWrap/>
            <w:vAlign w:val="center"/>
          </w:tcPr>
          <w:p w14:paraId="6D882C34">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1767" w:type="dxa"/>
            <w:shd w:val="clear" w:color="auto" w:fill="auto"/>
            <w:noWrap/>
            <w:vAlign w:val="center"/>
          </w:tcPr>
          <w:p w14:paraId="61E96EE2">
            <w:pPr>
              <w:autoSpaceDE w:val="0"/>
              <w:autoSpaceDN w:val="0"/>
              <w:adjustRightInd w:val="0"/>
              <w:snapToGrid w:val="0"/>
              <w:spacing w:line="264"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rPr>
              <w:t>付款方式</w:t>
            </w:r>
          </w:p>
        </w:tc>
        <w:tc>
          <w:tcPr>
            <w:tcW w:w="5583" w:type="dxa"/>
            <w:shd w:val="clear" w:color="auto" w:fill="auto"/>
            <w:noWrap/>
            <w:vAlign w:val="center"/>
          </w:tcPr>
          <w:p w14:paraId="63033CED">
            <w:pPr>
              <w:autoSpaceDE w:val="0"/>
              <w:autoSpaceDN w:val="0"/>
              <w:adjustRightInd w:val="0"/>
              <w:snapToGrid w:val="0"/>
              <w:spacing w:line="264"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分二次付款，一、合同签订后7日内支付合同价款的30%预付款（在支付预付款前，乙方应同时提供对应金额的预付款担保）二、工程验收合格后，经有资质的第三方公司出具结算报告，作为工程最终结算依据，并支付剩余全部工程款。</w:t>
            </w:r>
          </w:p>
        </w:tc>
        <w:tc>
          <w:tcPr>
            <w:tcW w:w="1159" w:type="dxa"/>
            <w:noWrap/>
            <w:vAlign w:val="center"/>
          </w:tcPr>
          <w:p w14:paraId="7558DFAF">
            <w:pPr>
              <w:jc w:val="center"/>
              <w:rPr>
                <w:rFonts w:ascii="宋体" w:hAnsi="宋体" w:cs="宋体"/>
                <w:szCs w:val="21"/>
                <w:highlight w:val="none"/>
              </w:rPr>
            </w:pPr>
          </w:p>
        </w:tc>
      </w:tr>
      <w:tr w14:paraId="3F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99" w:type="dxa"/>
            <w:noWrap/>
            <w:vAlign w:val="center"/>
          </w:tcPr>
          <w:p w14:paraId="6C7C0F1F">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1767" w:type="dxa"/>
            <w:shd w:val="clear" w:color="auto" w:fill="auto"/>
            <w:noWrap/>
            <w:vAlign w:val="center"/>
          </w:tcPr>
          <w:p w14:paraId="7E65A302">
            <w:pPr>
              <w:adjustRightInd w:val="0"/>
              <w:snapToGrid w:val="0"/>
              <w:spacing w:line="264"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szCs w:val="21"/>
                <w:highlight w:val="none"/>
              </w:rPr>
              <w:t>其他要求</w:t>
            </w:r>
          </w:p>
        </w:tc>
        <w:tc>
          <w:tcPr>
            <w:tcW w:w="5583" w:type="dxa"/>
            <w:shd w:val="clear" w:color="auto" w:fill="auto"/>
            <w:noWrap/>
            <w:vAlign w:val="center"/>
          </w:tcPr>
          <w:p w14:paraId="76C82AB6">
            <w:pPr>
              <w:adjustRightInd w:val="0"/>
              <w:snapToGrid w:val="0"/>
              <w:spacing w:line="264" w:lineRule="auto"/>
              <w:jc w:val="left"/>
              <w:rPr>
                <w:rFonts w:hint="eastAsia" w:ascii="宋体" w:hAnsi="宋体" w:eastAsia="宋体" w:cs="宋体"/>
                <w:bCs/>
                <w:kern w:val="2"/>
                <w:sz w:val="21"/>
                <w:szCs w:val="21"/>
                <w:highlight w:val="none"/>
                <w:lang w:val="en-US" w:eastAsia="zh-CN" w:bidi="ar-SA"/>
              </w:rPr>
            </w:pPr>
            <w:r>
              <w:rPr>
                <w:rFonts w:hint="eastAsia" w:ascii="宋体" w:hAnsi="宋体" w:cs="宋体"/>
                <w:szCs w:val="21"/>
                <w:highlight w:val="none"/>
              </w:rPr>
              <w:t>满足磋商文件其他实质性要求及相关法律法规规定</w:t>
            </w:r>
          </w:p>
        </w:tc>
        <w:tc>
          <w:tcPr>
            <w:tcW w:w="1159" w:type="dxa"/>
            <w:noWrap/>
            <w:vAlign w:val="center"/>
          </w:tcPr>
          <w:p w14:paraId="20EFDAF3">
            <w:pPr>
              <w:jc w:val="center"/>
              <w:rPr>
                <w:rFonts w:ascii="宋体" w:hAnsi="宋体" w:cs="宋体"/>
                <w:szCs w:val="21"/>
                <w:highlight w:val="none"/>
              </w:rPr>
            </w:pPr>
          </w:p>
        </w:tc>
      </w:tr>
      <w:tr w14:paraId="4505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9" w:type="dxa"/>
            <w:noWrap/>
            <w:vAlign w:val="center"/>
          </w:tcPr>
          <w:p w14:paraId="2C8BB2E5">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1767" w:type="dxa"/>
            <w:shd w:val="clear" w:color="auto" w:fill="auto"/>
            <w:noWrap/>
            <w:vAlign w:val="center"/>
          </w:tcPr>
          <w:p w14:paraId="5785E337">
            <w:pPr>
              <w:autoSpaceDE w:val="0"/>
              <w:autoSpaceDN w:val="0"/>
              <w:adjustRightInd w:val="0"/>
              <w:snapToGrid w:val="0"/>
              <w:spacing w:line="264"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附加条件</w:t>
            </w:r>
          </w:p>
        </w:tc>
        <w:tc>
          <w:tcPr>
            <w:tcW w:w="5583" w:type="dxa"/>
            <w:shd w:val="clear" w:color="auto" w:fill="auto"/>
            <w:noWrap/>
            <w:vAlign w:val="center"/>
          </w:tcPr>
          <w:p w14:paraId="6DC160C9">
            <w:pPr>
              <w:autoSpaceDE w:val="0"/>
              <w:autoSpaceDN w:val="0"/>
              <w:adjustRightInd w:val="0"/>
              <w:snapToGrid w:val="0"/>
              <w:spacing w:line="264" w:lineRule="auto"/>
              <w:jc w:val="left"/>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响应文件未含有采购人不能接受的附加条件</w:t>
            </w:r>
          </w:p>
        </w:tc>
        <w:tc>
          <w:tcPr>
            <w:tcW w:w="1159" w:type="dxa"/>
            <w:noWrap/>
            <w:vAlign w:val="center"/>
          </w:tcPr>
          <w:p w14:paraId="6B8CEBCC">
            <w:pPr>
              <w:jc w:val="center"/>
              <w:rPr>
                <w:rFonts w:ascii="宋体" w:hAnsi="宋体" w:cs="宋体"/>
                <w:szCs w:val="21"/>
                <w:highlight w:val="none"/>
              </w:rPr>
            </w:pPr>
          </w:p>
        </w:tc>
      </w:tr>
      <w:tr w14:paraId="3286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9" w:type="dxa"/>
            <w:shd w:val="clear" w:color="auto" w:fill="auto"/>
            <w:noWrap/>
            <w:vAlign w:val="center"/>
          </w:tcPr>
          <w:p w14:paraId="67A57B96">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w:t>
            </w:r>
          </w:p>
        </w:tc>
        <w:tc>
          <w:tcPr>
            <w:tcW w:w="1767" w:type="dxa"/>
            <w:shd w:val="clear" w:color="auto" w:fill="auto"/>
            <w:noWrap/>
            <w:vAlign w:val="center"/>
          </w:tcPr>
          <w:p w14:paraId="66C31922">
            <w:pPr>
              <w:adjustRightInd w:val="0"/>
              <w:snapToGrid w:val="0"/>
              <w:jc w:val="center"/>
              <w:rPr>
                <w:rFonts w:hint="default" w:ascii="宋体" w:hAnsi="宋体" w:eastAsia="宋体" w:cs="宋体"/>
                <w:bCs/>
                <w:szCs w:val="21"/>
                <w:highlight w:val="none"/>
                <w:lang w:val="en-US" w:eastAsia="zh-CN"/>
              </w:rPr>
            </w:pPr>
            <w:r>
              <w:rPr>
                <w:rFonts w:hint="eastAsia" w:ascii="宋体" w:hAnsi="宋体" w:cs="宋体"/>
                <w:kern w:val="2"/>
                <w:sz w:val="21"/>
                <w:lang w:val="en-US" w:eastAsia="zh-CN" w:bidi="ar-SA"/>
              </w:rPr>
              <w:t>分包</w:t>
            </w:r>
          </w:p>
        </w:tc>
        <w:tc>
          <w:tcPr>
            <w:tcW w:w="5583" w:type="dxa"/>
            <w:shd w:val="clear" w:color="auto" w:fill="auto"/>
            <w:noWrap/>
            <w:vAlign w:val="center"/>
          </w:tcPr>
          <w:p w14:paraId="3307CF9B">
            <w:pPr>
              <w:adjustRightInd w:val="0"/>
              <w:snapToGrid w:val="0"/>
              <w:rPr>
                <w:rFonts w:hint="eastAsia" w:ascii="宋体" w:hAnsi="宋体" w:cs="宋体"/>
                <w:bCs/>
                <w:szCs w:val="21"/>
                <w:highlight w:val="none"/>
              </w:rPr>
            </w:pPr>
            <w:r>
              <w:rPr>
                <w:rFonts w:hint="eastAsia" w:ascii="宋体" w:hAnsi="宋体" w:eastAsia="宋体" w:cs="宋体"/>
                <w:color w:val="auto"/>
                <w:kern w:val="0"/>
                <w:szCs w:val="21"/>
              </w:rPr>
              <w:t>本项目不允许分包</w:t>
            </w:r>
          </w:p>
        </w:tc>
        <w:tc>
          <w:tcPr>
            <w:tcW w:w="1159" w:type="dxa"/>
            <w:noWrap/>
            <w:vAlign w:val="center"/>
          </w:tcPr>
          <w:p w14:paraId="43404F73">
            <w:pPr>
              <w:jc w:val="center"/>
              <w:rPr>
                <w:rFonts w:ascii="宋体" w:hAnsi="宋体" w:cs="宋体"/>
                <w:szCs w:val="21"/>
                <w:highlight w:val="none"/>
              </w:rPr>
            </w:pPr>
          </w:p>
        </w:tc>
      </w:tr>
      <w:tr w14:paraId="7A2D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shd w:val="clear" w:color="auto" w:fill="auto"/>
            <w:noWrap/>
            <w:vAlign w:val="center"/>
          </w:tcPr>
          <w:p w14:paraId="5A698E66">
            <w:pPr>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w:t>
            </w:r>
          </w:p>
        </w:tc>
        <w:tc>
          <w:tcPr>
            <w:tcW w:w="1767" w:type="dxa"/>
            <w:shd w:val="clear" w:color="auto" w:fill="auto"/>
            <w:noWrap/>
            <w:vAlign w:val="center"/>
          </w:tcPr>
          <w:p w14:paraId="2BCE35E9">
            <w:pPr>
              <w:autoSpaceDE w:val="0"/>
              <w:autoSpaceDN w:val="0"/>
              <w:adjustRightInd w:val="0"/>
              <w:snapToGrid w:val="0"/>
              <w:spacing w:line="264" w:lineRule="auto"/>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质量保证金</w:t>
            </w:r>
          </w:p>
        </w:tc>
        <w:tc>
          <w:tcPr>
            <w:tcW w:w="5583" w:type="dxa"/>
            <w:shd w:val="clear" w:color="auto" w:fill="auto"/>
            <w:noWrap/>
            <w:vAlign w:val="center"/>
          </w:tcPr>
          <w:p w14:paraId="1F3E6A55">
            <w:pPr>
              <w:autoSpaceDE w:val="0"/>
              <w:autoSpaceDN w:val="0"/>
              <w:adjustRightInd w:val="0"/>
              <w:snapToGrid w:val="0"/>
              <w:spacing w:line="264"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在甲方支付剩余工程款前，乙方缴纳尾款的3%作为质保金。质保期满后一次性返还。</w:t>
            </w:r>
          </w:p>
        </w:tc>
        <w:tc>
          <w:tcPr>
            <w:tcW w:w="1159" w:type="dxa"/>
            <w:noWrap/>
            <w:vAlign w:val="center"/>
          </w:tcPr>
          <w:p w14:paraId="6D080AFE">
            <w:pPr>
              <w:jc w:val="center"/>
              <w:rPr>
                <w:rFonts w:ascii="宋体" w:hAnsi="宋体" w:cs="宋体"/>
                <w:szCs w:val="21"/>
                <w:highlight w:val="none"/>
              </w:rPr>
            </w:pPr>
          </w:p>
        </w:tc>
      </w:tr>
      <w:tr w14:paraId="0A42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9" w:type="dxa"/>
            <w:noWrap/>
            <w:vAlign w:val="center"/>
          </w:tcPr>
          <w:p w14:paraId="088473D7">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w:t>
            </w:r>
          </w:p>
        </w:tc>
        <w:tc>
          <w:tcPr>
            <w:tcW w:w="1767" w:type="dxa"/>
            <w:shd w:val="clear" w:color="auto" w:fill="auto"/>
            <w:noWrap/>
            <w:vAlign w:val="center"/>
          </w:tcPr>
          <w:p w14:paraId="3767C84C">
            <w:pPr>
              <w:autoSpaceDE w:val="0"/>
              <w:autoSpaceDN w:val="0"/>
              <w:adjustRightInd w:val="0"/>
              <w:spacing w:line="320" w:lineRule="exact"/>
              <w:jc w:val="center"/>
              <w:rPr>
                <w:rFonts w:hint="eastAsia" w:ascii="宋体" w:hAnsi="宋体" w:cs="宋体"/>
                <w:bCs/>
                <w:color w:val="auto"/>
                <w:szCs w:val="21"/>
                <w:highlight w:val="yellow"/>
                <w:lang w:val="en-US" w:eastAsia="zh-CN"/>
              </w:rPr>
            </w:pPr>
            <w:r>
              <w:rPr>
                <w:rFonts w:hint="eastAsia" w:ascii="宋体" w:hAnsi="宋体" w:cs="宋体"/>
                <w:bCs/>
                <w:szCs w:val="21"/>
                <w:highlight w:val="none"/>
                <w:lang w:val="zh-CN"/>
              </w:rPr>
              <w:t>保修期</w:t>
            </w:r>
          </w:p>
        </w:tc>
        <w:tc>
          <w:tcPr>
            <w:tcW w:w="5583" w:type="dxa"/>
            <w:shd w:val="clear" w:color="auto" w:fill="auto"/>
            <w:noWrap/>
            <w:vAlign w:val="center"/>
          </w:tcPr>
          <w:p w14:paraId="08C8331E">
            <w:pPr>
              <w:autoSpaceDE w:val="0"/>
              <w:autoSpaceDN w:val="0"/>
              <w:adjustRightInd w:val="0"/>
              <w:spacing w:line="320" w:lineRule="exact"/>
              <w:jc w:val="left"/>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zh-CN"/>
              </w:rPr>
              <w:t>按照建设工程质量管理条例执行</w:t>
            </w:r>
          </w:p>
        </w:tc>
        <w:tc>
          <w:tcPr>
            <w:tcW w:w="1159" w:type="dxa"/>
            <w:noWrap/>
            <w:vAlign w:val="center"/>
          </w:tcPr>
          <w:p w14:paraId="42EE47DF">
            <w:pPr>
              <w:jc w:val="center"/>
              <w:rPr>
                <w:rFonts w:ascii="宋体" w:hAnsi="宋体" w:cs="宋体"/>
                <w:szCs w:val="21"/>
                <w:highlight w:val="none"/>
              </w:rPr>
            </w:pPr>
          </w:p>
        </w:tc>
      </w:tr>
      <w:tr w14:paraId="233B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9" w:type="dxa"/>
            <w:noWrap/>
            <w:vAlign w:val="center"/>
          </w:tcPr>
          <w:p w14:paraId="2F8857E7">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14</w:t>
            </w:r>
          </w:p>
        </w:tc>
        <w:tc>
          <w:tcPr>
            <w:tcW w:w="1767" w:type="dxa"/>
            <w:shd w:val="clear" w:color="auto" w:fill="auto"/>
            <w:noWrap/>
            <w:vAlign w:val="center"/>
          </w:tcPr>
          <w:p w14:paraId="72A20D2B">
            <w:pPr>
              <w:autoSpaceDE w:val="0"/>
              <w:autoSpaceDN w:val="0"/>
              <w:adjustRightInd w:val="0"/>
              <w:spacing w:line="32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履约保证金</w:t>
            </w:r>
          </w:p>
        </w:tc>
        <w:tc>
          <w:tcPr>
            <w:tcW w:w="5583" w:type="dxa"/>
            <w:shd w:val="clear" w:color="auto" w:fill="auto"/>
            <w:noWrap/>
            <w:vAlign w:val="center"/>
          </w:tcPr>
          <w:p w14:paraId="02755836">
            <w:pPr>
              <w:autoSpaceDE w:val="0"/>
              <w:autoSpaceDN w:val="0"/>
              <w:adjustRightInd w:val="0"/>
              <w:spacing w:line="320" w:lineRule="exact"/>
              <w:jc w:val="left"/>
              <w:rPr>
                <w:rFonts w:hint="eastAsia" w:ascii="宋体" w:hAnsi="宋体" w:cs="宋体"/>
                <w:highlight w:val="none"/>
                <w:lang w:val="en-US" w:eastAsia="zh-CN"/>
              </w:rPr>
            </w:pPr>
            <w:r>
              <w:rPr>
                <w:rFonts w:hint="eastAsia" w:ascii="宋体" w:hAnsi="宋体" w:cs="宋体"/>
                <w:highlight w:val="none"/>
                <w:lang w:val="en-US" w:eastAsia="zh-CN"/>
              </w:rPr>
              <w:t>金额：</w:t>
            </w:r>
            <w:r>
              <w:rPr>
                <w:rFonts w:hint="eastAsia" w:ascii="宋体" w:hAnsi="宋体" w:eastAsia="宋体" w:cs="宋体"/>
                <w:highlight w:val="none"/>
                <w:lang w:val="en-US" w:eastAsia="zh-CN"/>
              </w:rPr>
              <w:t>签约合同价的5%</w:t>
            </w:r>
            <w:r>
              <w:rPr>
                <w:rFonts w:hint="eastAsia" w:ascii="宋体" w:hAnsi="宋体" w:cs="宋体"/>
                <w:highlight w:val="none"/>
                <w:lang w:val="en-US" w:eastAsia="zh-CN"/>
              </w:rPr>
              <w:t>；</w:t>
            </w:r>
          </w:p>
          <w:p w14:paraId="3F55ADC3">
            <w:pPr>
              <w:autoSpaceDE w:val="0"/>
              <w:autoSpaceDN w:val="0"/>
              <w:adjustRightInd w:val="0"/>
              <w:spacing w:line="320" w:lineRule="exact"/>
              <w:jc w:val="left"/>
              <w:rPr>
                <w:rFonts w:hint="eastAsia" w:asciiTheme="minorEastAsia" w:hAnsiTheme="minorEastAsia" w:eastAsiaTheme="minorEastAsia"/>
                <w:bCs/>
                <w:highlight w:val="none"/>
              </w:rPr>
            </w:pPr>
            <w:r>
              <w:rPr>
                <w:rFonts w:hint="eastAsia" w:ascii="宋体" w:hAnsi="宋体" w:cs="宋体"/>
                <w:highlight w:val="none"/>
                <w:lang w:val="en-US" w:eastAsia="zh-CN"/>
              </w:rPr>
              <w:t>方式：</w:t>
            </w:r>
            <w:r>
              <w:rPr>
                <w:rFonts w:hint="eastAsia" w:asciiTheme="minorEastAsia" w:hAnsiTheme="minorEastAsia" w:eastAsiaTheme="minorEastAsia"/>
                <w:bCs/>
                <w:highlight w:val="none"/>
              </w:rPr>
              <w:t>银行或专业担保公司或保险公司出具的保函、转账、电汇等形式提交；</w:t>
            </w:r>
          </w:p>
          <w:p w14:paraId="214C042E">
            <w:pPr>
              <w:autoSpaceDE w:val="0"/>
              <w:autoSpaceDN w:val="0"/>
              <w:adjustRightInd w:val="0"/>
              <w:spacing w:line="320" w:lineRule="exact"/>
              <w:jc w:val="left"/>
              <w:rPr>
                <w:rFonts w:hint="eastAsia" w:asciiTheme="minorEastAsia" w:hAnsiTheme="minorEastAsia" w:eastAsiaTheme="minorEastAsia"/>
                <w:bCs/>
                <w:highlight w:val="none"/>
                <w:lang w:val="en-US" w:eastAsia="zh-CN"/>
              </w:rPr>
            </w:pPr>
            <w:r>
              <w:rPr>
                <w:rFonts w:hint="eastAsia" w:asciiTheme="minorEastAsia" w:hAnsiTheme="minorEastAsia" w:eastAsiaTheme="minorEastAsia"/>
                <w:bCs/>
                <w:highlight w:val="none"/>
                <w:lang w:val="en-US" w:eastAsia="zh-CN"/>
              </w:rPr>
              <w:t>递交时间：</w:t>
            </w:r>
            <w:r>
              <w:rPr>
                <w:rFonts w:hint="eastAsia" w:ascii="宋体" w:hAnsi="宋体" w:eastAsia="宋体" w:cs="宋体"/>
                <w:highlight w:val="none"/>
                <w:lang w:val="en-US" w:eastAsia="zh-CN"/>
              </w:rPr>
              <w:t>中标人在合同签订</w:t>
            </w:r>
            <w:r>
              <w:rPr>
                <w:rFonts w:hint="eastAsia" w:ascii="宋体" w:hAnsi="宋体" w:cs="宋体"/>
                <w:highlight w:val="none"/>
                <w:lang w:val="en-US" w:eastAsia="zh-CN"/>
              </w:rPr>
              <w:t>时间</w:t>
            </w:r>
            <w:r>
              <w:rPr>
                <w:rFonts w:hint="eastAsia" w:ascii="宋体" w:hAnsi="宋体" w:eastAsia="宋体" w:cs="宋体"/>
                <w:highlight w:val="none"/>
                <w:lang w:val="en-US" w:eastAsia="zh-CN"/>
              </w:rPr>
              <w:t>前</w:t>
            </w:r>
            <w:r>
              <w:rPr>
                <w:rFonts w:hint="eastAsia" w:asciiTheme="minorEastAsia" w:hAnsiTheme="minorEastAsia" w:eastAsiaTheme="minorEastAsia"/>
                <w:bCs/>
                <w:highlight w:val="none"/>
                <w:lang w:val="en-US" w:eastAsia="zh-CN"/>
              </w:rPr>
              <w:t>；</w:t>
            </w:r>
          </w:p>
          <w:p w14:paraId="7E3943A4">
            <w:pPr>
              <w:autoSpaceDE w:val="0"/>
              <w:autoSpaceDN w:val="0"/>
              <w:adjustRightInd w:val="0"/>
              <w:spacing w:line="320" w:lineRule="exact"/>
              <w:jc w:val="left"/>
              <w:rPr>
                <w:rFonts w:hint="eastAsia" w:ascii="宋体" w:hAnsi="宋体" w:cs="宋体"/>
                <w:bCs/>
                <w:szCs w:val="21"/>
                <w:highlight w:val="none"/>
                <w:lang w:val="zh-CN"/>
              </w:rPr>
            </w:pPr>
            <w:r>
              <w:rPr>
                <w:rFonts w:hint="eastAsia" w:asciiTheme="minorEastAsia" w:hAnsiTheme="minorEastAsia" w:eastAsiaTheme="minorEastAsia"/>
                <w:bCs/>
                <w:highlight w:val="none"/>
                <w:lang w:val="en-US" w:eastAsia="zh-CN"/>
              </w:rPr>
              <w:t>返还时间：</w:t>
            </w:r>
            <w:r>
              <w:rPr>
                <w:rFonts w:hint="eastAsia" w:ascii="宋体" w:hAnsi="宋体" w:eastAsia="宋体" w:cs="宋体"/>
                <w:highlight w:val="none"/>
                <w:lang w:val="en-US" w:eastAsia="zh-CN"/>
              </w:rPr>
              <w:t>工程验收合格后10日返还</w:t>
            </w:r>
            <w:r>
              <w:rPr>
                <w:rFonts w:hint="eastAsia" w:ascii="宋体" w:hAnsi="宋体" w:cs="宋体"/>
                <w:highlight w:val="none"/>
                <w:lang w:val="en-US" w:eastAsia="zh-CN"/>
              </w:rPr>
              <w:t>。</w:t>
            </w:r>
          </w:p>
        </w:tc>
        <w:tc>
          <w:tcPr>
            <w:tcW w:w="1159" w:type="dxa"/>
            <w:noWrap/>
            <w:vAlign w:val="center"/>
          </w:tcPr>
          <w:p w14:paraId="16E937A5">
            <w:pPr>
              <w:jc w:val="center"/>
              <w:rPr>
                <w:rFonts w:ascii="宋体" w:hAnsi="宋体" w:cs="宋体"/>
                <w:szCs w:val="21"/>
                <w:highlight w:val="none"/>
              </w:rPr>
            </w:pPr>
          </w:p>
        </w:tc>
      </w:tr>
      <w:tr w14:paraId="34B9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9" w:type="dxa"/>
            <w:noWrap/>
            <w:vAlign w:val="center"/>
          </w:tcPr>
          <w:p w14:paraId="2F721694">
            <w:pPr>
              <w:jc w:val="center"/>
              <w:rPr>
                <w:rFonts w:hint="eastAsia" w:ascii="宋体" w:hAnsi="宋体" w:cs="宋体"/>
                <w:szCs w:val="21"/>
                <w:highlight w:val="none"/>
              </w:rPr>
            </w:pPr>
            <w:r>
              <w:rPr>
                <w:rFonts w:hint="eastAsia" w:ascii="宋体" w:hAnsi="宋体" w:cs="宋体"/>
                <w:szCs w:val="21"/>
                <w:highlight w:val="none"/>
              </w:rPr>
              <w:t>……</w:t>
            </w:r>
          </w:p>
        </w:tc>
        <w:tc>
          <w:tcPr>
            <w:tcW w:w="1767" w:type="dxa"/>
            <w:shd w:val="clear" w:color="auto" w:fill="auto"/>
            <w:noWrap/>
            <w:vAlign w:val="center"/>
          </w:tcPr>
          <w:p w14:paraId="37379DED">
            <w:pPr>
              <w:autoSpaceDE w:val="0"/>
              <w:autoSpaceDN w:val="0"/>
              <w:adjustRightInd w:val="0"/>
              <w:spacing w:line="320" w:lineRule="exact"/>
              <w:jc w:val="center"/>
              <w:rPr>
                <w:rFonts w:hint="eastAsia" w:ascii="宋体" w:hAnsi="宋体" w:cs="宋体"/>
                <w:szCs w:val="21"/>
                <w:highlight w:val="none"/>
              </w:rPr>
            </w:pPr>
            <w:r>
              <w:rPr>
                <w:rFonts w:hint="eastAsia" w:ascii="宋体" w:hAnsi="宋体" w:cs="宋体"/>
                <w:szCs w:val="21"/>
                <w:highlight w:val="none"/>
              </w:rPr>
              <w:t>……</w:t>
            </w:r>
          </w:p>
        </w:tc>
        <w:tc>
          <w:tcPr>
            <w:tcW w:w="5583" w:type="dxa"/>
            <w:shd w:val="clear" w:color="auto" w:fill="auto"/>
            <w:noWrap/>
            <w:vAlign w:val="center"/>
          </w:tcPr>
          <w:p w14:paraId="39E6F1D1">
            <w:pPr>
              <w:autoSpaceDE w:val="0"/>
              <w:autoSpaceDN w:val="0"/>
              <w:adjustRightInd w:val="0"/>
              <w:spacing w:line="320" w:lineRule="exact"/>
              <w:jc w:val="left"/>
              <w:rPr>
                <w:rFonts w:hint="eastAsia" w:ascii="宋体" w:hAnsi="宋体" w:cs="宋体"/>
                <w:szCs w:val="21"/>
                <w:highlight w:val="none"/>
              </w:rPr>
            </w:pPr>
            <w:r>
              <w:rPr>
                <w:rFonts w:hint="eastAsia" w:ascii="宋体" w:hAnsi="宋体" w:cs="宋体"/>
                <w:szCs w:val="21"/>
                <w:highlight w:val="none"/>
              </w:rPr>
              <w:t>……</w:t>
            </w:r>
          </w:p>
        </w:tc>
        <w:tc>
          <w:tcPr>
            <w:tcW w:w="1159" w:type="dxa"/>
            <w:noWrap/>
            <w:vAlign w:val="center"/>
          </w:tcPr>
          <w:p w14:paraId="72CAA9AB">
            <w:pPr>
              <w:jc w:val="center"/>
              <w:rPr>
                <w:rFonts w:ascii="宋体" w:hAnsi="宋体" w:cs="宋体"/>
                <w:szCs w:val="21"/>
                <w:highlight w:val="none"/>
              </w:rPr>
            </w:pPr>
          </w:p>
        </w:tc>
      </w:tr>
    </w:tbl>
    <w:p w14:paraId="29A6DD17">
      <w:pPr>
        <w:spacing w:line="480" w:lineRule="auto"/>
        <w:ind w:right="960"/>
        <w:rPr>
          <w:rFonts w:ascii="宋体" w:hAnsi="宋体" w:cs="宋体"/>
          <w:sz w:val="18"/>
          <w:szCs w:val="18"/>
          <w:highlight w:val="none"/>
        </w:rPr>
      </w:pPr>
    </w:p>
    <w:p w14:paraId="1B8355BF">
      <w:pPr>
        <w:spacing w:line="480" w:lineRule="auto"/>
        <w:ind w:right="960" w:firstLine="4200" w:firstLineChars="2000"/>
        <w:rPr>
          <w:rFonts w:ascii="宋体" w:hAnsi="宋体" w:cs="宋体"/>
          <w:szCs w:val="21"/>
          <w:highlight w:val="none"/>
        </w:rPr>
      </w:pPr>
      <w:r>
        <w:rPr>
          <w:rFonts w:hint="eastAsia" w:ascii="宋体" w:hAnsi="宋体" w:cs="宋体"/>
          <w:szCs w:val="21"/>
          <w:highlight w:val="none"/>
        </w:rPr>
        <w:t>供应商（盖单位公章）：</w:t>
      </w:r>
      <w:r>
        <w:rPr>
          <w:rFonts w:hint="eastAsia" w:ascii="宋体" w:hAnsi="宋体" w:cs="宋体"/>
          <w:szCs w:val="21"/>
          <w:highlight w:val="none"/>
          <w:u w:val="single"/>
        </w:rPr>
        <w:t xml:space="preserve">                   </w:t>
      </w:r>
    </w:p>
    <w:p w14:paraId="192E3C30">
      <w:pPr>
        <w:spacing w:line="480" w:lineRule="auto"/>
        <w:ind w:firstLine="4200" w:firstLineChars="2000"/>
        <w:rPr>
          <w:rFonts w:ascii="宋体" w:hAnsi="宋体" w:cs="宋体"/>
          <w:szCs w:val="21"/>
          <w:highlight w:val="none"/>
        </w:rPr>
      </w:pPr>
      <w:r>
        <w:rPr>
          <w:rFonts w:hint="eastAsia" w:ascii="宋体" w:hAnsi="宋体" w:cs="宋体"/>
          <w:szCs w:val="21"/>
          <w:highlight w:val="none"/>
        </w:rPr>
        <w:t>法定代表人或其委托代理人（签字或盖章）</w:t>
      </w:r>
      <w:r>
        <w:rPr>
          <w:rFonts w:hint="eastAsia" w:ascii="宋体" w:hAnsi="宋体" w:cs="宋体"/>
          <w:szCs w:val="21"/>
          <w:highlight w:val="none"/>
          <w:u w:val="single"/>
        </w:rPr>
        <w:t xml:space="preserve">            </w:t>
      </w:r>
    </w:p>
    <w:p w14:paraId="641A5858">
      <w:pPr>
        <w:spacing w:line="600" w:lineRule="exact"/>
        <w:jc w:val="righ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0DC80AD">
      <w:pPr>
        <w:autoSpaceDE w:val="0"/>
        <w:autoSpaceDN w:val="0"/>
        <w:adjustRightInd w:val="0"/>
        <w:spacing w:line="360" w:lineRule="auto"/>
        <w:ind w:firstLine="150" w:firstLineChars="50"/>
        <w:jc w:val="center"/>
        <w:rPr>
          <w:rFonts w:ascii="宋体" w:hAnsi="宋体" w:eastAsia="宋体" w:cs="宋体"/>
          <w:sz w:val="24"/>
          <w:szCs w:val="24"/>
          <w:highlight w:val="none"/>
        </w:rPr>
      </w:pPr>
      <w:r>
        <w:rPr>
          <w:rFonts w:hint="eastAsia" w:ascii="宋体" w:hAnsi="宋体" w:eastAsia="宋体" w:cs="宋体"/>
          <w:sz w:val="30"/>
          <w:szCs w:val="30"/>
          <w:highlight w:val="none"/>
        </w:rPr>
        <w:br w:type="page"/>
      </w:r>
      <w:bookmarkStart w:id="1539" w:name="_Toc7316"/>
      <w:r>
        <w:rPr>
          <w:rFonts w:hint="eastAsia" w:ascii="宋体" w:hAnsi="宋体" w:cs="宋体"/>
          <w:b/>
          <w:bCs/>
          <w:sz w:val="30"/>
          <w:szCs w:val="30"/>
          <w:highlight w:val="none"/>
          <w:lang w:val="en-US" w:eastAsia="zh-CN"/>
        </w:rPr>
        <w:t>三</w:t>
      </w:r>
      <w:r>
        <w:rPr>
          <w:rFonts w:hint="eastAsia" w:ascii="宋体" w:hAnsi="宋体" w:cs="宋体"/>
          <w:b/>
          <w:bCs/>
          <w:sz w:val="30"/>
          <w:szCs w:val="30"/>
          <w:highlight w:val="none"/>
        </w:rPr>
        <w:t>、磋商保证金</w:t>
      </w:r>
      <w:bookmarkEnd w:id="1539"/>
    </w:p>
    <w:p w14:paraId="39FAC47B">
      <w:pPr>
        <w:jc w:val="center"/>
        <w:rPr>
          <w:rFonts w:ascii="宋体" w:hAnsi="宋体" w:cs="宋体"/>
          <w:szCs w:val="21"/>
          <w:highlight w:val="none"/>
        </w:rPr>
      </w:pPr>
    </w:p>
    <w:p w14:paraId="2A6A069E">
      <w:pPr>
        <w:autoSpaceDE w:val="0"/>
        <w:autoSpaceDN w:val="0"/>
        <w:adjustRightInd w:val="0"/>
        <w:spacing w:line="360" w:lineRule="auto"/>
        <w:jc w:val="center"/>
        <w:rPr>
          <w:rFonts w:ascii="宋体" w:hAnsi="宋体" w:cs="宋体"/>
          <w:b/>
          <w:bCs/>
          <w:sz w:val="30"/>
          <w:szCs w:val="30"/>
          <w:highlight w:val="none"/>
        </w:rPr>
      </w:pPr>
      <w:r>
        <w:rPr>
          <w:rFonts w:hint="eastAsia" w:ascii="宋体" w:hAnsi="宋体" w:cs="宋体"/>
          <w:b/>
          <w:szCs w:val="21"/>
          <w:highlight w:val="none"/>
        </w:rPr>
        <mc:AlternateContent>
          <mc:Choice Requires="wps">
            <w:drawing>
              <wp:inline distT="0" distB="0" distL="114300" distR="114300">
                <wp:extent cx="5684520" cy="3484245"/>
                <wp:effectExtent l="13970" t="13970" r="16510" b="26035"/>
                <wp:docPr id="5" name="文本框 1"/>
                <wp:cNvGraphicFramePr/>
                <a:graphic xmlns:a="http://schemas.openxmlformats.org/drawingml/2006/main">
                  <a:graphicData uri="http://schemas.microsoft.com/office/word/2010/wordprocessingShape">
                    <wps:wsp>
                      <wps:cNvSpPr txBox="1"/>
                      <wps:spPr>
                        <a:xfrm>
                          <a:off x="0" y="0"/>
                          <a:ext cx="5684520" cy="3484245"/>
                        </a:xfrm>
                        <a:prstGeom prst="rect">
                          <a:avLst/>
                        </a:prstGeom>
                        <a:solidFill>
                          <a:srgbClr val="FFFFFF"/>
                        </a:solidFill>
                        <a:ln w="28575" cap="flat" cmpd="sng">
                          <a:solidFill>
                            <a:srgbClr val="000000"/>
                          </a:solidFill>
                          <a:prstDash val="dash"/>
                          <a:miter/>
                          <a:headEnd type="none" w="med" len="med"/>
                          <a:tailEnd type="none" w="med" len="med"/>
                        </a:ln>
                        <a:effectLst/>
                      </wps:spPr>
                      <wps:txbx>
                        <w:txbxContent>
                          <w:p w14:paraId="16904401"/>
                          <w:p w14:paraId="28AC271C"/>
                          <w:p w14:paraId="016C95A2">
                            <w:pPr>
                              <w:jc w:val="center"/>
                              <w:rPr>
                                <w:rFonts w:ascii="宋体" w:hAnsi="宋体"/>
                                <w:szCs w:val="21"/>
                              </w:rPr>
                            </w:pPr>
                          </w:p>
                          <w:p w14:paraId="7978B455">
                            <w:pPr>
                              <w:jc w:val="center"/>
                              <w:rPr>
                                <w:rFonts w:ascii="宋体" w:hAnsi="宋体"/>
                                <w:szCs w:val="21"/>
                              </w:rPr>
                            </w:pPr>
                          </w:p>
                          <w:p w14:paraId="5ED6E660">
                            <w:pPr>
                              <w:jc w:val="center"/>
                              <w:rPr>
                                <w:rFonts w:ascii="宋体" w:hAnsi="宋体"/>
                                <w:szCs w:val="21"/>
                              </w:rPr>
                            </w:pPr>
                            <w:r>
                              <w:rPr>
                                <w:rFonts w:hint="eastAsia" w:ascii="宋体" w:hAnsi="宋体"/>
                                <w:szCs w:val="21"/>
                              </w:rPr>
                              <w:t>此处贴转账支票、电汇业务委托书回单或保函</w:t>
                            </w:r>
                          </w:p>
                          <w:p w14:paraId="271798CD">
                            <w:pPr>
                              <w:jc w:val="center"/>
                              <w:rPr>
                                <w:rFonts w:ascii="宋体" w:hAnsi="宋体"/>
                                <w:szCs w:val="21"/>
                              </w:rPr>
                            </w:pPr>
                            <w:r>
                              <w:rPr>
                                <w:rFonts w:hint="eastAsia" w:ascii="宋体" w:hAnsi="宋体"/>
                                <w:szCs w:val="21"/>
                              </w:rPr>
                              <w:t>的复印件加盖公章</w:t>
                            </w:r>
                          </w:p>
                        </w:txbxContent>
                      </wps:txbx>
                      <wps:bodyPr upright="1"/>
                    </wps:wsp>
                  </a:graphicData>
                </a:graphic>
              </wp:inline>
            </w:drawing>
          </mc:Choice>
          <mc:Fallback>
            <w:pict>
              <v:shape id="文本框 1" o:spid="_x0000_s1026" o:spt="202" type="#_x0000_t202" style="height:274.35pt;width:447.6pt;" fillcolor="#FFFFFF" filled="t" stroked="t" coordsize="21600,21600" o:gfxdata="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TaUs9YAAAAFAQAADwAAAAAAAAAB&#10;ACAAAAAiAAAAZHJzL2Rvd25yZXYueG1sUEsBAhQAFAAAAAgAh07iQNbLZRASAgAARQQAAA4AAAAA&#10;AAAAAQAgAAAAJQEAAGRycy9lMm9Eb2MueG1sUEsFBgAAAAAGAAYAWQEAAKkFAAAAAA==&#10;">
                <v:fill on="t" focussize="0,0"/>
                <v:stroke weight="2.25pt" color="#000000" joinstyle="miter" dashstyle="dash"/>
                <v:imagedata o:title=""/>
                <o:lock v:ext="edit" aspectratio="f"/>
                <v:textbox>
                  <w:txbxContent>
                    <w:p w14:paraId="16904401"/>
                    <w:p w14:paraId="28AC271C"/>
                    <w:p w14:paraId="016C95A2">
                      <w:pPr>
                        <w:jc w:val="center"/>
                        <w:rPr>
                          <w:rFonts w:ascii="宋体" w:hAnsi="宋体"/>
                          <w:szCs w:val="21"/>
                        </w:rPr>
                      </w:pPr>
                    </w:p>
                    <w:p w14:paraId="7978B455">
                      <w:pPr>
                        <w:jc w:val="center"/>
                        <w:rPr>
                          <w:rFonts w:ascii="宋体" w:hAnsi="宋体"/>
                          <w:szCs w:val="21"/>
                        </w:rPr>
                      </w:pPr>
                    </w:p>
                    <w:p w14:paraId="5ED6E660">
                      <w:pPr>
                        <w:jc w:val="center"/>
                        <w:rPr>
                          <w:rFonts w:ascii="宋体" w:hAnsi="宋体"/>
                          <w:szCs w:val="21"/>
                        </w:rPr>
                      </w:pPr>
                      <w:r>
                        <w:rPr>
                          <w:rFonts w:hint="eastAsia" w:ascii="宋体" w:hAnsi="宋体"/>
                          <w:szCs w:val="21"/>
                        </w:rPr>
                        <w:t>此处贴转账支票、电汇业务委托书回单或保函</w:t>
                      </w:r>
                    </w:p>
                    <w:p w14:paraId="271798CD">
                      <w:pPr>
                        <w:jc w:val="center"/>
                        <w:rPr>
                          <w:rFonts w:ascii="宋体" w:hAnsi="宋体"/>
                          <w:szCs w:val="21"/>
                        </w:rPr>
                      </w:pPr>
                      <w:r>
                        <w:rPr>
                          <w:rFonts w:hint="eastAsia" w:ascii="宋体" w:hAnsi="宋体"/>
                          <w:szCs w:val="21"/>
                        </w:rPr>
                        <w:t>的复印件加盖公章</w:t>
                      </w:r>
                    </w:p>
                  </w:txbxContent>
                </v:textbox>
                <w10:wrap type="none"/>
                <w10:anchorlock/>
              </v:shape>
            </w:pict>
          </mc:Fallback>
        </mc:AlternateContent>
      </w:r>
    </w:p>
    <w:p w14:paraId="26B76856">
      <w:pPr>
        <w:pStyle w:val="27"/>
        <w:outlineLvl w:val="9"/>
        <w:rPr>
          <w:rFonts w:ascii="宋体" w:hAnsi="宋体" w:cs="宋体"/>
          <w:bCs/>
          <w:sz w:val="30"/>
          <w:szCs w:val="30"/>
          <w:highlight w:val="none"/>
        </w:rPr>
      </w:pPr>
    </w:p>
    <w:p w14:paraId="263B349E">
      <w:pPr>
        <w:ind w:firstLine="420" w:firstLineChars="200"/>
        <w:rPr>
          <w:rFonts w:ascii="宋体" w:hAnsi="宋体" w:cs="宋体"/>
          <w:b/>
          <w:szCs w:val="32"/>
          <w:highlight w:val="none"/>
        </w:rPr>
      </w:pPr>
      <w:r>
        <w:rPr>
          <w:rFonts w:hint="eastAsia" w:ascii="宋体" w:hAnsi="宋体" w:cs="宋体"/>
          <w:b/>
          <w:highlight w:val="none"/>
        </w:rPr>
        <w:t>后附：基本开户许可证或基本存款账户信息</w:t>
      </w:r>
    </w:p>
    <w:p w14:paraId="0CECDE66">
      <w:pPr>
        <w:rPr>
          <w:rFonts w:ascii="宋体" w:hAnsi="宋体" w:cs="宋体"/>
          <w:b/>
          <w:bCs/>
          <w:sz w:val="30"/>
          <w:szCs w:val="30"/>
          <w:highlight w:val="none"/>
        </w:rPr>
      </w:pPr>
    </w:p>
    <w:p w14:paraId="142CC5D6">
      <w:pPr>
        <w:pStyle w:val="27"/>
        <w:outlineLvl w:val="9"/>
        <w:rPr>
          <w:rFonts w:ascii="宋体" w:hAnsi="宋体" w:cs="宋体"/>
          <w:bCs/>
          <w:sz w:val="30"/>
          <w:szCs w:val="30"/>
          <w:highlight w:val="none"/>
        </w:rPr>
      </w:pPr>
    </w:p>
    <w:p w14:paraId="2B11F63D">
      <w:pPr>
        <w:rPr>
          <w:rFonts w:ascii="宋体" w:hAnsi="宋体" w:cs="宋体"/>
          <w:highlight w:val="none"/>
        </w:rPr>
      </w:pPr>
    </w:p>
    <w:p w14:paraId="480FBACD">
      <w:pPr>
        <w:autoSpaceDE w:val="0"/>
        <w:autoSpaceDN w:val="0"/>
        <w:adjustRightInd w:val="0"/>
        <w:spacing w:line="360" w:lineRule="auto"/>
        <w:ind w:left="3780" w:leftChars="1800" w:firstLine="1350" w:firstLineChars="450"/>
        <w:rPr>
          <w:rFonts w:ascii="宋体" w:hAnsi="宋体" w:cs="宋体"/>
          <w:szCs w:val="21"/>
          <w:highlight w:val="none"/>
        </w:rPr>
      </w:pPr>
      <w:r>
        <w:rPr>
          <w:rFonts w:hint="eastAsia" w:ascii="宋体" w:hAnsi="宋体" w:cs="宋体"/>
          <w:b/>
          <w:bCs/>
          <w:sz w:val="30"/>
          <w:szCs w:val="30"/>
          <w:highlight w:val="none"/>
        </w:rPr>
        <w:br w:type="page"/>
      </w:r>
    </w:p>
    <w:p w14:paraId="7F8D0071">
      <w:pPr>
        <w:pStyle w:val="3"/>
        <w:jc w:val="center"/>
        <w:rPr>
          <w:rFonts w:ascii="宋体" w:hAnsi="宋体" w:eastAsia="宋体" w:cs="宋体"/>
          <w:highlight w:val="none"/>
        </w:rPr>
      </w:pPr>
      <w:bookmarkStart w:id="1540" w:name="_Toc24768"/>
      <w:r>
        <w:rPr>
          <w:rFonts w:hint="eastAsia" w:ascii="宋体" w:hAnsi="宋体" w:eastAsia="宋体" w:cs="宋体"/>
          <w:highlight w:val="none"/>
          <w:lang w:val="en-US" w:eastAsia="zh-CN"/>
        </w:rPr>
        <w:t>四</w:t>
      </w:r>
      <w:r>
        <w:rPr>
          <w:rFonts w:hint="eastAsia" w:ascii="宋体" w:hAnsi="宋体" w:eastAsia="宋体" w:cs="宋体"/>
          <w:highlight w:val="none"/>
        </w:rPr>
        <w:t>、</w:t>
      </w:r>
      <w:bookmarkEnd w:id="1540"/>
      <w:bookmarkStart w:id="1541" w:name="_Toc25351"/>
      <w:r>
        <w:rPr>
          <w:rFonts w:hint="eastAsia" w:ascii="宋体" w:hAnsi="宋体" w:eastAsia="宋体" w:cs="宋体"/>
          <w:highlight w:val="none"/>
        </w:rPr>
        <w:t>商务条款响应表</w:t>
      </w:r>
      <w:bookmarkEnd w:id="1541"/>
    </w:p>
    <w:p w14:paraId="2B2959EC">
      <w:pPr>
        <w:rPr>
          <w:rFonts w:ascii="宋体" w:hAnsi="宋体" w:cs="宋体"/>
          <w:szCs w:val="21"/>
          <w:highlight w:val="none"/>
        </w:rPr>
      </w:pPr>
    </w:p>
    <w:p w14:paraId="3307968F">
      <w:pPr>
        <w:rPr>
          <w:rFonts w:ascii="宋体" w:hAnsi="宋体" w:cs="宋体"/>
          <w:szCs w:val="21"/>
          <w:highlight w:val="none"/>
          <w:u w:val="single"/>
        </w:rPr>
      </w:pPr>
      <w:r>
        <w:rPr>
          <w:rFonts w:hint="eastAsia" w:ascii="宋体" w:hAnsi="宋体" w:cs="宋体"/>
          <w:szCs w:val="21"/>
          <w:highlight w:val="none"/>
        </w:rPr>
        <w:t xml:space="preserve">项目名称： </w:t>
      </w:r>
      <w:r>
        <w:rPr>
          <w:rFonts w:hint="eastAsia" w:ascii="宋体" w:hAnsi="宋体" w:cs="宋体"/>
          <w:szCs w:val="21"/>
          <w:highlight w:val="none"/>
          <w:u w:val="single"/>
        </w:rPr>
        <w:t xml:space="preserve">                       </w:t>
      </w:r>
    </w:p>
    <w:p w14:paraId="59B7D2A2">
      <w:pPr>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i/>
          <w:iCs/>
          <w:szCs w:val="21"/>
          <w:highlight w:val="none"/>
        </w:rPr>
        <w:t xml:space="preserve"> </w:t>
      </w:r>
      <w:r>
        <w:rPr>
          <w:rFonts w:hint="eastAsia" w:ascii="宋体" w:hAnsi="宋体" w:cs="宋体"/>
          <w:szCs w:val="21"/>
          <w:highlight w:val="none"/>
          <w:u w:val="single"/>
        </w:rPr>
        <w:t xml:space="preserve">                       </w:t>
      </w:r>
    </w:p>
    <w:tbl>
      <w:tblPr>
        <w:tblStyle w:val="31"/>
        <w:tblW w:w="99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37"/>
        <w:gridCol w:w="2098"/>
        <w:gridCol w:w="2240"/>
        <w:gridCol w:w="1559"/>
        <w:gridCol w:w="1559"/>
        <w:gridCol w:w="1559"/>
      </w:tblGrid>
      <w:tr w14:paraId="22AEF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253" w:hRule="atLeast"/>
          <w:jc w:val="center"/>
        </w:trPr>
        <w:tc>
          <w:tcPr>
            <w:tcW w:w="937" w:type="dxa"/>
            <w:tcBorders>
              <w:top w:val="single" w:color="auto" w:sz="12" w:space="0"/>
              <w:left w:val="single" w:color="auto" w:sz="12" w:space="0"/>
              <w:bottom w:val="single" w:color="auto" w:sz="6" w:space="0"/>
              <w:right w:val="single" w:color="auto" w:sz="6" w:space="0"/>
            </w:tcBorders>
            <w:tcMar>
              <w:top w:w="15" w:type="dxa"/>
              <w:left w:w="15" w:type="dxa"/>
              <w:bottom w:w="0" w:type="dxa"/>
              <w:right w:w="15" w:type="dxa"/>
            </w:tcMar>
            <w:vAlign w:val="center"/>
          </w:tcPr>
          <w:p w14:paraId="6BB72EDD">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竞争性磋商文件条目号</w:t>
            </w:r>
          </w:p>
        </w:tc>
        <w:tc>
          <w:tcPr>
            <w:tcW w:w="2098"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FEC0676">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竞争性磋商文件条目</w:t>
            </w:r>
          </w:p>
        </w:tc>
        <w:tc>
          <w:tcPr>
            <w:tcW w:w="2240"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50C13FF">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竞争性磋商文件商务、合同条款内容</w:t>
            </w:r>
          </w:p>
        </w:tc>
        <w:tc>
          <w:tcPr>
            <w:tcW w:w="1559" w:type="dxa"/>
            <w:tcBorders>
              <w:top w:val="single" w:color="auto" w:sz="12" w:space="0"/>
              <w:left w:val="single" w:color="auto" w:sz="6" w:space="0"/>
              <w:bottom w:val="single" w:color="auto" w:sz="6" w:space="0"/>
              <w:right w:val="single" w:color="auto" w:sz="6" w:space="0"/>
            </w:tcBorders>
            <w:vAlign w:val="center"/>
          </w:tcPr>
          <w:p w14:paraId="267A0337">
            <w:pPr>
              <w:spacing w:line="440" w:lineRule="atLeast"/>
              <w:jc w:val="center"/>
              <w:rPr>
                <w:rFonts w:ascii="宋体" w:hAnsi="宋体" w:cs="宋体"/>
                <w:szCs w:val="21"/>
                <w:highlight w:val="none"/>
              </w:rPr>
            </w:pPr>
            <w:r>
              <w:rPr>
                <w:rFonts w:hint="eastAsia" w:ascii="宋体" w:hAnsi="宋体" w:cs="宋体"/>
                <w:szCs w:val="21"/>
                <w:highlight w:val="none"/>
              </w:rPr>
              <w:t>完全响应</w:t>
            </w:r>
          </w:p>
        </w:tc>
        <w:tc>
          <w:tcPr>
            <w:tcW w:w="1559" w:type="dxa"/>
            <w:tcBorders>
              <w:top w:val="single" w:color="auto" w:sz="12" w:space="0"/>
              <w:left w:val="single" w:color="auto" w:sz="6" w:space="0"/>
              <w:bottom w:val="single" w:color="auto" w:sz="6" w:space="0"/>
              <w:right w:val="single" w:color="auto" w:sz="6" w:space="0"/>
            </w:tcBorders>
            <w:vAlign w:val="center"/>
          </w:tcPr>
          <w:p w14:paraId="4C1CC4C8">
            <w:pPr>
              <w:spacing w:line="440" w:lineRule="atLeast"/>
              <w:jc w:val="center"/>
              <w:rPr>
                <w:rFonts w:ascii="宋体" w:hAnsi="宋体" w:cs="宋体"/>
                <w:szCs w:val="21"/>
                <w:highlight w:val="none"/>
              </w:rPr>
            </w:pPr>
            <w:r>
              <w:rPr>
                <w:rFonts w:hint="eastAsia" w:ascii="宋体" w:hAnsi="宋体" w:cs="宋体"/>
                <w:szCs w:val="21"/>
                <w:highlight w:val="none"/>
              </w:rPr>
              <w:t>有偏离</w:t>
            </w:r>
          </w:p>
        </w:tc>
        <w:tc>
          <w:tcPr>
            <w:tcW w:w="1559" w:type="dxa"/>
            <w:tcBorders>
              <w:top w:val="single" w:color="auto" w:sz="12" w:space="0"/>
              <w:left w:val="single" w:color="auto" w:sz="6" w:space="0"/>
              <w:bottom w:val="single" w:color="auto" w:sz="6" w:space="0"/>
              <w:right w:val="single" w:color="auto" w:sz="12" w:space="0"/>
            </w:tcBorders>
            <w:tcMar>
              <w:top w:w="15" w:type="dxa"/>
              <w:left w:w="15" w:type="dxa"/>
              <w:bottom w:w="0" w:type="dxa"/>
              <w:right w:w="15" w:type="dxa"/>
            </w:tcMar>
            <w:vAlign w:val="center"/>
          </w:tcPr>
          <w:p w14:paraId="50EE6CF0">
            <w:pPr>
              <w:spacing w:line="440" w:lineRule="atLeast"/>
              <w:jc w:val="center"/>
              <w:rPr>
                <w:rFonts w:ascii="宋体" w:hAnsi="宋体" w:cs="宋体"/>
                <w:szCs w:val="21"/>
                <w:highlight w:val="none"/>
              </w:rPr>
            </w:pPr>
            <w:r>
              <w:rPr>
                <w:rFonts w:hint="eastAsia" w:ascii="宋体" w:hAnsi="宋体" w:cs="宋体"/>
                <w:szCs w:val="21"/>
                <w:highlight w:val="none"/>
              </w:rPr>
              <w:t>偏离描述</w:t>
            </w:r>
          </w:p>
        </w:tc>
      </w:tr>
      <w:tr w14:paraId="5D0E9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46"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0E6F83FA">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1</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B1F8000">
            <w:pPr>
              <w:rPr>
                <w:rFonts w:ascii="宋体" w:hAnsi="宋体" w:cs="宋体"/>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C6A8446">
            <w:pPr>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81FBA7A">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5A9757E7">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4CE12F4F">
            <w:pPr>
              <w:adjustRightInd w:val="0"/>
              <w:snapToGrid w:val="0"/>
              <w:spacing w:line="300" w:lineRule="auto"/>
              <w:rPr>
                <w:rFonts w:ascii="宋体" w:hAnsi="宋体" w:cs="宋体"/>
                <w:szCs w:val="21"/>
                <w:highlight w:val="none"/>
              </w:rPr>
            </w:pPr>
          </w:p>
        </w:tc>
      </w:tr>
      <w:tr w14:paraId="5F37D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2"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08655123">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2</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3522E74">
            <w:pPr>
              <w:rPr>
                <w:rFonts w:ascii="宋体" w:hAnsi="宋体" w:cs="宋体"/>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EFD180">
            <w:pPr>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37F1DC1E">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A1C9BB3">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10DE7583">
            <w:pPr>
              <w:adjustRightInd w:val="0"/>
              <w:snapToGrid w:val="0"/>
              <w:spacing w:line="300" w:lineRule="auto"/>
              <w:rPr>
                <w:rFonts w:ascii="宋体" w:hAnsi="宋体" w:cs="宋体"/>
                <w:szCs w:val="21"/>
                <w:highlight w:val="none"/>
              </w:rPr>
            </w:pPr>
          </w:p>
        </w:tc>
      </w:tr>
      <w:tr w14:paraId="32CAC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32E26E1E">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3</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07690F8">
            <w:pPr>
              <w:jc w:val="left"/>
              <w:rPr>
                <w:rFonts w:ascii="宋体" w:hAnsi="宋体" w:cs="宋体"/>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F0A1315">
            <w:pPr>
              <w:spacing w:line="36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1C657E3A">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4694A389">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69DB33C6">
            <w:pPr>
              <w:adjustRightInd w:val="0"/>
              <w:snapToGrid w:val="0"/>
              <w:spacing w:line="300" w:lineRule="auto"/>
              <w:rPr>
                <w:rFonts w:ascii="宋体" w:hAnsi="宋体" w:cs="宋体"/>
                <w:szCs w:val="21"/>
                <w:highlight w:val="none"/>
              </w:rPr>
            </w:pPr>
          </w:p>
        </w:tc>
      </w:tr>
      <w:tr w14:paraId="08BF9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5C5266FC">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4</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AF2FEDF">
            <w:pPr>
              <w:rPr>
                <w:rFonts w:ascii="宋体" w:hAnsi="宋体" w:cs="宋体"/>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FB64929">
            <w:pPr>
              <w:spacing w:line="36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C8E0CF1">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4B441365">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29D60556">
            <w:pPr>
              <w:adjustRightInd w:val="0"/>
              <w:snapToGrid w:val="0"/>
              <w:spacing w:line="300" w:lineRule="auto"/>
              <w:rPr>
                <w:rFonts w:ascii="宋体" w:hAnsi="宋体" w:cs="宋体"/>
                <w:szCs w:val="21"/>
                <w:highlight w:val="none"/>
              </w:rPr>
            </w:pPr>
          </w:p>
        </w:tc>
      </w:tr>
      <w:tr w14:paraId="5412E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3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3C58AAA8">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5</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158E1EF">
            <w:pPr>
              <w:jc w:val="left"/>
              <w:rPr>
                <w:rFonts w:ascii="宋体" w:hAnsi="宋体" w:cs="宋体"/>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0038715">
            <w:pPr>
              <w:spacing w:line="36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1E0E7234">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288E5E9C">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18FD88AF">
            <w:pPr>
              <w:adjustRightInd w:val="0"/>
              <w:snapToGrid w:val="0"/>
              <w:spacing w:line="300" w:lineRule="auto"/>
              <w:rPr>
                <w:rFonts w:ascii="宋体" w:hAnsi="宋体" w:cs="宋体"/>
                <w:szCs w:val="21"/>
                <w:highlight w:val="none"/>
              </w:rPr>
            </w:pPr>
          </w:p>
        </w:tc>
      </w:tr>
      <w:tr w14:paraId="6BC67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29" w:hRule="atLeast"/>
          <w:jc w:val="center"/>
        </w:trPr>
        <w:tc>
          <w:tcPr>
            <w:tcW w:w="937" w:type="dxa"/>
            <w:tcBorders>
              <w:top w:val="single" w:color="auto" w:sz="6" w:space="0"/>
              <w:left w:val="single" w:color="auto" w:sz="12" w:space="0"/>
              <w:bottom w:val="single" w:color="auto" w:sz="12" w:space="0"/>
              <w:right w:val="single" w:color="auto" w:sz="6" w:space="0"/>
            </w:tcBorders>
            <w:tcMar>
              <w:top w:w="15" w:type="dxa"/>
              <w:left w:w="15" w:type="dxa"/>
              <w:bottom w:w="0" w:type="dxa"/>
              <w:right w:w="15" w:type="dxa"/>
            </w:tcMar>
            <w:vAlign w:val="center"/>
          </w:tcPr>
          <w:p w14:paraId="7250B0EA">
            <w:pPr>
              <w:adjustRightInd w:val="0"/>
              <w:snapToGrid w:val="0"/>
              <w:spacing w:line="300" w:lineRule="auto"/>
              <w:jc w:val="center"/>
              <w:rPr>
                <w:rFonts w:ascii="宋体" w:hAnsi="宋体" w:cs="宋体"/>
                <w:szCs w:val="21"/>
                <w:highlight w:val="none"/>
              </w:rPr>
            </w:pPr>
            <w:r>
              <w:rPr>
                <w:rFonts w:hint="eastAsia" w:ascii="宋体" w:hAnsi="宋体" w:cs="宋体"/>
                <w:szCs w:val="21"/>
                <w:highlight w:val="none"/>
              </w:rPr>
              <w:t>6</w:t>
            </w:r>
          </w:p>
        </w:tc>
        <w:tc>
          <w:tcPr>
            <w:tcW w:w="2098"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11FF9C5D">
            <w:pPr>
              <w:rPr>
                <w:rFonts w:ascii="宋体" w:hAnsi="宋体" w:cs="宋体"/>
                <w:szCs w:val="21"/>
                <w:highlight w:val="none"/>
              </w:rPr>
            </w:pPr>
          </w:p>
        </w:tc>
        <w:tc>
          <w:tcPr>
            <w:tcW w:w="2240"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7AD81FFF">
            <w:pPr>
              <w:spacing w:line="360" w:lineRule="auto"/>
              <w:rPr>
                <w:rFonts w:ascii="宋体" w:hAnsi="宋体" w:cs="宋体"/>
                <w:szCs w:val="21"/>
                <w:highlight w:val="none"/>
              </w:rPr>
            </w:pPr>
          </w:p>
        </w:tc>
        <w:tc>
          <w:tcPr>
            <w:tcW w:w="1559" w:type="dxa"/>
            <w:tcBorders>
              <w:top w:val="single" w:color="auto" w:sz="6" w:space="0"/>
              <w:left w:val="single" w:color="auto" w:sz="6" w:space="0"/>
              <w:bottom w:val="single" w:color="auto" w:sz="12" w:space="0"/>
              <w:right w:val="single" w:color="auto" w:sz="6" w:space="0"/>
            </w:tcBorders>
          </w:tcPr>
          <w:p w14:paraId="61858EEA">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12" w:space="0"/>
              <w:right w:val="single" w:color="auto" w:sz="6" w:space="0"/>
            </w:tcBorders>
          </w:tcPr>
          <w:p w14:paraId="54A11CFD">
            <w:pPr>
              <w:adjustRightInd w:val="0"/>
              <w:snapToGrid w:val="0"/>
              <w:spacing w:line="300" w:lineRule="auto"/>
              <w:rPr>
                <w:rFonts w:ascii="宋体" w:hAnsi="宋体" w:cs="宋体"/>
                <w:szCs w:val="21"/>
                <w:highlight w:val="none"/>
              </w:rPr>
            </w:pPr>
          </w:p>
        </w:tc>
        <w:tc>
          <w:tcPr>
            <w:tcW w:w="1559" w:type="dxa"/>
            <w:tcBorders>
              <w:top w:val="single" w:color="auto" w:sz="6" w:space="0"/>
              <w:left w:val="single" w:color="auto" w:sz="6" w:space="0"/>
              <w:bottom w:val="single" w:color="auto" w:sz="12" w:space="0"/>
              <w:right w:val="single" w:color="auto" w:sz="12" w:space="0"/>
            </w:tcBorders>
            <w:tcMar>
              <w:top w:w="15" w:type="dxa"/>
              <w:left w:w="15" w:type="dxa"/>
              <w:bottom w:w="0" w:type="dxa"/>
              <w:right w:w="15" w:type="dxa"/>
            </w:tcMar>
            <w:vAlign w:val="center"/>
          </w:tcPr>
          <w:p w14:paraId="2778CCA5">
            <w:pPr>
              <w:adjustRightInd w:val="0"/>
              <w:snapToGrid w:val="0"/>
              <w:spacing w:line="300" w:lineRule="auto"/>
              <w:rPr>
                <w:rFonts w:ascii="宋体" w:hAnsi="宋体" w:cs="宋体"/>
                <w:szCs w:val="21"/>
                <w:highlight w:val="none"/>
              </w:rPr>
            </w:pPr>
          </w:p>
        </w:tc>
      </w:tr>
    </w:tbl>
    <w:p w14:paraId="2B5C82AB">
      <w:pPr>
        <w:pStyle w:val="12"/>
        <w:spacing w:after="0"/>
        <w:rPr>
          <w:rFonts w:ascii="宋体" w:hAnsi="宋体" w:cs="宋体"/>
          <w:b/>
          <w:bCs/>
          <w:szCs w:val="21"/>
          <w:highlight w:val="none"/>
        </w:rPr>
      </w:pPr>
      <w:r>
        <w:rPr>
          <w:rFonts w:hint="eastAsia" w:ascii="宋体" w:hAnsi="宋体" w:cs="宋体"/>
          <w:b/>
          <w:bCs/>
          <w:szCs w:val="21"/>
          <w:highlight w:val="none"/>
        </w:rPr>
        <w:t>注：</w:t>
      </w:r>
    </w:p>
    <w:p w14:paraId="216CEE1E">
      <w:pPr>
        <w:pStyle w:val="12"/>
        <w:spacing w:after="0"/>
        <w:rPr>
          <w:rFonts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rPr>
        <w:tab/>
      </w:r>
      <w:r>
        <w:rPr>
          <w:rFonts w:hint="eastAsia" w:ascii="宋体" w:hAnsi="宋体" w:cs="宋体"/>
          <w:b/>
          <w:bCs/>
          <w:szCs w:val="21"/>
          <w:highlight w:val="none"/>
        </w:rPr>
        <w:t>供应商根据本竞争性磋商文件的供应商须知及合同条款填写本表；</w:t>
      </w:r>
    </w:p>
    <w:p w14:paraId="4D83FC01">
      <w:pPr>
        <w:pStyle w:val="12"/>
        <w:spacing w:after="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cs="宋体"/>
          <w:b/>
          <w:bCs/>
          <w:szCs w:val="21"/>
          <w:highlight w:val="none"/>
        </w:rPr>
        <w:tab/>
      </w:r>
      <w:r>
        <w:rPr>
          <w:rFonts w:hint="eastAsia" w:ascii="宋体" w:hAnsi="宋体" w:cs="宋体"/>
          <w:b/>
          <w:bCs/>
          <w:szCs w:val="21"/>
          <w:highlight w:val="none"/>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14:paraId="2C1C102D">
      <w:pPr>
        <w:pStyle w:val="12"/>
        <w:spacing w:after="0"/>
        <w:rPr>
          <w:rFonts w:ascii="宋体" w:hAnsi="宋体" w:cs="宋体"/>
          <w:b/>
          <w:bCs/>
          <w:szCs w:val="21"/>
          <w:highlight w:val="none"/>
        </w:rPr>
      </w:pPr>
      <w:r>
        <w:rPr>
          <w:rFonts w:hint="eastAsia" w:ascii="宋体" w:hAnsi="宋体" w:cs="宋体"/>
          <w:b/>
          <w:bCs/>
          <w:szCs w:val="21"/>
          <w:highlight w:val="none"/>
        </w:rPr>
        <w:t>3、</w:t>
      </w:r>
      <w:r>
        <w:rPr>
          <w:rFonts w:hint="eastAsia" w:ascii="宋体" w:hAnsi="宋体" w:cs="宋体"/>
          <w:b/>
          <w:bCs/>
          <w:szCs w:val="21"/>
          <w:highlight w:val="none"/>
        </w:rPr>
        <w:tab/>
      </w:r>
      <w:r>
        <w:rPr>
          <w:rFonts w:hint="eastAsia" w:ascii="宋体" w:hAnsi="宋体" w:cs="宋体"/>
          <w:b/>
          <w:bCs/>
          <w:szCs w:val="21"/>
          <w:highlight w:val="none"/>
        </w:rPr>
        <w:t>正偏离是指应答的条件高于竞争性磋商文件要求，负偏离是指应答的条件低于竞争性磋商文件要求，正偏离项目不作扣分处理。</w:t>
      </w:r>
    </w:p>
    <w:p w14:paraId="21C6447B">
      <w:pPr>
        <w:pStyle w:val="12"/>
        <w:spacing w:after="0"/>
        <w:rPr>
          <w:rFonts w:ascii="宋体" w:hAnsi="宋体" w:cs="宋体"/>
          <w:b/>
          <w:bCs/>
          <w:szCs w:val="21"/>
          <w:highlight w:val="none"/>
        </w:rPr>
      </w:pPr>
      <w:r>
        <w:rPr>
          <w:rFonts w:hint="eastAsia" w:ascii="宋体" w:hAnsi="宋体" w:cs="宋体"/>
          <w:b/>
          <w:bCs/>
          <w:szCs w:val="21"/>
          <w:highlight w:val="none"/>
        </w:rPr>
        <w:t>4、</w:t>
      </w:r>
      <w:r>
        <w:rPr>
          <w:rFonts w:hint="eastAsia" w:ascii="宋体" w:hAnsi="宋体" w:cs="宋体"/>
          <w:b/>
          <w:bCs/>
          <w:szCs w:val="21"/>
          <w:highlight w:val="none"/>
        </w:rPr>
        <w:tab/>
      </w:r>
      <w:r>
        <w:rPr>
          <w:rFonts w:hint="eastAsia" w:ascii="宋体" w:hAnsi="宋体" w:cs="宋体"/>
          <w:b/>
          <w:bCs/>
          <w:szCs w:val="21"/>
          <w:highlight w:val="none"/>
        </w:rPr>
        <w:t>供应商须完整填写响应表。如果未完整填写本表的各项内容则视作供应商已经对竞争性磋商文件相关要求和内容完全理解并同意，其投标报价为在此基础上的完全价格。</w:t>
      </w:r>
    </w:p>
    <w:p w14:paraId="1211E121">
      <w:pPr>
        <w:pStyle w:val="12"/>
        <w:spacing w:after="0"/>
        <w:rPr>
          <w:rFonts w:ascii="宋体" w:hAnsi="宋体" w:cs="宋体"/>
          <w:b/>
          <w:bCs/>
          <w:szCs w:val="21"/>
          <w:highlight w:val="none"/>
        </w:rPr>
      </w:pPr>
      <w:r>
        <w:rPr>
          <w:rFonts w:hint="eastAsia" w:ascii="宋体" w:hAnsi="宋体" w:cs="宋体"/>
          <w:b/>
          <w:bCs/>
          <w:sz w:val="21"/>
          <w:szCs w:val="21"/>
          <w:highlight w:val="none"/>
        </w:rPr>
        <w:t>5、</w:t>
      </w:r>
      <w:r>
        <w:rPr>
          <w:rFonts w:hint="eastAsia" w:ascii="宋体" w:hAnsi="宋体" w:cs="宋体"/>
          <w:b/>
          <w:bCs/>
          <w:sz w:val="21"/>
          <w:szCs w:val="21"/>
          <w:highlight w:val="none"/>
        </w:rPr>
        <w:tab/>
      </w:r>
      <w:r>
        <w:rPr>
          <w:rFonts w:hint="eastAsia" w:ascii="宋体" w:hAnsi="宋体" w:cs="宋体"/>
          <w:b/>
          <w:bCs/>
          <w:szCs w:val="21"/>
          <w:highlight w:val="none"/>
        </w:rPr>
        <w:t>在买方与中标人签订合同时，如中标人未在响应文件“响应表”中列出偏离说明，无论已发生或即将发生任何情形，均视为完全符合竞争性磋商文件要求，并写入合同。若中标人在合同签订前，以上述事项为借口而不履行合同签订手续及执行合同，则视作拒绝与采购人签订合同。</w:t>
      </w:r>
    </w:p>
    <w:p w14:paraId="78CA903A">
      <w:pPr>
        <w:pStyle w:val="12"/>
        <w:adjustRightInd w:val="0"/>
        <w:snapToGrid w:val="0"/>
        <w:spacing w:line="300" w:lineRule="auto"/>
        <w:jc w:val="right"/>
        <w:rPr>
          <w:rFonts w:ascii="宋体" w:hAnsi="宋体" w:cs="宋体"/>
          <w:sz w:val="21"/>
          <w:szCs w:val="21"/>
          <w:highlight w:val="none"/>
        </w:rPr>
      </w:pPr>
      <w:r>
        <w:rPr>
          <w:rFonts w:hint="eastAsia" w:ascii="宋体" w:hAnsi="宋体" w:cs="宋体"/>
          <w:b/>
          <w:bCs/>
          <w:sz w:val="21"/>
          <w:szCs w:val="21"/>
          <w:highlight w:val="none"/>
        </w:rPr>
        <w:t xml:space="preserve"> </w:t>
      </w:r>
    </w:p>
    <w:p w14:paraId="5701C09E">
      <w:pPr>
        <w:spacing w:line="48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 xml:space="preserve"> </w:t>
      </w:r>
      <w:r>
        <w:rPr>
          <w:rFonts w:hint="eastAsia" w:ascii="宋体" w:hAnsi="宋体" w:eastAsia="宋体" w:cs="宋体"/>
          <w:bCs/>
          <w:color w:val="auto"/>
          <w:szCs w:val="21"/>
          <w:lang w:eastAsia="zh-CN"/>
        </w:rPr>
        <w:t>供应商</w:t>
      </w:r>
      <w:r>
        <w:rPr>
          <w:rFonts w:hint="eastAsia" w:ascii="宋体" w:hAnsi="宋体" w:eastAsia="宋体" w:cs="宋体"/>
          <w:bCs/>
          <w:color w:val="auto"/>
          <w:szCs w:val="21"/>
          <w:lang w:val="en-US" w:eastAsia="zh-CN"/>
        </w:rPr>
        <w:t>名称</w:t>
      </w:r>
      <w:r>
        <w:rPr>
          <w:rFonts w:hint="eastAsia" w:ascii="宋体" w:hAnsi="宋体" w:eastAsia="宋体" w:cs="宋体"/>
          <w:bCs/>
          <w:color w:val="auto"/>
          <w:szCs w:val="21"/>
        </w:rPr>
        <w:t>（加盖公章）</w:t>
      </w:r>
      <w:r>
        <w:rPr>
          <w:rFonts w:hint="eastAsia" w:ascii="宋体" w:hAnsi="宋体" w:cs="宋体"/>
          <w:bCs/>
          <w:color w:val="auto"/>
          <w:szCs w:val="21"/>
          <w:lang w:eastAsia="zh-CN"/>
        </w:rPr>
        <w:t>：</w:t>
      </w:r>
    </w:p>
    <w:p w14:paraId="37A3AD68">
      <w:pPr>
        <w:spacing w:line="480" w:lineRule="auto"/>
        <w:jc w:val="center"/>
        <w:rPr>
          <w:rFonts w:ascii="宋体" w:hAnsi="宋体" w:eastAsia="宋体" w:cs="宋体"/>
          <w:color w:val="auto"/>
          <w:sz w:val="24"/>
          <w:szCs w:val="24"/>
          <w:lang w:val="en-US" w:eastAsia="zh-CN"/>
        </w:rPr>
      </w:pPr>
      <w:r>
        <w:rPr>
          <w:rFonts w:hint="eastAsia" w:ascii="宋体" w:hAnsi="宋体" w:eastAsia="宋体" w:cs="宋体"/>
          <w:color w:val="auto"/>
          <w:szCs w:val="21"/>
        </w:rPr>
        <w:t xml:space="preserve">                 </w:t>
      </w:r>
      <w:r>
        <w:rPr>
          <w:rFonts w:hint="eastAsia" w:ascii="宋体" w:hAnsi="宋体" w:eastAsia="宋体" w:cs="宋体"/>
          <w:bCs/>
          <w:color w:val="auto"/>
          <w:szCs w:val="21"/>
        </w:rPr>
        <w:t>法定代表人或其委托代理人（签字或盖章）</w:t>
      </w:r>
      <w:r>
        <w:rPr>
          <w:rFonts w:hint="eastAsia" w:ascii="宋体" w:hAnsi="宋体" w:cs="宋体"/>
          <w:bCs/>
          <w:color w:val="auto"/>
          <w:szCs w:val="21"/>
          <w:lang w:eastAsia="zh-CN"/>
        </w:rPr>
        <w:t>：</w:t>
      </w:r>
      <w:r>
        <w:rPr>
          <w:rFonts w:hint="eastAsia" w:ascii="宋体" w:hAnsi="宋体" w:cs="宋体"/>
          <w:bCs/>
          <w:color w:val="auto"/>
          <w:szCs w:val="21"/>
          <w:lang w:val="en-US" w:eastAsia="zh-CN"/>
        </w:rPr>
        <w:t xml:space="preserve">  </w:t>
      </w:r>
    </w:p>
    <w:p w14:paraId="2B576B55">
      <w:pPr>
        <w:pStyle w:val="12"/>
        <w:adjustRightInd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Cs/>
          <w:color w:val="auto"/>
          <w:sz w:val="21"/>
          <w:szCs w:val="21"/>
        </w:rPr>
        <w:t xml:space="preserve">    年     月     日</w:t>
      </w:r>
    </w:p>
    <w:p w14:paraId="3FBDDCFC">
      <w:pPr>
        <w:pStyle w:val="12"/>
        <w:adjustRightInd w:val="0"/>
        <w:snapToGrid w:val="0"/>
        <w:spacing w:line="300" w:lineRule="auto"/>
        <w:rPr>
          <w:rFonts w:ascii="宋体" w:hAnsi="宋体" w:cs="宋体"/>
          <w:b/>
          <w:bCs/>
          <w:sz w:val="24"/>
          <w:szCs w:val="24"/>
          <w:highlight w:val="none"/>
        </w:rPr>
      </w:pPr>
      <w:r>
        <w:rPr>
          <w:rFonts w:hint="eastAsia" w:ascii="宋体" w:hAnsi="宋体" w:cs="宋体"/>
          <w:b/>
          <w:bCs/>
          <w:sz w:val="24"/>
          <w:szCs w:val="24"/>
          <w:highlight w:val="none"/>
        </w:rPr>
        <w:t xml:space="preserve"> </w:t>
      </w:r>
    </w:p>
    <w:p w14:paraId="7842C63E">
      <w:pPr>
        <w:pStyle w:val="3"/>
        <w:jc w:val="center"/>
        <w:outlineLvl w:val="9"/>
        <w:rPr>
          <w:rFonts w:ascii="宋体" w:hAnsi="宋体" w:eastAsia="宋体" w:cs="宋体"/>
          <w:b w:val="0"/>
          <w:bCs w:val="0"/>
          <w:sz w:val="24"/>
          <w:szCs w:val="24"/>
          <w:highlight w:val="none"/>
        </w:rPr>
        <w:sectPr>
          <w:pgSz w:w="11906" w:h="16838"/>
          <w:pgMar w:top="1276" w:right="991" w:bottom="1247" w:left="964" w:header="1134" w:footer="851" w:gutter="170"/>
          <w:pgNumType w:fmt="decimal"/>
          <w:cols w:space="720" w:num="1"/>
          <w:titlePg/>
          <w:docGrid w:type="linesAndChars" w:linePitch="328" w:charSpace="0"/>
        </w:sectPr>
      </w:pPr>
      <w:r>
        <w:rPr>
          <w:rFonts w:hint="eastAsia" w:ascii="宋体" w:hAnsi="宋体" w:eastAsia="宋体" w:cs="宋体"/>
          <w:b w:val="0"/>
          <w:bCs w:val="0"/>
          <w:sz w:val="24"/>
          <w:szCs w:val="24"/>
          <w:highlight w:val="none"/>
        </w:rPr>
        <w:br w:type="page"/>
      </w:r>
      <w:bookmarkStart w:id="1542" w:name="_Toc29506"/>
    </w:p>
    <w:bookmarkEnd w:id="1542"/>
    <w:p w14:paraId="124DCF53">
      <w:pPr>
        <w:pStyle w:val="3"/>
        <w:jc w:val="center"/>
        <w:rPr>
          <w:rFonts w:ascii="宋体" w:hAnsi="宋体" w:eastAsia="宋体" w:cs="宋体"/>
          <w:highlight w:val="none"/>
        </w:rPr>
        <w:sectPr>
          <w:pgSz w:w="11906" w:h="16838"/>
          <w:pgMar w:top="1276" w:right="991" w:bottom="1247" w:left="964" w:header="1134" w:footer="851" w:gutter="170"/>
          <w:pgNumType w:fmt="decimal"/>
          <w:cols w:space="720" w:num="1"/>
          <w:titlePg/>
          <w:docGrid w:type="linesAndChars" w:linePitch="328" w:charSpace="0"/>
        </w:sectPr>
      </w:pPr>
      <w:r>
        <w:rPr>
          <w:rFonts w:hint="eastAsia" w:ascii="宋体" w:hAnsi="宋体" w:eastAsia="宋体" w:cs="宋体"/>
          <w:highlight w:val="none"/>
          <w:lang w:val="en-US" w:eastAsia="zh-CN"/>
        </w:rPr>
        <w:t>五</w:t>
      </w:r>
      <w:r>
        <w:rPr>
          <w:rFonts w:hint="eastAsia" w:ascii="宋体" w:hAnsi="宋体" w:eastAsia="宋体" w:cs="宋体"/>
          <w:highlight w:val="none"/>
        </w:rPr>
        <w:t>、已标价工程量清单</w:t>
      </w:r>
    </w:p>
    <w:p w14:paraId="06E4F15D">
      <w:pPr>
        <w:pStyle w:val="3"/>
        <w:jc w:val="center"/>
        <w:rPr>
          <w:rFonts w:ascii="宋体" w:hAnsi="宋体" w:eastAsia="宋体"/>
          <w:sz w:val="30"/>
          <w:szCs w:val="30"/>
          <w:highlight w:val="none"/>
        </w:rPr>
      </w:pPr>
      <w:r>
        <w:rPr>
          <w:rFonts w:hint="eastAsia" w:ascii="宋体" w:hAnsi="宋体" w:eastAsia="宋体" w:cs="宋体"/>
          <w:highlight w:val="none"/>
          <w:lang w:val="en-US" w:eastAsia="zh-CN"/>
        </w:rPr>
        <w:t>六</w:t>
      </w:r>
      <w:r>
        <w:rPr>
          <w:rFonts w:hint="eastAsia" w:ascii="宋体" w:hAnsi="宋体" w:eastAsia="宋体" w:cs="宋体"/>
          <w:highlight w:val="none"/>
        </w:rPr>
        <w:t>、</w:t>
      </w:r>
      <w:r>
        <w:rPr>
          <w:rFonts w:hint="eastAsia" w:ascii="宋体" w:hAnsi="宋体" w:eastAsia="宋体"/>
          <w:highlight w:val="none"/>
        </w:rPr>
        <w:t>类似项目</w:t>
      </w:r>
      <w:r>
        <w:rPr>
          <w:rFonts w:hint="eastAsia" w:ascii="宋体" w:hAnsi="宋体" w:eastAsia="宋体"/>
          <w:highlight w:val="none"/>
          <w:lang w:val="en-US" w:eastAsia="zh-CN"/>
        </w:rPr>
        <w:t>业绩</w:t>
      </w:r>
      <w:r>
        <w:rPr>
          <w:rFonts w:hint="eastAsia" w:ascii="宋体" w:hAnsi="宋体" w:eastAsia="宋体"/>
          <w:highlight w:val="none"/>
        </w:rPr>
        <w:t>情况表</w:t>
      </w:r>
    </w:p>
    <w:tbl>
      <w:tblPr>
        <w:tblStyle w:val="3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422"/>
        <w:gridCol w:w="1533"/>
        <w:gridCol w:w="1533"/>
        <w:gridCol w:w="1789"/>
        <w:gridCol w:w="1661"/>
      </w:tblGrid>
      <w:tr w14:paraId="7A63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vAlign w:val="center"/>
          </w:tcPr>
          <w:p w14:paraId="0E6204AC">
            <w:pPr>
              <w:jc w:val="center"/>
              <w:rPr>
                <w:rFonts w:ascii="宋体" w:hAnsi="宋体"/>
                <w:highlight w:val="none"/>
              </w:rPr>
            </w:pPr>
            <w:r>
              <w:rPr>
                <w:rFonts w:hint="eastAsia" w:ascii="宋体" w:hAnsi="宋体"/>
                <w:highlight w:val="none"/>
              </w:rPr>
              <w:t>项目名称</w:t>
            </w:r>
          </w:p>
        </w:tc>
        <w:tc>
          <w:tcPr>
            <w:tcW w:w="1533" w:type="dxa"/>
            <w:tcBorders>
              <w:top w:val="single" w:color="000000" w:sz="6" w:space="0"/>
              <w:left w:val="nil"/>
              <w:bottom w:val="single" w:color="000000" w:sz="6" w:space="0"/>
              <w:right w:val="single" w:color="000000" w:sz="6" w:space="0"/>
            </w:tcBorders>
            <w:vAlign w:val="center"/>
          </w:tcPr>
          <w:p w14:paraId="352868D5">
            <w:pPr>
              <w:jc w:val="center"/>
              <w:rPr>
                <w:rFonts w:ascii="宋体" w:hAnsi="宋体"/>
                <w:highlight w:val="none"/>
              </w:rPr>
            </w:pPr>
            <w:r>
              <w:rPr>
                <w:rFonts w:hint="eastAsia" w:ascii="宋体" w:hAnsi="宋体"/>
                <w:highlight w:val="none"/>
              </w:rPr>
              <w:t>服务时间</w:t>
            </w:r>
          </w:p>
        </w:tc>
        <w:tc>
          <w:tcPr>
            <w:tcW w:w="1533" w:type="dxa"/>
            <w:tcBorders>
              <w:top w:val="single" w:color="000000" w:sz="6" w:space="0"/>
              <w:left w:val="nil"/>
              <w:bottom w:val="single" w:color="000000" w:sz="6" w:space="0"/>
              <w:right w:val="single" w:color="000000" w:sz="6" w:space="0"/>
            </w:tcBorders>
            <w:vAlign w:val="center"/>
          </w:tcPr>
          <w:p w14:paraId="0A0F748E">
            <w:pPr>
              <w:jc w:val="center"/>
              <w:rPr>
                <w:rFonts w:ascii="宋体" w:hAnsi="宋体"/>
                <w:highlight w:val="none"/>
              </w:rPr>
            </w:pPr>
            <w:r>
              <w:rPr>
                <w:rFonts w:hint="eastAsia" w:ascii="宋体" w:hAnsi="宋体"/>
                <w:highlight w:val="none"/>
              </w:rPr>
              <w:t>项目总投资额</w:t>
            </w:r>
          </w:p>
        </w:tc>
        <w:tc>
          <w:tcPr>
            <w:tcW w:w="1789" w:type="dxa"/>
            <w:tcBorders>
              <w:top w:val="single" w:color="000000" w:sz="6" w:space="0"/>
              <w:left w:val="nil"/>
              <w:bottom w:val="single" w:color="000000" w:sz="6" w:space="0"/>
              <w:right w:val="single" w:color="000000" w:sz="6" w:space="0"/>
            </w:tcBorders>
            <w:vAlign w:val="center"/>
          </w:tcPr>
          <w:p w14:paraId="7C42DBDB">
            <w:pPr>
              <w:jc w:val="center"/>
              <w:rPr>
                <w:rFonts w:ascii="宋体" w:hAnsi="宋体"/>
                <w:highlight w:val="none"/>
              </w:rPr>
            </w:pPr>
            <w:r>
              <w:rPr>
                <w:rFonts w:hint="eastAsia" w:ascii="宋体" w:hAnsi="宋体"/>
                <w:highlight w:val="none"/>
              </w:rPr>
              <w:t>委托单位</w:t>
            </w:r>
          </w:p>
        </w:tc>
        <w:tc>
          <w:tcPr>
            <w:tcW w:w="1661" w:type="dxa"/>
            <w:tcBorders>
              <w:top w:val="single" w:color="000000" w:sz="6" w:space="0"/>
              <w:left w:val="nil"/>
              <w:bottom w:val="single" w:color="000000" w:sz="6" w:space="0"/>
              <w:right w:val="single" w:color="000000" w:sz="6" w:space="0"/>
            </w:tcBorders>
            <w:vAlign w:val="center"/>
          </w:tcPr>
          <w:p w14:paraId="720F7B2E">
            <w:pPr>
              <w:jc w:val="center"/>
              <w:rPr>
                <w:rFonts w:ascii="宋体" w:hAnsi="宋体"/>
                <w:highlight w:val="none"/>
              </w:rPr>
            </w:pPr>
            <w:r>
              <w:rPr>
                <w:rFonts w:hint="eastAsia" w:ascii="宋体" w:hAnsi="宋体"/>
                <w:highlight w:val="none"/>
              </w:rPr>
              <w:t>委托事项</w:t>
            </w:r>
          </w:p>
        </w:tc>
      </w:tr>
      <w:tr w14:paraId="1180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7914786E">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41EFD853">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6D6A72CD">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7CC38E13">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03407266">
            <w:pPr>
              <w:spacing w:before="100" w:after="100"/>
              <w:jc w:val="center"/>
              <w:rPr>
                <w:rFonts w:ascii="宋体" w:hAnsi="宋体"/>
                <w:szCs w:val="21"/>
                <w:highlight w:val="none"/>
              </w:rPr>
            </w:pPr>
          </w:p>
        </w:tc>
      </w:tr>
      <w:tr w14:paraId="1AF1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64BF8478">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58A0488">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5B071F8">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4BD1C7B4">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0A66F741">
            <w:pPr>
              <w:spacing w:before="100" w:after="100"/>
              <w:jc w:val="center"/>
              <w:rPr>
                <w:rFonts w:ascii="宋体" w:hAnsi="宋体"/>
                <w:szCs w:val="21"/>
                <w:highlight w:val="none"/>
              </w:rPr>
            </w:pPr>
          </w:p>
        </w:tc>
      </w:tr>
      <w:tr w14:paraId="305B4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5A4E920C">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506A8A2">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57CA388">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1E2ED491">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17AF6424">
            <w:pPr>
              <w:spacing w:before="100" w:after="100"/>
              <w:jc w:val="center"/>
              <w:rPr>
                <w:rFonts w:ascii="宋体" w:hAnsi="宋体"/>
                <w:szCs w:val="21"/>
                <w:highlight w:val="none"/>
              </w:rPr>
            </w:pPr>
          </w:p>
        </w:tc>
      </w:tr>
      <w:tr w14:paraId="78440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5A55ACB1">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72FDE0D7">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4B8E0E3C">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69B489F7">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35E6CAE9">
            <w:pPr>
              <w:spacing w:before="100" w:after="100"/>
              <w:jc w:val="center"/>
              <w:rPr>
                <w:rFonts w:ascii="宋体" w:hAnsi="宋体"/>
                <w:szCs w:val="21"/>
                <w:highlight w:val="none"/>
              </w:rPr>
            </w:pPr>
          </w:p>
        </w:tc>
      </w:tr>
      <w:tr w14:paraId="4907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0511E58C">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0B09FBA">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38DA2CAE">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695A6BA3">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648D0688">
            <w:pPr>
              <w:spacing w:before="100" w:after="100"/>
              <w:jc w:val="center"/>
              <w:rPr>
                <w:rFonts w:ascii="宋体" w:hAnsi="宋体"/>
                <w:szCs w:val="21"/>
                <w:highlight w:val="none"/>
              </w:rPr>
            </w:pPr>
          </w:p>
        </w:tc>
      </w:tr>
      <w:tr w14:paraId="502D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36A3BB68">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61EB1626">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02C4442D">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457F0685">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6E1FE429">
            <w:pPr>
              <w:spacing w:before="100" w:after="100"/>
              <w:jc w:val="center"/>
              <w:rPr>
                <w:rFonts w:ascii="宋体" w:hAnsi="宋体"/>
                <w:szCs w:val="21"/>
                <w:highlight w:val="none"/>
              </w:rPr>
            </w:pPr>
          </w:p>
        </w:tc>
      </w:tr>
      <w:tr w14:paraId="76363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75329E72">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10277F8D">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6C035F3E">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39C63CF6">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0F2FFF2F">
            <w:pPr>
              <w:spacing w:before="100" w:after="100"/>
              <w:jc w:val="center"/>
              <w:rPr>
                <w:rFonts w:ascii="宋体" w:hAnsi="宋体"/>
                <w:szCs w:val="21"/>
                <w:highlight w:val="none"/>
              </w:rPr>
            </w:pPr>
          </w:p>
        </w:tc>
      </w:tr>
      <w:tr w14:paraId="2370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3434A7D5">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0188C98D">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04BD902D">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4E72EB28">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2CBAEEA4">
            <w:pPr>
              <w:spacing w:before="100" w:after="100"/>
              <w:jc w:val="center"/>
              <w:rPr>
                <w:rFonts w:ascii="宋体" w:hAnsi="宋体"/>
                <w:szCs w:val="21"/>
                <w:highlight w:val="none"/>
              </w:rPr>
            </w:pPr>
          </w:p>
        </w:tc>
      </w:tr>
      <w:tr w14:paraId="1BA5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5A9B11E0">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FF81C83">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8E960F6">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2EBC0B5F">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05A9D0A1">
            <w:pPr>
              <w:spacing w:before="100" w:after="100"/>
              <w:jc w:val="center"/>
              <w:rPr>
                <w:rFonts w:ascii="宋体" w:hAnsi="宋体"/>
                <w:szCs w:val="21"/>
                <w:highlight w:val="none"/>
              </w:rPr>
            </w:pPr>
          </w:p>
        </w:tc>
      </w:tr>
      <w:tr w14:paraId="343A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02BDAF8F">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23F51EB3">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65F20D5A">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4E248E76">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2C0939B5">
            <w:pPr>
              <w:spacing w:before="100" w:after="100"/>
              <w:jc w:val="center"/>
              <w:rPr>
                <w:rFonts w:ascii="宋体" w:hAnsi="宋体"/>
                <w:szCs w:val="21"/>
                <w:highlight w:val="none"/>
              </w:rPr>
            </w:pPr>
          </w:p>
        </w:tc>
      </w:tr>
      <w:tr w14:paraId="38C0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jc w:val="center"/>
        </w:trPr>
        <w:tc>
          <w:tcPr>
            <w:tcW w:w="2422" w:type="dxa"/>
            <w:tcBorders>
              <w:top w:val="single" w:color="000000" w:sz="6" w:space="0"/>
              <w:left w:val="single" w:color="000000" w:sz="6" w:space="0"/>
              <w:bottom w:val="single" w:color="000000" w:sz="6" w:space="0"/>
              <w:right w:val="single" w:color="000000" w:sz="6" w:space="0"/>
            </w:tcBorders>
          </w:tcPr>
          <w:p w14:paraId="358D4364">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65029FD4">
            <w:pPr>
              <w:spacing w:before="100" w:after="100"/>
              <w:jc w:val="center"/>
              <w:rPr>
                <w:rFonts w:ascii="宋体" w:hAnsi="宋体"/>
                <w:szCs w:val="21"/>
                <w:highlight w:val="none"/>
              </w:rPr>
            </w:pPr>
          </w:p>
        </w:tc>
        <w:tc>
          <w:tcPr>
            <w:tcW w:w="1533" w:type="dxa"/>
            <w:tcBorders>
              <w:top w:val="single" w:color="000000" w:sz="6" w:space="0"/>
              <w:left w:val="nil"/>
              <w:bottom w:val="single" w:color="000000" w:sz="6" w:space="0"/>
              <w:right w:val="single" w:color="000000" w:sz="6" w:space="0"/>
            </w:tcBorders>
          </w:tcPr>
          <w:p w14:paraId="0E1D5B39">
            <w:pPr>
              <w:spacing w:before="100" w:after="100"/>
              <w:jc w:val="center"/>
              <w:rPr>
                <w:rFonts w:ascii="宋体" w:hAnsi="宋体"/>
                <w:szCs w:val="21"/>
                <w:highlight w:val="none"/>
              </w:rPr>
            </w:pPr>
          </w:p>
        </w:tc>
        <w:tc>
          <w:tcPr>
            <w:tcW w:w="1789" w:type="dxa"/>
            <w:tcBorders>
              <w:top w:val="single" w:color="000000" w:sz="6" w:space="0"/>
              <w:left w:val="nil"/>
              <w:bottom w:val="single" w:color="000000" w:sz="6" w:space="0"/>
              <w:right w:val="single" w:color="000000" w:sz="6" w:space="0"/>
            </w:tcBorders>
          </w:tcPr>
          <w:p w14:paraId="3745DC7B">
            <w:pPr>
              <w:spacing w:before="100" w:after="100"/>
              <w:jc w:val="center"/>
              <w:rPr>
                <w:rFonts w:ascii="宋体" w:hAnsi="宋体"/>
                <w:szCs w:val="21"/>
                <w:highlight w:val="none"/>
              </w:rPr>
            </w:pPr>
          </w:p>
        </w:tc>
        <w:tc>
          <w:tcPr>
            <w:tcW w:w="1661" w:type="dxa"/>
            <w:tcBorders>
              <w:top w:val="single" w:color="000000" w:sz="6" w:space="0"/>
              <w:left w:val="nil"/>
              <w:bottom w:val="single" w:color="000000" w:sz="6" w:space="0"/>
              <w:right w:val="single" w:color="000000" w:sz="6" w:space="0"/>
            </w:tcBorders>
          </w:tcPr>
          <w:p w14:paraId="69A996E3">
            <w:pPr>
              <w:spacing w:before="100" w:after="100"/>
              <w:jc w:val="center"/>
              <w:rPr>
                <w:rFonts w:ascii="宋体" w:hAnsi="宋体"/>
                <w:szCs w:val="21"/>
                <w:highlight w:val="none"/>
              </w:rPr>
            </w:pPr>
          </w:p>
        </w:tc>
      </w:tr>
    </w:tbl>
    <w:p w14:paraId="417800DB">
      <w:pPr>
        <w:pStyle w:val="15"/>
        <w:spacing w:line="280" w:lineRule="exact"/>
        <w:rPr>
          <w:rFonts w:hAnsi="宋体"/>
          <w:bCs/>
          <w:szCs w:val="21"/>
          <w:highlight w:val="none"/>
        </w:rPr>
      </w:pPr>
      <w:r>
        <w:rPr>
          <w:rFonts w:hint="eastAsia" w:hAnsi="宋体"/>
          <w:bCs/>
          <w:szCs w:val="21"/>
          <w:highlight w:val="none"/>
        </w:rPr>
        <w:t>注：表格可在原基础上自行扩充，但不可减少，填不了的用“</w:t>
      </w:r>
      <w:r>
        <w:rPr>
          <w:rFonts w:hint="eastAsia"/>
          <w:bCs/>
          <w:szCs w:val="21"/>
          <w:highlight w:val="none"/>
        </w:rPr>
        <w:t>/</w:t>
      </w:r>
      <w:r>
        <w:rPr>
          <w:rFonts w:hint="eastAsia" w:hAnsi="宋体"/>
          <w:bCs/>
          <w:szCs w:val="21"/>
          <w:highlight w:val="none"/>
        </w:rPr>
        <w:t>”代替。</w:t>
      </w:r>
    </w:p>
    <w:p w14:paraId="686E41E9">
      <w:pPr>
        <w:pStyle w:val="15"/>
        <w:spacing w:line="280" w:lineRule="exact"/>
        <w:rPr>
          <w:rFonts w:hAnsi="宋体"/>
          <w:bCs/>
          <w:szCs w:val="21"/>
          <w:highlight w:val="none"/>
        </w:rPr>
      </w:pPr>
      <w:r>
        <w:rPr>
          <w:rFonts w:hint="eastAsia" w:hAnsi="宋体"/>
          <w:bCs/>
          <w:szCs w:val="21"/>
          <w:highlight w:val="none"/>
        </w:rPr>
        <w:t>后附：相对应的业绩证明资料（</w:t>
      </w:r>
      <w:r>
        <w:rPr>
          <w:rFonts w:hint="eastAsia" w:hAnsi="宋体"/>
          <w:bCs/>
          <w:szCs w:val="21"/>
          <w:highlight w:val="none"/>
          <w:lang w:val="zh-CN"/>
        </w:rPr>
        <w:t>中标通知书或合同协议书或工程竣工验收证书</w:t>
      </w:r>
      <w:r>
        <w:rPr>
          <w:rFonts w:hint="eastAsia" w:hAnsi="宋体"/>
          <w:bCs/>
          <w:szCs w:val="21"/>
          <w:highlight w:val="none"/>
        </w:rPr>
        <w:t>）复印件加盖单位公章。</w:t>
      </w:r>
    </w:p>
    <w:p w14:paraId="4D74A264">
      <w:pPr>
        <w:pStyle w:val="12"/>
        <w:adjustRightInd w:val="0"/>
        <w:snapToGrid w:val="0"/>
        <w:spacing w:line="300" w:lineRule="auto"/>
        <w:jc w:val="center"/>
        <w:rPr>
          <w:rFonts w:ascii="宋体"/>
          <w:bCs/>
          <w:sz w:val="21"/>
          <w:szCs w:val="21"/>
          <w:highlight w:val="none"/>
        </w:rPr>
      </w:pPr>
    </w:p>
    <w:p w14:paraId="6763EFC4">
      <w:pPr>
        <w:rPr>
          <w:highlight w:val="none"/>
        </w:rPr>
      </w:pPr>
    </w:p>
    <w:p w14:paraId="21415D9F">
      <w:pPr>
        <w:rPr>
          <w:highlight w:val="none"/>
        </w:rPr>
        <w:sectPr>
          <w:pgSz w:w="11906" w:h="16838"/>
          <w:pgMar w:top="1276" w:right="991" w:bottom="1247" w:left="964" w:header="1134" w:footer="851" w:gutter="170"/>
          <w:pgNumType w:fmt="decimal"/>
          <w:cols w:space="720" w:num="1"/>
          <w:titlePg/>
          <w:docGrid w:type="linesAndChars" w:linePitch="328" w:charSpace="0"/>
        </w:sectPr>
      </w:pPr>
    </w:p>
    <w:p w14:paraId="472A52C1">
      <w:pPr>
        <w:pStyle w:val="3"/>
        <w:jc w:val="center"/>
        <w:rPr>
          <w:rFonts w:ascii="宋体" w:hAnsi="宋体" w:eastAsia="宋体" w:cs="宋体"/>
          <w:sz w:val="30"/>
          <w:szCs w:val="30"/>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、技术文件</w:t>
      </w:r>
    </w:p>
    <w:p w14:paraId="6D9F0AE4">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cs="宋体"/>
          <w:bCs/>
          <w:color w:val="auto"/>
          <w:sz w:val="21"/>
          <w:szCs w:val="21"/>
          <w:lang w:val="en-US" w:eastAsia="zh-CN"/>
        </w:rPr>
        <w:t>根据</w:t>
      </w:r>
      <w:r>
        <w:rPr>
          <w:rFonts w:hint="eastAsia" w:ascii="宋体" w:hAnsi="宋体" w:cs="宋体"/>
          <w:bCs/>
          <w:kern w:val="15"/>
          <w:szCs w:val="21"/>
          <w:highlight w:val="none"/>
          <w:lang w:val="en-US" w:eastAsia="zh-CN"/>
        </w:rPr>
        <w:t>评审方法</w:t>
      </w:r>
      <w:r>
        <w:rPr>
          <w:rFonts w:hint="eastAsia" w:ascii="宋体" w:hAnsi="宋体" w:cs="宋体"/>
          <w:bCs/>
          <w:color w:val="auto"/>
          <w:sz w:val="21"/>
          <w:szCs w:val="21"/>
          <w:lang w:val="en-US" w:eastAsia="zh-CN"/>
        </w:rPr>
        <w:t>前附表（二）技术部分</w:t>
      </w:r>
      <w:r>
        <w:rPr>
          <w:rFonts w:hint="eastAsia" w:ascii="宋体" w:hAnsi="宋体" w:eastAsia="宋体" w:cs="宋体"/>
          <w:bCs/>
          <w:color w:val="auto"/>
          <w:sz w:val="21"/>
          <w:szCs w:val="21"/>
        </w:rPr>
        <w:t>编制投标技术方案，</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在满足</w:t>
      </w:r>
      <w:r>
        <w:rPr>
          <w:rFonts w:hint="eastAsia" w:ascii="宋体" w:hAnsi="宋体" w:eastAsia="宋体" w:cs="宋体"/>
          <w:bCs/>
          <w:color w:val="auto"/>
          <w:sz w:val="21"/>
          <w:szCs w:val="21"/>
          <w:lang w:eastAsia="zh-CN"/>
        </w:rPr>
        <w:t>竞争性磋商文件</w:t>
      </w:r>
      <w:r>
        <w:rPr>
          <w:rFonts w:hint="eastAsia" w:ascii="宋体" w:hAnsi="宋体" w:eastAsia="宋体" w:cs="宋体"/>
          <w:bCs/>
          <w:color w:val="auto"/>
          <w:sz w:val="21"/>
          <w:szCs w:val="21"/>
        </w:rPr>
        <w:t>要求得基础上，可以根据自身实际情况提出更有利于采购人的技术方案。</w:t>
      </w:r>
    </w:p>
    <w:p w14:paraId="0EA05294">
      <w:pPr>
        <w:pStyle w:val="15"/>
        <w:spacing w:line="280" w:lineRule="exact"/>
        <w:rPr>
          <w:rFonts w:hAnsi="宋体" w:cs="宋体"/>
          <w:bCs/>
          <w:sz w:val="21"/>
          <w:szCs w:val="21"/>
          <w:highlight w:val="none"/>
        </w:rPr>
      </w:pPr>
    </w:p>
    <w:p w14:paraId="3334B89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D7973F5">
      <w:pPr>
        <w:pStyle w:val="5"/>
        <w:spacing w:line="240" w:lineRule="auto"/>
        <w:rPr>
          <w:rFonts w:hint="eastAsia" w:ascii="宋体" w:hAnsi="宋体" w:eastAsia="宋体" w:cs="宋体"/>
          <w:color w:val="auto"/>
          <w:szCs w:val="21"/>
          <w:highlight w:val="none"/>
        </w:rPr>
      </w:pPr>
      <w:r>
        <w:rPr>
          <w:rFonts w:hint="eastAsia" w:ascii="宋体" w:hAnsi="宋体" w:eastAsia="宋体" w:cs="宋体"/>
          <w:color w:val="auto"/>
          <w:highlight w:val="none"/>
        </w:rPr>
        <w:t>附表一：拟投入本</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的主要施工设备表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0"/>
        <w:gridCol w:w="731"/>
        <w:gridCol w:w="750"/>
        <w:gridCol w:w="750"/>
        <w:gridCol w:w="993"/>
        <w:gridCol w:w="1159"/>
        <w:gridCol w:w="895"/>
        <w:gridCol w:w="993"/>
        <w:gridCol w:w="993"/>
      </w:tblGrid>
      <w:tr w14:paraId="72C7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52C56E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529B1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9F3E6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7F170F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A1202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7094E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5AE921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648A9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5A19E6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B6978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243AEB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KW )</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372863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127528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1E8AE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0DEC46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6E797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F3C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73AC3982">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14C2210F">
            <w:pPr>
              <w:ind w:firstLine="420" w:firstLineChars="200"/>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30481C1E">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4414B16">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2717ABA">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ABDC6A3">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79BBD526">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A8BA24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965E138">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6DED4DD">
            <w:pPr>
              <w:rPr>
                <w:rFonts w:hint="eastAsia" w:ascii="宋体" w:hAnsi="宋体" w:eastAsia="宋体" w:cs="宋体"/>
                <w:color w:val="auto"/>
                <w:szCs w:val="21"/>
                <w:highlight w:val="none"/>
              </w:rPr>
            </w:pPr>
          </w:p>
        </w:tc>
      </w:tr>
      <w:tr w14:paraId="5F77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2E073A71">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1A0F07D8">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735C52B6">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58726EB">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97E1ECB">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DE72935">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19D8E48E">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B2A7C95">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6FFBE70">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0AE9072">
            <w:pPr>
              <w:rPr>
                <w:rFonts w:hint="eastAsia" w:ascii="宋体" w:hAnsi="宋体" w:eastAsia="宋体" w:cs="宋体"/>
                <w:color w:val="auto"/>
                <w:szCs w:val="21"/>
                <w:highlight w:val="none"/>
              </w:rPr>
            </w:pPr>
          </w:p>
        </w:tc>
      </w:tr>
      <w:tr w14:paraId="6DC7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5CC1BB20">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1550922D">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6DF3D41F">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6FF3476">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A7A06F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1CA6160">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7A1D93A1">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33BCF6E">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9116AF3">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9A0797">
            <w:pPr>
              <w:rPr>
                <w:rFonts w:hint="eastAsia" w:ascii="宋体" w:hAnsi="宋体" w:eastAsia="宋体" w:cs="宋体"/>
                <w:color w:val="auto"/>
                <w:szCs w:val="21"/>
                <w:highlight w:val="none"/>
              </w:rPr>
            </w:pPr>
          </w:p>
        </w:tc>
      </w:tr>
      <w:tr w14:paraId="1B11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477508B6">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242DC58C">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63EB368D">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D854A47">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68C0A51">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FBCADC6">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29B58EEE">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3A78557">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73C413F">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743D91D">
            <w:pPr>
              <w:rPr>
                <w:rFonts w:hint="eastAsia" w:ascii="宋体" w:hAnsi="宋体" w:eastAsia="宋体" w:cs="宋体"/>
                <w:color w:val="auto"/>
                <w:szCs w:val="21"/>
                <w:highlight w:val="none"/>
              </w:rPr>
            </w:pPr>
          </w:p>
        </w:tc>
      </w:tr>
      <w:tr w14:paraId="7383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33D0C6E0">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6D6E41E7">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1D909559">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2D58E5B">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0F66A97">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150DBA">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7519355B">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9B3A36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18F97B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2B91B4D">
            <w:pPr>
              <w:rPr>
                <w:rFonts w:hint="eastAsia" w:ascii="宋体" w:hAnsi="宋体" w:eastAsia="宋体" w:cs="宋体"/>
                <w:color w:val="auto"/>
                <w:szCs w:val="21"/>
                <w:highlight w:val="none"/>
              </w:rPr>
            </w:pPr>
          </w:p>
        </w:tc>
      </w:tr>
      <w:tr w14:paraId="65DA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5F418E6A">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1E305AE2">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7374E000">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D3A9651">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CDD25AE">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6F47E2E">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3162E311">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F52400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5B6BC21">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BB20C09">
            <w:pPr>
              <w:rPr>
                <w:rFonts w:hint="eastAsia" w:ascii="宋体" w:hAnsi="宋体" w:eastAsia="宋体" w:cs="宋体"/>
                <w:color w:val="auto"/>
                <w:szCs w:val="21"/>
                <w:highlight w:val="none"/>
              </w:rPr>
            </w:pPr>
          </w:p>
        </w:tc>
      </w:tr>
      <w:tr w14:paraId="6011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4E2BD8DD">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464F5820">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4813D54B">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FD8F36F">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98D1F0C">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504CF2A">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093C2027">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1637098">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F84118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60153D6">
            <w:pPr>
              <w:rPr>
                <w:rFonts w:hint="eastAsia" w:ascii="宋体" w:hAnsi="宋体" w:eastAsia="宋体" w:cs="宋体"/>
                <w:color w:val="auto"/>
                <w:szCs w:val="21"/>
                <w:highlight w:val="none"/>
              </w:rPr>
            </w:pPr>
          </w:p>
        </w:tc>
      </w:tr>
      <w:tr w14:paraId="625D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6750235F">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1F6B4784">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53D2E69F">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84F135F">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14EB3F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7CC04F8">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2B5172B7">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56F32C6">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96D1C78">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D77E97D">
            <w:pPr>
              <w:rPr>
                <w:rFonts w:hint="eastAsia" w:ascii="宋体" w:hAnsi="宋体" w:eastAsia="宋体" w:cs="宋体"/>
                <w:color w:val="auto"/>
                <w:szCs w:val="21"/>
                <w:highlight w:val="none"/>
              </w:rPr>
            </w:pPr>
          </w:p>
        </w:tc>
      </w:tr>
      <w:tr w14:paraId="4EBA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533F0D24">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5750A058">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2AEB1355">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2546AE0">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3A4E986">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8B6D567">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2D70D39D">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A485355">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E57B54F">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FABF814">
            <w:pPr>
              <w:rPr>
                <w:rFonts w:hint="eastAsia" w:ascii="宋体" w:hAnsi="宋体" w:eastAsia="宋体" w:cs="宋体"/>
                <w:color w:val="auto"/>
                <w:szCs w:val="21"/>
                <w:highlight w:val="none"/>
              </w:rPr>
            </w:pPr>
          </w:p>
        </w:tc>
      </w:tr>
      <w:tr w14:paraId="318C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1FBB1B56">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52ECE4D4">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6D60C018">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360D8C1">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C354BBE">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E399674">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79B9FBFA">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A57B80C">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9EC334">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8EB84A5">
            <w:pPr>
              <w:rPr>
                <w:rFonts w:hint="eastAsia" w:ascii="宋体" w:hAnsi="宋体" w:eastAsia="宋体" w:cs="宋体"/>
                <w:color w:val="auto"/>
                <w:szCs w:val="21"/>
                <w:highlight w:val="none"/>
              </w:rPr>
            </w:pPr>
          </w:p>
        </w:tc>
      </w:tr>
      <w:tr w14:paraId="47A1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50856F06">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78BDFB95">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2366A97E">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DF1AE31">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E29036D">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D23ABD2">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129A132D">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2A3D970C">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6AFE3C6">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9AB634C">
            <w:pPr>
              <w:rPr>
                <w:rFonts w:hint="eastAsia" w:ascii="宋体" w:hAnsi="宋体" w:eastAsia="宋体" w:cs="宋体"/>
                <w:color w:val="auto"/>
                <w:szCs w:val="21"/>
                <w:highlight w:val="none"/>
              </w:rPr>
            </w:pPr>
          </w:p>
        </w:tc>
      </w:tr>
      <w:tr w14:paraId="1CEB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38191C14">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0B1EDC1B">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45C1ACCC">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F4406D2">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CB31FDA">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23F5B5A">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3EFD6B41">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04A2A9A">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D3B1C39">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F0D388">
            <w:pPr>
              <w:rPr>
                <w:rFonts w:hint="eastAsia" w:ascii="宋体" w:hAnsi="宋体" w:eastAsia="宋体" w:cs="宋体"/>
                <w:color w:val="auto"/>
                <w:szCs w:val="21"/>
                <w:highlight w:val="none"/>
              </w:rPr>
            </w:pPr>
          </w:p>
        </w:tc>
      </w:tr>
      <w:tr w14:paraId="365D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42EF2E73">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5B37C1D1">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0EAC8B75">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289E088">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5EA173D">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899579C">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70AC47F5">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AE961C7">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F7C51D5">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A9DE96E">
            <w:pPr>
              <w:rPr>
                <w:rFonts w:hint="eastAsia" w:ascii="宋体" w:hAnsi="宋体" w:eastAsia="宋体" w:cs="宋体"/>
                <w:color w:val="auto"/>
                <w:szCs w:val="21"/>
                <w:highlight w:val="none"/>
              </w:rPr>
            </w:pPr>
          </w:p>
        </w:tc>
      </w:tr>
      <w:tr w14:paraId="32B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34D068D0">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02EB541C">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573DFECD">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F3D5C54">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6B04E15">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D5D0859">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084D1CC9">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C5241E6">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0E327E5">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A0B73A5">
            <w:pPr>
              <w:rPr>
                <w:rFonts w:hint="eastAsia" w:ascii="宋体" w:hAnsi="宋体" w:eastAsia="宋体" w:cs="宋体"/>
                <w:color w:val="auto"/>
                <w:szCs w:val="21"/>
                <w:highlight w:val="none"/>
              </w:rPr>
            </w:pPr>
          </w:p>
        </w:tc>
      </w:tr>
      <w:tr w14:paraId="7B4D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top"/>
          </w:tcPr>
          <w:p w14:paraId="111BDBBE">
            <w:pPr>
              <w:rPr>
                <w:rFonts w:hint="eastAsia" w:ascii="宋体" w:hAnsi="宋体" w:eastAsia="宋体" w:cs="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08095E39">
            <w:pP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0C5E5CA6">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35BCBC4">
            <w:pPr>
              <w:rPr>
                <w:rFonts w:hint="eastAsia" w:ascii="宋体" w:hAnsi="宋体" w:eastAsia="宋体" w:cs="宋体"/>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8EBEEFE">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0744A76">
            <w:pPr>
              <w:rPr>
                <w:rFonts w:hint="eastAsia" w:ascii="宋体" w:hAnsi="宋体" w:eastAsia="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top"/>
          </w:tcPr>
          <w:p w14:paraId="0317B8B2">
            <w:pP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245916E">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521888C">
            <w:pP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B2E0A17">
            <w:pPr>
              <w:rPr>
                <w:rFonts w:hint="eastAsia" w:ascii="宋体" w:hAnsi="宋体" w:eastAsia="宋体" w:cs="宋体"/>
                <w:color w:val="auto"/>
                <w:szCs w:val="21"/>
                <w:highlight w:val="none"/>
              </w:rPr>
            </w:pPr>
          </w:p>
        </w:tc>
      </w:tr>
    </w:tbl>
    <w:p w14:paraId="6015EFE6">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后附相关</w:t>
      </w:r>
      <w:r>
        <w:rPr>
          <w:rFonts w:hint="eastAsia" w:ascii="宋体" w:hAnsi="宋体" w:eastAsia="宋体" w:cs="宋体"/>
          <w:color w:val="auto"/>
          <w:highlight w:val="none"/>
        </w:rPr>
        <w:t>设备</w:t>
      </w:r>
      <w:r>
        <w:rPr>
          <w:rFonts w:hint="eastAsia" w:ascii="宋体" w:hAnsi="宋体" w:eastAsia="宋体" w:cs="宋体"/>
          <w:color w:val="auto"/>
          <w:highlight w:val="none"/>
          <w:lang w:val="en-US" w:eastAsia="zh-CN"/>
        </w:rPr>
        <w:t>图片</w:t>
      </w:r>
    </w:p>
    <w:p w14:paraId="72F468C1">
      <w:pPr>
        <w:widowControl/>
        <w:jc w:val="left"/>
        <w:rPr>
          <w:rFonts w:hint="eastAsia" w:ascii="宋体" w:hAnsi="宋体" w:eastAsia="宋体" w:cs="宋体"/>
          <w:color w:val="auto"/>
          <w:szCs w:val="21"/>
          <w:highlight w:val="none"/>
        </w:rPr>
      </w:pPr>
    </w:p>
    <w:p w14:paraId="2AA627A6">
      <w:pPr>
        <w:widowControl/>
        <w:jc w:val="left"/>
        <w:rPr>
          <w:rFonts w:hint="eastAsia" w:ascii="宋体" w:hAnsi="宋体" w:eastAsia="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763CFCC5">
      <w:pPr>
        <w:pStyle w:val="5"/>
        <w:spacing w:line="240" w:lineRule="auto"/>
        <w:rPr>
          <w:rFonts w:hint="eastAsia" w:ascii="宋体" w:hAnsi="宋体" w:eastAsia="宋体" w:cs="宋体"/>
          <w:color w:val="auto"/>
          <w:szCs w:val="21"/>
          <w:highlight w:val="none"/>
        </w:rPr>
      </w:pPr>
      <w:r>
        <w:rPr>
          <w:rFonts w:hint="eastAsia" w:ascii="宋体" w:hAnsi="宋体" w:eastAsia="宋体" w:cs="宋体"/>
          <w:color w:val="auto"/>
          <w:highlight w:val="none"/>
        </w:rPr>
        <w:t>附表二：拟配备本</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办公</w:t>
      </w:r>
      <w:r>
        <w:rPr>
          <w:rFonts w:hint="eastAsia" w:ascii="宋体" w:hAnsi="宋体" w:eastAsia="宋体" w:cs="宋体"/>
          <w:color w:val="auto"/>
          <w:highlight w:val="none"/>
        </w:rPr>
        <w:t>和检测仪器设备表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90"/>
        <w:gridCol w:w="994"/>
        <w:gridCol w:w="599"/>
        <w:gridCol w:w="994"/>
        <w:gridCol w:w="994"/>
        <w:gridCol w:w="1560"/>
        <w:gridCol w:w="938"/>
        <w:gridCol w:w="768"/>
      </w:tblGrid>
      <w:tr w14:paraId="1783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01D3EB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90" w:type="dxa"/>
            <w:tcBorders>
              <w:top w:val="outset" w:color="auto" w:sz="6" w:space="0"/>
              <w:left w:val="outset" w:color="auto" w:sz="6" w:space="0"/>
              <w:bottom w:val="outset" w:color="auto" w:sz="6" w:space="0"/>
              <w:right w:val="outset" w:color="auto" w:sz="6" w:space="0"/>
            </w:tcBorders>
            <w:noWrap w:val="0"/>
            <w:vAlign w:val="center"/>
          </w:tcPr>
          <w:p w14:paraId="19D198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仪器设备名称</w:t>
            </w:r>
          </w:p>
        </w:tc>
        <w:tc>
          <w:tcPr>
            <w:tcW w:w="994" w:type="dxa"/>
            <w:tcBorders>
              <w:top w:val="outset" w:color="auto" w:sz="6" w:space="0"/>
              <w:left w:val="outset" w:color="auto" w:sz="6" w:space="0"/>
              <w:bottom w:val="outset" w:color="auto" w:sz="6" w:space="0"/>
              <w:right w:val="outset" w:color="auto" w:sz="6" w:space="0"/>
            </w:tcBorders>
            <w:noWrap w:val="0"/>
            <w:vAlign w:val="center"/>
          </w:tcPr>
          <w:p w14:paraId="392F65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w:t>
            </w:r>
          </w:p>
        </w:tc>
        <w:tc>
          <w:tcPr>
            <w:tcW w:w="599" w:type="dxa"/>
            <w:tcBorders>
              <w:top w:val="outset" w:color="auto" w:sz="6" w:space="0"/>
              <w:left w:val="outset" w:color="auto" w:sz="6" w:space="0"/>
              <w:bottom w:val="outset" w:color="auto" w:sz="6" w:space="0"/>
              <w:right w:val="outset" w:color="auto" w:sz="6" w:space="0"/>
            </w:tcBorders>
            <w:noWrap w:val="0"/>
            <w:vAlign w:val="center"/>
          </w:tcPr>
          <w:p w14:paraId="6CA2B7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94" w:type="dxa"/>
            <w:tcBorders>
              <w:top w:val="outset" w:color="auto" w:sz="6" w:space="0"/>
              <w:left w:val="outset" w:color="auto" w:sz="6" w:space="0"/>
              <w:bottom w:val="outset" w:color="auto" w:sz="6" w:space="0"/>
              <w:right w:val="outset" w:color="auto" w:sz="6" w:space="0"/>
            </w:tcBorders>
            <w:noWrap w:val="0"/>
            <w:vAlign w:val="center"/>
          </w:tcPr>
          <w:p w14:paraId="35AD32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国别产地</w:t>
            </w:r>
          </w:p>
        </w:tc>
        <w:tc>
          <w:tcPr>
            <w:tcW w:w="994" w:type="dxa"/>
            <w:tcBorders>
              <w:top w:val="outset" w:color="auto" w:sz="6" w:space="0"/>
              <w:left w:val="outset" w:color="auto" w:sz="6" w:space="0"/>
              <w:bottom w:val="outset" w:color="auto" w:sz="6" w:space="0"/>
              <w:right w:val="outset" w:color="auto" w:sz="6" w:space="0"/>
            </w:tcBorders>
            <w:noWrap w:val="0"/>
            <w:vAlign w:val="center"/>
          </w:tcPr>
          <w:p w14:paraId="0C60F1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7FC8D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己使用台时数</w:t>
            </w:r>
          </w:p>
        </w:tc>
        <w:tc>
          <w:tcPr>
            <w:tcW w:w="938" w:type="dxa"/>
            <w:tcBorders>
              <w:top w:val="outset" w:color="auto" w:sz="6" w:space="0"/>
              <w:left w:val="outset" w:color="auto" w:sz="6" w:space="0"/>
              <w:bottom w:val="outset" w:color="auto" w:sz="6" w:space="0"/>
              <w:right w:val="outset" w:color="auto" w:sz="6" w:space="0"/>
            </w:tcBorders>
            <w:noWrap w:val="0"/>
            <w:vAlign w:val="center"/>
          </w:tcPr>
          <w:p w14:paraId="68AEF8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c>
          <w:tcPr>
            <w:tcW w:w="768" w:type="dxa"/>
            <w:tcBorders>
              <w:top w:val="outset" w:color="auto" w:sz="6" w:space="0"/>
              <w:left w:val="outset" w:color="auto" w:sz="6" w:space="0"/>
              <w:bottom w:val="outset" w:color="auto" w:sz="6" w:space="0"/>
              <w:right w:val="outset" w:color="auto" w:sz="6" w:space="0"/>
            </w:tcBorders>
            <w:noWrap w:val="0"/>
            <w:vAlign w:val="center"/>
          </w:tcPr>
          <w:p w14:paraId="618DFA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3B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2DDB0160">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34C08334">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538F835">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6C9257F4">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8246593">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351E273D">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3561863">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51FA6F37">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373541C3">
            <w:pPr>
              <w:ind w:firstLine="420" w:firstLineChars="200"/>
              <w:rPr>
                <w:rFonts w:hint="eastAsia" w:ascii="宋体" w:hAnsi="宋体" w:eastAsia="宋体" w:cs="宋体"/>
                <w:color w:val="auto"/>
                <w:szCs w:val="21"/>
                <w:highlight w:val="none"/>
              </w:rPr>
            </w:pPr>
          </w:p>
        </w:tc>
      </w:tr>
      <w:tr w14:paraId="3098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6ABF576B">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39B71EC7">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6192B80">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268108C2">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D071A1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B4DFDB9">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0661F2F">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743A30B2">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049758F4">
            <w:pPr>
              <w:ind w:firstLine="420" w:firstLineChars="200"/>
              <w:rPr>
                <w:rFonts w:hint="eastAsia" w:ascii="宋体" w:hAnsi="宋体" w:eastAsia="宋体" w:cs="宋体"/>
                <w:color w:val="auto"/>
                <w:szCs w:val="21"/>
                <w:highlight w:val="none"/>
              </w:rPr>
            </w:pPr>
          </w:p>
        </w:tc>
      </w:tr>
      <w:tr w14:paraId="599C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4D703CCD">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6F67A50F">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4D7B00C">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0DCACE92">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1CFB7EE">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92702FF">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663EBDD">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39579361">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5BEE4FF0">
            <w:pPr>
              <w:ind w:firstLine="420" w:firstLineChars="200"/>
              <w:rPr>
                <w:rFonts w:hint="eastAsia" w:ascii="宋体" w:hAnsi="宋体" w:eastAsia="宋体" w:cs="宋体"/>
                <w:color w:val="auto"/>
                <w:szCs w:val="21"/>
                <w:highlight w:val="none"/>
              </w:rPr>
            </w:pPr>
          </w:p>
        </w:tc>
      </w:tr>
      <w:tr w14:paraId="334A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5F4A1C13">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0968F8FB">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C086D85">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21FDA5DB">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52758556">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DF172CD">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74F79A9">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0D6A8087">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4AE10576">
            <w:pPr>
              <w:ind w:firstLine="420" w:firstLineChars="200"/>
              <w:rPr>
                <w:rFonts w:hint="eastAsia" w:ascii="宋体" w:hAnsi="宋体" w:eastAsia="宋体" w:cs="宋体"/>
                <w:color w:val="auto"/>
                <w:szCs w:val="21"/>
                <w:highlight w:val="none"/>
              </w:rPr>
            </w:pPr>
          </w:p>
        </w:tc>
      </w:tr>
      <w:tr w14:paraId="24F5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524CD8C9">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1524F5EF">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3CD2F774">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4440AAE0">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5A2B9BE">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3CF41D62">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8FD1626">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5573171D">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23C3FB68">
            <w:pPr>
              <w:ind w:firstLine="420" w:firstLineChars="200"/>
              <w:rPr>
                <w:rFonts w:hint="eastAsia" w:ascii="宋体" w:hAnsi="宋体" w:eastAsia="宋体" w:cs="宋体"/>
                <w:color w:val="auto"/>
                <w:szCs w:val="21"/>
                <w:highlight w:val="none"/>
              </w:rPr>
            </w:pPr>
          </w:p>
        </w:tc>
      </w:tr>
      <w:tr w14:paraId="183B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1EDFD0EF">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7BC8C43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2BB44AF">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5C7B622E">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09F8366">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EF7DAF2">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C86643E">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0D969B00">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35B23F5A">
            <w:pPr>
              <w:ind w:firstLine="420" w:firstLineChars="200"/>
              <w:rPr>
                <w:rFonts w:hint="eastAsia" w:ascii="宋体" w:hAnsi="宋体" w:eastAsia="宋体" w:cs="宋体"/>
                <w:color w:val="auto"/>
                <w:szCs w:val="21"/>
                <w:highlight w:val="none"/>
              </w:rPr>
            </w:pPr>
          </w:p>
        </w:tc>
      </w:tr>
      <w:tr w14:paraId="0E1D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37468EF1">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36EF864B">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4F3FA14">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1BB4AA8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5776BD3">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E3032FF">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8E7D5DE">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36CBA8BB">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7F0E0AF1">
            <w:pPr>
              <w:ind w:firstLine="420" w:firstLineChars="200"/>
              <w:rPr>
                <w:rFonts w:hint="eastAsia" w:ascii="宋体" w:hAnsi="宋体" w:eastAsia="宋体" w:cs="宋体"/>
                <w:color w:val="auto"/>
                <w:szCs w:val="21"/>
                <w:highlight w:val="none"/>
              </w:rPr>
            </w:pPr>
          </w:p>
        </w:tc>
      </w:tr>
      <w:tr w14:paraId="3B66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6CB542D0">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4EB3E742">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59F9C2F">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6EA75258">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93B8374">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DF88296">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6C04B12">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7F508E7C">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13D58FE3">
            <w:pPr>
              <w:ind w:firstLine="420" w:firstLineChars="200"/>
              <w:rPr>
                <w:rFonts w:hint="eastAsia" w:ascii="宋体" w:hAnsi="宋体" w:eastAsia="宋体" w:cs="宋体"/>
                <w:color w:val="auto"/>
                <w:szCs w:val="21"/>
                <w:highlight w:val="none"/>
              </w:rPr>
            </w:pPr>
          </w:p>
        </w:tc>
      </w:tr>
      <w:tr w14:paraId="4706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33FBC105">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55C7DEB1">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60B802F">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3BBC82D6">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8296D68">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A2EB521">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390035B">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3E43E0A5">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5EA9E2B0">
            <w:pPr>
              <w:ind w:firstLine="420" w:firstLineChars="200"/>
              <w:rPr>
                <w:rFonts w:hint="eastAsia" w:ascii="宋体" w:hAnsi="宋体" w:eastAsia="宋体" w:cs="宋体"/>
                <w:color w:val="auto"/>
                <w:szCs w:val="21"/>
                <w:highlight w:val="none"/>
              </w:rPr>
            </w:pPr>
          </w:p>
        </w:tc>
      </w:tr>
      <w:tr w14:paraId="794F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7D78E05A">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2224FE20">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FFEF210">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66670358">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603E39C">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9A72933">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0F9A1F6">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1460575A">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6EB5519E">
            <w:pPr>
              <w:ind w:firstLine="420" w:firstLineChars="200"/>
              <w:rPr>
                <w:rFonts w:hint="eastAsia" w:ascii="宋体" w:hAnsi="宋体" w:eastAsia="宋体" w:cs="宋体"/>
                <w:color w:val="auto"/>
                <w:szCs w:val="21"/>
                <w:highlight w:val="none"/>
              </w:rPr>
            </w:pPr>
          </w:p>
        </w:tc>
      </w:tr>
      <w:tr w14:paraId="580E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16695056">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550798CA">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3D0EE028">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06B3D1E2">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BD5DFE3">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267C350">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F94B545">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7974FDA3">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7951B56F">
            <w:pPr>
              <w:ind w:firstLine="420" w:firstLineChars="200"/>
              <w:rPr>
                <w:rFonts w:hint="eastAsia" w:ascii="宋体" w:hAnsi="宋体" w:eastAsia="宋体" w:cs="宋体"/>
                <w:color w:val="auto"/>
                <w:szCs w:val="21"/>
                <w:highlight w:val="none"/>
              </w:rPr>
            </w:pPr>
          </w:p>
        </w:tc>
      </w:tr>
      <w:tr w14:paraId="14EA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6DC29878">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173EBA4C">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B5A5AC7">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1400764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0668625">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D3FFBFB">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6CBB0BB">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33EB808F">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6BBCF27C">
            <w:pPr>
              <w:ind w:firstLine="420" w:firstLineChars="200"/>
              <w:rPr>
                <w:rFonts w:hint="eastAsia" w:ascii="宋体" w:hAnsi="宋体" w:eastAsia="宋体" w:cs="宋体"/>
                <w:color w:val="auto"/>
                <w:szCs w:val="21"/>
                <w:highlight w:val="none"/>
              </w:rPr>
            </w:pPr>
          </w:p>
        </w:tc>
      </w:tr>
      <w:tr w14:paraId="41CD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30D779C2">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5E52AF93">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ABCE7D9">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6D688A48">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4CDFCC0">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B3A6A56">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7333A63">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34CCEE1B">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7C9E9CF9">
            <w:pPr>
              <w:ind w:firstLine="420" w:firstLineChars="200"/>
              <w:rPr>
                <w:rFonts w:hint="eastAsia" w:ascii="宋体" w:hAnsi="宋体" w:eastAsia="宋体" w:cs="宋体"/>
                <w:color w:val="auto"/>
                <w:szCs w:val="21"/>
                <w:highlight w:val="none"/>
              </w:rPr>
            </w:pPr>
          </w:p>
        </w:tc>
      </w:tr>
      <w:tr w14:paraId="158D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1410C00F">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0F0CF4A2">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5F3BE4F">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2D154EDC">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4B25256">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44D119F">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D640B82">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01DD8F47">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6DB1EB88">
            <w:pPr>
              <w:ind w:firstLine="420" w:firstLineChars="200"/>
              <w:rPr>
                <w:rFonts w:hint="eastAsia" w:ascii="宋体" w:hAnsi="宋体" w:eastAsia="宋体" w:cs="宋体"/>
                <w:color w:val="auto"/>
                <w:szCs w:val="21"/>
                <w:highlight w:val="none"/>
              </w:rPr>
            </w:pPr>
          </w:p>
        </w:tc>
      </w:tr>
      <w:tr w14:paraId="7CFA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2FF2A164">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2CE143AB">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FF11749">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68819AFF">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3B2B0CC">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B40FE48">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7C37AD6">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6BC61725">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4DB666E3">
            <w:pPr>
              <w:ind w:firstLine="420" w:firstLineChars="200"/>
              <w:rPr>
                <w:rFonts w:hint="eastAsia" w:ascii="宋体" w:hAnsi="宋体" w:eastAsia="宋体" w:cs="宋体"/>
                <w:color w:val="auto"/>
                <w:szCs w:val="21"/>
                <w:highlight w:val="none"/>
              </w:rPr>
            </w:pPr>
          </w:p>
        </w:tc>
      </w:tr>
      <w:tr w14:paraId="298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2EB12EB5">
            <w:pPr>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6D5B74D4">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FEED6B2">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0694B738">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563DD76F">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5E4DCBE">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734E36BC">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11970459">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5305085B">
            <w:pPr>
              <w:ind w:firstLine="420" w:firstLineChars="200"/>
              <w:rPr>
                <w:rFonts w:hint="eastAsia" w:ascii="宋体" w:hAnsi="宋体" w:eastAsia="宋体" w:cs="宋体"/>
                <w:color w:val="auto"/>
                <w:szCs w:val="21"/>
                <w:highlight w:val="none"/>
              </w:rPr>
            </w:pPr>
          </w:p>
        </w:tc>
      </w:tr>
      <w:tr w14:paraId="2C9C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26B87956">
            <w:pPr>
              <w:ind w:firstLine="420" w:firstLineChars="200"/>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20D26F69">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C80E9F2">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73A99BB6">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3E8DCE5">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DFC609B">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E9576CD">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3544BB53">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4CA01C62">
            <w:pPr>
              <w:ind w:firstLine="420" w:firstLineChars="200"/>
              <w:rPr>
                <w:rFonts w:hint="eastAsia" w:ascii="宋体" w:hAnsi="宋体" w:eastAsia="宋体" w:cs="宋体"/>
                <w:color w:val="auto"/>
                <w:szCs w:val="21"/>
                <w:highlight w:val="none"/>
              </w:rPr>
            </w:pPr>
          </w:p>
        </w:tc>
      </w:tr>
      <w:tr w14:paraId="085B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3017364B">
            <w:pPr>
              <w:ind w:firstLine="420" w:firstLineChars="200"/>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5ABF85B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5623776">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7128FE75">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3579B9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9E6C793">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D599C31">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1BEAC3FB">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7387DD12">
            <w:pPr>
              <w:ind w:firstLine="420" w:firstLineChars="200"/>
              <w:rPr>
                <w:rFonts w:hint="eastAsia" w:ascii="宋体" w:hAnsi="宋体" w:eastAsia="宋体" w:cs="宋体"/>
                <w:color w:val="auto"/>
                <w:szCs w:val="21"/>
                <w:highlight w:val="none"/>
              </w:rPr>
            </w:pPr>
          </w:p>
        </w:tc>
      </w:tr>
      <w:tr w14:paraId="6375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4440FBC4">
            <w:pPr>
              <w:ind w:firstLine="420" w:firstLineChars="200"/>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74EA238A">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DDF96C4">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2C1CBA0F">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81A514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57C1301B">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7274413D">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09469A38">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6D6F9E49">
            <w:pPr>
              <w:ind w:firstLine="420" w:firstLineChars="200"/>
              <w:rPr>
                <w:rFonts w:hint="eastAsia" w:ascii="宋体" w:hAnsi="宋体" w:eastAsia="宋体" w:cs="宋体"/>
                <w:color w:val="auto"/>
                <w:szCs w:val="21"/>
                <w:highlight w:val="none"/>
              </w:rPr>
            </w:pPr>
          </w:p>
        </w:tc>
      </w:tr>
      <w:tr w14:paraId="0310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17D056F5">
            <w:pPr>
              <w:ind w:firstLine="420" w:firstLineChars="200"/>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6D398D4C">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C0555E6">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6A5018A7">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710365F3">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0A154963">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43E95D8">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6B5FCA91">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6071E6AE">
            <w:pPr>
              <w:ind w:firstLine="420" w:firstLineChars="200"/>
              <w:rPr>
                <w:rFonts w:hint="eastAsia" w:ascii="宋体" w:hAnsi="宋体" w:eastAsia="宋体" w:cs="宋体"/>
                <w:color w:val="auto"/>
                <w:szCs w:val="21"/>
                <w:highlight w:val="none"/>
              </w:rPr>
            </w:pPr>
          </w:p>
        </w:tc>
      </w:tr>
      <w:tr w14:paraId="36FF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024560F6">
            <w:pPr>
              <w:ind w:firstLine="420" w:firstLineChars="200"/>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386DCF36">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52E9434B">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741179CA">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105B3B9D">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59E9451F">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7CAA3C2">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4BCB388F">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75FB6A6D">
            <w:pPr>
              <w:ind w:firstLine="420" w:firstLineChars="200"/>
              <w:rPr>
                <w:rFonts w:hint="eastAsia" w:ascii="宋体" w:hAnsi="宋体" w:eastAsia="宋体" w:cs="宋体"/>
                <w:color w:val="auto"/>
                <w:szCs w:val="21"/>
                <w:highlight w:val="none"/>
              </w:rPr>
            </w:pPr>
          </w:p>
        </w:tc>
      </w:tr>
      <w:tr w14:paraId="2185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4A4CA7FD">
            <w:pPr>
              <w:ind w:firstLine="420" w:firstLineChars="200"/>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3CBD8668">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119590C">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09082135">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5913ABF9">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47825E85">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354E584">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58E5804E">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7A370D67">
            <w:pPr>
              <w:ind w:firstLine="420" w:firstLineChars="200"/>
              <w:rPr>
                <w:rFonts w:hint="eastAsia" w:ascii="宋体" w:hAnsi="宋体" w:eastAsia="宋体" w:cs="宋体"/>
                <w:color w:val="auto"/>
                <w:szCs w:val="21"/>
                <w:highlight w:val="none"/>
              </w:rPr>
            </w:pPr>
          </w:p>
        </w:tc>
      </w:tr>
      <w:tr w14:paraId="7160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9" w:type="dxa"/>
            <w:tcBorders>
              <w:top w:val="outset" w:color="auto" w:sz="6" w:space="0"/>
              <w:left w:val="outset" w:color="auto" w:sz="6" w:space="0"/>
              <w:bottom w:val="outset" w:color="auto" w:sz="6" w:space="0"/>
              <w:right w:val="outset" w:color="auto" w:sz="6" w:space="0"/>
            </w:tcBorders>
            <w:noWrap w:val="0"/>
            <w:vAlign w:val="center"/>
          </w:tcPr>
          <w:p w14:paraId="5930A6B2">
            <w:pPr>
              <w:ind w:firstLine="420" w:firstLineChars="200"/>
              <w:rPr>
                <w:rFonts w:hint="eastAsia" w:ascii="宋体" w:hAnsi="宋体" w:eastAsia="宋体" w:cs="宋体"/>
                <w:color w:val="auto"/>
                <w:szCs w:val="21"/>
                <w:highlight w:val="none"/>
              </w:rPr>
            </w:pPr>
          </w:p>
        </w:tc>
        <w:tc>
          <w:tcPr>
            <w:tcW w:w="1390" w:type="dxa"/>
            <w:tcBorders>
              <w:top w:val="outset" w:color="auto" w:sz="6" w:space="0"/>
              <w:left w:val="outset" w:color="auto" w:sz="6" w:space="0"/>
              <w:bottom w:val="outset" w:color="auto" w:sz="6" w:space="0"/>
              <w:right w:val="outset" w:color="auto" w:sz="6" w:space="0"/>
            </w:tcBorders>
            <w:noWrap w:val="0"/>
            <w:vAlign w:val="center"/>
          </w:tcPr>
          <w:p w14:paraId="7584C4B3">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52B63EB">
            <w:pPr>
              <w:ind w:firstLine="420" w:firstLineChars="200"/>
              <w:rPr>
                <w:rFonts w:hint="eastAsia" w:ascii="宋体" w:hAnsi="宋体" w:eastAsia="宋体" w:cs="宋体"/>
                <w:color w:val="auto"/>
                <w:szCs w:val="21"/>
                <w:highlight w:val="none"/>
              </w:rPr>
            </w:pPr>
          </w:p>
        </w:tc>
        <w:tc>
          <w:tcPr>
            <w:tcW w:w="599" w:type="dxa"/>
            <w:tcBorders>
              <w:top w:val="outset" w:color="auto" w:sz="6" w:space="0"/>
              <w:left w:val="outset" w:color="auto" w:sz="6" w:space="0"/>
              <w:bottom w:val="outset" w:color="auto" w:sz="6" w:space="0"/>
              <w:right w:val="outset" w:color="auto" w:sz="6" w:space="0"/>
            </w:tcBorders>
            <w:noWrap w:val="0"/>
            <w:vAlign w:val="center"/>
          </w:tcPr>
          <w:p w14:paraId="5EC84139">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21C976BC">
            <w:pPr>
              <w:ind w:firstLine="420" w:firstLineChars="200"/>
              <w:rPr>
                <w:rFonts w:hint="eastAsia" w:ascii="宋体" w:hAnsi="宋体" w:eastAsia="宋体" w:cs="宋体"/>
                <w:color w:val="auto"/>
                <w:szCs w:val="21"/>
                <w:highlight w:val="none"/>
              </w:rPr>
            </w:pPr>
          </w:p>
        </w:tc>
        <w:tc>
          <w:tcPr>
            <w:tcW w:w="994" w:type="dxa"/>
            <w:tcBorders>
              <w:top w:val="outset" w:color="auto" w:sz="6" w:space="0"/>
              <w:left w:val="outset" w:color="auto" w:sz="6" w:space="0"/>
              <w:bottom w:val="outset" w:color="auto" w:sz="6" w:space="0"/>
              <w:right w:val="outset" w:color="auto" w:sz="6" w:space="0"/>
            </w:tcBorders>
            <w:noWrap w:val="0"/>
            <w:vAlign w:val="center"/>
          </w:tcPr>
          <w:p w14:paraId="6AC91680">
            <w:pPr>
              <w:ind w:firstLine="420" w:firstLineChars="200"/>
              <w:rPr>
                <w:rFonts w:hint="eastAsia" w:ascii="宋体" w:hAnsi="宋体" w:eastAsia="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4883E3D">
            <w:pPr>
              <w:ind w:firstLine="420" w:firstLineChars="200"/>
              <w:rPr>
                <w:rFonts w:hint="eastAsia" w:ascii="宋体" w:hAnsi="宋体" w:eastAsia="宋体" w:cs="宋体"/>
                <w:color w:val="auto"/>
                <w:szCs w:val="21"/>
                <w:highlight w:val="none"/>
              </w:rPr>
            </w:pPr>
          </w:p>
        </w:tc>
        <w:tc>
          <w:tcPr>
            <w:tcW w:w="938" w:type="dxa"/>
            <w:tcBorders>
              <w:top w:val="outset" w:color="auto" w:sz="6" w:space="0"/>
              <w:left w:val="outset" w:color="auto" w:sz="6" w:space="0"/>
              <w:bottom w:val="outset" w:color="auto" w:sz="6" w:space="0"/>
              <w:right w:val="outset" w:color="auto" w:sz="6" w:space="0"/>
            </w:tcBorders>
            <w:noWrap w:val="0"/>
            <w:vAlign w:val="center"/>
          </w:tcPr>
          <w:p w14:paraId="4E5773A3">
            <w:pPr>
              <w:ind w:firstLine="420" w:firstLineChars="200"/>
              <w:rPr>
                <w:rFonts w:hint="eastAsia" w:ascii="宋体" w:hAnsi="宋体" w:eastAsia="宋体" w:cs="宋体"/>
                <w:color w:val="auto"/>
                <w:szCs w:val="21"/>
                <w:highlight w:val="none"/>
              </w:rPr>
            </w:pPr>
          </w:p>
        </w:tc>
        <w:tc>
          <w:tcPr>
            <w:tcW w:w="768" w:type="dxa"/>
            <w:tcBorders>
              <w:top w:val="outset" w:color="auto" w:sz="6" w:space="0"/>
              <w:left w:val="outset" w:color="auto" w:sz="6" w:space="0"/>
              <w:bottom w:val="outset" w:color="auto" w:sz="6" w:space="0"/>
              <w:right w:val="outset" w:color="auto" w:sz="6" w:space="0"/>
            </w:tcBorders>
            <w:noWrap w:val="0"/>
            <w:vAlign w:val="center"/>
          </w:tcPr>
          <w:p w14:paraId="28C860FA">
            <w:pPr>
              <w:ind w:firstLine="420" w:firstLineChars="200"/>
              <w:rPr>
                <w:rFonts w:hint="eastAsia" w:ascii="宋体" w:hAnsi="宋体" w:eastAsia="宋体" w:cs="宋体"/>
                <w:color w:val="auto"/>
                <w:szCs w:val="21"/>
                <w:highlight w:val="none"/>
              </w:rPr>
            </w:pPr>
          </w:p>
        </w:tc>
      </w:tr>
    </w:tbl>
    <w:p w14:paraId="4BAC6C18">
      <w:pPr>
        <w:rPr>
          <w:rFonts w:hint="eastAsia"/>
          <w:lang w:val="en-US" w:eastAsia="zh-CN"/>
        </w:rPr>
        <w:sectPr>
          <w:pgSz w:w="11906" w:h="16838"/>
          <w:pgMar w:top="1276" w:right="991" w:bottom="1247" w:left="964" w:header="1134" w:footer="851" w:gutter="170"/>
          <w:pgNumType w:fmt="decimal"/>
          <w:cols w:space="720" w:num="1"/>
          <w:titlePg/>
          <w:docGrid w:type="linesAndChars" w:linePitch="328" w:charSpace="0"/>
        </w:sectPr>
      </w:pPr>
      <w:r>
        <w:rPr>
          <w:rFonts w:hint="eastAsia" w:ascii="宋体" w:hAnsi="宋体" w:eastAsia="宋体" w:cs="宋体"/>
          <w:color w:val="auto"/>
          <w:szCs w:val="21"/>
          <w:highlight w:val="none"/>
          <w:lang w:val="en-US" w:eastAsia="zh-CN"/>
        </w:rPr>
        <w:t>后附相关</w:t>
      </w:r>
      <w:r>
        <w:rPr>
          <w:rFonts w:hint="eastAsia" w:ascii="宋体" w:hAnsi="宋体" w:eastAsia="宋体" w:cs="宋体"/>
          <w:color w:val="auto"/>
          <w:highlight w:val="none"/>
        </w:rPr>
        <w:t>设备</w:t>
      </w:r>
      <w:r>
        <w:rPr>
          <w:rFonts w:hint="eastAsia" w:ascii="宋体" w:hAnsi="宋体" w:eastAsia="宋体" w:cs="宋体"/>
          <w:color w:val="auto"/>
          <w:highlight w:val="none"/>
          <w:lang w:val="en-US" w:eastAsia="zh-CN"/>
        </w:rPr>
        <w:t>图片</w:t>
      </w:r>
    </w:p>
    <w:p w14:paraId="2D441315">
      <w:pPr>
        <w:pStyle w:val="3"/>
        <w:jc w:val="center"/>
        <w:rPr>
          <w:rFonts w:ascii="宋体" w:hAnsi="宋体" w:eastAsia="宋体" w:cs="宋体"/>
          <w:sz w:val="30"/>
          <w:szCs w:val="30"/>
          <w:highlight w:val="none"/>
        </w:rPr>
      </w:pPr>
      <w:bookmarkStart w:id="1543" w:name="_Toc18182"/>
      <w:r>
        <w:rPr>
          <w:rFonts w:hint="eastAsia" w:ascii="宋体" w:hAnsi="宋体" w:eastAsia="宋体" w:cs="宋体"/>
          <w:highlight w:val="none"/>
          <w:lang w:val="en-US" w:eastAsia="zh-CN"/>
        </w:rPr>
        <w:t>八</w:t>
      </w:r>
      <w:r>
        <w:rPr>
          <w:rFonts w:hint="eastAsia" w:ascii="宋体" w:hAnsi="宋体" w:eastAsia="宋体" w:cs="宋体"/>
          <w:highlight w:val="none"/>
        </w:rPr>
        <w:t>、资格证明文件及相关资料</w:t>
      </w:r>
      <w:bookmarkEnd w:id="1543"/>
      <w:r>
        <w:rPr>
          <w:rFonts w:hint="eastAsia" w:ascii="宋体" w:hAnsi="宋体" w:eastAsia="宋体" w:cs="宋体"/>
          <w:sz w:val="30"/>
          <w:szCs w:val="30"/>
          <w:highlight w:val="none"/>
        </w:rPr>
        <w:t xml:space="preserve"> </w:t>
      </w:r>
    </w:p>
    <w:p w14:paraId="75D2D360">
      <w:pPr>
        <w:numPr>
          <w:ilvl w:val="0"/>
          <w:numId w:val="6"/>
        </w:numPr>
        <w:ind w:left="425" w:leftChars="0" w:hanging="425" w:firstLineChars="0"/>
        <w:rPr>
          <w:rFonts w:hint="eastAsia"/>
          <w:highlight w:val="none"/>
          <w:lang w:val="en-US" w:eastAsia="zh-CN"/>
        </w:rPr>
      </w:pPr>
      <w:r>
        <w:rPr>
          <w:rFonts w:hint="eastAsia"/>
          <w:highlight w:val="none"/>
          <w:lang w:val="en-US" w:eastAsia="zh-CN"/>
        </w:rPr>
        <w:t>法定代表人身份证明（详见附件一）</w:t>
      </w:r>
    </w:p>
    <w:p w14:paraId="56932179">
      <w:pPr>
        <w:numPr>
          <w:ilvl w:val="0"/>
          <w:numId w:val="6"/>
        </w:numPr>
        <w:ind w:left="425" w:leftChars="0" w:hanging="425" w:firstLineChars="0"/>
        <w:rPr>
          <w:rFonts w:hint="eastAsia"/>
          <w:highlight w:val="none"/>
          <w:lang w:val="en-US" w:eastAsia="zh-CN"/>
        </w:rPr>
      </w:pPr>
      <w:r>
        <w:rPr>
          <w:rFonts w:hint="eastAsia"/>
          <w:highlight w:val="none"/>
          <w:lang w:val="en-US" w:eastAsia="zh-CN"/>
        </w:rPr>
        <w:t>法定代表人授权委托书（详见附件二）</w:t>
      </w:r>
    </w:p>
    <w:p w14:paraId="4EE9495B">
      <w:pPr>
        <w:numPr>
          <w:ilvl w:val="0"/>
          <w:numId w:val="6"/>
        </w:numPr>
        <w:ind w:left="425" w:leftChars="0" w:hanging="425" w:firstLineChars="0"/>
        <w:rPr>
          <w:rFonts w:hint="eastAsia"/>
          <w:highlight w:val="none"/>
          <w:lang w:val="en-US" w:eastAsia="zh-CN"/>
        </w:rPr>
      </w:pPr>
      <w:r>
        <w:rPr>
          <w:rFonts w:hint="eastAsia"/>
          <w:highlight w:val="none"/>
          <w:lang w:val="en-US" w:eastAsia="zh-CN"/>
        </w:rPr>
        <w:t>供应商情况表（详见附件三）</w:t>
      </w:r>
    </w:p>
    <w:p w14:paraId="561AEEE3">
      <w:pPr>
        <w:numPr>
          <w:ilvl w:val="0"/>
          <w:numId w:val="6"/>
        </w:numPr>
        <w:ind w:left="425" w:leftChars="0" w:hanging="425" w:firstLineChars="0"/>
        <w:rPr>
          <w:rFonts w:hint="eastAsia"/>
          <w:highlight w:val="none"/>
          <w:lang w:val="en-US" w:eastAsia="zh-CN"/>
        </w:rPr>
      </w:pPr>
      <w:r>
        <w:rPr>
          <w:rFonts w:hint="eastAsia"/>
          <w:highlight w:val="none"/>
          <w:lang w:val="en-US" w:eastAsia="zh-CN"/>
        </w:rPr>
        <w:t>项目组织机构人员构成（详见附件四）</w:t>
      </w:r>
    </w:p>
    <w:p w14:paraId="59F6BA8C">
      <w:pPr>
        <w:numPr>
          <w:ilvl w:val="0"/>
          <w:numId w:val="6"/>
        </w:numPr>
        <w:ind w:left="425" w:leftChars="0" w:hanging="425" w:firstLineChars="0"/>
        <w:rPr>
          <w:rFonts w:hint="eastAsia"/>
          <w:highlight w:val="none"/>
          <w:lang w:val="en-US" w:eastAsia="zh-CN"/>
        </w:rPr>
      </w:pPr>
      <w:r>
        <w:rPr>
          <w:rFonts w:hint="eastAsia"/>
          <w:highlight w:val="none"/>
          <w:lang w:val="en-US" w:eastAsia="zh-CN"/>
        </w:rPr>
        <w:t>中小企业声明函（详见附件五）</w:t>
      </w:r>
    </w:p>
    <w:p w14:paraId="17F1A5E0">
      <w:pPr>
        <w:numPr>
          <w:ilvl w:val="0"/>
          <w:numId w:val="6"/>
        </w:numPr>
        <w:ind w:left="425" w:leftChars="0" w:hanging="425" w:firstLineChars="0"/>
        <w:rPr>
          <w:rFonts w:hint="eastAsia"/>
          <w:highlight w:val="none"/>
          <w:lang w:val="en-US" w:eastAsia="zh-CN"/>
        </w:rPr>
      </w:pPr>
      <w:r>
        <w:rPr>
          <w:rFonts w:hint="eastAsia"/>
          <w:highlight w:val="none"/>
          <w:lang w:val="en-US" w:eastAsia="zh-CN"/>
        </w:rPr>
        <w:t>营业执照</w:t>
      </w:r>
    </w:p>
    <w:p w14:paraId="5ED217D6">
      <w:pPr>
        <w:numPr>
          <w:ilvl w:val="0"/>
          <w:numId w:val="6"/>
        </w:numPr>
        <w:ind w:left="425" w:leftChars="0" w:hanging="425" w:firstLineChars="0"/>
        <w:rPr>
          <w:rFonts w:hint="eastAsia"/>
          <w:highlight w:val="none"/>
          <w:lang w:val="en-US" w:eastAsia="zh-CN"/>
        </w:rPr>
      </w:pPr>
      <w:r>
        <w:rPr>
          <w:rFonts w:hint="eastAsia"/>
          <w:highlight w:val="none"/>
          <w:lang w:val="en-US" w:eastAsia="zh-CN"/>
        </w:rPr>
        <w:t>资质证书及安全生产许可证</w:t>
      </w:r>
    </w:p>
    <w:p w14:paraId="15463BC1">
      <w:pPr>
        <w:numPr>
          <w:ilvl w:val="0"/>
          <w:numId w:val="6"/>
        </w:numPr>
        <w:ind w:left="425" w:leftChars="0" w:hanging="425" w:firstLineChars="0"/>
        <w:rPr>
          <w:rFonts w:hint="eastAsia"/>
          <w:highlight w:val="none"/>
          <w:lang w:val="en-US" w:eastAsia="zh-CN"/>
        </w:rPr>
      </w:pPr>
      <w:r>
        <w:rPr>
          <w:rFonts w:hint="eastAsia"/>
          <w:highlight w:val="none"/>
          <w:lang w:val="en-US" w:eastAsia="zh-CN"/>
        </w:rPr>
        <w:t>财务状况</w:t>
      </w:r>
    </w:p>
    <w:p w14:paraId="00644531">
      <w:pPr>
        <w:numPr>
          <w:ilvl w:val="0"/>
          <w:numId w:val="6"/>
        </w:numPr>
        <w:ind w:left="425" w:leftChars="0" w:hanging="425" w:firstLineChars="0"/>
        <w:rPr>
          <w:rFonts w:hint="eastAsia"/>
          <w:highlight w:val="none"/>
          <w:lang w:val="en-US" w:eastAsia="zh-CN"/>
        </w:rPr>
      </w:pPr>
      <w:r>
        <w:rPr>
          <w:rFonts w:hint="eastAsia"/>
          <w:highlight w:val="none"/>
          <w:lang w:val="en-US" w:eastAsia="zh-CN"/>
        </w:rPr>
        <w:t>有依法缴纳税收和社会保障资金的良好记录</w:t>
      </w:r>
    </w:p>
    <w:p w14:paraId="6AADE02F">
      <w:pPr>
        <w:numPr>
          <w:ilvl w:val="0"/>
          <w:numId w:val="6"/>
        </w:numPr>
        <w:ind w:left="425" w:leftChars="0" w:hanging="425" w:firstLineChars="0"/>
        <w:rPr>
          <w:rFonts w:hint="eastAsia"/>
          <w:highlight w:val="none"/>
          <w:lang w:val="en-US" w:eastAsia="zh-CN"/>
        </w:rPr>
      </w:pPr>
      <w:r>
        <w:rPr>
          <w:rFonts w:hint="eastAsia"/>
          <w:highlight w:val="none"/>
          <w:lang w:val="en-US" w:eastAsia="zh-CN"/>
        </w:rPr>
        <w:t>具有履行合同所必需的设备和专业技术能力承诺书</w:t>
      </w:r>
    </w:p>
    <w:p w14:paraId="03EBEA64">
      <w:pPr>
        <w:numPr>
          <w:ilvl w:val="0"/>
          <w:numId w:val="6"/>
        </w:numPr>
        <w:ind w:left="425" w:leftChars="0" w:hanging="425" w:firstLineChars="0"/>
        <w:rPr>
          <w:rFonts w:hint="eastAsia"/>
          <w:highlight w:val="none"/>
          <w:lang w:val="en-US" w:eastAsia="zh-CN"/>
        </w:rPr>
      </w:pPr>
      <w:r>
        <w:rPr>
          <w:rFonts w:hint="eastAsia"/>
          <w:highlight w:val="none"/>
          <w:lang w:val="en-US" w:eastAsia="zh-CN"/>
        </w:rPr>
        <w:t>信誉要求承诺书</w:t>
      </w:r>
    </w:p>
    <w:p w14:paraId="0783DD87">
      <w:pPr>
        <w:numPr>
          <w:ilvl w:val="0"/>
          <w:numId w:val="6"/>
        </w:numPr>
        <w:ind w:left="425" w:leftChars="0" w:hanging="425" w:firstLineChars="0"/>
        <w:rPr>
          <w:rFonts w:hint="eastAsia"/>
          <w:highlight w:val="none"/>
          <w:lang w:val="en-US" w:eastAsia="zh-CN"/>
        </w:rPr>
      </w:pPr>
      <w:r>
        <w:rPr>
          <w:rFonts w:hint="eastAsia"/>
          <w:highlight w:val="none"/>
          <w:lang w:val="en-US" w:eastAsia="zh-CN"/>
        </w:rPr>
        <w:t>其他要求承诺书</w:t>
      </w:r>
    </w:p>
    <w:p w14:paraId="2710F8DC">
      <w:pPr>
        <w:numPr>
          <w:ilvl w:val="0"/>
          <w:numId w:val="0"/>
        </w:numPr>
        <w:ind w:leftChars="0"/>
        <w:rPr>
          <w:rFonts w:hint="eastAsia"/>
          <w:highlight w:val="none"/>
          <w:lang w:val="en-US" w:eastAsia="zh-CN"/>
        </w:rPr>
      </w:pPr>
    </w:p>
    <w:p w14:paraId="2EABE697">
      <w:pPr>
        <w:numPr>
          <w:ilvl w:val="0"/>
          <w:numId w:val="0"/>
        </w:numPr>
        <w:ind w:leftChars="0"/>
        <w:rPr>
          <w:rFonts w:hint="default"/>
          <w:highlight w:val="none"/>
          <w:lang w:val="en-US" w:eastAsia="zh-CN"/>
        </w:rPr>
      </w:pPr>
    </w:p>
    <w:p w14:paraId="3BD254A1">
      <w:pPr>
        <w:numPr>
          <w:ilvl w:val="0"/>
          <w:numId w:val="0"/>
        </w:numPr>
        <w:ind w:leftChars="0"/>
        <w:rPr>
          <w:rFonts w:hint="eastAsia"/>
          <w:highlight w:val="none"/>
          <w:lang w:val="en-US" w:eastAsia="zh-CN"/>
        </w:rPr>
      </w:pPr>
    </w:p>
    <w:p w14:paraId="30D6975F">
      <w:pPr>
        <w:rPr>
          <w:rFonts w:hint="default"/>
          <w:highlight w:val="none"/>
          <w:lang w:val="en-US" w:eastAsia="zh-CN"/>
        </w:rPr>
      </w:pPr>
    </w:p>
    <w:p w14:paraId="1807D942">
      <w:pPr>
        <w:rPr>
          <w:rFonts w:hint="eastAsia" w:ascii="宋体" w:hAnsi="宋体" w:cs="宋体"/>
          <w:sz w:val="24"/>
          <w:szCs w:val="24"/>
          <w:highlight w:val="none"/>
        </w:rPr>
      </w:pPr>
    </w:p>
    <w:p w14:paraId="5172A63D">
      <w:pPr>
        <w:rPr>
          <w:rFonts w:ascii="宋体" w:hAnsi="宋体" w:cs="宋体"/>
          <w:sz w:val="24"/>
          <w:szCs w:val="24"/>
          <w:highlight w:val="none"/>
        </w:rPr>
      </w:pPr>
      <w:r>
        <w:rPr>
          <w:rFonts w:hint="eastAsia" w:ascii="宋体" w:hAnsi="宋体" w:cs="宋体"/>
          <w:sz w:val="24"/>
          <w:szCs w:val="24"/>
          <w:highlight w:val="none"/>
        </w:rPr>
        <w:br w:type="page"/>
      </w:r>
    </w:p>
    <w:p w14:paraId="09E26865">
      <w:pPr>
        <w:wordWrap w:val="0"/>
        <w:spacing w:line="360" w:lineRule="auto"/>
        <w:jc w:val="both"/>
        <w:rPr>
          <w:rFonts w:ascii="宋体" w:hAnsi="宋体" w:cs="宋体"/>
          <w:szCs w:val="21"/>
          <w:highlight w:val="none"/>
        </w:rPr>
        <w:sectPr>
          <w:pgSz w:w="11906" w:h="16838"/>
          <w:pgMar w:top="1276" w:right="991" w:bottom="1247" w:left="964" w:header="1134" w:footer="851" w:gutter="170"/>
          <w:pgNumType w:fmt="decimal"/>
          <w:cols w:space="720" w:num="1"/>
          <w:titlePg/>
          <w:docGrid w:type="linesAndChars" w:linePitch="328" w:charSpace="0"/>
        </w:sectPr>
      </w:pPr>
    </w:p>
    <w:p w14:paraId="43A72A64">
      <w:pPr>
        <w:spacing w:line="360" w:lineRule="auto"/>
        <w:rPr>
          <w:rFonts w:ascii="宋体" w:hAnsi="宋体" w:cs="宋体"/>
          <w:b/>
          <w:sz w:val="24"/>
          <w:highlight w:val="none"/>
        </w:rPr>
      </w:pPr>
      <w:bookmarkStart w:id="1544" w:name="_Toc19881"/>
      <w:bookmarkStart w:id="1545" w:name="_Toc10448"/>
      <w:bookmarkStart w:id="1546" w:name="_Toc18442"/>
      <w:bookmarkStart w:id="1547" w:name="_Toc15604"/>
      <w:r>
        <w:rPr>
          <w:rFonts w:hint="eastAsia" w:ascii="宋体" w:hAnsi="宋体" w:cs="宋体"/>
          <w:sz w:val="24"/>
          <w:szCs w:val="24"/>
          <w:highlight w:val="none"/>
        </w:rPr>
        <w:t>附件一：</w:t>
      </w:r>
    </w:p>
    <w:p w14:paraId="7B81C094">
      <w:pPr>
        <w:tabs>
          <w:tab w:val="left" w:pos="993"/>
          <w:tab w:val="left" w:pos="1030"/>
          <w:tab w:val="left" w:pos="8364"/>
        </w:tabs>
        <w:snapToGrid w:val="0"/>
        <w:spacing w:after="245" w:afterLines="50"/>
        <w:ind w:left="420" w:right="-57" w:rightChars="-27"/>
        <w:jc w:val="center"/>
        <w:outlineLvl w:val="2"/>
        <w:rPr>
          <w:rFonts w:hint="eastAsia" w:ascii="宋体" w:hAnsi="宋体" w:cs="宋体"/>
          <w:b/>
          <w:sz w:val="24"/>
          <w:highlight w:val="none"/>
        </w:rPr>
      </w:pPr>
      <w:bookmarkStart w:id="1548" w:name="_Toc12274"/>
    </w:p>
    <w:p w14:paraId="11FBC021">
      <w:pPr>
        <w:tabs>
          <w:tab w:val="left" w:pos="993"/>
          <w:tab w:val="left" w:pos="1030"/>
          <w:tab w:val="left" w:pos="8364"/>
        </w:tabs>
        <w:snapToGrid w:val="0"/>
        <w:spacing w:after="245" w:afterLines="50"/>
        <w:ind w:left="420" w:right="-57" w:rightChars="-27"/>
        <w:jc w:val="center"/>
        <w:outlineLvl w:val="2"/>
        <w:rPr>
          <w:rFonts w:ascii="宋体" w:hAnsi="宋体" w:cs="宋体"/>
          <w:b/>
          <w:sz w:val="24"/>
          <w:highlight w:val="none"/>
        </w:rPr>
      </w:pPr>
      <w:r>
        <w:rPr>
          <w:rFonts w:hint="eastAsia" w:ascii="宋体" w:hAnsi="宋体" w:cs="宋体"/>
          <w:b/>
          <w:sz w:val="24"/>
          <w:highlight w:val="none"/>
        </w:rPr>
        <w:t>法定代表人身份证明</w:t>
      </w:r>
    </w:p>
    <w:p w14:paraId="1E9125CE">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2FFBE12">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993677D">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1D24612">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C84E09C">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8DC7EE6">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434378A7">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w:t>
      </w:r>
    </w:p>
    <w:p w14:paraId="44138E93">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14:paraId="486C83B2">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14:paraId="19C95AA2">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14:paraId="6AAF7A07">
      <w:pPr>
        <w:wordWrap w:val="0"/>
        <w:spacing w:line="360" w:lineRule="auto"/>
        <w:jc w:val="right"/>
        <w:rPr>
          <w:rFonts w:ascii="宋体" w:hAnsi="宋体" w:cs="宋体"/>
          <w:szCs w:val="21"/>
          <w:highlight w:val="none"/>
        </w:rPr>
      </w:pPr>
      <w:r>
        <w:rPr>
          <w:rFonts w:hint="eastAsia" w:ascii="宋体" w:hAnsi="宋体" w:cs="宋体"/>
          <w:bCs/>
          <w:szCs w:val="21"/>
          <w:highlight w:val="none"/>
        </w:rPr>
        <w:t>供应商名称（加盖公章）</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E52BC01">
      <w:pPr>
        <w:spacing w:line="360" w:lineRule="auto"/>
        <w:ind w:firstLine="4515" w:firstLineChars="2150"/>
        <w:jc w:val="right"/>
        <w:rPr>
          <w:rFonts w:ascii="宋体" w:hAnsi="宋体" w:cs="宋体"/>
          <w:szCs w:val="21"/>
          <w:highlight w:val="none"/>
          <w:u w:val="single"/>
        </w:rPr>
      </w:pPr>
      <w:r>
        <w:rPr>
          <w:rFonts w:hint="eastAsia" w:ascii="宋体" w:hAnsi="宋体" w:cs="宋体"/>
          <w:szCs w:val="21"/>
          <w:highlight w:val="none"/>
          <w:u w:val="single"/>
        </w:rPr>
        <w:t xml:space="preserve"> </w:t>
      </w:r>
    </w:p>
    <w:p w14:paraId="5CC29689">
      <w:pPr>
        <w:spacing w:line="360" w:lineRule="auto"/>
        <w:ind w:right="1200"/>
        <w:jc w:val="righ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F8B7949">
      <w:pPr>
        <w:widowControl/>
        <w:spacing w:line="48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 xml:space="preserve"> </w:t>
      </w:r>
    </w:p>
    <w:p w14:paraId="73E34146">
      <w:pPr>
        <w:spacing w:line="480" w:lineRule="auto"/>
        <w:rPr>
          <w:rFonts w:hint="eastAsia" w:ascii="宋体" w:hAnsi="宋体" w:cs="宋体"/>
          <w:sz w:val="24"/>
          <w:szCs w:val="24"/>
          <w:highlight w:val="none"/>
        </w:rPr>
      </w:pPr>
      <w:r>
        <w:rPr>
          <w:rFonts w:hint="eastAsia" w:ascii="宋体" w:hAnsi="宋体" w:cs="宋体"/>
          <w:sz w:val="24"/>
          <w:szCs w:val="24"/>
          <w:highlight w:val="none"/>
        </w:rPr>
        <w:br w:type="page"/>
      </w:r>
    </w:p>
    <w:p w14:paraId="53091147">
      <w:pPr>
        <w:spacing w:line="360" w:lineRule="auto"/>
        <w:rPr>
          <w:rFonts w:hint="eastAsia" w:ascii="宋体" w:hAnsi="宋体" w:cs="宋体"/>
          <w:sz w:val="24"/>
          <w:szCs w:val="24"/>
          <w:highlight w:val="none"/>
        </w:rPr>
      </w:pPr>
      <w:r>
        <w:rPr>
          <w:rFonts w:hint="eastAsia" w:ascii="宋体" w:hAnsi="宋体" w:cs="宋体"/>
          <w:sz w:val="24"/>
          <w:szCs w:val="24"/>
          <w:highlight w:val="none"/>
        </w:rPr>
        <w:t>附件二：</w:t>
      </w:r>
    </w:p>
    <w:p w14:paraId="618FBD6E">
      <w:pPr>
        <w:tabs>
          <w:tab w:val="left" w:pos="993"/>
          <w:tab w:val="left" w:pos="1030"/>
          <w:tab w:val="left" w:pos="8364"/>
        </w:tabs>
        <w:snapToGrid w:val="0"/>
        <w:spacing w:after="245" w:afterLines="50"/>
        <w:ind w:left="420" w:right="-57" w:rightChars="-27"/>
        <w:jc w:val="center"/>
        <w:outlineLvl w:val="2"/>
        <w:rPr>
          <w:rFonts w:ascii="宋体" w:hAnsi="宋体" w:cs="宋体"/>
          <w:b/>
          <w:sz w:val="24"/>
          <w:highlight w:val="none"/>
        </w:rPr>
      </w:pPr>
      <w:bookmarkStart w:id="1549" w:name="_Toc1967"/>
      <w:r>
        <w:rPr>
          <w:rFonts w:hint="eastAsia" w:ascii="宋体" w:hAnsi="宋体" w:cs="宋体"/>
          <w:b/>
          <w:sz w:val="24"/>
          <w:highlight w:val="none"/>
        </w:rPr>
        <w:t>法定代表人授权委托书</w:t>
      </w:r>
      <w:bookmarkEnd w:id="1549"/>
    </w:p>
    <w:p w14:paraId="33F165A0">
      <w:pPr>
        <w:spacing w:line="360" w:lineRule="auto"/>
        <w:jc w:val="left"/>
        <w:rPr>
          <w:rFonts w:hint="eastAsia" w:ascii="宋体" w:hAnsi="宋体" w:eastAsia="宋体" w:cs="宋体"/>
          <w:color w:val="auto"/>
          <w:szCs w:val="21"/>
        </w:rPr>
      </w:pPr>
      <w:r>
        <w:rPr>
          <w:rFonts w:hint="eastAsia" w:ascii="宋体" w:hAnsi="宋体" w:cs="宋体"/>
          <w:szCs w:val="21"/>
          <w:highlight w:val="non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w:t>
      </w:r>
    </w:p>
    <w:p w14:paraId="6A1A7992">
      <w:pPr>
        <w:spacing w:line="360" w:lineRule="auto"/>
        <w:rPr>
          <w:rFonts w:ascii="宋体" w:hAnsi="宋体" w:cs="宋体"/>
          <w:szCs w:val="21"/>
          <w:highlight w:val="none"/>
        </w:rPr>
      </w:pPr>
    </w:p>
    <w:p w14:paraId="13EC784C">
      <w:pPr>
        <w:pStyle w:val="15"/>
        <w:autoSpaceDE w:val="0"/>
        <w:spacing w:line="360" w:lineRule="auto"/>
        <w:ind w:firstLine="420" w:firstLineChars="200"/>
        <w:rPr>
          <w:rFonts w:hAnsi="宋体" w:cs="宋体"/>
          <w:sz w:val="21"/>
          <w:szCs w:val="21"/>
          <w:highlight w:val="none"/>
        </w:rPr>
      </w:pPr>
      <w:r>
        <w:rPr>
          <w:rFonts w:hint="eastAsia" w:hAnsi="宋体" w:cs="宋体"/>
          <w:sz w:val="21"/>
          <w:szCs w:val="21"/>
          <w:highlight w:val="none"/>
        </w:rPr>
        <w:t>本人</w:t>
      </w:r>
      <w:r>
        <w:rPr>
          <w:rFonts w:hint="eastAsia" w:hAnsi="宋体" w:cs="宋体"/>
          <w:sz w:val="21"/>
          <w:szCs w:val="21"/>
          <w:highlight w:val="none"/>
          <w:u w:val="single"/>
        </w:rPr>
        <w:t xml:space="preserve">      </w:t>
      </w:r>
      <w:r>
        <w:rPr>
          <w:rFonts w:hint="eastAsia" w:hAnsi="宋体" w:cs="宋体"/>
          <w:sz w:val="21"/>
          <w:szCs w:val="21"/>
          <w:highlight w:val="none"/>
        </w:rPr>
        <w:t>（姓名）系</w:t>
      </w:r>
      <w:r>
        <w:rPr>
          <w:rFonts w:hint="eastAsia" w:hAnsi="宋体" w:cs="宋体"/>
          <w:sz w:val="21"/>
          <w:szCs w:val="21"/>
          <w:highlight w:val="none"/>
          <w:u w:val="single"/>
        </w:rPr>
        <w:t xml:space="preserve">             </w:t>
      </w:r>
      <w:r>
        <w:rPr>
          <w:rFonts w:hint="eastAsia" w:hAnsi="宋体" w:cs="宋体"/>
          <w:sz w:val="21"/>
          <w:szCs w:val="21"/>
          <w:highlight w:val="none"/>
        </w:rPr>
        <w:t>（供应商名称）的法定代表人，现委托</w:t>
      </w:r>
      <w:r>
        <w:rPr>
          <w:rFonts w:hint="eastAsia" w:hAnsi="宋体" w:cs="宋体"/>
          <w:sz w:val="21"/>
          <w:szCs w:val="21"/>
          <w:highlight w:val="none"/>
          <w:u w:val="single"/>
        </w:rPr>
        <w:t xml:space="preserve">     </w:t>
      </w:r>
      <w:r>
        <w:rPr>
          <w:rFonts w:hint="eastAsia" w:hAnsi="宋体" w:cs="宋体"/>
          <w:sz w:val="21"/>
          <w:szCs w:val="21"/>
          <w:highlight w:val="none"/>
        </w:rPr>
        <w:t>（姓名）为我方代理人。代理人根据授权，以我方名义签署、澄清、说明、补正、递交、撤回、修改贵方组织的</w:t>
      </w:r>
      <w:r>
        <w:rPr>
          <w:rFonts w:hint="eastAsia" w:hAnsi="宋体" w:cs="宋体"/>
          <w:sz w:val="21"/>
          <w:szCs w:val="21"/>
          <w:highlight w:val="none"/>
          <w:u w:val="single"/>
        </w:rPr>
        <w:t xml:space="preserve">   （项目名称）     </w:t>
      </w:r>
      <w:r>
        <w:rPr>
          <w:rFonts w:hint="eastAsia" w:hAnsi="宋体" w:cs="宋体"/>
          <w:sz w:val="21"/>
          <w:szCs w:val="21"/>
          <w:highlight w:val="none"/>
        </w:rPr>
        <w:t>（项目编号：</w:t>
      </w:r>
      <w:r>
        <w:rPr>
          <w:rFonts w:hint="eastAsia" w:hAnsi="宋体" w:cs="宋体"/>
          <w:sz w:val="21"/>
          <w:szCs w:val="21"/>
          <w:highlight w:val="none"/>
          <w:u w:val="single"/>
        </w:rPr>
        <w:t xml:space="preserve">           </w:t>
      </w:r>
      <w:r>
        <w:rPr>
          <w:rFonts w:hint="eastAsia" w:hAnsi="宋体" w:cs="宋体"/>
          <w:sz w:val="21"/>
          <w:szCs w:val="21"/>
          <w:highlight w:val="none"/>
        </w:rPr>
        <w:t>）项目的响应文件、签订合同和处理一切有关事宜，其法律后果由我方承担。</w:t>
      </w:r>
    </w:p>
    <w:p w14:paraId="40E1402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本委托书自</w:t>
      </w:r>
      <w:r>
        <w:rPr>
          <w:rFonts w:hint="eastAsia" w:ascii="宋体" w:hAnsi="宋体" w:cs="宋体"/>
          <w:szCs w:val="21"/>
          <w:highlight w:val="none"/>
          <w:u w:val="single"/>
        </w:rPr>
        <w:t xml:space="preserve">    年   月   日</w:t>
      </w:r>
      <w:r>
        <w:rPr>
          <w:rFonts w:hint="eastAsia" w:ascii="宋体" w:hAnsi="宋体" w:cs="宋体"/>
          <w:szCs w:val="21"/>
          <w:highlight w:val="none"/>
        </w:rPr>
        <w:t xml:space="preserve"> 签字盖章之日起生效至</w:t>
      </w:r>
      <w:r>
        <w:rPr>
          <w:rFonts w:hint="eastAsia" w:ascii="宋体" w:hAnsi="宋体" w:cs="宋体"/>
          <w:szCs w:val="21"/>
          <w:highlight w:val="none"/>
          <w:lang w:val="en-US" w:eastAsia="zh-CN"/>
        </w:rPr>
        <w:t>磋商</w:t>
      </w:r>
      <w:r>
        <w:rPr>
          <w:rFonts w:hint="eastAsia" w:ascii="宋体" w:hAnsi="宋体" w:cs="宋体"/>
          <w:szCs w:val="21"/>
          <w:highlight w:val="none"/>
        </w:rPr>
        <w:t>有效期满止。</w:t>
      </w:r>
    </w:p>
    <w:p w14:paraId="2F30267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附：法定代表人及委托代理人有效期内的身份证正反面复印件</w:t>
      </w:r>
    </w:p>
    <w:p w14:paraId="34D1358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14:paraId="11E5A3ED">
      <w:pPr>
        <w:spacing w:line="360" w:lineRule="auto"/>
        <w:rPr>
          <w:rFonts w:ascii="宋体" w:hAnsi="宋体" w:cs="宋体"/>
          <w:szCs w:val="21"/>
          <w:highlight w:val="none"/>
        </w:rPr>
      </w:pPr>
      <w:r>
        <w:rPr>
          <w:rFonts w:hint="eastAsia" w:ascii="宋体" w:hAnsi="宋体" w:cs="宋体"/>
          <w:szCs w:val="21"/>
          <w:highlight w:val="none"/>
        </w:rPr>
        <w:t xml:space="preserve"> </w:t>
      </w:r>
    </w:p>
    <w:p w14:paraId="65C0B568">
      <w:pPr>
        <w:spacing w:line="360" w:lineRule="auto"/>
        <w:rPr>
          <w:rFonts w:ascii="宋体" w:hAnsi="宋体" w:cs="宋体"/>
          <w:szCs w:val="21"/>
          <w:highlight w:val="none"/>
        </w:rPr>
      </w:pPr>
      <w:r>
        <w:rPr>
          <w:rFonts w:hint="eastAsia" w:ascii="宋体" w:hAnsi="宋体" w:cs="宋体"/>
          <w:szCs w:val="21"/>
          <w:highlight w:val="none"/>
        </w:rPr>
        <w:drawing>
          <wp:inline distT="0" distB="0" distL="0" distR="0">
            <wp:extent cx="2752725" cy="1800225"/>
            <wp:effectExtent l="0" t="0" r="9525" b="9525"/>
            <wp:docPr id="4" name="图片 6"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wps3"/>
                    <pic:cNvPicPr>
                      <a:picLocks noChangeAspect="1" noChangeArrowheads="1"/>
                    </pic:cNvPicPr>
                  </pic:nvPicPr>
                  <pic:blipFill>
                    <a:blip r:embed="rId31"/>
                    <a:srcRect/>
                    <a:stretch>
                      <a:fillRect/>
                    </a:stretch>
                  </pic:blipFill>
                  <pic:spPr>
                    <a:xfrm>
                      <a:off x="0" y="0"/>
                      <a:ext cx="2752725" cy="1800225"/>
                    </a:xfrm>
                    <a:prstGeom prst="rect">
                      <a:avLst/>
                    </a:prstGeom>
                    <a:noFill/>
                    <a:ln w="9525">
                      <a:noFill/>
                      <a:miter lim="800000"/>
                      <a:headEnd/>
                      <a:tailEnd/>
                    </a:ln>
                  </pic:spPr>
                </pic:pic>
              </a:graphicData>
            </a:graphic>
          </wp:inline>
        </w:drawing>
      </w:r>
      <w:r>
        <w:rPr>
          <w:rFonts w:hint="eastAsia" w:ascii="宋体" w:hAnsi="宋体" w:cs="宋体"/>
          <w:szCs w:val="21"/>
          <w:highlight w:val="none"/>
        </w:rPr>
        <w:drawing>
          <wp:inline distT="0" distB="0" distL="0" distR="0">
            <wp:extent cx="2752725" cy="1800225"/>
            <wp:effectExtent l="0" t="0" r="9525" b="9525"/>
            <wp:docPr id="3" name="图片 5"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wps2"/>
                    <pic:cNvPicPr>
                      <a:picLocks noChangeAspect="1" noChangeArrowheads="1"/>
                    </pic:cNvPicPr>
                  </pic:nvPicPr>
                  <pic:blipFill>
                    <a:blip r:embed="rId32"/>
                    <a:srcRect/>
                    <a:stretch>
                      <a:fillRect/>
                    </a:stretch>
                  </pic:blipFill>
                  <pic:spPr>
                    <a:xfrm>
                      <a:off x="0" y="0"/>
                      <a:ext cx="2752725" cy="1800225"/>
                    </a:xfrm>
                    <a:prstGeom prst="rect">
                      <a:avLst/>
                    </a:prstGeom>
                    <a:noFill/>
                    <a:ln w="9525">
                      <a:noFill/>
                      <a:miter lim="800000"/>
                      <a:headEnd/>
                      <a:tailEnd/>
                    </a:ln>
                  </pic:spPr>
                </pic:pic>
              </a:graphicData>
            </a:graphic>
          </wp:inline>
        </w:drawing>
      </w:r>
      <w:r>
        <w:rPr>
          <w:rFonts w:hint="eastAsia" w:ascii="宋体" w:hAnsi="宋体" w:cs="宋体"/>
          <w:szCs w:val="21"/>
          <w:highlight w:val="none"/>
        </w:rPr>
        <w:t xml:space="preserve"> </w:t>
      </w:r>
    </w:p>
    <w:p w14:paraId="005D52F5">
      <w:pPr>
        <w:spacing w:line="360" w:lineRule="auto"/>
        <w:rPr>
          <w:rFonts w:ascii="宋体" w:hAnsi="宋体" w:cs="宋体"/>
          <w:szCs w:val="21"/>
          <w:highlight w:val="none"/>
        </w:rPr>
      </w:pPr>
      <w:r>
        <w:rPr>
          <w:rFonts w:hint="eastAsia" w:ascii="宋体" w:hAnsi="宋体" w:cs="宋体"/>
          <w:szCs w:val="21"/>
          <w:highlight w:val="none"/>
        </w:rPr>
        <w:t xml:space="preserve"> </w:t>
      </w:r>
    </w:p>
    <w:p w14:paraId="5101ABFB">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bCs/>
          <w:szCs w:val="21"/>
          <w:highlight w:val="none"/>
        </w:rPr>
        <w:t>供应商名称（加盖公章）：</w:t>
      </w:r>
    </w:p>
    <w:p w14:paraId="26453FAE">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14:paraId="61043061">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法定代表人（签字或盖章）：</w:t>
      </w:r>
    </w:p>
    <w:p w14:paraId="69A3E292">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14:paraId="38F5FB12">
      <w:pPr>
        <w:spacing w:line="360" w:lineRule="auto"/>
        <w:jc w:val="center"/>
        <w:rPr>
          <w:rFonts w:ascii="宋体" w:hAnsi="宋体" w:cs="宋体"/>
          <w:szCs w:val="21"/>
          <w:highlight w:val="none"/>
        </w:rPr>
      </w:pPr>
      <w:r>
        <w:rPr>
          <w:rFonts w:hint="eastAsia" w:ascii="宋体" w:hAnsi="宋体" w:cs="宋体"/>
          <w:szCs w:val="21"/>
          <w:highlight w:val="none"/>
        </w:rPr>
        <w:t xml:space="preserve">                             委托代理人（签字或盖章）：</w:t>
      </w:r>
    </w:p>
    <w:p w14:paraId="6A1E2878">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14:paraId="67612511">
      <w:pPr>
        <w:spacing w:line="360" w:lineRule="auto"/>
        <w:ind w:left="1050" w:hanging="1050" w:hangingChars="500"/>
        <w:jc w:val="center"/>
        <w:rPr>
          <w:rFonts w:ascii="宋体" w:hAnsi="宋体" w:cs="宋体"/>
          <w:szCs w:val="21"/>
          <w:highlight w:val="none"/>
        </w:rPr>
      </w:pPr>
      <w:r>
        <w:rPr>
          <w:rFonts w:hint="eastAsia" w:ascii="宋体" w:hAnsi="宋体" w:cs="宋体"/>
          <w:szCs w:val="21"/>
          <w:highlight w:val="none"/>
        </w:rPr>
        <w:t xml:space="preserve">                                    年     月     日</w:t>
      </w:r>
    </w:p>
    <w:p w14:paraId="46692C94">
      <w:pPr>
        <w:spacing w:line="480" w:lineRule="auto"/>
        <w:rPr>
          <w:rFonts w:ascii="宋体" w:hAnsi="宋体" w:cs="宋体"/>
          <w:b/>
          <w:sz w:val="24"/>
          <w:highlight w:val="none"/>
        </w:rPr>
      </w:pPr>
      <w:r>
        <w:rPr>
          <w:rFonts w:hint="eastAsia" w:ascii="宋体" w:hAnsi="宋体" w:cs="宋体"/>
          <w:sz w:val="24"/>
          <w:szCs w:val="24"/>
          <w:highlight w:val="none"/>
        </w:rPr>
        <w:br w:type="page"/>
      </w:r>
    </w:p>
    <w:p w14:paraId="6842A12D">
      <w:pPr>
        <w:spacing w:line="480" w:lineRule="auto"/>
        <w:jc w:val="left"/>
        <w:rPr>
          <w:rFonts w:hint="eastAsia" w:ascii="宋体" w:hAnsi="宋体" w:cs="宋体"/>
          <w:sz w:val="24"/>
          <w:szCs w:val="24"/>
          <w:highlight w:val="none"/>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三</w:t>
      </w:r>
      <w:r>
        <w:rPr>
          <w:rFonts w:hint="eastAsia" w:ascii="宋体" w:hAnsi="宋体" w:cs="宋体"/>
          <w:sz w:val="24"/>
          <w:szCs w:val="24"/>
          <w:highlight w:val="none"/>
        </w:rPr>
        <w:t>：</w:t>
      </w:r>
    </w:p>
    <w:p w14:paraId="3922A12D">
      <w:pPr>
        <w:spacing w:line="480" w:lineRule="auto"/>
        <w:jc w:val="center"/>
        <w:rPr>
          <w:rFonts w:ascii="宋体" w:hAnsi="宋体" w:cs="宋体"/>
          <w:b/>
          <w:bCs/>
          <w:sz w:val="28"/>
          <w:szCs w:val="28"/>
          <w:highlight w:val="none"/>
        </w:rPr>
      </w:pPr>
      <w:r>
        <w:rPr>
          <w:rFonts w:hint="eastAsia" w:ascii="宋体" w:hAnsi="宋体" w:cs="宋体"/>
          <w:b/>
          <w:bCs/>
          <w:sz w:val="28"/>
          <w:szCs w:val="28"/>
          <w:highlight w:val="none"/>
        </w:rPr>
        <w:t>供应商情况表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8"/>
        <w:gridCol w:w="3196"/>
        <w:gridCol w:w="147"/>
        <w:gridCol w:w="1299"/>
        <w:gridCol w:w="210"/>
        <w:gridCol w:w="2486"/>
      </w:tblGrid>
      <w:tr w14:paraId="1F05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1EF4AC1F">
            <w:pPr>
              <w:jc w:val="center"/>
              <w:rPr>
                <w:rFonts w:ascii="宋体" w:hAnsi="宋体" w:cs="宋体"/>
                <w:sz w:val="22"/>
                <w:szCs w:val="18"/>
                <w:highlight w:val="none"/>
              </w:rPr>
            </w:pPr>
            <w:r>
              <w:rPr>
                <w:rFonts w:hint="eastAsia" w:ascii="宋体" w:hAnsi="宋体" w:cs="宋体"/>
                <w:sz w:val="22"/>
                <w:szCs w:val="18"/>
                <w:highlight w:val="none"/>
              </w:rPr>
              <w:t>企业名称</w:t>
            </w:r>
          </w:p>
        </w:tc>
        <w:tc>
          <w:tcPr>
            <w:tcW w:w="1866" w:type="pct"/>
            <w:gridSpan w:val="2"/>
            <w:vAlign w:val="center"/>
          </w:tcPr>
          <w:p w14:paraId="11D54540">
            <w:pPr>
              <w:jc w:val="center"/>
              <w:rPr>
                <w:rFonts w:ascii="宋体" w:hAnsi="宋体" w:cs="宋体"/>
                <w:sz w:val="22"/>
                <w:szCs w:val="18"/>
                <w:highlight w:val="none"/>
              </w:rPr>
            </w:pPr>
          </w:p>
        </w:tc>
        <w:tc>
          <w:tcPr>
            <w:tcW w:w="842" w:type="pct"/>
            <w:gridSpan w:val="2"/>
            <w:vAlign w:val="center"/>
          </w:tcPr>
          <w:p w14:paraId="7750C622">
            <w:pPr>
              <w:jc w:val="center"/>
              <w:rPr>
                <w:rFonts w:ascii="宋体" w:hAnsi="宋体" w:cs="宋体"/>
                <w:sz w:val="22"/>
                <w:szCs w:val="18"/>
                <w:highlight w:val="none"/>
              </w:rPr>
            </w:pPr>
            <w:r>
              <w:rPr>
                <w:rFonts w:hint="eastAsia" w:ascii="宋体" w:hAnsi="宋体" w:cs="宋体"/>
                <w:sz w:val="22"/>
                <w:szCs w:val="18"/>
                <w:highlight w:val="none"/>
              </w:rPr>
              <w:t>成立日期</w:t>
            </w:r>
          </w:p>
        </w:tc>
        <w:tc>
          <w:tcPr>
            <w:tcW w:w="1386" w:type="pct"/>
            <w:vAlign w:val="center"/>
          </w:tcPr>
          <w:p w14:paraId="389316FC">
            <w:pPr>
              <w:jc w:val="center"/>
              <w:rPr>
                <w:rFonts w:ascii="宋体" w:hAnsi="宋体" w:cs="宋体"/>
                <w:sz w:val="22"/>
                <w:szCs w:val="18"/>
                <w:highlight w:val="none"/>
              </w:rPr>
            </w:pPr>
          </w:p>
        </w:tc>
      </w:tr>
      <w:tr w14:paraId="5ACE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63B5B010">
            <w:pPr>
              <w:jc w:val="center"/>
              <w:rPr>
                <w:rFonts w:ascii="宋体" w:hAnsi="宋体" w:cs="宋体"/>
                <w:sz w:val="22"/>
                <w:szCs w:val="18"/>
                <w:highlight w:val="none"/>
              </w:rPr>
            </w:pPr>
            <w:r>
              <w:rPr>
                <w:rFonts w:hint="eastAsia" w:ascii="宋体" w:hAnsi="宋体" w:cs="宋体"/>
                <w:sz w:val="22"/>
                <w:szCs w:val="18"/>
                <w:highlight w:val="none"/>
              </w:rPr>
              <w:t>注册资本</w:t>
            </w:r>
          </w:p>
        </w:tc>
        <w:tc>
          <w:tcPr>
            <w:tcW w:w="1866" w:type="pct"/>
            <w:gridSpan w:val="2"/>
            <w:vAlign w:val="center"/>
          </w:tcPr>
          <w:p w14:paraId="1D815A47">
            <w:pPr>
              <w:jc w:val="center"/>
              <w:rPr>
                <w:rFonts w:ascii="宋体" w:hAnsi="宋体" w:cs="宋体"/>
                <w:sz w:val="22"/>
                <w:szCs w:val="18"/>
                <w:highlight w:val="none"/>
              </w:rPr>
            </w:pPr>
          </w:p>
        </w:tc>
        <w:tc>
          <w:tcPr>
            <w:tcW w:w="842" w:type="pct"/>
            <w:gridSpan w:val="2"/>
            <w:vAlign w:val="center"/>
          </w:tcPr>
          <w:p w14:paraId="7AE296B1">
            <w:pPr>
              <w:jc w:val="center"/>
              <w:rPr>
                <w:rFonts w:ascii="宋体" w:hAnsi="宋体" w:cs="宋体"/>
                <w:sz w:val="22"/>
                <w:szCs w:val="18"/>
                <w:highlight w:val="none"/>
              </w:rPr>
            </w:pPr>
            <w:r>
              <w:rPr>
                <w:rFonts w:hint="eastAsia" w:ascii="宋体" w:hAnsi="宋体" w:cs="宋体"/>
                <w:sz w:val="22"/>
                <w:szCs w:val="18"/>
                <w:highlight w:val="none"/>
              </w:rPr>
              <w:t>企业类型</w:t>
            </w:r>
          </w:p>
        </w:tc>
        <w:tc>
          <w:tcPr>
            <w:tcW w:w="1386" w:type="pct"/>
            <w:vAlign w:val="center"/>
          </w:tcPr>
          <w:p w14:paraId="13C2678C">
            <w:pPr>
              <w:jc w:val="center"/>
              <w:rPr>
                <w:rFonts w:ascii="宋体" w:hAnsi="宋体" w:cs="宋体"/>
                <w:sz w:val="22"/>
                <w:szCs w:val="18"/>
                <w:highlight w:val="none"/>
              </w:rPr>
            </w:pPr>
          </w:p>
        </w:tc>
      </w:tr>
      <w:tr w14:paraId="69C2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904" w:type="pct"/>
            <w:vAlign w:val="center"/>
          </w:tcPr>
          <w:p w14:paraId="5ECAD545">
            <w:pPr>
              <w:jc w:val="center"/>
              <w:rPr>
                <w:rFonts w:ascii="宋体" w:hAnsi="宋体" w:cs="宋体"/>
                <w:sz w:val="22"/>
                <w:szCs w:val="18"/>
                <w:highlight w:val="none"/>
              </w:rPr>
            </w:pPr>
            <w:r>
              <w:rPr>
                <w:rFonts w:hint="eastAsia" w:ascii="宋体" w:hAnsi="宋体" w:cs="宋体"/>
                <w:sz w:val="22"/>
                <w:szCs w:val="18"/>
                <w:highlight w:val="none"/>
              </w:rPr>
              <w:t>批准登记机关</w:t>
            </w:r>
          </w:p>
        </w:tc>
        <w:tc>
          <w:tcPr>
            <w:tcW w:w="1866" w:type="pct"/>
            <w:gridSpan w:val="2"/>
            <w:vAlign w:val="center"/>
          </w:tcPr>
          <w:p w14:paraId="4714D9AA">
            <w:pPr>
              <w:jc w:val="center"/>
              <w:rPr>
                <w:rFonts w:ascii="宋体" w:hAnsi="宋体" w:cs="宋体"/>
                <w:sz w:val="22"/>
                <w:szCs w:val="18"/>
                <w:highlight w:val="none"/>
              </w:rPr>
            </w:pPr>
          </w:p>
        </w:tc>
        <w:tc>
          <w:tcPr>
            <w:tcW w:w="842" w:type="pct"/>
            <w:gridSpan w:val="2"/>
            <w:vAlign w:val="center"/>
          </w:tcPr>
          <w:p w14:paraId="222A93AF">
            <w:pPr>
              <w:jc w:val="center"/>
              <w:rPr>
                <w:rFonts w:ascii="宋体" w:hAnsi="宋体" w:cs="宋体"/>
                <w:sz w:val="22"/>
                <w:szCs w:val="18"/>
                <w:highlight w:val="none"/>
              </w:rPr>
            </w:pPr>
            <w:r>
              <w:rPr>
                <w:rFonts w:hint="eastAsia" w:ascii="宋体" w:hAnsi="宋体" w:cs="宋体"/>
                <w:sz w:val="22"/>
                <w:szCs w:val="22"/>
                <w:highlight w:val="none"/>
              </w:rPr>
              <w:t>统一社会信用代码</w:t>
            </w:r>
          </w:p>
        </w:tc>
        <w:tc>
          <w:tcPr>
            <w:tcW w:w="1386" w:type="pct"/>
            <w:vAlign w:val="center"/>
          </w:tcPr>
          <w:p w14:paraId="4DE67FA8">
            <w:pPr>
              <w:jc w:val="center"/>
              <w:rPr>
                <w:rFonts w:ascii="宋体" w:hAnsi="宋体" w:cs="宋体"/>
                <w:sz w:val="22"/>
                <w:szCs w:val="18"/>
                <w:highlight w:val="none"/>
              </w:rPr>
            </w:pPr>
          </w:p>
        </w:tc>
      </w:tr>
      <w:tr w14:paraId="48EB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684A2061">
            <w:pPr>
              <w:jc w:val="center"/>
              <w:rPr>
                <w:rFonts w:ascii="宋体" w:hAnsi="宋体" w:cs="宋体"/>
                <w:sz w:val="22"/>
                <w:szCs w:val="18"/>
                <w:highlight w:val="none"/>
              </w:rPr>
            </w:pPr>
            <w:r>
              <w:rPr>
                <w:rFonts w:hint="eastAsia" w:ascii="宋体" w:hAnsi="宋体" w:cs="宋体"/>
                <w:sz w:val="22"/>
                <w:szCs w:val="18"/>
                <w:highlight w:val="none"/>
              </w:rPr>
              <w:t>法定代表人</w:t>
            </w:r>
          </w:p>
        </w:tc>
        <w:tc>
          <w:tcPr>
            <w:tcW w:w="1866" w:type="pct"/>
            <w:gridSpan w:val="2"/>
            <w:vAlign w:val="center"/>
          </w:tcPr>
          <w:p w14:paraId="0DEF519E">
            <w:pPr>
              <w:jc w:val="center"/>
              <w:rPr>
                <w:rFonts w:ascii="宋体" w:hAnsi="宋体" w:cs="宋体"/>
                <w:sz w:val="22"/>
                <w:szCs w:val="18"/>
                <w:highlight w:val="none"/>
              </w:rPr>
            </w:pPr>
          </w:p>
        </w:tc>
        <w:tc>
          <w:tcPr>
            <w:tcW w:w="842" w:type="pct"/>
            <w:gridSpan w:val="2"/>
            <w:vAlign w:val="center"/>
          </w:tcPr>
          <w:p w14:paraId="790F6238">
            <w:pPr>
              <w:jc w:val="center"/>
              <w:rPr>
                <w:rFonts w:ascii="宋体" w:hAnsi="宋体" w:cs="宋体"/>
                <w:sz w:val="22"/>
                <w:szCs w:val="18"/>
                <w:highlight w:val="none"/>
              </w:rPr>
            </w:pPr>
            <w:r>
              <w:rPr>
                <w:rFonts w:hint="eastAsia" w:ascii="宋体" w:hAnsi="宋体" w:cs="宋体"/>
                <w:sz w:val="22"/>
                <w:szCs w:val="18"/>
                <w:highlight w:val="none"/>
              </w:rPr>
              <w:t>营业期限</w:t>
            </w:r>
          </w:p>
        </w:tc>
        <w:tc>
          <w:tcPr>
            <w:tcW w:w="1386" w:type="pct"/>
            <w:vAlign w:val="center"/>
          </w:tcPr>
          <w:p w14:paraId="59F50399">
            <w:pPr>
              <w:jc w:val="center"/>
              <w:rPr>
                <w:rFonts w:ascii="宋体" w:hAnsi="宋体" w:cs="宋体"/>
                <w:sz w:val="22"/>
                <w:szCs w:val="18"/>
                <w:highlight w:val="none"/>
              </w:rPr>
            </w:pPr>
          </w:p>
        </w:tc>
      </w:tr>
      <w:tr w14:paraId="48A0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019C4C20">
            <w:pPr>
              <w:jc w:val="center"/>
              <w:rPr>
                <w:rFonts w:ascii="宋体" w:hAnsi="宋体" w:cs="宋体"/>
                <w:sz w:val="22"/>
                <w:szCs w:val="18"/>
                <w:highlight w:val="none"/>
              </w:rPr>
            </w:pPr>
            <w:r>
              <w:rPr>
                <w:rFonts w:hint="eastAsia" w:ascii="宋体" w:hAnsi="宋体" w:cs="宋体"/>
                <w:sz w:val="22"/>
                <w:szCs w:val="18"/>
                <w:highlight w:val="none"/>
              </w:rPr>
              <w:t>主营业务</w:t>
            </w:r>
          </w:p>
        </w:tc>
        <w:tc>
          <w:tcPr>
            <w:tcW w:w="4095" w:type="pct"/>
            <w:gridSpan w:val="5"/>
            <w:vAlign w:val="center"/>
          </w:tcPr>
          <w:p w14:paraId="52A8FCA4">
            <w:pPr>
              <w:jc w:val="center"/>
              <w:rPr>
                <w:rFonts w:ascii="宋体" w:hAnsi="宋体" w:cs="宋体"/>
                <w:sz w:val="22"/>
                <w:szCs w:val="18"/>
                <w:highlight w:val="none"/>
              </w:rPr>
            </w:pPr>
          </w:p>
        </w:tc>
      </w:tr>
      <w:tr w14:paraId="5570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30378A14">
            <w:pPr>
              <w:jc w:val="center"/>
              <w:rPr>
                <w:rFonts w:ascii="宋体" w:hAnsi="宋体" w:cs="宋体"/>
                <w:sz w:val="22"/>
                <w:szCs w:val="18"/>
                <w:highlight w:val="none"/>
              </w:rPr>
            </w:pPr>
            <w:r>
              <w:rPr>
                <w:rFonts w:hint="eastAsia" w:ascii="宋体" w:hAnsi="宋体" w:cs="宋体"/>
                <w:sz w:val="22"/>
                <w:szCs w:val="18"/>
                <w:highlight w:val="none"/>
              </w:rPr>
              <w:t>组织结构</w:t>
            </w:r>
          </w:p>
        </w:tc>
        <w:tc>
          <w:tcPr>
            <w:tcW w:w="4095" w:type="pct"/>
            <w:gridSpan w:val="5"/>
            <w:vAlign w:val="center"/>
          </w:tcPr>
          <w:p w14:paraId="2B626630">
            <w:pPr>
              <w:jc w:val="center"/>
              <w:rPr>
                <w:rFonts w:ascii="宋体" w:hAnsi="宋体" w:cs="宋体"/>
                <w:sz w:val="22"/>
                <w:szCs w:val="18"/>
                <w:highlight w:val="none"/>
              </w:rPr>
            </w:pPr>
          </w:p>
        </w:tc>
      </w:tr>
      <w:tr w14:paraId="0993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79C25C30">
            <w:pPr>
              <w:jc w:val="center"/>
              <w:rPr>
                <w:rFonts w:ascii="宋体" w:hAnsi="宋体" w:cs="宋体"/>
                <w:sz w:val="22"/>
                <w:szCs w:val="18"/>
                <w:highlight w:val="none"/>
              </w:rPr>
            </w:pPr>
            <w:r>
              <w:rPr>
                <w:rFonts w:hint="eastAsia" w:ascii="宋体" w:hAnsi="宋体" w:cs="宋体"/>
                <w:sz w:val="22"/>
                <w:szCs w:val="18"/>
                <w:highlight w:val="none"/>
              </w:rPr>
              <w:t>地  址</w:t>
            </w:r>
          </w:p>
        </w:tc>
        <w:tc>
          <w:tcPr>
            <w:tcW w:w="4095" w:type="pct"/>
            <w:gridSpan w:val="5"/>
            <w:vAlign w:val="center"/>
          </w:tcPr>
          <w:p w14:paraId="3B262238">
            <w:pPr>
              <w:jc w:val="center"/>
              <w:rPr>
                <w:rFonts w:ascii="宋体" w:hAnsi="宋体" w:cs="宋体"/>
                <w:sz w:val="22"/>
                <w:szCs w:val="18"/>
                <w:highlight w:val="none"/>
              </w:rPr>
            </w:pPr>
          </w:p>
        </w:tc>
      </w:tr>
      <w:tr w14:paraId="789D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29DFBA71">
            <w:pPr>
              <w:jc w:val="center"/>
              <w:rPr>
                <w:rFonts w:ascii="宋体" w:hAnsi="宋体" w:cs="宋体"/>
                <w:sz w:val="22"/>
                <w:szCs w:val="18"/>
                <w:highlight w:val="none"/>
              </w:rPr>
            </w:pPr>
            <w:r>
              <w:rPr>
                <w:rFonts w:hint="eastAsia" w:ascii="宋体" w:hAnsi="宋体" w:cs="宋体"/>
                <w:sz w:val="22"/>
                <w:szCs w:val="18"/>
                <w:highlight w:val="none"/>
              </w:rPr>
              <w:t>开户银行</w:t>
            </w:r>
          </w:p>
        </w:tc>
        <w:tc>
          <w:tcPr>
            <w:tcW w:w="4095" w:type="pct"/>
            <w:gridSpan w:val="5"/>
            <w:vAlign w:val="center"/>
          </w:tcPr>
          <w:p w14:paraId="2226598E">
            <w:pPr>
              <w:jc w:val="center"/>
              <w:rPr>
                <w:rFonts w:ascii="宋体" w:hAnsi="宋体" w:cs="宋体"/>
                <w:sz w:val="22"/>
                <w:szCs w:val="18"/>
                <w:highlight w:val="none"/>
              </w:rPr>
            </w:pPr>
          </w:p>
        </w:tc>
      </w:tr>
      <w:tr w14:paraId="209D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904" w:type="pct"/>
            <w:vAlign w:val="center"/>
          </w:tcPr>
          <w:p w14:paraId="71C8C6EB">
            <w:pPr>
              <w:jc w:val="center"/>
              <w:rPr>
                <w:rFonts w:ascii="宋体" w:hAnsi="宋体" w:cs="宋体"/>
                <w:sz w:val="22"/>
                <w:szCs w:val="18"/>
                <w:highlight w:val="none"/>
              </w:rPr>
            </w:pPr>
            <w:r>
              <w:rPr>
                <w:rFonts w:hint="eastAsia" w:ascii="宋体" w:hAnsi="宋体" w:cs="宋体"/>
                <w:sz w:val="22"/>
                <w:szCs w:val="18"/>
                <w:highlight w:val="none"/>
              </w:rPr>
              <w:t>开户行号</w:t>
            </w:r>
          </w:p>
          <w:p w14:paraId="1874E317">
            <w:pPr>
              <w:jc w:val="center"/>
              <w:rPr>
                <w:rFonts w:ascii="宋体" w:hAnsi="宋体" w:cs="宋体"/>
                <w:sz w:val="22"/>
                <w:szCs w:val="18"/>
                <w:highlight w:val="none"/>
              </w:rPr>
            </w:pPr>
            <w:r>
              <w:rPr>
                <w:rFonts w:hint="eastAsia" w:ascii="宋体" w:hAnsi="宋体" w:cs="宋体"/>
                <w:sz w:val="22"/>
                <w:szCs w:val="18"/>
                <w:highlight w:val="none"/>
              </w:rPr>
              <w:t>（如有）</w:t>
            </w:r>
          </w:p>
        </w:tc>
        <w:tc>
          <w:tcPr>
            <w:tcW w:w="4095" w:type="pct"/>
            <w:gridSpan w:val="5"/>
            <w:vAlign w:val="center"/>
          </w:tcPr>
          <w:p w14:paraId="4E615A9D">
            <w:pPr>
              <w:jc w:val="center"/>
              <w:rPr>
                <w:rFonts w:ascii="宋体" w:hAnsi="宋体" w:cs="宋体"/>
                <w:sz w:val="22"/>
                <w:szCs w:val="18"/>
                <w:highlight w:val="none"/>
              </w:rPr>
            </w:pPr>
          </w:p>
        </w:tc>
      </w:tr>
      <w:tr w14:paraId="2733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58B5AD50">
            <w:pPr>
              <w:jc w:val="center"/>
              <w:rPr>
                <w:rFonts w:ascii="宋体" w:hAnsi="宋体" w:cs="宋体"/>
                <w:sz w:val="22"/>
                <w:szCs w:val="18"/>
                <w:highlight w:val="none"/>
              </w:rPr>
            </w:pPr>
            <w:r>
              <w:rPr>
                <w:rFonts w:hint="eastAsia" w:ascii="宋体" w:hAnsi="宋体" w:cs="宋体"/>
                <w:sz w:val="22"/>
                <w:szCs w:val="18"/>
                <w:highlight w:val="none"/>
              </w:rPr>
              <w:t>银行账号</w:t>
            </w:r>
          </w:p>
        </w:tc>
        <w:tc>
          <w:tcPr>
            <w:tcW w:w="4095" w:type="pct"/>
            <w:gridSpan w:val="5"/>
            <w:vAlign w:val="center"/>
          </w:tcPr>
          <w:p w14:paraId="4E2BAA68">
            <w:pPr>
              <w:jc w:val="center"/>
              <w:rPr>
                <w:rFonts w:ascii="宋体" w:hAnsi="宋体" w:cs="宋体"/>
                <w:sz w:val="22"/>
                <w:szCs w:val="18"/>
                <w:highlight w:val="none"/>
              </w:rPr>
            </w:pPr>
          </w:p>
        </w:tc>
      </w:tr>
      <w:tr w14:paraId="3042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7298F2F9">
            <w:pPr>
              <w:jc w:val="center"/>
              <w:rPr>
                <w:rFonts w:ascii="宋体" w:hAnsi="宋体" w:cs="宋体"/>
                <w:sz w:val="22"/>
                <w:szCs w:val="18"/>
                <w:highlight w:val="none"/>
              </w:rPr>
            </w:pPr>
            <w:r>
              <w:rPr>
                <w:rFonts w:hint="eastAsia" w:ascii="宋体" w:hAnsi="宋体" w:cs="宋体"/>
                <w:sz w:val="22"/>
                <w:szCs w:val="18"/>
                <w:highlight w:val="none"/>
              </w:rPr>
              <w:t>电  话</w:t>
            </w:r>
          </w:p>
        </w:tc>
        <w:tc>
          <w:tcPr>
            <w:tcW w:w="1784" w:type="pct"/>
            <w:vAlign w:val="center"/>
          </w:tcPr>
          <w:p w14:paraId="4D963F6E">
            <w:pPr>
              <w:jc w:val="center"/>
              <w:rPr>
                <w:rFonts w:ascii="宋体" w:hAnsi="宋体" w:cs="宋体"/>
                <w:sz w:val="22"/>
                <w:szCs w:val="18"/>
                <w:highlight w:val="none"/>
              </w:rPr>
            </w:pPr>
          </w:p>
        </w:tc>
        <w:tc>
          <w:tcPr>
            <w:tcW w:w="807" w:type="pct"/>
            <w:gridSpan w:val="2"/>
            <w:vAlign w:val="center"/>
          </w:tcPr>
          <w:p w14:paraId="4BF1C781">
            <w:pPr>
              <w:jc w:val="center"/>
              <w:rPr>
                <w:rFonts w:ascii="宋体" w:hAnsi="宋体" w:cs="宋体"/>
                <w:sz w:val="22"/>
                <w:szCs w:val="18"/>
                <w:highlight w:val="none"/>
              </w:rPr>
            </w:pPr>
            <w:r>
              <w:rPr>
                <w:rFonts w:hint="eastAsia" w:ascii="宋体" w:hAnsi="宋体" w:cs="宋体"/>
                <w:sz w:val="22"/>
                <w:szCs w:val="18"/>
                <w:highlight w:val="none"/>
              </w:rPr>
              <w:t>传  真</w:t>
            </w:r>
          </w:p>
        </w:tc>
        <w:tc>
          <w:tcPr>
            <w:tcW w:w="1503" w:type="pct"/>
            <w:gridSpan w:val="2"/>
            <w:vAlign w:val="center"/>
          </w:tcPr>
          <w:p w14:paraId="161ADF36">
            <w:pPr>
              <w:jc w:val="center"/>
              <w:rPr>
                <w:rFonts w:ascii="宋体" w:hAnsi="宋体" w:cs="宋体"/>
                <w:sz w:val="22"/>
                <w:szCs w:val="18"/>
                <w:highlight w:val="none"/>
              </w:rPr>
            </w:pPr>
          </w:p>
        </w:tc>
      </w:tr>
      <w:tr w14:paraId="0C48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69495CE0">
            <w:pPr>
              <w:jc w:val="center"/>
              <w:rPr>
                <w:rFonts w:ascii="宋体" w:hAnsi="宋体" w:cs="宋体"/>
                <w:sz w:val="22"/>
                <w:szCs w:val="18"/>
                <w:highlight w:val="none"/>
              </w:rPr>
            </w:pPr>
            <w:r>
              <w:rPr>
                <w:rFonts w:hint="eastAsia" w:ascii="宋体" w:hAnsi="宋体" w:cs="宋体"/>
                <w:sz w:val="22"/>
                <w:szCs w:val="18"/>
                <w:highlight w:val="none"/>
              </w:rPr>
              <w:t>邮  箱</w:t>
            </w:r>
          </w:p>
        </w:tc>
        <w:tc>
          <w:tcPr>
            <w:tcW w:w="1784" w:type="pct"/>
            <w:vAlign w:val="center"/>
          </w:tcPr>
          <w:p w14:paraId="37B41A41">
            <w:pPr>
              <w:jc w:val="center"/>
              <w:rPr>
                <w:rFonts w:ascii="宋体" w:hAnsi="宋体" w:cs="宋体"/>
                <w:sz w:val="22"/>
                <w:szCs w:val="18"/>
                <w:highlight w:val="none"/>
              </w:rPr>
            </w:pPr>
          </w:p>
        </w:tc>
        <w:tc>
          <w:tcPr>
            <w:tcW w:w="807" w:type="pct"/>
            <w:gridSpan w:val="2"/>
            <w:vAlign w:val="center"/>
          </w:tcPr>
          <w:p w14:paraId="77BAD59F">
            <w:pPr>
              <w:jc w:val="center"/>
              <w:rPr>
                <w:rFonts w:ascii="宋体" w:hAnsi="宋体" w:cs="宋体"/>
                <w:sz w:val="22"/>
                <w:szCs w:val="18"/>
                <w:highlight w:val="none"/>
              </w:rPr>
            </w:pPr>
            <w:r>
              <w:rPr>
                <w:rFonts w:hint="eastAsia" w:ascii="宋体" w:hAnsi="宋体" w:cs="宋体"/>
                <w:sz w:val="22"/>
                <w:szCs w:val="18"/>
                <w:highlight w:val="none"/>
              </w:rPr>
              <w:t>邮  编</w:t>
            </w:r>
          </w:p>
        </w:tc>
        <w:tc>
          <w:tcPr>
            <w:tcW w:w="1503" w:type="pct"/>
            <w:gridSpan w:val="2"/>
            <w:vAlign w:val="center"/>
          </w:tcPr>
          <w:p w14:paraId="2B435985">
            <w:pPr>
              <w:jc w:val="center"/>
              <w:rPr>
                <w:rFonts w:ascii="宋体" w:hAnsi="宋体" w:cs="宋体"/>
                <w:sz w:val="22"/>
                <w:szCs w:val="18"/>
                <w:highlight w:val="none"/>
              </w:rPr>
            </w:pPr>
          </w:p>
        </w:tc>
      </w:tr>
      <w:tr w14:paraId="5904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4" w:type="pct"/>
            <w:vAlign w:val="center"/>
          </w:tcPr>
          <w:p w14:paraId="6F0730EC">
            <w:pPr>
              <w:jc w:val="center"/>
              <w:rPr>
                <w:rFonts w:ascii="宋体" w:hAnsi="宋体" w:cs="宋体"/>
                <w:sz w:val="22"/>
                <w:szCs w:val="18"/>
                <w:highlight w:val="none"/>
              </w:rPr>
            </w:pPr>
            <w:r>
              <w:rPr>
                <w:rFonts w:hint="eastAsia" w:ascii="宋体" w:hAnsi="宋体" w:cs="宋体"/>
                <w:sz w:val="22"/>
                <w:szCs w:val="18"/>
                <w:highlight w:val="none"/>
              </w:rPr>
              <w:t>联系人</w:t>
            </w:r>
          </w:p>
        </w:tc>
        <w:tc>
          <w:tcPr>
            <w:tcW w:w="1784" w:type="pct"/>
            <w:vAlign w:val="center"/>
          </w:tcPr>
          <w:p w14:paraId="15E51C91">
            <w:pPr>
              <w:jc w:val="center"/>
              <w:rPr>
                <w:rFonts w:ascii="宋体" w:hAnsi="宋体" w:cs="宋体"/>
                <w:sz w:val="22"/>
                <w:szCs w:val="18"/>
                <w:highlight w:val="none"/>
              </w:rPr>
            </w:pPr>
          </w:p>
        </w:tc>
        <w:tc>
          <w:tcPr>
            <w:tcW w:w="807" w:type="pct"/>
            <w:gridSpan w:val="2"/>
            <w:vAlign w:val="center"/>
          </w:tcPr>
          <w:p w14:paraId="4C2FC8C2">
            <w:pPr>
              <w:jc w:val="center"/>
              <w:rPr>
                <w:rFonts w:ascii="宋体" w:hAnsi="宋体" w:cs="宋体"/>
                <w:sz w:val="22"/>
                <w:szCs w:val="18"/>
                <w:highlight w:val="none"/>
              </w:rPr>
            </w:pPr>
            <w:r>
              <w:rPr>
                <w:rFonts w:hint="eastAsia" w:ascii="宋体" w:hAnsi="宋体" w:cs="宋体"/>
                <w:sz w:val="22"/>
                <w:szCs w:val="18"/>
                <w:highlight w:val="none"/>
              </w:rPr>
              <w:t>联系方式</w:t>
            </w:r>
          </w:p>
        </w:tc>
        <w:tc>
          <w:tcPr>
            <w:tcW w:w="1503" w:type="pct"/>
            <w:gridSpan w:val="2"/>
            <w:vAlign w:val="center"/>
          </w:tcPr>
          <w:p w14:paraId="11007F0F">
            <w:pPr>
              <w:jc w:val="center"/>
              <w:rPr>
                <w:rFonts w:ascii="宋体" w:hAnsi="宋体" w:cs="宋体"/>
                <w:sz w:val="22"/>
                <w:szCs w:val="18"/>
                <w:highlight w:val="none"/>
              </w:rPr>
            </w:pPr>
          </w:p>
        </w:tc>
      </w:tr>
      <w:tr w14:paraId="34EE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000" w:type="pct"/>
            <w:gridSpan w:val="6"/>
            <w:vAlign w:val="center"/>
          </w:tcPr>
          <w:p w14:paraId="4C1E0228">
            <w:pPr>
              <w:wordWrap w:val="0"/>
              <w:jc w:val="center"/>
              <w:rPr>
                <w:rFonts w:ascii="宋体" w:hAnsi="宋体" w:cs="宋体"/>
                <w:sz w:val="22"/>
                <w:szCs w:val="18"/>
                <w:highlight w:val="none"/>
                <w:u w:val="single"/>
              </w:rPr>
            </w:pPr>
          </w:p>
        </w:tc>
      </w:tr>
    </w:tbl>
    <w:p w14:paraId="5ADF3BCC">
      <w:pPr>
        <w:spacing w:line="440" w:lineRule="exact"/>
        <w:ind w:firstLine="420" w:firstLineChars="200"/>
        <w:rPr>
          <w:rFonts w:ascii="宋体" w:hAnsi="宋体" w:cs="宋体"/>
          <w:highlight w:val="none"/>
        </w:rPr>
      </w:pPr>
      <w:r>
        <w:rPr>
          <w:rFonts w:hint="eastAsia" w:ascii="宋体" w:hAnsi="宋体" w:cs="宋体"/>
          <w:highlight w:val="none"/>
        </w:rPr>
        <w:t>兹声明上述信息是真实、正确的，并提供了全部能提供的资料和数据；如我方提供的证明材料有虚假情况，愿承担相应后果。</w:t>
      </w:r>
    </w:p>
    <w:p w14:paraId="7346E479">
      <w:pPr>
        <w:spacing w:line="400" w:lineRule="exact"/>
        <w:jc w:val="center"/>
        <w:rPr>
          <w:rFonts w:ascii="宋体" w:hAnsi="宋体" w:cs="宋体"/>
          <w:szCs w:val="21"/>
          <w:highlight w:val="none"/>
        </w:rPr>
      </w:pPr>
      <w:r>
        <w:rPr>
          <w:rFonts w:hint="eastAsia" w:ascii="宋体" w:hAnsi="宋体" w:cs="宋体"/>
          <w:bCs/>
          <w:szCs w:val="21"/>
          <w:highlight w:val="none"/>
        </w:rPr>
        <w:t xml:space="preserve">                                           供应商名称（加盖公章）：     </w:t>
      </w:r>
      <w:r>
        <w:rPr>
          <w:rFonts w:hint="eastAsia" w:ascii="宋体" w:hAnsi="宋体" w:cs="宋体"/>
          <w:szCs w:val="21"/>
          <w:highlight w:val="none"/>
        </w:rPr>
        <w:t xml:space="preserve"> </w:t>
      </w:r>
    </w:p>
    <w:p w14:paraId="74397F14">
      <w:pPr>
        <w:wordWrap w:val="0"/>
        <w:spacing w:line="400" w:lineRule="exact"/>
        <w:jc w:val="right"/>
        <w:rPr>
          <w:rFonts w:ascii="宋体" w:hAnsi="宋体" w:cs="宋体"/>
          <w:szCs w:val="21"/>
          <w:highlight w:val="none"/>
        </w:rPr>
      </w:pPr>
      <w:r>
        <w:rPr>
          <w:rFonts w:hint="eastAsia" w:ascii="宋体" w:hAnsi="宋体" w:cs="宋体"/>
          <w:bCs/>
          <w:szCs w:val="21"/>
          <w:highlight w:val="none"/>
        </w:rPr>
        <w:t>法定代表人或其委托代理人（签字或盖章）</w:t>
      </w:r>
      <w:r>
        <w:rPr>
          <w:rFonts w:hint="eastAsia" w:ascii="宋体" w:hAnsi="宋体" w:cs="宋体"/>
          <w:highlight w:val="none"/>
        </w:rPr>
        <w:t xml:space="preserve">：    </w:t>
      </w:r>
    </w:p>
    <w:p w14:paraId="0CD6C11F">
      <w:pPr>
        <w:spacing w:line="360" w:lineRule="auto"/>
        <w:jc w:val="right"/>
        <w:rPr>
          <w:rFonts w:hint="eastAsia" w:ascii="宋体" w:hAnsi="宋体" w:cs="宋体"/>
          <w:sz w:val="24"/>
          <w:szCs w:val="24"/>
          <w:highlight w:val="none"/>
        </w:rPr>
      </w:pPr>
      <w:r>
        <w:rPr>
          <w:rFonts w:hint="eastAsia" w:ascii="宋体" w:hAnsi="宋体" w:cs="宋体"/>
          <w:szCs w:val="21"/>
          <w:highlight w:val="none"/>
        </w:rPr>
        <w:t xml:space="preserve">                 年     月     日</w:t>
      </w:r>
    </w:p>
    <w:p w14:paraId="3D2FA469">
      <w:pPr>
        <w:rPr>
          <w:rFonts w:hint="eastAsia" w:ascii="宋体" w:hAnsi="宋体" w:cs="宋体"/>
          <w:b/>
          <w:sz w:val="24"/>
          <w:highlight w:val="none"/>
        </w:rPr>
      </w:pPr>
      <w:r>
        <w:rPr>
          <w:rFonts w:hint="eastAsia" w:ascii="宋体" w:hAnsi="宋体" w:cs="宋体"/>
          <w:b/>
          <w:sz w:val="24"/>
          <w:highlight w:val="none"/>
        </w:rPr>
        <w:br w:type="page"/>
      </w:r>
    </w:p>
    <w:p w14:paraId="4A03B4DF">
      <w:pPr>
        <w:spacing w:line="480" w:lineRule="auto"/>
        <w:jc w:val="left"/>
        <w:rPr>
          <w:rFonts w:hint="eastAsia" w:ascii="宋体" w:hAnsi="宋体" w:cs="宋体"/>
          <w:sz w:val="24"/>
          <w:szCs w:val="24"/>
          <w:highlight w:val="none"/>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四</w:t>
      </w:r>
      <w:r>
        <w:rPr>
          <w:rFonts w:hint="eastAsia" w:ascii="宋体" w:hAnsi="宋体" w:cs="宋体"/>
          <w:sz w:val="24"/>
          <w:szCs w:val="24"/>
          <w:highlight w:val="none"/>
        </w:rPr>
        <w:t>：</w:t>
      </w:r>
    </w:p>
    <w:p w14:paraId="2AA23673">
      <w:pPr>
        <w:widowControl/>
        <w:spacing w:before="120" w:beforeLines="50" w:after="120" w:afterLines="50"/>
        <w:jc w:val="center"/>
        <w:rPr>
          <w:rFonts w:ascii="宋体" w:hAnsi="宋体" w:cs="宋体"/>
          <w:szCs w:val="21"/>
          <w:highlight w:val="none"/>
        </w:rPr>
      </w:pPr>
      <w:r>
        <w:rPr>
          <w:rFonts w:hint="eastAsia" w:ascii="宋体" w:hAnsi="宋体" w:cs="宋体"/>
          <w:b/>
          <w:bCs/>
          <w:sz w:val="32"/>
          <w:szCs w:val="32"/>
          <w:highlight w:val="none"/>
        </w:rPr>
        <w:t>项目组织机构人员构成</w:t>
      </w:r>
    </w:p>
    <w:p w14:paraId="20EB137F">
      <w:pPr>
        <w:keepNext/>
        <w:keepLines/>
        <w:spacing w:before="260" w:after="260" w:line="415" w:lineRule="auto"/>
        <w:jc w:val="center"/>
        <w:outlineLvl w:val="2"/>
        <w:rPr>
          <w:rFonts w:ascii="宋体" w:hAnsi="宋体" w:cs="宋体"/>
          <w:b/>
          <w:bCs/>
          <w:sz w:val="23"/>
          <w:szCs w:val="23"/>
          <w:highlight w:val="none"/>
        </w:rPr>
      </w:pPr>
      <w:bookmarkStart w:id="1550" w:name="_Toc152045804"/>
      <w:bookmarkStart w:id="1551" w:name="_Toc324863708"/>
      <w:bookmarkStart w:id="1552" w:name="_Toc179632824"/>
      <w:bookmarkStart w:id="1553" w:name="_Toc246997113"/>
      <w:bookmarkStart w:id="1554" w:name="_Toc247085888"/>
      <w:bookmarkStart w:id="1555" w:name="_Toc246996370"/>
      <w:bookmarkStart w:id="1556" w:name="_Toc27519"/>
      <w:bookmarkStart w:id="1557" w:name="_Toc11196"/>
      <w:bookmarkStart w:id="1558" w:name="_Toc144974872"/>
      <w:bookmarkStart w:id="1559" w:name="_Toc152042593"/>
      <w:r>
        <w:rPr>
          <w:rFonts w:hint="eastAsia" w:ascii="宋体" w:hAnsi="宋体" w:cs="宋体"/>
          <w:b/>
          <w:bCs/>
          <w:sz w:val="32"/>
          <w:szCs w:val="32"/>
          <w:highlight w:val="none"/>
        </w:rPr>
        <w:t>（一）项目管理机构组成表</w:t>
      </w:r>
      <w:bookmarkEnd w:id="1550"/>
      <w:bookmarkEnd w:id="1551"/>
      <w:bookmarkEnd w:id="1552"/>
      <w:bookmarkEnd w:id="1553"/>
      <w:bookmarkEnd w:id="1554"/>
      <w:bookmarkEnd w:id="1555"/>
      <w:bookmarkEnd w:id="1556"/>
      <w:bookmarkEnd w:id="1557"/>
      <w:bookmarkEnd w:id="1558"/>
      <w:bookmarkEnd w:id="1559"/>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51"/>
        <w:gridCol w:w="1147"/>
        <w:gridCol w:w="1725"/>
        <w:gridCol w:w="1146"/>
        <w:gridCol w:w="1150"/>
        <w:gridCol w:w="1146"/>
        <w:gridCol w:w="1072"/>
      </w:tblGrid>
      <w:tr w14:paraId="7FD0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3" w:type="dxa"/>
            <w:vMerge w:val="restart"/>
            <w:tcBorders>
              <w:top w:val="single" w:color="auto" w:sz="4" w:space="0"/>
              <w:left w:val="single" w:color="auto" w:sz="4" w:space="0"/>
              <w:bottom w:val="single" w:color="auto" w:sz="4" w:space="0"/>
              <w:right w:val="single" w:color="auto" w:sz="4" w:space="0"/>
            </w:tcBorders>
            <w:noWrap/>
            <w:vAlign w:val="center"/>
          </w:tcPr>
          <w:p w14:paraId="4F2D611B">
            <w:pPr>
              <w:spacing w:line="440" w:lineRule="exact"/>
              <w:jc w:val="center"/>
              <w:rPr>
                <w:rFonts w:ascii="宋体" w:hAnsi="宋体" w:cs="宋体"/>
                <w:szCs w:val="21"/>
                <w:highlight w:val="none"/>
              </w:rPr>
            </w:pPr>
            <w:r>
              <w:rPr>
                <w:rFonts w:hint="eastAsia" w:ascii="宋体" w:hAnsi="宋体" w:cs="宋体"/>
                <w:szCs w:val="21"/>
                <w:highlight w:val="none"/>
              </w:rPr>
              <w:t>职务</w:t>
            </w:r>
          </w:p>
        </w:tc>
        <w:tc>
          <w:tcPr>
            <w:tcW w:w="1151" w:type="dxa"/>
            <w:vMerge w:val="restart"/>
            <w:tcBorders>
              <w:top w:val="single" w:color="auto" w:sz="4" w:space="0"/>
              <w:left w:val="single" w:color="auto" w:sz="4" w:space="0"/>
              <w:bottom w:val="single" w:color="auto" w:sz="4" w:space="0"/>
              <w:right w:val="single" w:color="auto" w:sz="4" w:space="0"/>
            </w:tcBorders>
            <w:noWrap/>
            <w:vAlign w:val="center"/>
          </w:tcPr>
          <w:p w14:paraId="2A7FE4D5">
            <w:pPr>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147" w:type="dxa"/>
            <w:vMerge w:val="restart"/>
            <w:tcBorders>
              <w:top w:val="single" w:color="auto" w:sz="4" w:space="0"/>
              <w:left w:val="single" w:color="auto" w:sz="4" w:space="0"/>
              <w:bottom w:val="single" w:color="auto" w:sz="4" w:space="0"/>
              <w:right w:val="single" w:color="auto" w:sz="4" w:space="0"/>
            </w:tcBorders>
            <w:noWrap/>
            <w:vAlign w:val="center"/>
          </w:tcPr>
          <w:p w14:paraId="3223AC18">
            <w:pPr>
              <w:spacing w:line="440" w:lineRule="exact"/>
              <w:jc w:val="center"/>
              <w:rPr>
                <w:rFonts w:ascii="宋体" w:hAnsi="宋体" w:cs="宋体"/>
                <w:szCs w:val="21"/>
                <w:highlight w:val="none"/>
              </w:rPr>
            </w:pPr>
            <w:r>
              <w:rPr>
                <w:rFonts w:hint="eastAsia" w:ascii="宋体" w:hAnsi="宋体" w:cs="宋体"/>
                <w:szCs w:val="21"/>
                <w:highlight w:val="none"/>
              </w:rPr>
              <w:t>职称</w:t>
            </w:r>
          </w:p>
        </w:tc>
        <w:tc>
          <w:tcPr>
            <w:tcW w:w="5167" w:type="dxa"/>
            <w:gridSpan w:val="4"/>
            <w:tcBorders>
              <w:top w:val="single" w:color="auto" w:sz="4" w:space="0"/>
              <w:left w:val="single" w:color="auto" w:sz="4" w:space="0"/>
              <w:bottom w:val="single" w:color="auto" w:sz="4" w:space="0"/>
              <w:right w:val="single" w:color="auto" w:sz="4" w:space="0"/>
            </w:tcBorders>
            <w:noWrap/>
            <w:vAlign w:val="center"/>
          </w:tcPr>
          <w:p w14:paraId="664A08E2">
            <w:pPr>
              <w:spacing w:line="440" w:lineRule="exact"/>
              <w:jc w:val="center"/>
              <w:rPr>
                <w:rFonts w:ascii="宋体" w:hAnsi="宋体" w:cs="宋体"/>
                <w:szCs w:val="21"/>
                <w:highlight w:val="none"/>
              </w:rPr>
            </w:pPr>
            <w:r>
              <w:rPr>
                <w:rFonts w:hint="eastAsia" w:ascii="宋体" w:hAnsi="宋体" w:cs="宋体"/>
                <w:szCs w:val="21"/>
                <w:highlight w:val="none"/>
              </w:rPr>
              <w:t>职业资格证明</w:t>
            </w:r>
          </w:p>
        </w:tc>
        <w:tc>
          <w:tcPr>
            <w:tcW w:w="1072" w:type="dxa"/>
            <w:tcBorders>
              <w:top w:val="single" w:color="auto" w:sz="4" w:space="0"/>
              <w:left w:val="single" w:color="auto" w:sz="4" w:space="0"/>
              <w:bottom w:val="single" w:color="auto" w:sz="4" w:space="0"/>
              <w:right w:val="single" w:color="auto" w:sz="4" w:space="0"/>
            </w:tcBorders>
            <w:noWrap/>
            <w:vAlign w:val="center"/>
          </w:tcPr>
          <w:p w14:paraId="7A4218C8">
            <w:pPr>
              <w:spacing w:line="440" w:lineRule="exact"/>
              <w:jc w:val="center"/>
              <w:rPr>
                <w:rFonts w:ascii="宋体" w:hAnsi="宋体" w:cs="宋体"/>
                <w:szCs w:val="21"/>
                <w:highlight w:val="none"/>
              </w:rPr>
            </w:pPr>
            <w:r>
              <w:rPr>
                <w:rFonts w:hint="eastAsia" w:ascii="宋体" w:hAnsi="宋体" w:cs="宋体"/>
                <w:szCs w:val="21"/>
                <w:highlight w:val="none"/>
              </w:rPr>
              <w:t>备注</w:t>
            </w:r>
          </w:p>
        </w:tc>
      </w:tr>
      <w:tr w14:paraId="42F1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3" w:type="dxa"/>
            <w:vMerge w:val="continue"/>
            <w:tcBorders>
              <w:top w:val="single" w:color="auto" w:sz="4" w:space="0"/>
              <w:left w:val="single" w:color="auto" w:sz="4" w:space="0"/>
              <w:bottom w:val="single" w:color="auto" w:sz="4" w:space="0"/>
              <w:right w:val="single" w:color="auto" w:sz="4" w:space="0"/>
            </w:tcBorders>
            <w:noWrap/>
            <w:vAlign w:val="center"/>
          </w:tcPr>
          <w:p w14:paraId="169F7B03">
            <w:pPr>
              <w:spacing w:line="440" w:lineRule="exact"/>
              <w:jc w:val="center"/>
              <w:rPr>
                <w:rFonts w:ascii="宋体" w:hAnsi="宋体" w:cs="宋体"/>
                <w:szCs w:val="21"/>
                <w:highlight w:val="none"/>
              </w:rPr>
            </w:pPr>
          </w:p>
        </w:tc>
        <w:tc>
          <w:tcPr>
            <w:tcW w:w="1151" w:type="dxa"/>
            <w:vMerge w:val="continue"/>
            <w:tcBorders>
              <w:top w:val="single" w:color="auto" w:sz="4" w:space="0"/>
              <w:left w:val="single" w:color="auto" w:sz="4" w:space="0"/>
              <w:bottom w:val="single" w:color="auto" w:sz="4" w:space="0"/>
              <w:right w:val="single" w:color="auto" w:sz="4" w:space="0"/>
            </w:tcBorders>
            <w:noWrap/>
            <w:vAlign w:val="center"/>
          </w:tcPr>
          <w:p w14:paraId="3A34E3B0">
            <w:pPr>
              <w:spacing w:line="440" w:lineRule="exact"/>
              <w:jc w:val="center"/>
              <w:rPr>
                <w:rFonts w:ascii="宋体" w:hAnsi="宋体" w:cs="宋体"/>
                <w:szCs w:val="21"/>
                <w:highlight w:val="none"/>
              </w:rPr>
            </w:pPr>
          </w:p>
        </w:tc>
        <w:tc>
          <w:tcPr>
            <w:tcW w:w="1147" w:type="dxa"/>
            <w:vMerge w:val="continue"/>
            <w:tcBorders>
              <w:top w:val="single" w:color="auto" w:sz="4" w:space="0"/>
              <w:left w:val="single" w:color="auto" w:sz="4" w:space="0"/>
              <w:bottom w:val="single" w:color="auto" w:sz="4" w:space="0"/>
              <w:right w:val="single" w:color="auto" w:sz="4" w:space="0"/>
            </w:tcBorders>
            <w:noWrap/>
            <w:vAlign w:val="center"/>
          </w:tcPr>
          <w:p w14:paraId="0318C968">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78A95368">
            <w:pPr>
              <w:spacing w:line="440" w:lineRule="exact"/>
              <w:jc w:val="center"/>
              <w:rPr>
                <w:rFonts w:ascii="宋体" w:hAnsi="宋体" w:cs="宋体"/>
                <w:szCs w:val="21"/>
                <w:highlight w:val="none"/>
              </w:rPr>
            </w:pPr>
            <w:r>
              <w:rPr>
                <w:rFonts w:hint="eastAsia" w:ascii="宋体" w:hAnsi="宋体" w:cs="宋体"/>
                <w:szCs w:val="21"/>
                <w:highlight w:val="none"/>
              </w:rPr>
              <w:t>证书名称</w:t>
            </w:r>
          </w:p>
        </w:tc>
        <w:tc>
          <w:tcPr>
            <w:tcW w:w="1146" w:type="dxa"/>
            <w:tcBorders>
              <w:top w:val="single" w:color="auto" w:sz="4" w:space="0"/>
              <w:left w:val="single" w:color="auto" w:sz="4" w:space="0"/>
              <w:bottom w:val="single" w:color="auto" w:sz="4" w:space="0"/>
              <w:right w:val="single" w:color="auto" w:sz="4" w:space="0"/>
            </w:tcBorders>
            <w:noWrap/>
            <w:vAlign w:val="center"/>
          </w:tcPr>
          <w:p w14:paraId="7B579123">
            <w:pPr>
              <w:spacing w:line="440" w:lineRule="exact"/>
              <w:jc w:val="center"/>
              <w:rPr>
                <w:rFonts w:ascii="宋体" w:hAnsi="宋体" w:cs="宋体"/>
                <w:szCs w:val="21"/>
                <w:highlight w:val="none"/>
              </w:rPr>
            </w:pPr>
            <w:r>
              <w:rPr>
                <w:rFonts w:hint="eastAsia" w:ascii="宋体" w:hAnsi="宋体" w:cs="宋体"/>
                <w:szCs w:val="21"/>
                <w:highlight w:val="none"/>
              </w:rPr>
              <w:t>级别</w:t>
            </w:r>
          </w:p>
        </w:tc>
        <w:tc>
          <w:tcPr>
            <w:tcW w:w="1150" w:type="dxa"/>
            <w:tcBorders>
              <w:top w:val="single" w:color="auto" w:sz="4" w:space="0"/>
              <w:left w:val="single" w:color="auto" w:sz="4" w:space="0"/>
              <w:bottom w:val="single" w:color="auto" w:sz="4" w:space="0"/>
              <w:right w:val="single" w:color="auto" w:sz="4" w:space="0"/>
            </w:tcBorders>
            <w:noWrap/>
            <w:vAlign w:val="center"/>
          </w:tcPr>
          <w:p w14:paraId="50C94D7E">
            <w:pPr>
              <w:spacing w:line="440" w:lineRule="exact"/>
              <w:jc w:val="center"/>
              <w:rPr>
                <w:rFonts w:ascii="宋体" w:hAnsi="宋体" w:cs="宋体"/>
                <w:szCs w:val="21"/>
                <w:highlight w:val="none"/>
              </w:rPr>
            </w:pPr>
            <w:r>
              <w:rPr>
                <w:rFonts w:hint="eastAsia" w:ascii="宋体" w:hAnsi="宋体" w:cs="宋体"/>
                <w:szCs w:val="21"/>
                <w:highlight w:val="none"/>
              </w:rPr>
              <w:t>证号</w:t>
            </w:r>
          </w:p>
        </w:tc>
        <w:tc>
          <w:tcPr>
            <w:tcW w:w="1146" w:type="dxa"/>
            <w:tcBorders>
              <w:top w:val="single" w:color="auto" w:sz="4" w:space="0"/>
              <w:left w:val="single" w:color="auto" w:sz="4" w:space="0"/>
              <w:bottom w:val="single" w:color="auto" w:sz="4" w:space="0"/>
              <w:right w:val="single" w:color="auto" w:sz="4" w:space="0"/>
            </w:tcBorders>
            <w:noWrap/>
            <w:vAlign w:val="center"/>
          </w:tcPr>
          <w:p w14:paraId="3C899CDF">
            <w:pPr>
              <w:spacing w:line="440" w:lineRule="exact"/>
              <w:jc w:val="center"/>
              <w:rPr>
                <w:rFonts w:ascii="宋体" w:hAnsi="宋体" w:cs="宋体"/>
                <w:szCs w:val="21"/>
                <w:highlight w:val="none"/>
              </w:rPr>
            </w:pPr>
            <w:r>
              <w:rPr>
                <w:rFonts w:hint="eastAsia" w:ascii="宋体" w:hAnsi="宋体" w:cs="宋体"/>
                <w:szCs w:val="21"/>
                <w:highlight w:val="none"/>
              </w:rPr>
              <w:t>专业</w:t>
            </w:r>
          </w:p>
        </w:tc>
        <w:tc>
          <w:tcPr>
            <w:tcW w:w="1072" w:type="dxa"/>
            <w:tcBorders>
              <w:top w:val="single" w:color="auto" w:sz="4" w:space="0"/>
              <w:left w:val="single" w:color="auto" w:sz="4" w:space="0"/>
              <w:bottom w:val="single" w:color="auto" w:sz="4" w:space="0"/>
              <w:right w:val="single" w:color="auto" w:sz="4" w:space="0"/>
            </w:tcBorders>
            <w:noWrap/>
            <w:vAlign w:val="center"/>
          </w:tcPr>
          <w:p w14:paraId="14354C50">
            <w:pPr>
              <w:spacing w:line="440" w:lineRule="exact"/>
              <w:jc w:val="center"/>
              <w:rPr>
                <w:rFonts w:ascii="宋体" w:hAnsi="宋体" w:cs="宋体"/>
                <w:szCs w:val="21"/>
                <w:highlight w:val="none"/>
              </w:rPr>
            </w:pPr>
          </w:p>
        </w:tc>
      </w:tr>
      <w:tr w14:paraId="64AE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vAlign w:val="center"/>
          </w:tcPr>
          <w:p w14:paraId="3026D998">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51AC022E">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vAlign w:val="center"/>
          </w:tcPr>
          <w:p w14:paraId="443D2385">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01E7B110">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ign w:val="center"/>
          </w:tcPr>
          <w:p w14:paraId="6B2BAE03">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382A4225">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ign w:val="center"/>
          </w:tcPr>
          <w:p w14:paraId="2E4B92B6">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ign w:val="center"/>
          </w:tcPr>
          <w:p w14:paraId="34CA3350">
            <w:pPr>
              <w:spacing w:line="440" w:lineRule="exact"/>
              <w:jc w:val="center"/>
              <w:rPr>
                <w:rFonts w:ascii="宋体" w:hAnsi="宋体" w:cs="宋体"/>
                <w:szCs w:val="21"/>
                <w:highlight w:val="none"/>
              </w:rPr>
            </w:pPr>
          </w:p>
        </w:tc>
      </w:tr>
      <w:tr w14:paraId="7A8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6F642573">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46807026">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2E27130D">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7BC57D1D">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7EAD8DC0">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1FFC8A16">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77B1BD22">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2AC6FC68">
            <w:pPr>
              <w:spacing w:line="440" w:lineRule="exact"/>
              <w:jc w:val="center"/>
              <w:rPr>
                <w:rFonts w:ascii="宋体" w:hAnsi="宋体" w:cs="宋体"/>
                <w:szCs w:val="21"/>
                <w:highlight w:val="none"/>
              </w:rPr>
            </w:pPr>
          </w:p>
        </w:tc>
      </w:tr>
      <w:tr w14:paraId="0BFC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0055E8CD">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404A2E6F">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3FFD1A77">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5BB2A92D">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3B414C5">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5FCCCC5A">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4F42AF65">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719950A0">
            <w:pPr>
              <w:spacing w:line="440" w:lineRule="exact"/>
              <w:jc w:val="center"/>
              <w:rPr>
                <w:rFonts w:ascii="宋体" w:hAnsi="宋体" w:cs="宋体"/>
                <w:szCs w:val="21"/>
                <w:highlight w:val="none"/>
              </w:rPr>
            </w:pPr>
          </w:p>
        </w:tc>
      </w:tr>
      <w:tr w14:paraId="09D0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15D5183A">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37587A7B">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193FB732">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007AD7A1">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52ABDB0C">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712829E9">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9F6C017">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619CA337">
            <w:pPr>
              <w:spacing w:line="440" w:lineRule="exact"/>
              <w:jc w:val="center"/>
              <w:rPr>
                <w:rFonts w:ascii="宋体" w:hAnsi="宋体" w:cs="宋体"/>
                <w:szCs w:val="21"/>
                <w:highlight w:val="none"/>
              </w:rPr>
            </w:pPr>
          </w:p>
        </w:tc>
      </w:tr>
      <w:tr w14:paraId="06A4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74A5DD49">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57F1D839">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2FB7116C">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0CDF7226">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6D1512E6">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14EEBC33">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1DA0EED8">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4891C749">
            <w:pPr>
              <w:spacing w:line="440" w:lineRule="exact"/>
              <w:jc w:val="center"/>
              <w:rPr>
                <w:rFonts w:ascii="宋体" w:hAnsi="宋体" w:cs="宋体"/>
                <w:szCs w:val="21"/>
                <w:highlight w:val="none"/>
              </w:rPr>
            </w:pPr>
          </w:p>
        </w:tc>
      </w:tr>
      <w:tr w14:paraId="2AFC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00A48719">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B1148FA">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275209CA">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1B0AE6C8">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C041933">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7399DDB3">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1C10BE3">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696F2023">
            <w:pPr>
              <w:spacing w:line="440" w:lineRule="exact"/>
              <w:jc w:val="center"/>
              <w:rPr>
                <w:rFonts w:ascii="宋体" w:hAnsi="宋体" w:cs="宋体"/>
                <w:szCs w:val="21"/>
                <w:highlight w:val="none"/>
              </w:rPr>
            </w:pPr>
          </w:p>
        </w:tc>
      </w:tr>
      <w:tr w14:paraId="569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531EF706">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35B31521">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03A87441">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3957DA29">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683A8AEF">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230DF8F2">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45634063">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1C4F50A8">
            <w:pPr>
              <w:spacing w:line="440" w:lineRule="exact"/>
              <w:jc w:val="center"/>
              <w:rPr>
                <w:rFonts w:ascii="宋体" w:hAnsi="宋体" w:cs="宋体"/>
                <w:szCs w:val="21"/>
                <w:highlight w:val="none"/>
              </w:rPr>
            </w:pPr>
          </w:p>
        </w:tc>
      </w:tr>
      <w:tr w14:paraId="4B7A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418890BC">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43A1B57">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1FAAB20D">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6E6AC144">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3CC2E37B">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4127771B">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7B8165E">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3EE37A56">
            <w:pPr>
              <w:spacing w:line="440" w:lineRule="exact"/>
              <w:jc w:val="center"/>
              <w:rPr>
                <w:rFonts w:ascii="宋体" w:hAnsi="宋体" w:cs="宋体"/>
                <w:szCs w:val="21"/>
                <w:highlight w:val="none"/>
              </w:rPr>
            </w:pPr>
          </w:p>
        </w:tc>
      </w:tr>
      <w:tr w14:paraId="0EBF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698A0BB4">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5465CBB2">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653BB127">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79BCCF27">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41C5332A">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45A04662">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1C21297">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5875ECE2">
            <w:pPr>
              <w:spacing w:line="440" w:lineRule="exact"/>
              <w:jc w:val="center"/>
              <w:rPr>
                <w:rFonts w:ascii="宋体" w:hAnsi="宋体" w:cs="宋体"/>
                <w:szCs w:val="21"/>
                <w:highlight w:val="none"/>
              </w:rPr>
            </w:pPr>
          </w:p>
        </w:tc>
      </w:tr>
      <w:tr w14:paraId="11E4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2D45CD93">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4C9AA489">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4D313DF4">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29044908">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5B09383D">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05B6D0F7">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76B1A776">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641ED182">
            <w:pPr>
              <w:spacing w:line="440" w:lineRule="exact"/>
              <w:jc w:val="center"/>
              <w:rPr>
                <w:rFonts w:ascii="宋体" w:hAnsi="宋体" w:cs="宋体"/>
                <w:szCs w:val="21"/>
                <w:highlight w:val="none"/>
              </w:rPr>
            </w:pPr>
          </w:p>
        </w:tc>
      </w:tr>
      <w:tr w14:paraId="121F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1AFBD94C">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428F24B">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3028A3C0">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2C64C129">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350E276D">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037AA910">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48EEC6BD">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31247C09">
            <w:pPr>
              <w:spacing w:line="440" w:lineRule="exact"/>
              <w:jc w:val="center"/>
              <w:rPr>
                <w:rFonts w:ascii="宋体" w:hAnsi="宋体" w:cs="宋体"/>
                <w:szCs w:val="21"/>
                <w:highlight w:val="none"/>
              </w:rPr>
            </w:pPr>
          </w:p>
        </w:tc>
      </w:tr>
      <w:tr w14:paraId="5BFC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34B61551">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26D8E45D">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0FA8F2CF">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3D25BC73">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49531C8E">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2FAE3F7B">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0ED6CF51">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0E32F874">
            <w:pPr>
              <w:spacing w:line="440" w:lineRule="exact"/>
              <w:jc w:val="center"/>
              <w:rPr>
                <w:rFonts w:ascii="宋体" w:hAnsi="宋体" w:cs="宋体"/>
                <w:szCs w:val="21"/>
                <w:highlight w:val="none"/>
              </w:rPr>
            </w:pPr>
          </w:p>
        </w:tc>
      </w:tr>
      <w:tr w14:paraId="09F1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76ECB80F">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1BE36599">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4D0B444E">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0B249167">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17ABF808">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2C6D7562">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54187A16">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234D21CD">
            <w:pPr>
              <w:spacing w:line="440" w:lineRule="exact"/>
              <w:jc w:val="center"/>
              <w:rPr>
                <w:rFonts w:ascii="宋体" w:hAnsi="宋体" w:cs="宋体"/>
                <w:szCs w:val="21"/>
                <w:highlight w:val="none"/>
              </w:rPr>
            </w:pPr>
          </w:p>
        </w:tc>
      </w:tr>
      <w:tr w14:paraId="6385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19C0A349">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11062139">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0CED9F25">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61D7555B">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EAA42CF">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1DA0858C">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5537B55C">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700936D0">
            <w:pPr>
              <w:spacing w:line="440" w:lineRule="exact"/>
              <w:jc w:val="center"/>
              <w:rPr>
                <w:rFonts w:ascii="宋体" w:hAnsi="宋体" w:cs="宋体"/>
                <w:szCs w:val="21"/>
                <w:highlight w:val="none"/>
              </w:rPr>
            </w:pPr>
          </w:p>
        </w:tc>
      </w:tr>
      <w:tr w14:paraId="15EE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2756830A">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782E2AC">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0655AEF5">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3671C462">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24FB6A4">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2A3A503E">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57962EA1">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0864428E">
            <w:pPr>
              <w:spacing w:line="440" w:lineRule="exact"/>
              <w:jc w:val="center"/>
              <w:rPr>
                <w:rFonts w:ascii="宋体" w:hAnsi="宋体" w:cs="宋体"/>
                <w:szCs w:val="21"/>
                <w:highlight w:val="none"/>
              </w:rPr>
            </w:pPr>
          </w:p>
        </w:tc>
      </w:tr>
      <w:tr w14:paraId="17E8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54F33A51">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413D8212">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0FC37735">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60EF5745">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5D579ABB">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1446448A">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7565F349">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760B0ED1">
            <w:pPr>
              <w:spacing w:line="440" w:lineRule="exact"/>
              <w:jc w:val="center"/>
              <w:rPr>
                <w:rFonts w:ascii="宋体" w:hAnsi="宋体" w:cs="宋体"/>
                <w:szCs w:val="21"/>
                <w:highlight w:val="none"/>
              </w:rPr>
            </w:pPr>
          </w:p>
        </w:tc>
      </w:tr>
      <w:tr w14:paraId="0497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6517C62D">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53028B09">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64A33BA8">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5551A3E7">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7204C868">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635951FE">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7352148">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4036A364">
            <w:pPr>
              <w:spacing w:line="440" w:lineRule="exact"/>
              <w:jc w:val="center"/>
              <w:rPr>
                <w:rFonts w:ascii="宋体" w:hAnsi="宋体" w:cs="宋体"/>
                <w:szCs w:val="21"/>
                <w:highlight w:val="none"/>
              </w:rPr>
            </w:pPr>
          </w:p>
        </w:tc>
      </w:tr>
      <w:tr w14:paraId="7922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52463930">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C902E3A">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3CB105B2">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39BA853B">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29799A56">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0029EE6C">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66158269">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57D8AC0A">
            <w:pPr>
              <w:spacing w:line="440" w:lineRule="exact"/>
              <w:jc w:val="center"/>
              <w:rPr>
                <w:rFonts w:ascii="宋体" w:hAnsi="宋体" w:cs="宋体"/>
                <w:szCs w:val="21"/>
                <w:highlight w:val="none"/>
              </w:rPr>
            </w:pPr>
          </w:p>
        </w:tc>
      </w:tr>
      <w:tr w14:paraId="405C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tcPr>
          <w:p w14:paraId="316A8197">
            <w:pPr>
              <w:spacing w:line="440" w:lineRule="exact"/>
              <w:jc w:val="center"/>
              <w:rPr>
                <w:rFonts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7579736B">
            <w:pPr>
              <w:spacing w:line="440" w:lineRule="exact"/>
              <w:jc w:val="cente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noWrap/>
          </w:tcPr>
          <w:p w14:paraId="6DB64503">
            <w:pPr>
              <w:spacing w:line="440" w:lineRule="exact"/>
              <w:jc w:val="center"/>
              <w:rPr>
                <w:rFonts w:ascii="宋体" w:hAnsi="宋体" w:cs="宋体"/>
                <w:szCs w:val="21"/>
                <w:highlight w:val="none"/>
              </w:rPr>
            </w:pPr>
          </w:p>
        </w:tc>
        <w:tc>
          <w:tcPr>
            <w:tcW w:w="1725" w:type="dxa"/>
            <w:tcBorders>
              <w:top w:val="single" w:color="auto" w:sz="4" w:space="0"/>
              <w:left w:val="single" w:color="auto" w:sz="4" w:space="0"/>
              <w:bottom w:val="single" w:color="auto" w:sz="4" w:space="0"/>
              <w:right w:val="single" w:color="auto" w:sz="4" w:space="0"/>
            </w:tcBorders>
            <w:noWrap/>
          </w:tcPr>
          <w:p w14:paraId="2F57E295">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77914F9D">
            <w:pPr>
              <w:spacing w:line="440" w:lineRule="exact"/>
              <w:jc w:val="center"/>
              <w:rPr>
                <w:rFonts w:ascii="宋体" w:hAnsi="宋体" w:cs="宋体"/>
                <w:szCs w:val="21"/>
                <w:highlight w:val="none"/>
              </w:rPr>
            </w:pPr>
          </w:p>
        </w:tc>
        <w:tc>
          <w:tcPr>
            <w:tcW w:w="1150" w:type="dxa"/>
            <w:tcBorders>
              <w:top w:val="single" w:color="auto" w:sz="4" w:space="0"/>
              <w:left w:val="single" w:color="auto" w:sz="4" w:space="0"/>
              <w:bottom w:val="single" w:color="auto" w:sz="4" w:space="0"/>
              <w:right w:val="single" w:color="auto" w:sz="4" w:space="0"/>
            </w:tcBorders>
            <w:noWrap/>
          </w:tcPr>
          <w:p w14:paraId="782D4599">
            <w:pPr>
              <w:spacing w:line="440" w:lineRule="exact"/>
              <w:jc w:val="center"/>
              <w:rPr>
                <w:rFonts w:ascii="宋体" w:hAnsi="宋体" w:cs="宋体"/>
                <w:szCs w:val="21"/>
                <w:highlight w:val="none"/>
              </w:rPr>
            </w:pPr>
          </w:p>
        </w:tc>
        <w:tc>
          <w:tcPr>
            <w:tcW w:w="1146" w:type="dxa"/>
            <w:tcBorders>
              <w:top w:val="single" w:color="auto" w:sz="4" w:space="0"/>
              <w:left w:val="single" w:color="auto" w:sz="4" w:space="0"/>
              <w:bottom w:val="single" w:color="auto" w:sz="4" w:space="0"/>
              <w:right w:val="single" w:color="auto" w:sz="4" w:space="0"/>
            </w:tcBorders>
            <w:noWrap/>
          </w:tcPr>
          <w:p w14:paraId="7EAC3149">
            <w:pPr>
              <w:spacing w:line="440" w:lineRule="exact"/>
              <w:jc w:val="center"/>
              <w:rPr>
                <w:rFonts w:ascii="宋体" w:hAnsi="宋体" w:cs="宋体"/>
                <w:szCs w:val="21"/>
                <w:highlight w:val="none"/>
              </w:rPr>
            </w:pPr>
          </w:p>
        </w:tc>
        <w:tc>
          <w:tcPr>
            <w:tcW w:w="1072" w:type="dxa"/>
            <w:tcBorders>
              <w:top w:val="single" w:color="auto" w:sz="4" w:space="0"/>
              <w:left w:val="single" w:color="auto" w:sz="4" w:space="0"/>
              <w:bottom w:val="single" w:color="auto" w:sz="4" w:space="0"/>
              <w:right w:val="single" w:color="auto" w:sz="4" w:space="0"/>
            </w:tcBorders>
            <w:noWrap/>
          </w:tcPr>
          <w:p w14:paraId="264B0124">
            <w:pPr>
              <w:spacing w:line="440" w:lineRule="exact"/>
              <w:jc w:val="center"/>
              <w:rPr>
                <w:rFonts w:ascii="宋体" w:hAnsi="宋体" w:cs="宋体"/>
                <w:szCs w:val="21"/>
                <w:highlight w:val="none"/>
              </w:rPr>
            </w:pPr>
          </w:p>
        </w:tc>
      </w:tr>
    </w:tbl>
    <w:p w14:paraId="2BCF5CB8">
      <w:pPr>
        <w:topLinePunct/>
        <w:spacing w:line="440" w:lineRule="exact"/>
        <w:rPr>
          <w:rFonts w:ascii="宋体" w:hAnsi="宋体" w:cs="宋体"/>
          <w:sz w:val="20"/>
          <w:highlight w:val="none"/>
        </w:rPr>
      </w:pPr>
    </w:p>
    <w:p w14:paraId="23088282">
      <w:pPr>
        <w:spacing w:line="360" w:lineRule="auto"/>
        <w:jc w:val="center"/>
        <w:rPr>
          <w:rFonts w:ascii="宋体" w:hAnsi="宋体" w:cs="宋体"/>
          <w:b/>
          <w:bCs/>
          <w:kern w:val="0"/>
          <w:sz w:val="24"/>
          <w:highlight w:val="none"/>
        </w:rPr>
      </w:pPr>
      <w:r>
        <w:rPr>
          <w:rFonts w:hint="eastAsia" w:ascii="宋体" w:hAnsi="宋体" w:cs="宋体"/>
          <w:sz w:val="20"/>
          <w:highlight w:val="none"/>
        </w:rPr>
        <w:br w:type="page"/>
      </w:r>
      <w:r>
        <w:rPr>
          <w:rFonts w:hint="eastAsia" w:ascii="宋体" w:hAnsi="宋体" w:cs="宋体"/>
          <w:b/>
          <w:sz w:val="32"/>
          <w:szCs w:val="22"/>
          <w:highlight w:val="none"/>
        </w:rPr>
        <w:t>（二）项目经理</w:t>
      </w:r>
      <w:r>
        <w:rPr>
          <w:rFonts w:hint="eastAsia" w:ascii="宋体" w:hAnsi="宋体" w:cs="宋体"/>
          <w:b/>
          <w:bCs/>
          <w:kern w:val="0"/>
          <w:sz w:val="32"/>
          <w:szCs w:val="22"/>
          <w:highlight w:val="none"/>
        </w:rPr>
        <w:t>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6C09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noWrap/>
            <w:vAlign w:val="center"/>
          </w:tcPr>
          <w:p w14:paraId="04F954B0">
            <w:pPr>
              <w:jc w:val="center"/>
              <w:rPr>
                <w:rFonts w:ascii="宋体" w:hAnsi="宋体" w:cs="宋体"/>
                <w:kern w:val="0"/>
                <w:szCs w:val="21"/>
                <w:highlight w:val="none"/>
              </w:rPr>
            </w:pPr>
            <w:r>
              <w:rPr>
                <w:rFonts w:hint="eastAsia" w:ascii="宋体" w:hAnsi="宋体" w:cs="宋体"/>
                <w:kern w:val="0"/>
                <w:szCs w:val="21"/>
                <w:highlight w:val="none"/>
              </w:rPr>
              <w:t>姓名</w:t>
            </w:r>
          </w:p>
        </w:tc>
        <w:tc>
          <w:tcPr>
            <w:tcW w:w="1480" w:type="dxa"/>
            <w:noWrap/>
            <w:vAlign w:val="center"/>
          </w:tcPr>
          <w:p w14:paraId="15BE3D0E">
            <w:pPr>
              <w:jc w:val="center"/>
              <w:rPr>
                <w:rFonts w:ascii="宋体" w:hAnsi="宋体" w:cs="宋体"/>
                <w:kern w:val="0"/>
                <w:szCs w:val="21"/>
                <w:highlight w:val="none"/>
              </w:rPr>
            </w:pPr>
          </w:p>
        </w:tc>
        <w:tc>
          <w:tcPr>
            <w:tcW w:w="1480" w:type="dxa"/>
            <w:noWrap/>
            <w:vAlign w:val="center"/>
          </w:tcPr>
          <w:p w14:paraId="33013CC3">
            <w:pPr>
              <w:jc w:val="center"/>
              <w:rPr>
                <w:rFonts w:ascii="宋体" w:hAnsi="宋体" w:cs="宋体"/>
                <w:kern w:val="0"/>
                <w:szCs w:val="21"/>
                <w:highlight w:val="none"/>
              </w:rPr>
            </w:pPr>
            <w:r>
              <w:rPr>
                <w:rFonts w:hint="eastAsia" w:ascii="宋体" w:hAnsi="宋体" w:cs="宋体"/>
                <w:kern w:val="0"/>
                <w:szCs w:val="21"/>
                <w:highlight w:val="none"/>
              </w:rPr>
              <w:t>性别</w:t>
            </w:r>
          </w:p>
        </w:tc>
        <w:tc>
          <w:tcPr>
            <w:tcW w:w="1608" w:type="dxa"/>
            <w:noWrap/>
            <w:vAlign w:val="center"/>
          </w:tcPr>
          <w:p w14:paraId="746EE7A0">
            <w:pPr>
              <w:jc w:val="center"/>
              <w:rPr>
                <w:rFonts w:ascii="宋体" w:hAnsi="宋体" w:cs="宋体"/>
                <w:kern w:val="0"/>
                <w:szCs w:val="21"/>
                <w:highlight w:val="none"/>
              </w:rPr>
            </w:pPr>
          </w:p>
        </w:tc>
        <w:tc>
          <w:tcPr>
            <w:tcW w:w="1481" w:type="dxa"/>
            <w:noWrap/>
            <w:vAlign w:val="center"/>
          </w:tcPr>
          <w:p w14:paraId="55C5DBA7">
            <w:pPr>
              <w:jc w:val="center"/>
              <w:rPr>
                <w:rFonts w:ascii="宋体" w:hAnsi="宋体" w:cs="宋体"/>
                <w:kern w:val="0"/>
                <w:szCs w:val="21"/>
                <w:highlight w:val="none"/>
              </w:rPr>
            </w:pPr>
            <w:r>
              <w:rPr>
                <w:rFonts w:hint="eastAsia" w:ascii="宋体" w:hAnsi="宋体" w:cs="宋体"/>
                <w:kern w:val="0"/>
                <w:szCs w:val="21"/>
                <w:highlight w:val="none"/>
              </w:rPr>
              <w:t>年龄</w:t>
            </w:r>
          </w:p>
        </w:tc>
        <w:tc>
          <w:tcPr>
            <w:tcW w:w="1481" w:type="dxa"/>
            <w:noWrap/>
            <w:vAlign w:val="center"/>
          </w:tcPr>
          <w:p w14:paraId="3E222644">
            <w:pPr>
              <w:jc w:val="center"/>
              <w:rPr>
                <w:rFonts w:ascii="宋体" w:hAnsi="宋体" w:cs="宋体"/>
                <w:kern w:val="0"/>
                <w:szCs w:val="21"/>
                <w:highlight w:val="none"/>
              </w:rPr>
            </w:pPr>
          </w:p>
        </w:tc>
      </w:tr>
      <w:tr w14:paraId="3FAD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noWrap/>
            <w:vAlign w:val="center"/>
          </w:tcPr>
          <w:p w14:paraId="23565DEA">
            <w:pPr>
              <w:jc w:val="center"/>
              <w:rPr>
                <w:rFonts w:ascii="宋体" w:hAnsi="宋体" w:cs="宋体"/>
                <w:kern w:val="0"/>
                <w:szCs w:val="21"/>
                <w:highlight w:val="none"/>
              </w:rPr>
            </w:pPr>
            <w:r>
              <w:rPr>
                <w:rFonts w:hint="eastAsia" w:ascii="宋体" w:hAnsi="宋体" w:cs="宋体"/>
                <w:kern w:val="0"/>
                <w:szCs w:val="21"/>
                <w:highlight w:val="none"/>
              </w:rPr>
              <w:t>职务</w:t>
            </w:r>
          </w:p>
        </w:tc>
        <w:tc>
          <w:tcPr>
            <w:tcW w:w="1480" w:type="dxa"/>
            <w:noWrap/>
            <w:vAlign w:val="center"/>
          </w:tcPr>
          <w:p w14:paraId="65A4BCFE">
            <w:pPr>
              <w:jc w:val="center"/>
              <w:rPr>
                <w:rFonts w:ascii="宋体" w:hAnsi="宋体" w:cs="宋体"/>
                <w:kern w:val="0"/>
                <w:szCs w:val="21"/>
                <w:highlight w:val="none"/>
              </w:rPr>
            </w:pPr>
          </w:p>
        </w:tc>
        <w:tc>
          <w:tcPr>
            <w:tcW w:w="1480" w:type="dxa"/>
            <w:noWrap/>
            <w:vAlign w:val="center"/>
          </w:tcPr>
          <w:p w14:paraId="6AB4CB89">
            <w:pPr>
              <w:jc w:val="center"/>
              <w:rPr>
                <w:rFonts w:ascii="宋体" w:hAnsi="宋体" w:cs="宋体"/>
                <w:kern w:val="0"/>
                <w:szCs w:val="21"/>
                <w:highlight w:val="none"/>
              </w:rPr>
            </w:pPr>
            <w:r>
              <w:rPr>
                <w:rFonts w:hint="eastAsia" w:ascii="宋体" w:hAnsi="宋体" w:cs="宋体"/>
                <w:kern w:val="0"/>
                <w:szCs w:val="21"/>
                <w:highlight w:val="none"/>
              </w:rPr>
              <w:t>职称</w:t>
            </w:r>
          </w:p>
        </w:tc>
        <w:tc>
          <w:tcPr>
            <w:tcW w:w="1608" w:type="dxa"/>
            <w:noWrap/>
            <w:vAlign w:val="center"/>
          </w:tcPr>
          <w:p w14:paraId="4F3B7DF5">
            <w:pPr>
              <w:jc w:val="center"/>
              <w:rPr>
                <w:rFonts w:ascii="宋体" w:hAnsi="宋体" w:cs="宋体"/>
                <w:kern w:val="0"/>
                <w:szCs w:val="21"/>
                <w:highlight w:val="none"/>
              </w:rPr>
            </w:pPr>
          </w:p>
        </w:tc>
        <w:tc>
          <w:tcPr>
            <w:tcW w:w="1481" w:type="dxa"/>
            <w:noWrap/>
            <w:vAlign w:val="center"/>
          </w:tcPr>
          <w:p w14:paraId="057981FE">
            <w:pPr>
              <w:jc w:val="center"/>
              <w:rPr>
                <w:rFonts w:ascii="宋体" w:hAnsi="宋体" w:cs="宋体"/>
                <w:kern w:val="0"/>
                <w:szCs w:val="21"/>
                <w:highlight w:val="none"/>
              </w:rPr>
            </w:pPr>
            <w:r>
              <w:rPr>
                <w:rFonts w:hint="eastAsia" w:ascii="宋体" w:hAnsi="宋体" w:cs="宋体"/>
                <w:kern w:val="0"/>
                <w:szCs w:val="21"/>
                <w:highlight w:val="none"/>
              </w:rPr>
              <w:t>学历</w:t>
            </w:r>
          </w:p>
        </w:tc>
        <w:tc>
          <w:tcPr>
            <w:tcW w:w="1481" w:type="dxa"/>
            <w:noWrap/>
            <w:vAlign w:val="center"/>
          </w:tcPr>
          <w:p w14:paraId="62D6B2DC">
            <w:pPr>
              <w:jc w:val="center"/>
              <w:rPr>
                <w:rFonts w:ascii="宋体" w:hAnsi="宋体" w:cs="宋体"/>
                <w:kern w:val="0"/>
                <w:szCs w:val="21"/>
                <w:highlight w:val="none"/>
              </w:rPr>
            </w:pPr>
          </w:p>
        </w:tc>
      </w:tr>
      <w:tr w14:paraId="1A9C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0" w:type="dxa"/>
            <w:gridSpan w:val="2"/>
            <w:noWrap/>
            <w:vAlign w:val="center"/>
          </w:tcPr>
          <w:p w14:paraId="6D4EFEBF">
            <w:pPr>
              <w:jc w:val="center"/>
              <w:rPr>
                <w:rFonts w:ascii="宋体" w:hAnsi="宋体" w:cs="宋体"/>
                <w:kern w:val="0"/>
                <w:szCs w:val="21"/>
                <w:highlight w:val="none"/>
              </w:rPr>
            </w:pPr>
            <w:r>
              <w:rPr>
                <w:rFonts w:hint="eastAsia" w:ascii="宋体" w:hAnsi="宋体" w:cs="宋体"/>
                <w:kern w:val="0"/>
                <w:szCs w:val="21"/>
                <w:highlight w:val="none"/>
              </w:rPr>
              <w:t>资格证书编号</w:t>
            </w:r>
          </w:p>
        </w:tc>
        <w:tc>
          <w:tcPr>
            <w:tcW w:w="6050" w:type="dxa"/>
            <w:gridSpan w:val="4"/>
            <w:noWrap/>
            <w:vAlign w:val="center"/>
          </w:tcPr>
          <w:p w14:paraId="03F7311C">
            <w:pPr>
              <w:jc w:val="center"/>
              <w:rPr>
                <w:rFonts w:ascii="宋体" w:hAnsi="宋体" w:cs="宋体"/>
                <w:kern w:val="0"/>
                <w:szCs w:val="21"/>
                <w:highlight w:val="none"/>
              </w:rPr>
            </w:pPr>
          </w:p>
        </w:tc>
      </w:tr>
      <w:tr w14:paraId="61F2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0" w:type="dxa"/>
            <w:gridSpan w:val="6"/>
            <w:noWrap/>
            <w:vAlign w:val="center"/>
          </w:tcPr>
          <w:p w14:paraId="73D21E11">
            <w:pPr>
              <w:jc w:val="center"/>
              <w:rPr>
                <w:rFonts w:ascii="宋体" w:hAnsi="宋体" w:cs="宋体"/>
                <w:kern w:val="0"/>
                <w:szCs w:val="21"/>
                <w:highlight w:val="none"/>
              </w:rPr>
            </w:pPr>
            <w:r>
              <w:rPr>
                <w:rFonts w:hint="eastAsia" w:ascii="宋体" w:hAnsi="宋体" w:cs="宋体"/>
                <w:kern w:val="0"/>
                <w:szCs w:val="21"/>
                <w:highlight w:val="none"/>
              </w:rPr>
              <w:t>在建或已完工程项目情况</w:t>
            </w:r>
          </w:p>
        </w:tc>
      </w:tr>
      <w:tr w14:paraId="60E3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0" w:type="dxa"/>
            <w:noWrap/>
            <w:vAlign w:val="center"/>
          </w:tcPr>
          <w:p w14:paraId="7D5B5F19">
            <w:pPr>
              <w:jc w:val="center"/>
              <w:rPr>
                <w:rFonts w:ascii="宋体" w:hAnsi="宋体" w:cs="宋体"/>
                <w:kern w:val="0"/>
                <w:szCs w:val="21"/>
                <w:highlight w:val="none"/>
              </w:rPr>
            </w:pPr>
            <w:r>
              <w:rPr>
                <w:rFonts w:hint="eastAsia" w:ascii="宋体" w:hAnsi="宋体" w:cs="宋体"/>
                <w:kern w:val="0"/>
                <w:szCs w:val="21"/>
                <w:highlight w:val="none"/>
              </w:rPr>
              <w:t>序号</w:t>
            </w:r>
          </w:p>
        </w:tc>
        <w:tc>
          <w:tcPr>
            <w:tcW w:w="1480" w:type="dxa"/>
            <w:noWrap/>
            <w:vAlign w:val="center"/>
          </w:tcPr>
          <w:p w14:paraId="1AFFCFC6">
            <w:pPr>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1480" w:type="dxa"/>
            <w:noWrap/>
            <w:vAlign w:val="center"/>
          </w:tcPr>
          <w:p w14:paraId="119C13AD">
            <w:pPr>
              <w:jc w:val="center"/>
              <w:rPr>
                <w:rFonts w:ascii="宋体" w:hAnsi="宋体" w:cs="宋体"/>
                <w:kern w:val="0"/>
                <w:szCs w:val="21"/>
                <w:highlight w:val="none"/>
              </w:rPr>
            </w:pPr>
            <w:r>
              <w:rPr>
                <w:rFonts w:hint="eastAsia" w:ascii="宋体" w:hAnsi="宋体" w:cs="宋体"/>
                <w:kern w:val="0"/>
                <w:szCs w:val="21"/>
                <w:highlight w:val="none"/>
              </w:rPr>
              <w:t>建设单位</w:t>
            </w:r>
          </w:p>
        </w:tc>
        <w:tc>
          <w:tcPr>
            <w:tcW w:w="1608" w:type="dxa"/>
            <w:noWrap/>
            <w:vAlign w:val="center"/>
          </w:tcPr>
          <w:p w14:paraId="65E66108">
            <w:pPr>
              <w:jc w:val="center"/>
              <w:rPr>
                <w:rFonts w:ascii="宋体" w:hAnsi="宋体" w:cs="宋体"/>
                <w:kern w:val="0"/>
                <w:szCs w:val="21"/>
                <w:highlight w:val="none"/>
              </w:rPr>
            </w:pPr>
            <w:r>
              <w:rPr>
                <w:rFonts w:hint="eastAsia" w:ascii="宋体" w:hAnsi="宋体" w:cs="宋体"/>
                <w:kern w:val="0"/>
                <w:szCs w:val="21"/>
                <w:highlight w:val="none"/>
              </w:rPr>
              <w:t>委托事项</w:t>
            </w:r>
          </w:p>
        </w:tc>
        <w:tc>
          <w:tcPr>
            <w:tcW w:w="1481" w:type="dxa"/>
            <w:noWrap/>
            <w:vAlign w:val="center"/>
          </w:tcPr>
          <w:p w14:paraId="72D1DF69">
            <w:pPr>
              <w:jc w:val="center"/>
              <w:rPr>
                <w:rFonts w:ascii="宋体" w:hAnsi="宋体" w:cs="宋体"/>
                <w:kern w:val="0"/>
                <w:szCs w:val="21"/>
                <w:highlight w:val="none"/>
              </w:rPr>
            </w:pPr>
            <w:r>
              <w:rPr>
                <w:rFonts w:hint="eastAsia" w:ascii="宋体" w:hAnsi="宋体" w:cs="宋体"/>
                <w:kern w:val="0"/>
                <w:szCs w:val="21"/>
                <w:highlight w:val="none"/>
              </w:rPr>
              <w:t>项目投资额</w:t>
            </w:r>
          </w:p>
        </w:tc>
        <w:tc>
          <w:tcPr>
            <w:tcW w:w="1481" w:type="dxa"/>
            <w:noWrap/>
            <w:vAlign w:val="center"/>
          </w:tcPr>
          <w:p w14:paraId="251F04D8">
            <w:pPr>
              <w:jc w:val="center"/>
              <w:rPr>
                <w:rFonts w:ascii="宋体" w:hAnsi="宋体" w:cs="宋体"/>
                <w:kern w:val="0"/>
                <w:szCs w:val="21"/>
                <w:highlight w:val="none"/>
              </w:rPr>
            </w:pPr>
            <w:r>
              <w:rPr>
                <w:rFonts w:hint="eastAsia" w:ascii="宋体" w:hAnsi="宋体" w:cs="宋体"/>
                <w:kern w:val="0"/>
                <w:szCs w:val="21"/>
                <w:highlight w:val="none"/>
              </w:rPr>
              <w:t>日期</w:t>
            </w:r>
          </w:p>
        </w:tc>
      </w:tr>
      <w:tr w14:paraId="531E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1CB7DED5">
            <w:pPr>
              <w:spacing w:line="360" w:lineRule="auto"/>
              <w:rPr>
                <w:rFonts w:ascii="宋体" w:hAnsi="宋体" w:cs="宋体"/>
                <w:kern w:val="0"/>
                <w:szCs w:val="21"/>
                <w:highlight w:val="none"/>
              </w:rPr>
            </w:pPr>
          </w:p>
        </w:tc>
        <w:tc>
          <w:tcPr>
            <w:tcW w:w="1480" w:type="dxa"/>
            <w:noWrap/>
          </w:tcPr>
          <w:p w14:paraId="7EA5922C">
            <w:pPr>
              <w:spacing w:line="360" w:lineRule="auto"/>
              <w:rPr>
                <w:rFonts w:ascii="宋体" w:hAnsi="宋体" w:cs="宋体"/>
                <w:kern w:val="0"/>
                <w:szCs w:val="21"/>
                <w:highlight w:val="none"/>
              </w:rPr>
            </w:pPr>
          </w:p>
        </w:tc>
        <w:tc>
          <w:tcPr>
            <w:tcW w:w="1480" w:type="dxa"/>
            <w:noWrap/>
          </w:tcPr>
          <w:p w14:paraId="4178E3F1">
            <w:pPr>
              <w:spacing w:line="360" w:lineRule="auto"/>
              <w:rPr>
                <w:rFonts w:ascii="宋体" w:hAnsi="宋体" w:cs="宋体"/>
                <w:kern w:val="0"/>
                <w:szCs w:val="21"/>
                <w:highlight w:val="none"/>
              </w:rPr>
            </w:pPr>
          </w:p>
        </w:tc>
        <w:tc>
          <w:tcPr>
            <w:tcW w:w="1608" w:type="dxa"/>
            <w:noWrap/>
          </w:tcPr>
          <w:p w14:paraId="277E58F8">
            <w:pPr>
              <w:spacing w:line="360" w:lineRule="auto"/>
              <w:rPr>
                <w:rFonts w:ascii="宋体" w:hAnsi="宋体" w:cs="宋体"/>
                <w:kern w:val="0"/>
                <w:szCs w:val="21"/>
                <w:highlight w:val="none"/>
              </w:rPr>
            </w:pPr>
          </w:p>
        </w:tc>
        <w:tc>
          <w:tcPr>
            <w:tcW w:w="1481" w:type="dxa"/>
            <w:noWrap/>
          </w:tcPr>
          <w:p w14:paraId="43573520">
            <w:pPr>
              <w:spacing w:line="360" w:lineRule="auto"/>
              <w:rPr>
                <w:rFonts w:ascii="宋体" w:hAnsi="宋体" w:cs="宋体"/>
                <w:kern w:val="0"/>
                <w:szCs w:val="21"/>
                <w:highlight w:val="none"/>
              </w:rPr>
            </w:pPr>
          </w:p>
        </w:tc>
        <w:tc>
          <w:tcPr>
            <w:tcW w:w="1481" w:type="dxa"/>
            <w:noWrap/>
          </w:tcPr>
          <w:p w14:paraId="496BD0B1">
            <w:pPr>
              <w:spacing w:line="360" w:lineRule="auto"/>
              <w:rPr>
                <w:rFonts w:ascii="宋体" w:hAnsi="宋体" w:cs="宋体"/>
                <w:kern w:val="0"/>
                <w:szCs w:val="21"/>
                <w:highlight w:val="none"/>
              </w:rPr>
            </w:pPr>
          </w:p>
        </w:tc>
      </w:tr>
      <w:tr w14:paraId="1EF1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14A208C1">
            <w:pPr>
              <w:spacing w:line="360" w:lineRule="auto"/>
              <w:rPr>
                <w:rFonts w:ascii="宋体" w:hAnsi="宋体" w:cs="宋体"/>
                <w:kern w:val="0"/>
                <w:szCs w:val="21"/>
                <w:highlight w:val="none"/>
              </w:rPr>
            </w:pPr>
          </w:p>
        </w:tc>
        <w:tc>
          <w:tcPr>
            <w:tcW w:w="1480" w:type="dxa"/>
            <w:noWrap/>
          </w:tcPr>
          <w:p w14:paraId="48A2FC20">
            <w:pPr>
              <w:spacing w:line="360" w:lineRule="auto"/>
              <w:rPr>
                <w:rFonts w:ascii="宋体" w:hAnsi="宋体" w:cs="宋体"/>
                <w:kern w:val="0"/>
                <w:szCs w:val="21"/>
                <w:highlight w:val="none"/>
              </w:rPr>
            </w:pPr>
          </w:p>
        </w:tc>
        <w:tc>
          <w:tcPr>
            <w:tcW w:w="1480" w:type="dxa"/>
            <w:noWrap/>
          </w:tcPr>
          <w:p w14:paraId="37A5B459">
            <w:pPr>
              <w:spacing w:line="360" w:lineRule="auto"/>
              <w:rPr>
                <w:rFonts w:ascii="宋体" w:hAnsi="宋体" w:cs="宋体"/>
                <w:kern w:val="0"/>
                <w:szCs w:val="21"/>
                <w:highlight w:val="none"/>
              </w:rPr>
            </w:pPr>
          </w:p>
        </w:tc>
        <w:tc>
          <w:tcPr>
            <w:tcW w:w="1608" w:type="dxa"/>
            <w:noWrap/>
          </w:tcPr>
          <w:p w14:paraId="48005062">
            <w:pPr>
              <w:spacing w:line="360" w:lineRule="auto"/>
              <w:rPr>
                <w:rFonts w:ascii="宋体" w:hAnsi="宋体" w:cs="宋体"/>
                <w:kern w:val="0"/>
                <w:szCs w:val="21"/>
                <w:highlight w:val="none"/>
              </w:rPr>
            </w:pPr>
          </w:p>
        </w:tc>
        <w:tc>
          <w:tcPr>
            <w:tcW w:w="1481" w:type="dxa"/>
            <w:noWrap/>
          </w:tcPr>
          <w:p w14:paraId="73F720BD">
            <w:pPr>
              <w:spacing w:line="360" w:lineRule="auto"/>
              <w:rPr>
                <w:rFonts w:ascii="宋体" w:hAnsi="宋体" w:cs="宋体"/>
                <w:kern w:val="0"/>
                <w:szCs w:val="21"/>
                <w:highlight w:val="none"/>
              </w:rPr>
            </w:pPr>
          </w:p>
        </w:tc>
        <w:tc>
          <w:tcPr>
            <w:tcW w:w="1481" w:type="dxa"/>
            <w:noWrap/>
          </w:tcPr>
          <w:p w14:paraId="21D4C7A2">
            <w:pPr>
              <w:spacing w:line="360" w:lineRule="auto"/>
              <w:rPr>
                <w:rFonts w:ascii="宋体" w:hAnsi="宋体" w:cs="宋体"/>
                <w:kern w:val="0"/>
                <w:szCs w:val="21"/>
                <w:highlight w:val="none"/>
              </w:rPr>
            </w:pPr>
          </w:p>
        </w:tc>
      </w:tr>
      <w:tr w14:paraId="3293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0DF70063">
            <w:pPr>
              <w:spacing w:line="360" w:lineRule="auto"/>
              <w:rPr>
                <w:rFonts w:ascii="宋体" w:hAnsi="宋体" w:cs="宋体"/>
                <w:kern w:val="0"/>
                <w:szCs w:val="21"/>
                <w:highlight w:val="none"/>
              </w:rPr>
            </w:pPr>
          </w:p>
        </w:tc>
        <w:tc>
          <w:tcPr>
            <w:tcW w:w="1480" w:type="dxa"/>
            <w:noWrap/>
          </w:tcPr>
          <w:p w14:paraId="24335D14">
            <w:pPr>
              <w:spacing w:line="360" w:lineRule="auto"/>
              <w:rPr>
                <w:rFonts w:ascii="宋体" w:hAnsi="宋体" w:cs="宋体"/>
                <w:kern w:val="0"/>
                <w:szCs w:val="21"/>
                <w:highlight w:val="none"/>
              </w:rPr>
            </w:pPr>
          </w:p>
        </w:tc>
        <w:tc>
          <w:tcPr>
            <w:tcW w:w="1480" w:type="dxa"/>
            <w:noWrap/>
          </w:tcPr>
          <w:p w14:paraId="57F678AD">
            <w:pPr>
              <w:spacing w:line="360" w:lineRule="auto"/>
              <w:rPr>
                <w:rFonts w:ascii="宋体" w:hAnsi="宋体" w:cs="宋体"/>
                <w:kern w:val="0"/>
                <w:szCs w:val="21"/>
                <w:highlight w:val="none"/>
              </w:rPr>
            </w:pPr>
          </w:p>
        </w:tc>
        <w:tc>
          <w:tcPr>
            <w:tcW w:w="1608" w:type="dxa"/>
            <w:noWrap/>
          </w:tcPr>
          <w:p w14:paraId="2E38412A">
            <w:pPr>
              <w:spacing w:line="360" w:lineRule="auto"/>
              <w:rPr>
                <w:rFonts w:ascii="宋体" w:hAnsi="宋体" w:cs="宋体"/>
                <w:kern w:val="0"/>
                <w:szCs w:val="21"/>
                <w:highlight w:val="none"/>
              </w:rPr>
            </w:pPr>
          </w:p>
        </w:tc>
        <w:tc>
          <w:tcPr>
            <w:tcW w:w="1481" w:type="dxa"/>
            <w:noWrap/>
          </w:tcPr>
          <w:p w14:paraId="6B7F28C0">
            <w:pPr>
              <w:spacing w:line="360" w:lineRule="auto"/>
              <w:rPr>
                <w:rFonts w:ascii="宋体" w:hAnsi="宋体" w:cs="宋体"/>
                <w:kern w:val="0"/>
                <w:szCs w:val="21"/>
                <w:highlight w:val="none"/>
              </w:rPr>
            </w:pPr>
          </w:p>
        </w:tc>
        <w:tc>
          <w:tcPr>
            <w:tcW w:w="1481" w:type="dxa"/>
            <w:noWrap/>
          </w:tcPr>
          <w:p w14:paraId="0423BB0E">
            <w:pPr>
              <w:spacing w:line="360" w:lineRule="auto"/>
              <w:rPr>
                <w:rFonts w:ascii="宋体" w:hAnsi="宋体" w:cs="宋体"/>
                <w:kern w:val="0"/>
                <w:szCs w:val="21"/>
                <w:highlight w:val="none"/>
              </w:rPr>
            </w:pPr>
          </w:p>
        </w:tc>
      </w:tr>
      <w:tr w14:paraId="7E70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5921F410">
            <w:pPr>
              <w:spacing w:line="360" w:lineRule="auto"/>
              <w:rPr>
                <w:rFonts w:ascii="宋体" w:hAnsi="宋体" w:cs="宋体"/>
                <w:kern w:val="0"/>
                <w:szCs w:val="21"/>
                <w:highlight w:val="none"/>
              </w:rPr>
            </w:pPr>
          </w:p>
        </w:tc>
        <w:tc>
          <w:tcPr>
            <w:tcW w:w="1480" w:type="dxa"/>
            <w:noWrap/>
          </w:tcPr>
          <w:p w14:paraId="61600615">
            <w:pPr>
              <w:spacing w:line="360" w:lineRule="auto"/>
              <w:rPr>
                <w:rFonts w:ascii="宋体" w:hAnsi="宋体" w:cs="宋体"/>
                <w:kern w:val="0"/>
                <w:szCs w:val="21"/>
                <w:highlight w:val="none"/>
              </w:rPr>
            </w:pPr>
          </w:p>
        </w:tc>
        <w:tc>
          <w:tcPr>
            <w:tcW w:w="1480" w:type="dxa"/>
            <w:noWrap/>
          </w:tcPr>
          <w:p w14:paraId="41236524">
            <w:pPr>
              <w:spacing w:line="360" w:lineRule="auto"/>
              <w:rPr>
                <w:rFonts w:ascii="宋体" w:hAnsi="宋体" w:cs="宋体"/>
                <w:kern w:val="0"/>
                <w:szCs w:val="21"/>
                <w:highlight w:val="none"/>
              </w:rPr>
            </w:pPr>
          </w:p>
        </w:tc>
        <w:tc>
          <w:tcPr>
            <w:tcW w:w="1608" w:type="dxa"/>
            <w:noWrap/>
          </w:tcPr>
          <w:p w14:paraId="229B259F">
            <w:pPr>
              <w:spacing w:line="360" w:lineRule="auto"/>
              <w:rPr>
                <w:rFonts w:ascii="宋体" w:hAnsi="宋体" w:cs="宋体"/>
                <w:kern w:val="0"/>
                <w:szCs w:val="21"/>
                <w:highlight w:val="none"/>
              </w:rPr>
            </w:pPr>
          </w:p>
        </w:tc>
        <w:tc>
          <w:tcPr>
            <w:tcW w:w="1481" w:type="dxa"/>
            <w:noWrap/>
          </w:tcPr>
          <w:p w14:paraId="3EA9F219">
            <w:pPr>
              <w:spacing w:line="360" w:lineRule="auto"/>
              <w:rPr>
                <w:rFonts w:ascii="宋体" w:hAnsi="宋体" w:cs="宋体"/>
                <w:kern w:val="0"/>
                <w:szCs w:val="21"/>
                <w:highlight w:val="none"/>
              </w:rPr>
            </w:pPr>
          </w:p>
        </w:tc>
        <w:tc>
          <w:tcPr>
            <w:tcW w:w="1481" w:type="dxa"/>
            <w:noWrap/>
          </w:tcPr>
          <w:p w14:paraId="7E583F13">
            <w:pPr>
              <w:spacing w:line="360" w:lineRule="auto"/>
              <w:rPr>
                <w:rFonts w:ascii="宋体" w:hAnsi="宋体" w:cs="宋体"/>
                <w:kern w:val="0"/>
                <w:szCs w:val="21"/>
                <w:highlight w:val="none"/>
              </w:rPr>
            </w:pPr>
          </w:p>
        </w:tc>
      </w:tr>
      <w:tr w14:paraId="55F4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738318E7">
            <w:pPr>
              <w:spacing w:line="360" w:lineRule="auto"/>
              <w:rPr>
                <w:rFonts w:ascii="宋体" w:hAnsi="宋体" w:cs="宋体"/>
                <w:kern w:val="0"/>
                <w:szCs w:val="21"/>
                <w:highlight w:val="none"/>
              </w:rPr>
            </w:pPr>
          </w:p>
        </w:tc>
        <w:tc>
          <w:tcPr>
            <w:tcW w:w="1480" w:type="dxa"/>
            <w:noWrap/>
          </w:tcPr>
          <w:p w14:paraId="05C24811">
            <w:pPr>
              <w:spacing w:line="360" w:lineRule="auto"/>
              <w:rPr>
                <w:rFonts w:ascii="宋体" w:hAnsi="宋体" w:cs="宋体"/>
                <w:kern w:val="0"/>
                <w:szCs w:val="21"/>
                <w:highlight w:val="none"/>
              </w:rPr>
            </w:pPr>
          </w:p>
        </w:tc>
        <w:tc>
          <w:tcPr>
            <w:tcW w:w="1480" w:type="dxa"/>
            <w:noWrap/>
          </w:tcPr>
          <w:p w14:paraId="230F0233">
            <w:pPr>
              <w:spacing w:line="360" w:lineRule="auto"/>
              <w:rPr>
                <w:rFonts w:ascii="宋体" w:hAnsi="宋体" w:cs="宋体"/>
                <w:kern w:val="0"/>
                <w:szCs w:val="21"/>
                <w:highlight w:val="none"/>
              </w:rPr>
            </w:pPr>
          </w:p>
        </w:tc>
        <w:tc>
          <w:tcPr>
            <w:tcW w:w="1608" w:type="dxa"/>
            <w:noWrap/>
          </w:tcPr>
          <w:p w14:paraId="254CC455">
            <w:pPr>
              <w:spacing w:line="360" w:lineRule="auto"/>
              <w:rPr>
                <w:rFonts w:ascii="宋体" w:hAnsi="宋体" w:cs="宋体"/>
                <w:kern w:val="0"/>
                <w:szCs w:val="21"/>
                <w:highlight w:val="none"/>
              </w:rPr>
            </w:pPr>
          </w:p>
        </w:tc>
        <w:tc>
          <w:tcPr>
            <w:tcW w:w="1481" w:type="dxa"/>
            <w:noWrap/>
          </w:tcPr>
          <w:p w14:paraId="1AB4FBA0">
            <w:pPr>
              <w:spacing w:line="360" w:lineRule="auto"/>
              <w:rPr>
                <w:rFonts w:ascii="宋体" w:hAnsi="宋体" w:cs="宋体"/>
                <w:kern w:val="0"/>
                <w:szCs w:val="21"/>
                <w:highlight w:val="none"/>
              </w:rPr>
            </w:pPr>
          </w:p>
        </w:tc>
        <w:tc>
          <w:tcPr>
            <w:tcW w:w="1481" w:type="dxa"/>
            <w:noWrap/>
          </w:tcPr>
          <w:p w14:paraId="0B033E43">
            <w:pPr>
              <w:spacing w:line="360" w:lineRule="auto"/>
              <w:rPr>
                <w:rFonts w:ascii="宋体" w:hAnsi="宋体" w:cs="宋体"/>
                <w:kern w:val="0"/>
                <w:szCs w:val="21"/>
                <w:highlight w:val="none"/>
              </w:rPr>
            </w:pPr>
          </w:p>
        </w:tc>
      </w:tr>
      <w:tr w14:paraId="1870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6286C32D">
            <w:pPr>
              <w:spacing w:line="360" w:lineRule="auto"/>
              <w:rPr>
                <w:rFonts w:ascii="宋体" w:hAnsi="宋体" w:cs="宋体"/>
                <w:kern w:val="0"/>
                <w:szCs w:val="21"/>
                <w:highlight w:val="none"/>
              </w:rPr>
            </w:pPr>
          </w:p>
        </w:tc>
        <w:tc>
          <w:tcPr>
            <w:tcW w:w="1480" w:type="dxa"/>
            <w:noWrap/>
          </w:tcPr>
          <w:p w14:paraId="39FD0119">
            <w:pPr>
              <w:spacing w:line="360" w:lineRule="auto"/>
              <w:rPr>
                <w:rFonts w:ascii="宋体" w:hAnsi="宋体" w:cs="宋体"/>
                <w:kern w:val="0"/>
                <w:szCs w:val="21"/>
                <w:highlight w:val="none"/>
              </w:rPr>
            </w:pPr>
          </w:p>
        </w:tc>
        <w:tc>
          <w:tcPr>
            <w:tcW w:w="1480" w:type="dxa"/>
            <w:noWrap/>
          </w:tcPr>
          <w:p w14:paraId="63905467">
            <w:pPr>
              <w:spacing w:line="360" w:lineRule="auto"/>
              <w:rPr>
                <w:rFonts w:ascii="宋体" w:hAnsi="宋体" w:cs="宋体"/>
                <w:kern w:val="0"/>
                <w:szCs w:val="21"/>
                <w:highlight w:val="none"/>
              </w:rPr>
            </w:pPr>
          </w:p>
        </w:tc>
        <w:tc>
          <w:tcPr>
            <w:tcW w:w="1608" w:type="dxa"/>
            <w:noWrap/>
          </w:tcPr>
          <w:p w14:paraId="3B8952C0">
            <w:pPr>
              <w:spacing w:line="360" w:lineRule="auto"/>
              <w:rPr>
                <w:rFonts w:ascii="宋体" w:hAnsi="宋体" w:cs="宋体"/>
                <w:kern w:val="0"/>
                <w:szCs w:val="21"/>
                <w:highlight w:val="none"/>
              </w:rPr>
            </w:pPr>
          </w:p>
        </w:tc>
        <w:tc>
          <w:tcPr>
            <w:tcW w:w="1481" w:type="dxa"/>
            <w:noWrap/>
          </w:tcPr>
          <w:p w14:paraId="13D1D3BE">
            <w:pPr>
              <w:spacing w:line="360" w:lineRule="auto"/>
              <w:rPr>
                <w:rFonts w:ascii="宋体" w:hAnsi="宋体" w:cs="宋体"/>
                <w:kern w:val="0"/>
                <w:szCs w:val="21"/>
                <w:highlight w:val="none"/>
              </w:rPr>
            </w:pPr>
          </w:p>
        </w:tc>
        <w:tc>
          <w:tcPr>
            <w:tcW w:w="1481" w:type="dxa"/>
            <w:noWrap/>
          </w:tcPr>
          <w:p w14:paraId="0C44256A">
            <w:pPr>
              <w:spacing w:line="360" w:lineRule="auto"/>
              <w:rPr>
                <w:rFonts w:ascii="宋体" w:hAnsi="宋体" w:cs="宋体"/>
                <w:kern w:val="0"/>
                <w:szCs w:val="21"/>
                <w:highlight w:val="none"/>
              </w:rPr>
            </w:pPr>
          </w:p>
        </w:tc>
      </w:tr>
      <w:tr w14:paraId="1F9E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0225933C">
            <w:pPr>
              <w:spacing w:line="360" w:lineRule="auto"/>
              <w:rPr>
                <w:rFonts w:ascii="宋体" w:hAnsi="宋体" w:cs="宋体"/>
                <w:kern w:val="0"/>
                <w:szCs w:val="21"/>
                <w:highlight w:val="none"/>
              </w:rPr>
            </w:pPr>
          </w:p>
        </w:tc>
        <w:tc>
          <w:tcPr>
            <w:tcW w:w="1480" w:type="dxa"/>
            <w:noWrap/>
          </w:tcPr>
          <w:p w14:paraId="231909BB">
            <w:pPr>
              <w:spacing w:line="360" w:lineRule="auto"/>
              <w:rPr>
                <w:rFonts w:ascii="宋体" w:hAnsi="宋体" w:cs="宋体"/>
                <w:kern w:val="0"/>
                <w:szCs w:val="21"/>
                <w:highlight w:val="none"/>
              </w:rPr>
            </w:pPr>
          </w:p>
        </w:tc>
        <w:tc>
          <w:tcPr>
            <w:tcW w:w="1480" w:type="dxa"/>
            <w:noWrap/>
          </w:tcPr>
          <w:p w14:paraId="65B75109">
            <w:pPr>
              <w:spacing w:line="360" w:lineRule="auto"/>
              <w:rPr>
                <w:rFonts w:ascii="宋体" w:hAnsi="宋体" w:cs="宋体"/>
                <w:kern w:val="0"/>
                <w:szCs w:val="21"/>
                <w:highlight w:val="none"/>
              </w:rPr>
            </w:pPr>
          </w:p>
        </w:tc>
        <w:tc>
          <w:tcPr>
            <w:tcW w:w="1608" w:type="dxa"/>
            <w:noWrap/>
          </w:tcPr>
          <w:p w14:paraId="1C869FE2">
            <w:pPr>
              <w:spacing w:line="360" w:lineRule="auto"/>
              <w:rPr>
                <w:rFonts w:ascii="宋体" w:hAnsi="宋体" w:cs="宋体"/>
                <w:kern w:val="0"/>
                <w:szCs w:val="21"/>
                <w:highlight w:val="none"/>
              </w:rPr>
            </w:pPr>
          </w:p>
        </w:tc>
        <w:tc>
          <w:tcPr>
            <w:tcW w:w="1481" w:type="dxa"/>
            <w:noWrap/>
          </w:tcPr>
          <w:p w14:paraId="699B1EC5">
            <w:pPr>
              <w:spacing w:line="360" w:lineRule="auto"/>
              <w:rPr>
                <w:rFonts w:ascii="宋体" w:hAnsi="宋体" w:cs="宋体"/>
                <w:kern w:val="0"/>
                <w:szCs w:val="21"/>
                <w:highlight w:val="none"/>
              </w:rPr>
            </w:pPr>
          </w:p>
        </w:tc>
        <w:tc>
          <w:tcPr>
            <w:tcW w:w="1481" w:type="dxa"/>
            <w:noWrap/>
          </w:tcPr>
          <w:p w14:paraId="2AEF2286">
            <w:pPr>
              <w:spacing w:line="360" w:lineRule="auto"/>
              <w:rPr>
                <w:rFonts w:ascii="宋体" w:hAnsi="宋体" w:cs="宋体"/>
                <w:kern w:val="0"/>
                <w:szCs w:val="21"/>
                <w:highlight w:val="none"/>
              </w:rPr>
            </w:pPr>
          </w:p>
        </w:tc>
      </w:tr>
      <w:tr w14:paraId="4BAD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3449F707">
            <w:pPr>
              <w:spacing w:line="360" w:lineRule="auto"/>
              <w:rPr>
                <w:rFonts w:ascii="宋体" w:hAnsi="宋体" w:cs="宋体"/>
                <w:kern w:val="0"/>
                <w:szCs w:val="21"/>
                <w:highlight w:val="none"/>
              </w:rPr>
            </w:pPr>
          </w:p>
        </w:tc>
        <w:tc>
          <w:tcPr>
            <w:tcW w:w="1480" w:type="dxa"/>
            <w:noWrap/>
          </w:tcPr>
          <w:p w14:paraId="1CC5E936">
            <w:pPr>
              <w:spacing w:line="360" w:lineRule="auto"/>
              <w:rPr>
                <w:rFonts w:ascii="宋体" w:hAnsi="宋体" w:cs="宋体"/>
                <w:kern w:val="0"/>
                <w:szCs w:val="21"/>
                <w:highlight w:val="none"/>
              </w:rPr>
            </w:pPr>
          </w:p>
        </w:tc>
        <w:tc>
          <w:tcPr>
            <w:tcW w:w="1480" w:type="dxa"/>
            <w:noWrap/>
          </w:tcPr>
          <w:p w14:paraId="650A48CD">
            <w:pPr>
              <w:spacing w:line="360" w:lineRule="auto"/>
              <w:rPr>
                <w:rFonts w:ascii="宋体" w:hAnsi="宋体" w:cs="宋体"/>
                <w:kern w:val="0"/>
                <w:szCs w:val="21"/>
                <w:highlight w:val="none"/>
              </w:rPr>
            </w:pPr>
          </w:p>
        </w:tc>
        <w:tc>
          <w:tcPr>
            <w:tcW w:w="1608" w:type="dxa"/>
            <w:noWrap/>
          </w:tcPr>
          <w:p w14:paraId="668E869F">
            <w:pPr>
              <w:spacing w:line="360" w:lineRule="auto"/>
              <w:rPr>
                <w:rFonts w:ascii="宋体" w:hAnsi="宋体" w:cs="宋体"/>
                <w:kern w:val="0"/>
                <w:szCs w:val="21"/>
                <w:highlight w:val="none"/>
              </w:rPr>
            </w:pPr>
          </w:p>
        </w:tc>
        <w:tc>
          <w:tcPr>
            <w:tcW w:w="1481" w:type="dxa"/>
            <w:noWrap/>
          </w:tcPr>
          <w:p w14:paraId="7070B6B6">
            <w:pPr>
              <w:spacing w:line="360" w:lineRule="auto"/>
              <w:rPr>
                <w:rFonts w:ascii="宋体" w:hAnsi="宋体" w:cs="宋体"/>
                <w:kern w:val="0"/>
                <w:szCs w:val="21"/>
                <w:highlight w:val="none"/>
              </w:rPr>
            </w:pPr>
          </w:p>
        </w:tc>
        <w:tc>
          <w:tcPr>
            <w:tcW w:w="1481" w:type="dxa"/>
            <w:noWrap/>
          </w:tcPr>
          <w:p w14:paraId="52281611">
            <w:pPr>
              <w:spacing w:line="360" w:lineRule="auto"/>
              <w:rPr>
                <w:rFonts w:ascii="宋体" w:hAnsi="宋体" w:cs="宋体"/>
                <w:kern w:val="0"/>
                <w:szCs w:val="21"/>
                <w:highlight w:val="none"/>
              </w:rPr>
            </w:pPr>
          </w:p>
        </w:tc>
      </w:tr>
      <w:tr w14:paraId="7263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480" w:type="dxa"/>
            <w:noWrap/>
          </w:tcPr>
          <w:p w14:paraId="6BF1E197">
            <w:pPr>
              <w:spacing w:line="360" w:lineRule="auto"/>
              <w:rPr>
                <w:rFonts w:ascii="宋体" w:hAnsi="宋体" w:cs="宋体"/>
                <w:kern w:val="0"/>
                <w:szCs w:val="21"/>
                <w:highlight w:val="none"/>
              </w:rPr>
            </w:pPr>
          </w:p>
        </w:tc>
        <w:tc>
          <w:tcPr>
            <w:tcW w:w="1480" w:type="dxa"/>
            <w:noWrap/>
          </w:tcPr>
          <w:p w14:paraId="78F61131">
            <w:pPr>
              <w:spacing w:line="360" w:lineRule="auto"/>
              <w:rPr>
                <w:rFonts w:ascii="宋体" w:hAnsi="宋体" w:cs="宋体"/>
                <w:kern w:val="0"/>
                <w:szCs w:val="21"/>
                <w:highlight w:val="none"/>
              </w:rPr>
            </w:pPr>
          </w:p>
        </w:tc>
        <w:tc>
          <w:tcPr>
            <w:tcW w:w="1480" w:type="dxa"/>
            <w:noWrap/>
          </w:tcPr>
          <w:p w14:paraId="33FF5C5C">
            <w:pPr>
              <w:spacing w:line="360" w:lineRule="auto"/>
              <w:rPr>
                <w:rFonts w:ascii="宋体" w:hAnsi="宋体" w:cs="宋体"/>
                <w:kern w:val="0"/>
                <w:szCs w:val="21"/>
                <w:highlight w:val="none"/>
              </w:rPr>
            </w:pPr>
          </w:p>
        </w:tc>
        <w:tc>
          <w:tcPr>
            <w:tcW w:w="1608" w:type="dxa"/>
            <w:noWrap/>
          </w:tcPr>
          <w:p w14:paraId="1E127F54">
            <w:pPr>
              <w:spacing w:line="360" w:lineRule="auto"/>
              <w:rPr>
                <w:rFonts w:ascii="宋体" w:hAnsi="宋体" w:cs="宋体"/>
                <w:kern w:val="0"/>
                <w:szCs w:val="21"/>
                <w:highlight w:val="none"/>
              </w:rPr>
            </w:pPr>
          </w:p>
        </w:tc>
        <w:tc>
          <w:tcPr>
            <w:tcW w:w="1481" w:type="dxa"/>
            <w:noWrap/>
          </w:tcPr>
          <w:p w14:paraId="1DD9153D">
            <w:pPr>
              <w:spacing w:line="360" w:lineRule="auto"/>
              <w:rPr>
                <w:rFonts w:ascii="宋体" w:hAnsi="宋体" w:cs="宋体"/>
                <w:kern w:val="0"/>
                <w:szCs w:val="21"/>
                <w:highlight w:val="none"/>
              </w:rPr>
            </w:pPr>
          </w:p>
        </w:tc>
        <w:tc>
          <w:tcPr>
            <w:tcW w:w="1481" w:type="dxa"/>
            <w:noWrap/>
          </w:tcPr>
          <w:p w14:paraId="25BDD8EE">
            <w:pPr>
              <w:spacing w:line="360" w:lineRule="auto"/>
              <w:rPr>
                <w:rFonts w:ascii="宋体" w:hAnsi="宋体" w:cs="宋体"/>
                <w:kern w:val="0"/>
                <w:szCs w:val="21"/>
                <w:highlight w:val="none"/>
              </w:rPr>
            </w:pPr>
          </w:p>
        </w:tc>
      </w:tr>
    </w:tbl>
    <w:p w14:paraId="096D61DF">
      <w:pPr>
        <w:spacing w:line="360" w:lineRule="auto"/>
        <w:rPr>
          <w:rFonts w:hint="eastAsia" w:ascii="宋体" w:hAnsi="宋体" w:eastAsia="宋体" w:cs="宋体"/>
          <w:szCs w:val="21"/>
          <w:highlight w:val="none"/>
        </w:rPr>
      </w:pPr>
      <w:r>
        <w:rPr>
          <w:rFonts w:hint="eastAsia" w:ascii="宋体" w:hAnsi="宋体" w:cs="宋体"/>
          <w:bCs/>
          <w:kern w:val="0"/>
          <w:szCs w:val="21"/>
          <w:highlight w:val="none"/>
        </w:rPr>
        <w:t>注：项目经理应附建造师注册证书、安考证、身份证、学历证、社保证明等复印件，</w:t>
      </w:r>
      <w:r>
        <w:rPr>
          <w:rFonts w:hint="eastAsia" w:ascii="宋体" w:hAnsi="宋体" w:cs="宋体"/>
          <w:bCs/>
          <w:kern w:val="0"/>
          <w:szCs w:val="21"/>
          <w:highlight w:val="none"/>
          <w:lang w:val="en-US" w:eastAsia="zh-CN"/>
        </w:rPr>
        <w:t>后附符合磋商文件要求的</w:t>
      </w:r>
      <w:r>
        <w:rPr>
          <w:rFonts w:hint="eastAsia" w:ascii="宋体" w:hAnsi="宋体" w:cs="宋体"/>
          <w:bCs/>
          <w:szCs w:val="21"/>
          <w:highlight w:val="none"/>
          <w:lang w:val="zh-CN"/>
        </w:rPr>
        <w:t>无在建</w:t>
      </w:r>
      <w:r>
        <w:rPr>
          <w:rFonts w:hint="eastAsia" w:ascii="宋体" w:hAnsi="宋体" w:cs="宋体"/>
          <w:bCs/>
          <w:szCs w:val="21"/>
          <w:highlight w:val="none"/>
          <w:lang w:val="en-US" w:eastAsia="zh-CN"/>
        </w:rPr>
        <w:t>承诺书，</w:t>
      </w:r>
      <w:r>
        <w:rPr>
          <w:rFonts w:hint="eastAsia" w:ascii="宋体" w:hAnsi="宋体" w:cs="宋体"/>
          <w:bCs/>
          <w:kern w:val="0"/>
          <w:szCs w:val="21"/>
          <w:highlight w:val="none"/>
        </w:rPr>
        <w:t>承担</w:t>
      </w:r>
      <w:r>
        <w:rPr>
          <w:rFonts w:hint="eastAsia" w:ascii="宋体" w:hAnsi="宋体" w:cs="宋体"/>
          <w:szCs w:val="21"/>
          <w:highlight w:val="none"/>
        </w:rPr>
        <w:t>以项目经理身份参加并体现出项目经理姓名的类似项</w:t>
      </w:r>
      <w:r>
        <w:rPr>
          <w:rFonts w:hint="eastAsia" w:ascii="宋体" w:hAnsi="宋体" w:eastAsia="宋体" w:cs="宋体"/>
          <w:szCs w:val="21"/>
          <w:highlight w:val="none"/>
        </w:rPr>
        <w:t>目业绩须附</w:t>
      </w:r>
      <w:r>
        <w:rPr>
          <w:rFonts w:hint="eastAsia" w:ascii="宋体" w:hAnsi="宋体" w:eastAsia="宋体" w:cs="宋体"/>
          <w:szCs w:val="21"/>
          <w:highlight w:val="none"/>
          <w:lang w:val="zh-CN"/>
        </w:rPr>
        <w:t>中标通知书或合同协议书或工程竣工验收证书</w:t>
      </w:r>
      <w:r>
        <w:rPr>
          <w:rFonts w:hint="eastAsia" w:ascii="宋体" w:hAnsi="宋体" w:eastAsia="宋体" w:cs="宋体"/>
          <w:szCs w:val="21"/>
          <w:highlight w:val="none"/>
        </w:rPr>
        <w:t>复印件。</w:t>
      </w:r>
    </w:p>
    <w:p w14:paraId="51643703">
      <w:pPr>
        <w:rPr>
          <w:rFonts w:ascii="宋体" w:hAnsi="宋体" w:cs="宋体"/>
          <w:sz w:val="24"/>
          <w:szCs w:val="24"/>
          <w:highlight w:val="none"/>
        </w:rPr>
      </w:pPr>
      <w:r>
        <w:rPr>
          <w:rFonts w:hint="eastAsia" w:ascii="宋体" w:hAnsi="宋体" w:cs="宋体"/>
          <w:sz w:val="24"/>
          <w:szCs w:val="24"/>
          <w:highlight w:val="none"/>
        </w:rPr>
        <w:br w:type="page"/>
      </w:r>
    </w:p>
    <w:p w14:paraId="704144DC">
      <w:pPr>
        <w:keepNext/>
        <w:keepLines/>
        <w:spacing w:before="260" w:after="260" w:line="415" w:lineRule="auto"/>
        <w:jc w:val="center"/>
        <w:outlineLvl w:val="2"/>
        <w:rPr>
          <w:rFonts w:hint="eastAsia" w:ascii="宋体" w:hAnsi="宋体" w:cs="宋体"/>
          <w:b/>
          <w:bCs/>
          <w:sz w:val="32"/>
          <w:szCs w:val="32"/>
          <w:highlight w:val="none"/>
        </w:rPr>
      </w:pP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三</w:t>
      </w:r>
      <w:r>
        <w:rPr>
          <w:rFonts w:hint="eastAsia" w:ascii="宋体" w:hAnsi="宋体" w:cs="宋体"/>
          <w:b/>
          <w:bCs/>
          <w:sz w:val="32"/>
          <w:szCs w:val="32"/>
          <w:highlight w:val="none"/>
        </w:rPr>
        <w:t>)主要人员简历表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6"/>
        <w:gridCol w:w="1476"/>
        <w:gridCol w:w="1764"/>
        <w:gridCol w:w="1188"/>
      </w:tblGrid>
      <w:tr w14:paraId="4250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7C264F5">
            <w:pPr>
              <w:jc w:val="center"/>
              <w:rPr>
                <w:rFonts w:ascii="宋体" w:hAnsi="宋体" w:cs="宋体"/>
                <w:bCs/>
                <w:kern w:val="0"/>
                <w:szCs w:val="21"/>
                <w:highlight w:val="none"/>
              </w:rPr>
            </w:pPr>
            <w:r>
              <w:rPr>
                <w:rFonts w:hint="eastAsia" w:ascii="宋体" w:hAnsi="宋体" w:cs="宋体"/>
                <w:bCs/>
                <w:kern w:val="0"/>
                <w:szCs w:val="21"/>
                <w:highlight w:val="none"/>
              </w:rPr>
              <w:t>姓名</w:t>
            </w:r>
          </w:p>
        </w:tc>
        <w:tc>
          <w:tcPr>
            <w:tcW w:w="1476" w:type="dxa"/>
            <w:noWrap/>
            <w:vAlign w:val="center"/>
          </w:tcPr>
          <w:p w14:paraId="383198D3">
            <w:pPr>
              <w:jc w:val="center"/>
              <w:rPr>
                <w:rFonts w:ascii="宋体" w:hAnsi="宋体" w:cs="宋体"/>
                <w:bCs/>
                <w:kern w:val="0"/>
                <w:szCs w:val="21"/>
                <w:highlight w:val="none"/>
              </w:rPr>
            </w:pPr>
          </w:p>
        </w:tc>
        <w:tc>
          <w:tcPr>
            <w:tcW w:w="1476" w:type="dxa"/>
            <w:noWrap/>
            <w:vAlign w:val="center"/>
          </w:tcPr>
          <w:p w14:paraId="6CEFA304">
            <w:pPr>
              <w:jc w:val="center"/>
              <w:rPr>
                <w:rFonts w:ascii="宋体" w:hAnsi="宋体" w:cs="宋体"/>
                <w:bCs/>
                <w:kern w:val="0"/>
                <w:szCs w:val="21"/>
                <w:highlight w:val="none"/>
              </w:rPr>
            </w:pPr>
            <w:r>
              <w:rPr>
                <w:rFonts w:hint="eastAsia" w:ascii="宋体" w:hAnsi="宋体" w:cs="宋体"/>
                <w:bCs/>
                <w:kern w:val="0"/>
                <w:szCs w:val="21"/>
                <w:highlight w:val="none"/>
              </w:rPr>
              <w:t>年龄</w:t>
            </w:r>
          </w:p>
        </w:tc>
        <w:tc>
          <w:tcPr>
            <w:tcW w:w="1476" w:type="dxa"/>
            <w:noWrap/>
            <w:vAlign w:val="center"/>
          </w:tcPr>
          <w:p w14:paraId="5427A2A9">
            <w:pPr>
              <w:jc w:val="center"/>
              <w:rPr>
                <w:rFonts w:ascii="宋体" w:hAnsi="宋体" w:cs="宋体"/>
                <w:bCs/>
                <w:kern w:val="0"/>
                <w:szCs w:val="21"/>
                <w:highlight w:val="none"/>
              </w:rPr>
            </w:pPr>
          </w:p>
        </w:tc>
        <w:tc>
          <w:tcPr>
            <w:tcW w:w="1764" w:type="dxa"/>
            <w:noWrap/>
            <w:vAlign w:val="center"/>
          </w:tcPr>
          <w:p w14:paraId="0CA99D8D">
            <w:pPr>
              <w:jc w:val="center"/>
              <w:rPr>
                <w:rFonts w:ascii="宋体" w:hAnsi="宋体" w:cs="宋体"/>
                <w:bCs/>
                <w:kern w:val="0"/>
                <w:szCs w:val="21"/>
                <w:highlight w:val="none"/>
              </w:rPr>
            </w:pPr>
            <w:r>
              <w:rPr>
                <w:rFonts w:hint="eastAsia" w:ascii="宋体" w:hAnsi="宋体" w:cs="宋体"/>
                <w:bCs/>
                <w:kern w:val="0"/>
                <w:szCs w:val="21"/>
                <w:highlight w:val="none"/>
              </w:rPr>
              <w:t>学历</w:t>
            </w:r>
          </w:p>
        </w:tc>
        <w:tc>
          <w:tcPr>
            <w:tcW w:w="1188" w:type="dxa"/>
            <w:noWrap/>
            <w:vAlign w:val="center"/>
          </w:tcPr>
          <w:p w14:paraId="548AA621">
            <w:pPr>
              <w:jc w:val="center"/>
              <w:rPr>
                <w:rFonts w:ascii="宋体" w:hAnsi="宋体" w:cs="宋体"/>
                <w:bCs/>
                <w:kern w:val="0"/>
                <w:szCs w:val="21"/>
                <w:highlight w:val="none"/>
              </w:rPr>
            </w:pPr>
          </w:p>
        </w:tc>
      </w:tr>
      <w:tr w14:paraId="0022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4FE4290E">
            <w:pPr>
              <w:jc w:val="center"/>
              <w:rPr>
                <w:rFonts w:ascii="宋体" w:hAnsi="宋体" w:cs="宋体"/>
                <w:bCs/>
                <w:kern w:val="0"/>
                <w:szCs w:val="21"/>
                <w:highlight w:val="none"/>
              </w:rPr>
            </w:pPr>
            <w:r>
              <w:rPr>
                <w:rFonts w:hint="eastAsia" w:ascii="宋体" w:hAnsi="宋体" w:cs="宋体"/>
                <w:bCs/>
                <w:kern w:val="0"/>
                <w:szCs w:val="21"/>
                <w:highlight w:val="none"/>
              </w:rPr>
              <w:t>从业资格证</w:t>
            </w:r>
          </w:p>
        </w:tc>
        <w:tc>
          <w:tcPr>
            <w:tcW w:w="1476" w:type="dxa"/>
            <w:noWrap/>
            <w:vAlign w:val="center"/>
          </w:tcPr>
          <w:p w14:paraId="4E055558">
            <w:pPr>
              <w:jc w:val="center"/>
              <w:rPr>
                <w:rFonts w:ascii="宋体" w:hAnsi="宋体" w:cs="宋体"/>
                <w:bCs/>
                <w:kern w:val="0"/>
                <w:szCs w:val="21"/>
                <w:highlight w:val="none"/>
              </w:rPr>
            </w:pPr>
          </w:p>
        </w:tc>
        <w:tc>
          <w:tcPr>
            <w:tcW w:w="1476" w:type="dxa"/>
            <w:noWrap/>
            <w:vAlign w:val="center"/>
          </w:tcPr>
          <w:p w14:paraId="715A5C57">
            <w:pPr>
              <w:jc w:val="center"/>
              <w:rPr>
                <w:rFonts w:ascii="宋体" w:hAnsi="宋体" w:cs="宋体"/>
                <w:bCs/>
                <w:kern w:val="0"/>
                <w:szCs w:val="21"/>
                <w:highlight w:val="none"/>
              </w:rPr>
            </w:pPr>
            <w:r>
              <w:rPr>
                <w:rFonts w:hint="eastAsia" w:ascii="宋体" w:hAnsi="宋体" w:cs="宋体"/>
                <w:bCs/>
                <w:kern w:val="0"/>
                <w:szCs w:val="21"/>
                <w:highlight w:val="none"/>
              </w:rPr>
              <w:t>职务</w:t>
            </w:r>
          </w:p>
        </w:tc>
        <w:tc>
          <w:tcPr>
            <w:tcW w:w="1476" w:type="dxa"/>
            <w:noWrap/>
            <w:vAlign w:val="center"/>
          </w:tcPr>
          <w:p w14:paraId="161DB649">
            <w:pPr>
              <w:jc w:val="center"/>
              <w:rPr>
                <w:rFonts w:ascii="宋体" w:hAnsi="宋体" w:cs="宋体"/>
                <w:bCs/>
                <w:kern w:val="0"/>
                <w:szCs w:val="21"/>
                <w:highlight w:val="none"/>
              </w:rPr>
            </w:pPr>
          </w:p>
        </w:tc>
        <w:tc>
          <w:tcPr>
            <w:tcW w:w="1764" w:type="dxa"/>
            <w:noWrap/>
            <w:vAlign w:val="center"/>
          </w:tcPr>
          <w:p w14:paraId="070AA1DC">
            <w:pPr>
              <w:jc w:val="center"/>
              <w:rPr>
                <w:rFonts w:ascii="宋体" w:hAnsi="宋体" w:cs="宋体"/>
                <w:bCs/>
                <w:kern w:val="0"/>
                <w:szCs w:val="21"/>
                <w:highlight w:val="none"/>
              </w:rPr>
            </w:pPr>
            <w:r>
              <w:rPr>
                <w:rFonts w:hint="eastAsia" w:ascii="宋体" w:hAnsi="宋体" w:cs="宋体"/>
                <w:bCs/>
                <w:kern w:val="0"/>
                <w:szCs w:val="21"/>
                <w:highlight w:val="none"/>
              </w:rPr>
              <w:t>拟在本合同任职</w:t>
            </w:r>
          </w:p>
        </w:tc>
        <w:tc>
          <w:tcPr>
            <w:tcW w:w="1188" w:type="dxa"/>
            <w:noWrap/>
            <w:vAlign w:val="center"/>
          </w:tcPr>
          <w:p w14:paraId="44C4A42C">
            <w:pPr>
              <w:jc w:val="center"/>
              <w:rPr>
                <w:rFonts w:ascii="宋体" w:hAnsi="宋体" w:cs="宋体"/>
                <w:bCs/>
                <w:kern w:val="0"/>
                <w:szCs w:val="21"/>
                <w:highlight w:val="none"/>
              </w:rPr>
            </w:pPr>
          </w:p>
        </w:tc>
      </w:tr>
      <w:tr w14:paraId="5C40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747739B3">
            <w:pPr>
              <w:jc w:val="center"/>
              <w:rPr>
                <w:rFonts w:ascii="宋体" w:hAnsi="宋体" w:cs="宋体"/>
                <w:bCs/>
                <w:kern w:val="0"/>
                <w:szCs w:val="21"/>
                <w:highlight w:val="none"/>
              </w:rPr>
            </w:pPr>
            <w:r>
              <w:rPr>
                <w:rFonts w:hint="eastAsia" w:ascii="宋体" w:hAnsi="宋体" w:cs="宋体"/>
                <w:bCs/>
                <w:kern w:val="0"/>
                <w:szCs w:val="21"/>
                <w:highlight w:val="none"/>
              </w:rPr>
              <w:t>毕业学校</w:t>
            </w:r>
          </w:p>
        </w:tc>
        <w:tc>
          <w:tcPr>
            <w:tcW w:w="7380" w:type="dxa"/>
            <w:gridSpan w:val="5"/>
            <w:noWrap/>
            <w:vAlign w:val="center"/>
          </w:tcPr>
          <w:p w14:paraId="4DF85241">
            <w:pPr>
              <w:jc w:val="center"/>
              <w:rPr>
                <w:rFonts w:ascii="宋体" w:hAnsi="宋体" w:cs="宋体"/>
                <w:bCs/>
                <w:kern w:val="0"/>
                <w:szCs w:val="21"/>
                <w:highlight w:val="none"/>
              </w:rPr>
            </w:pPr>
            <w:r>
              <w:rPr>
                <w:rFonts w:hint="eastAsia" w:ascii="宋体" w:hAnsi="宋体" w:cs="宋体"/>
                <w:bCs/>
                <w:kern w:val="0"/>
                <w:szCs w:val="21"/>
                <w:highlight w:val="none"/>
              </w:rPr>
              <w:t>年毕业于         学校           专业</w:t>
            </w:r>
          </w:p>
        </w:tc>
      </w:tr>
      <w:tr w14:paraId="772B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6" w:type="dxa"/>
            <w:gridSpan w:val="6"/>
            <w:noWrap/>
            <w:vAlign w:val="center"/>
          </w:tcPr>
          <w:p w14:paraId="605A032A">
            <w:pPr>
              <w:jc w:val="center"/>
              <w:rPr>
                <w:rFonts w:ascii="宋体" w:hAnsi="宋体" w:cs="宋体"/>
                <w:bCs/>
                <w:kern w:val="0"/>
                <w:szCs w:val="21"/>
                <w:highlight w:val="none"/>
              </w:rPr>
            </w:pPr>
            <w:r>
              <w:rPr>
                <w:rFonts w:hint="eastAsia" w:ascii="宋体" w:hAnsi="宋体" w:cs="宋体"/>
                <w:bCs/>
                <w:kern w:val="0"/>
                <w:szCs w:val="21"/>
                <w:highlight w:val="none"/>
              </w:rPr>
              <w:t>主要工作经历</w:t>
            </w:r>
          </w:p>
        </w:tc>
      </w:tr>
      <w:tr w14:paraId="6939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1666D11">
            <w:pPr>
              <w:jc w:val="center"/>
              <w:rPr>
                <w:rFonts w:ascii="宋体" w:hAnsi="宋体" w:cs="宋体"/>
                <w:bCs/>
                <w:kern w:val="0"/>
                <w:szCs w:val="21"/>
                <w:highlight w:val="none"/>
              </w:rPr>
            </w:pPr>
            <w:r>
              <w:rPr>
                <w:rFonts w:hint="eastAsia" w:ascii="宋体" w:hAnsi="宋体" w:cs="宋体"/>
                <w:bCs/>
                <w:kern w:val="0"/>
                <w:szCs w:val="21"/>
                <w:highlight w:val="none"/>
              </w:rPr>
              <w:t>项目名称</w:t>
            </w:r>
          </w:p>
        </w:tc>
        <w:tc>
          <w:tcPr>
            <w:tcW w:w="2952" w:type="dxa"/>
            <w:gridSpan w:val="2"/>
            <w:noWrap/>
            <w:vAlign w:val="center"/>
          </w:tcPr>
          <w:p w14:paraId="6747A7FD">
            <w:pPr>
              <w:jc w:val="center"/>
              <w:rPr>
                <w:rFonts w:ascii="宋体" w:hAnsi="宋体" w:cs="宋体"/>
                <w:bCs/>
                <w:kern w:val="0"/>
                <w:szCs w:val="21"/>
                <w:highlight w:val="none"/>
              </w:rPr>
            </w:pPr>
            <w:r>
              <w:rPr>
                <w:rFonts w:hint="eastAsia" w:ascii="宋体" w:hAnsi="宋体" w:cs="宋体"/>
                <w:bCs/>
                <w:kern w:val="0"/>
                <w:szCs w:val="21"/>
                <w:highlight w:val="none"/>
              </w:rPr>
              <w:t>建设单位</w:t>
            </w:r>
          </w:p>
        </w:tc>
        <w:tc>
          <w:tcPr>
            <w:tcW w:w="1476" w:type="dxa"/>
            <w:noWrap/>
            <w:vAlign w:val="center"/>
          </w:tcPr>
          <w:p w14:paraId="34A97E95">
            <w:pPr>
              <w:jc w:val="center"/>
              <w:rPr>
                <w:rFonts w:ascii="宋体" w:hAnsi="宋体" w:cs="宋体"/>
                <w:bCs/>
                <w:kern w:val="0"/>
                <w:szCs w:val="21"/>
                <w:highlight w:val="none"/>
              </w:rPr>
            </w:pPr>
            <w:r>
              <w:rPr>
                <w:rFonts w:hint="eastAsia" w:ascii="宋体" w:hAnsi="宋体" w:cs="宋体"/>
                <w:bCs/>
                <w:kern w:val="0"/>
                <w:szCs w:val="21"/>
                <w:highlight w:val="none"/>
              </w:rPr>
              <w:t>委托事项</w:t>
            </w:r>
          </w:p>
        </w:tc>
        <w:tc>
          <w:tcPr>
            <w:tcW w:w="2952" w:type="dxa"/>
            <w:gridSpan w:val="2"/>
            <w:noWrap/>
            <w:vAlign w:val="center"/>
          </w:tcPr>
          <w:p w14:paraId="71FF399E">
            <w:pPr>
              <w:jc w:val="center"/>
              <w:rPr>
                <w:rFonts w:ascii="宋体" w:hAnsi="宋体" w:cs="宋体"/>
                <w:bCs/>
                <w:kern w:val="0"/>
                <w:szCs w:val="21"/>
                <w:highlight w:val="none"/>
              </w:rPr>
            </w:pPr>
            <w:r>
              <w:rPr>
                <w:rFonts w:hint="eastAsia" w:ascii="宋体" w:hAnsi="宋体" w:cs="宋体"/>
                <w:bCs/>
                <w:kern w:val="0"/>
                <w:szCs w:val="21"/>
                <w:highlight w:val="none"/>
              </w:rPr>
              <w:t>项目投资额</w:t>
            </w:r>
          </w:p>
        </w:tc>
      </w:tr>
      <w:tr w14:paraId="2822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261541E1">
            <w:pPr>
              <w:spacing w:line="360" w:lineRule="auto"/>
              <w:rPr>
                <w:rFonts w:ascii="宋体" w:hAnsi="宋体" w:cs="宋体"/>
                <w:bCs/>
                <w:kern w:val="0"/>
                <w:szCs w:val="21"/>
                <w:highlight w:val="none"/>
              </w:rPr>
            </w:pPr>
          </w:p>
        </w:tc>
        <w:tc>
          <w:tcPr>
            <w:tcW w:w="2952" w:type="dxa"/>
            <w:gridSpan w:val="2"/>
            <w:noWrap/>
            <w:vAlign w:val="center"/>
          </w:tcPr>
          <w:p w14:paraId="08CE3A31">
            <w:pPr>
              <w:spacing w:line="360" w:lineRule="auto"/>
              <w:rPr>
                <w:rFonts w:ascii="宋体" w:hAnsi="宋体" w:cs="宋体"/>
                <w:bCs/>
                <w:kern w:val="0"/>
                <w:szCs w:val="21"/>
                <w:highlight w:val="none"/>
              </w:rPr>
            </w:pPr>
          </w:p>
        </w:tc>
        <w:tc>
          <w:tcPr>
            <w:tcW w:w="1476" w:type="dxa"/>
            <w:noWrap/>
            <w:vAlign w:val="center"/>
          </w:tcPr>
          <w:p w14:paraId="73DF3E20">
            <w:pPr>
              <w:spacing w:line="360" w:lineRule="auto"/>
              <w:rPr>
                <w:rFonts w:ascii="宋体" w:hAnsi="宋体" w:cs="宋体"/>
                <w:bCs/>
                <w:kern w:val="0"/>
                <w:szCs w:val="21"/>
                <w:highlight w:val="none"/>
              </w:rPr>
            </w:pPr>
          </w:p>
        </w:tc>
        <w:tc>
          <w:tcPr>
            <w:tcW w:w="2952" w:type="dxa"/>
            <w:gridSpan w:val="2"/>
            <w:noWrap/>
            <w:vAlign w:val="center"/>
          </w:tcPr>
          <w:p w14:paraId="20BC654C">
            <w:pPr>
              <w:spacing w:line="360" w:lineRule="auto"/>
              <w:rPr>
                <w:rFonts w:ascii="宋体" w:hAnsi="宋体" w:cs="宋体"/>
                <w:bCs/>
                <w:kern w:val="0"/>
                <w:szCs w:val="21"/>
                <w:highlight w:val="none"/>
              </w:rPr>
            </w:pPr>
          </w:p>
        </w:tc>
      </w:tr>
      <w:tr w14:paraId="05ED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10B9DA5D">
            <w:pPr>
              <w:spacing w:line="360" w:lineRule="auto"/>
              <w:rPr>
                <w:rFonts w:ascii="宋体" w:hAnsi="宋体" w:cs="宋体"/>
                <w:bCs/>
                <w:kern w:val="0"/>
                <w:szCs w:val="21"/>
                <w:highlight w:val="none"/>
              </w:rPr>
            </w:pPr>
          </w:p>
        </w:tc>
        <w:tc>
          <w:tcPr>
            <w:tcW w:w="2952" w:type="dxa"/>
            <w:gridSpan w:val="2"/>
            <w:noWrap/>
            <w:vAlign w:val="center"/>
          </w:tcPr>
          <w:p w14:paraId="5214B66D">
            <w:pPr>
              <w:spacing w:line="360" w:lineRule="auto"/>
              <w:rPr>
                <w:rFonts w:ascii="宋体" w:hAnsi="宋体" w:cs="宋体"/>
                <w:bCs/>
                <w:kern w:val="0"/>
                <w:szCs w:val="21"/>
                <w:highlight w:val="none"/>
              </w:rPr>
            </w:pPr>
          </w:p>
        </w:tc>
        <w:tc>
          <w:tcPr>
            <w:tcW w:w="1476" w:type="dxa"/>
            <w:noWrap/>
            <w:vAlign w:val="center"/>
          </w:tcPr>
          <w:p w14:paraId="6E1AD377">
            <w:pPr>
              <w:spacing w:line="360" w:lineRule="auto"/>
              <w:rPr>
                <w:rFonts w:ascii="宋体" w:hAnsi="宋体" w:cs="宋体"/>
                <w:bCs/>
                <w:kern w:val="0"/>
                <w:szCs w:val="21"/>
                <w:highlight w:val="none"/>
              </w:rPr>
            </w:pPr>
          </w:p>
        </w:tc>
        <w:tc>
          <w:tcPr>
            <w:tcW w:w="2952" w:type="dxa"/>
            <w:gridSpan w:val="2"/>
            <w:noWrap/>
            <w:vAlign w:val="center"/>
          </w:tcPr>
          <w:p w14:paraId="5C423480">
            <w:pPr>
              <w:spacing w:line="360" w:lineRule="auto"/>
              <w:rPr>
                <w:rFonts w:ascii="宋体" w:hAnsi="宋体" w:cs="宋体"/>
                <w:bCs/>
                <w:kern w:val="0"/>
                <w:szCs w:val="21"/>
                <w:highlight w:val="none"/>
              </w:rPr>
            </w:pPr>
          </w:p>
        </w:tc>
      </w:tr>
      <w:tr w14:paraId="4B51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5E3D0E92">
            <w:pPr>
              <w:spacing w:line="360" w:lineRule="auto"/>
              <w:rPr>
                <w:rFonts w:ascii="宋体" w:hAnsi="宋体" w:cs="宋体"/>
                <w:bCs/>
                <w:kern w:val="0"/>
                <w:szCs w:val="21"/>
                <w:highlight w:val="none"/>
              </w:rPr>
            </w:pPr>
          </w:p>
        </w:tc>
        <w:tc>
          <w:tcPr>
            <w:tcW w:w="2952" w:type="dxa"/>
            <w:gridSpan w:val="2"/>
            <w:noWrap/>
            <w:vAlign w:val="center"/>
          </w:tcPr>
          <w:p w14:paraId="46A252C9">
            <w:pPr>
              <w:spacing w:line="360" w:lineRule="auto"/>
              <w:rPr>
                <w:rFonts w:ascii="宋体" w:hAnsi="宋体" w:cs="宋体"/>
                <w:bCs/>
                <w:kern w:val="0"/>
                <w:szCs w:val="21"/>
                <w:highlight w:val="none"/>
              </w:rPr>
            </w:pPr>
          </w:p>
        </w:tc>
        <w:tc>
          <w:tcPr>
            <w:tcW w:w="1476" w:type="dxa"/>
            <w:noWrap/>
            <w:vAlign w:val="center"/>
          </w:tcPr>
          <w:p w14:paraId="25549AB6">
            <w:pPr>
              <w:spacing w:line="360" w:lineRule="auto"/>
              <w:rPr>
                <w:rFonts w:ascii="宋体" w:hAnsi="宋体" w:cs="宋体"/>
                <w:bCs/>
                <w:kern w:val="0"/>
                <w:szCs w:val="21"/>
                <w:highlight w:val="none"/>
              </w:rPr>
            </w:pPr>
          </w:p>
        </w:tc>
        <w:tc>
          <w:tcPr>
            <w:tcW w:w="2952" w:type="dxa"/>
            <w:gridSpan w:val="2"/>
            <w:noWrap/>
            <w:vAlign w:val="center"/>
          </w:tcPr>
          <w:p w14:paraId="66DF5D88">
            <w:pPr>
              <w:spacing w:line="360" w:lineRule="auto"/>
              <w:rPr>
                <w:rFonts w:ascii="宋体" w:hAnsi="宋体" w:cs="宋体"/>
                <w:bCs/>
                <w:kern w:val="0"/>
                <w:szCs w:val="21"/>
                <w:highlight w:val="none"/>
              </w:rPr>
            </w:pPr>
          </w:p>
        </w:tc>
      </w:tr>
      <w:tr w14:paraId="3585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1048AD44">
            <w:pPr>
              <w:spacing w:line="360" w:lineRule="auto"/>
              <w:rPr>
                <w:rFonts w:ascii="宋体" w:hAnsi="宋体" w:cs="宋体"/>
                <w:bCs/>
                <w:kern w:val="0"/>
                <w:szCs w:val="21"/>
                <w:highlight w:val="none"/>
              </w:rPr>
            </w:pPr>
          </w:p>
        </w:tc>
        <w:tc>
          <w:tcPr>
            <w:tcW w:w="2952" w:type="dxa"/>
            <w:gridSpan w:val="2"/>
            <w:noWrap/>
            <w:vAlign w:val="center"/>
          </w:tcPr>
          <w:p w14:paraId="373327BC">
            <w:pPr>
              <w:spacing w:line="360" w:lineRule="auto"/>
              <w:rPr>
                <w:rFonts w:ascii="宋体" w:hAnsi="宋体" w:cs="宋体"/>
                <w:bCs/>
                <w:kern w:val="0"/>
                <w:szCs w:val="21"/>
                <w:highlight w:val="none"/>
              </w:rPr>
            </w:pPr>
          </w:p>
        </w:tc>
        <w:tc>
          <w:tcPr>
            <w:tcW w:w="1476" w:type="dxa"/>
            <w:noWrap/>
            <w:vAlign w:val="center"/>
          </w:tcPr>
          <w:p w14:paraId="2A733EDF">
            <w:pPr>
              <w:spacing w:line="360" w:lineRule="auto"/>
              <w:rPr>
                <w:rFonts w:ascii="宋体" w:hAnsi="宋体" w:cs="宋体"/>
                <w:bCs/>
                <w:kern w:val="0"/>
                <w:szCs w:val="21"/>
                <w:highlight w:val="none"/>
              </w:rPr>
            </w:pPr>
          </w:p>
        </w:tc>
        <w:tc>
          <w:tcPr>
            <w:tcW w:w="2952" w:type="dxa"/>
            <w:gridSpan w:val="2"/>
            <w:noWrap/>
            <w:vAlign w:val="center"/>
          </w:tcPr>
          <w:p w14:paraId="14EC8EA4">
            <w:pPr>
              <w:spacing w:line="360" w:lineRule="auto"/>
              <w:rPr>
                <w:rFonts w:ascii="宋体" w:hAnsi="宋体" w:cs="宋体"/>
                <w:bCs/>
                <w:kern w:val="0"/>
                <w:szCs w:val="21"/>
                <w:highlight w:val="none"/>
              </w:rPr>
            </w:pPr>
          </w:p>
        </w:tc>
      </w:tr>
      <w:tr w14:paraId="1ABA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46F59821">
            <w:pPr>
              <w:spacing w:line="360" w:lineRule="auto"/>
              <w:rPr>
                <w:rFonts w:ascii="宋体" w:hAnsi="宋体" w:cs="宋体"/>
                <w:bCs/>
                <w:kern w:val="0"/>
                <w:szCs w:val="21"/>
                <w:highlight w:val="none"/>
              </w:rPr>
            </w:pPr>
          </w:p>
        </w:tc>
        <w:tc>
          <w:tcPr>
            <w:tcW w:w="2952" w:type="dxa"/>
            <w:gridSpan w:val="2"/>
            <w:noWrap/>
            <w:vAlign w:val="center"/>
          </w:tcPr>
          <w:p w14:paraId="62E4FA07">
            <w:pPr>
              <w:spacing w:line="360" w:lineRule="auto"/>
              <w:rPr>
                <w:rFonts w:ascii="宋体" w:hAnsi="宋体" w:cs="宋体"/>
                <w:bCs/>
                <w:kern w:val="0"/>
                <w:szCs w:val="21"/>
                <w:highlight w:val="none"/>
              </w:rPr>
            </w:pPr>
          </w:p>
        </w:tc>
        <w:tc>
          <w:tcPr>
            <w:tcW w:w="1476" w:type="dxa"/>
            <w:noWrap/>
            <w:vAlign w:val="center"/>
          </w:tcPr>
          <w:p w14:paraId="098FBC41">
            <w:pPr>
              <w:spacing w:line="360" w:lineRule="auto"/>
              <w:rPr>
                <w:rFonts w:ascii="宋体" w:hAnsi="宋体" w:cs="宋体"/>
                <w:bCs/>
                <w:kern w:val="0"/>
                <w:szCs w:val="21"/>
                <w:highlight w:val="none"/>
              </w:rPr>
            </w:pPr>
          </w:p>
        </w:tc>
        <w:tc>
          <w:tcPr>
            <w:tcW w:w="2952" w:type="dxa"/>
            <w:gridSpan w:val="2"/>
            <w:noWrap/>
            <w:vAlign w:val="center"/>
          </w:tcPr>
          <w:p w14:paraId="02749AB7">
            <w:pPr>
              <w:spacing w:line="360" w:lineRule="auto"/>
              <w:rPr>
                <w:rFonts w:ascii="宋体" w:hAnsi="宋体" w:cs="宋体"/>
                <w:bCs/>
                <w:kern w:val="0"/>
                <w:szCs w:val="21"/>
                <w:highlight w:val="none"/>
              </w:rPr>
            </w:pPr>
          </w:p>
        </w:tc>
      </w:tr>
      <w:tr w14:paraId="0BB1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027B0B7F">
            <w:pPr>
              <w:spacing w:line="360" w:lineRule="auto"/>
              <w:rPr>
                <w:rFonts w:ascii="宋体" w:hAnsi="宋体" w:cs="宋体"/>
                <w:bCs/>
                <w:kern w:val="0"/>
                <w:szCs w:val="21"/>
                <w:highlight w:val="none"/>
              </w:rPr>
            </w:pPr>
          </w:p>
        </w:tc>
        <w:tc>
          <w:tcPr>
            <w:tcW w:w="2952" w:type="dxa"/>
            <w:gridSpan w:val="2"/>
            <w:noWrap/>
            <w:vAlign w:val="center"/>
          </w:tcPr>
          <w:p w14:paraId="332EC784">
            <w:pPr>
              <w:spacing w:line="360" w:lineRule="auto"/>
              <w:rPr>
                <w:rFonts w:ascii="宋体" w:hAnsi="宋体" w:cs="宋体"/>
                <w:bCs/>
                <w:kern w:val="0"/>
                <w:szCs w:val="21"/>
                <w:highlight w:val="none"/>
              </w:rPr>
            </w:pPr>
          </w:p>
        </w:tc>
        <w:tc>
          <w:tcPr>
            <w:tcW w:w="1476" w:type="dxa"/>
            <w:noWrap/>
            <w:vAlign w:val="center"/>
          </w:tcPr>
          <w:p w14:paraId="230030AA">
            <w:pPr>
              <w:spacing w:line="360" w:lineRule="auto"/>
              <w:rPr>
                <w:rFonts w:ascii="宋体" w:hAnsi="宋体" w:cs="宋体"/>
                <w:bCs/>
                <w:kern w:val="0"/>
                <w:szCs w:val="21"/>
                <w:highlight w:val="none"/>
              </w:rPr>
            </w:pPr>
          </w:p>
        </w:tc>
        <w:tc>
          <w:tcPr>
            <w:tcW w:w="2952" w:type="dxa"/>
            <w:gridSpan w:val="2"/>
            <w:noWrap/>
            <w:vAlign w:val="center"/>
          </w:tcPr>
          <w:p w14:paraId="5CD23D30">
            <w:pPr>
              <w:spacing w:line="360" w:lineRule="auto"/>
              <w:rPr>
                <w:rFonts w:ascii="宋体" w:hAnsi="宋体" w:cs="宋体"/>
                <w:bCs/>
                <w:kern w:val="0"/>
                <w:szCs w:val="21"/>
                <w:highlight w:val="none"/>
              </w:rPr>
            </w:pPr>
          </w:p>
        </w:tc>
      </w:tr>
      <w:tr w14:paraId="3CA5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76DBB063">
            <w:pPr>
              <w:spacing w:line="360" w:lineRule="auto"/>
              <w:rPr>
                <w:rFonts w:ascii="宋体" w:hAnsi="宋体" w:cs="宋体"/>
                <w:bCs/>
                <w:kern w:val="0"/>
                <w:szCs w:val="21"/>
                <w:highlight w:val="none"/>
              </w:rPr>
            </w:pPr>
          </w:p>
        </w:tc>
        <w:tc>
          <w:tcPr>
            <w:tcW w:w="2952" w:type="dxa"/>
            <w:gridSpan w:val="2"/>
            <w:noWrap/>
            <w:vAlign w:val="center"/>
          </w:tcPr>
          <w:p w14:paraId="4659A06E">
            <w:pPr>
              <w:spacing w:line="360" w:lineRule="auto"/>
              <w:rPr>
                <w:rFonts w:ascii="宋体" w:hAnsi="宋体" w:cs="宋体"/>
                <w:bCs/>
                <w:kern w:val="0"/>
                <w:szCs w:val="21"/>
                <w:highlight w:val="none"/>
              </w:rPr>
            </w:pPr>
          </w:p>
        </w:tc>
        <w:tc>
          <w:tcPr>
            <w:tcW w:w="1476" w:type="dxa"/>
            <w:noWrap/>
            <w:vAlign w:val="center"/>
          </w:tcPr>
          <w:p w14:paraId="67A27948">
            <w:pPr>
              <w:spacing w:line="360" w:lineRule="auto"/>
              <w:rPr>
                <w:rFonts w:ascii="宋体" w:hAnsi="宋体" w:cs="宋体"/>
                <w:bCs/>
                <w:kern w:val="0"/>
                <w:szCs w:val="21"/>
                <w:highlight w:val="none"/>
              </w:rPr>
            </w:pPr>
          </w:p>
        </w:tc>
        <w:tc>
          <w:tcPr>
            <w:tcW w:w="2952" w:type="dxa"/>
            <w:gridSpan w:val="2"/>
            <w:noWrap/>
            <w:vAlign w:val="center"/>
          </w:tcPr>
          <w:p w14:paraId="7ADACA60">
            <w:pPr>
              <w:spacing w:line="360" w:lineRule="auto"/>
              <w:rPr>
                <w:rFonts w:ascii="宋体" w:hAnsi="宋体" w:cs="宋体"/>
                <w:bCs/>
                <w:kern w:val="0"/>
                <w:szCs w:val="21"/>
                <w:highlight w:val="none"/>
              </w:rPr>
            </w:pPr>
          </w:p>
        </w:tc>
      </w:tr>
      <w:tr w14:paraId="0409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32FE4B46">
            <w:pPr>
              <w:spacing w:line="360" w:lineRule="auto"/>
              <w:rPr>
                <w:rFonts w:ascii="宋体" w:hAnsi="宋体" w:cs="宋体"/>
                <w:bCs/>
                <w:kern w:val="0"/>
                <w:szCs w:val="21"/>
                <w:highlight w:val="none"/>
              </w:rPr>
            </w:pPr>
          </w:p>
        </w:tc>
        <w:tc>
          <w:tcPr>
            <w:tcW w:w="2952" w:type="dxa"/>
            <w:gridSpan w:val="2"/>
            <w:noWrap/>
            <w:vAlign w:val="center"/>
          </w:tcPr>
          <w:p w14:paraId="2C12F0C5">
            <w:pPr>
              <w:spacing w:line="360" w:lineRule="auto"/>
              <w:rPr>
                <w:rFonts w:ascii="宋体" w:hAnsi="宋体" w:cs="宋体"/>
                <w:bCs/>
                <w:kern w:val="0"/>
                <w:szCs w:val="21"/>
                <w:highlight w:val="none"/>
              </w:rPr>
            </w:pPr>
          </w:p>
        </w:tc>
        <w:tc>
          <w:tcPr>
            <w:tcW w:w="1476" w:type="dxa"/>
            <w:noWrap/>
            <w:vAlign w:val="center"/>
          </w:tcPr>
          <w:p w14:paraId="4D0FEB7B">
            <w:pPr>
              <w:spacing w:line="360" w:lineRule="auto"/>
              <w:rPr>
                <w:rFonts w:ascii="宋体" w:hAnsi="宋体" w:cs="宋体"/>
                <w:bCs/>
                <w:kern w:val="0"/>
                <w:szCs w:val="21"/>
                <w:highlight w:val="none"/>
              </w:rPr>
            </w:pPr>
          </w:p>
        </w:tc>
        <w:tc>
          <w:tcPr>
            <w:tcW w:w="2952" w:type="dxa"/>
            <w:gridSpan w:val="2"/>
            <w:noWrap/>
            <w:vAlign w:val="center"/>
          </w:tcPr>
          <w:p w14:paraId="42C79AF7">
            <w:pPr>
              <w:spacing w:line="360" w:lineRule="auto"/>
              <w:rPr>
                <w:rFonts w:ascii="宋体" w:hAnsi="宋体" w:cs="宋体"/>
                <w:bCs/>
                <w:kern w:val="0"/>
                <w:szCs w:val="21"/>
                <w:highlight w:val="none"/>
              </w:rPr>
            </w:pPr>
          </w:p>
        </w:tc>
      </w:tr>
      <w:tr w14:paraId="2695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1025138F">
            <w:pPr>
              <w:spacing w:line="360" w:lineRule="auto"/>
              <w:rPr>
                <w:rFonts w:ascii="宋体" w:hAnsi="宋体" w:cs="宋体"/>
                <w:bCs/>
                <w:kern w:val="0"/>
                <w:szCs w:val="21"/>
                <w:highlight w:val="none"/>
              </w:rPr>
            </w:pPr>
          </w:p>
        </w:tc>
        <w:tc>
          <w:tcPr>
            <w:tcW w:w="2952" w:type="dxa"/>
            <w:gridSpan w:val="2"/>
            <w:noWrap/>
            <w:vAlign w:val="center"/>
          </w:tcPr>
          <w:p w14:paraId="420CCB24">
            <w:pPr>
              <w:spacing w:line="360" w:lineRule="auto"/>
              <w:rPr>
                <w:rFonts w:ascii="宋体" w:hAnsi="宋体" w:cs="宋体"/>
                <w:bCs/>
                <w:kern w:val="0"/>
                <w:szCs w:val="21"/>
                <w:highlight w:val="none"/>
              </w:rPr>
            </w:pPr>
          </w:p>
        </w:tc>
        <w:tc>
          <w:tcPr>
            <w:tcW w:w="1476" w:type="dxa"/>
            <w:noWrap/>
            <w:vAlign w:val="center"/>
          </w:tcPr>
          <w:p w14:paraId="02273DF1">
            <w:pPr>
              <w:spacing w:line="360" w:lineRule="auto"/>
              <w:rPr>
                <w:rFonts w:ascii="宋体" w:hAnsi="宋体" w:cs="宋体"/>
                <w:bCs/>
                <w:kern w:val="0"/>
                <w:szCs w:val="21"/>
                <w:highlight w:val="none"/>
              </w:rPr>
            </w:pPr>
          </w:p>
        </w:tc>
        <w:tc>
          <w:tcPr>
            <w:tcW w:w="2952" w:type="dxa"/>
            <w:gridSpan w:val="2"/>
            <w:noWrap/>
            <w:vAlign w:val="center"/>
          </w:tcPr>
          <w:p w14:paraId="674FB994">
            <w:pPr>
              <w:spacing w:line="360" w:lineRule="auto"/>
              <w:rPr>
                <w:rFonts w:ascii="宋体" w:hAnsi="宋体" w:cs="宋体"/>
                <w:bCs/>
                <w:kern w:val="0"/>
                <w:szCs w:val="21"/>
                <w:highlight w:val="none"/>
              </w:rPr>
            </w:pPr>
          </w:p>
        </w:tc>
      </w:tr>
      <w:tr w14:paraId="11AA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6" w:type="dxa"/>
            <w:noWrap/>
            <w:vAlign w:val="center"/>
          </w:tcPr>
          <w:p w14:paraId="36E2AF5A">
            <w:pPr>
              <w:spacing w:line="360" w:lineRule="auto"/>
              <w:rPr>
                <w:rFonts w:ascii="宋体" w:hAnsi="宋体" w:cs="宋体"/>
                <w:bCs/>
                <w:kern w:val="0"/>
                <w:szCs w:val="21"/>
                <w:highlight w:val="none"/>
              </w:rPr>
            </w:pPr>
          </w:p>
        </w:tc>
        <w:tc>
          <w:tcPr>
            <w:tcW w:w="2952" w:type="dxa"/>
            <w:gridSpan w:val="2"/>
            <w:noWrap/>
            <w:vAlign w:val="center"/>
          </w:tcPr>
          <w:p w14:paraId="039018BE">
            <w:pPr>
              <w:spacing w:line="360" w:lineRule="auto"/>
              <w:rPr>
                <w:rFonts w:ascii="宋体" w:hAnsi="宋体" w:cs="宋体"/>
                <w:bCs/>
                <w:kern w:val="0"/>
                <w:szCs w:val="21"/>
                <w:highlight w:val="none"/>
              </w:rPr>
            </w:pPr>
          </w:p>
        </w:tc>
        <w:tc>
          <w:tcPr>
            <w:tcW w:w="1476" w:type="dxa"/>
            <w:noWrap/>
            <w:vAlign w:val="center"/>
          </w:tcPr>
          <w:p w14:paraId="49A1CF5F">
            <w:pPr>
              <w:spacing w:line="360" w:lineRule="auto"/>
              <w:rPr>
                <w:rFonts w:ascii="宋体" w:hAnsi="宋体" w:cs="宋体"/>
                <w:bCs/>
                <w:kern w:val="0"/>
                <w:szCs w:val="21"/>
                <w:highlight w:val="none"/>
              </w:rPr>
            </w:pPr>
          </w:p>
        </w:tc>
        <w:tc>
          <w:tcPr>
            <w:tcW w:w="2952" w:type="dxa"/>
            <w:gridSpan w:val="2"/>
            <w:noWrap/>
            <w:vAlign w:val="center"/>
          </w:tcPr>
          <w:p w14:paraId="04A012FC">
            <w:pPr>
              <w:spacing w:line="360" w:lineRule="auto"/>
              <w:rPr>
                <w:rFonts w:ascii="宋体" w:hAnsi="宋体" w:cs="宋体"/>
                <w:bCs/>
                <w:kern w:val="0"/>
                <w:szCs w:val="21"/>
                <w:highlight w:val="none"/>
              </w:rPr>
            </w:pPr>
          </w:p>
        </w:tc>
      </w:tr>
    </w:tbl>
    <w:p w14:paraId="607D94DD">
      <w:pPr>
        <w:autoSpaceDE w:val="0"/>
        <w:autoSpaceDN w:val="0"/>
        <w:adjustRightInd w:val="0"/>
        <w:spacing w:before="120" w:beforeLines="50" w:line="400" w:lineRule="exact"/>
        <w:jc w:val="left"/>
        <w:rPr>
          <w:rFonts w:ascii="宋体" w:hAnsi="宋体" w:cs="宋体"/>
          <w:bCs/>
          <w:szCs w:val="18"/>
          <w:highlight w:val="none"/>
          <w:lang w:val="zh-CN"/>
        </w:rPr>
      </w:pPr>
      <w:r>
        <w:rPr>
          <w:rFonts w:hint="eastAsia" w:ascii="宋体" w:hAnsi="宋体" w:cs="宋体"/>
          <w:bCs/>
          <w:kern w:val="0"/>
          <w:szCs w:val="21"/>
          <w:highlight w:val="none"/>
        </w:rPr>
        <w:t>注：</w:t>
      </w:r>
      <w:r>
        <w:rPr>
          <w:rFonts w:hint="eastAsia" w:ascii="宋体" w:hAnsi="宋体" w:cs="宋体"/>
          <w:bCs/>
          <w:szCs w:val="18"/>
          <w:highlight w:val="none"/>
          <w:lang w:val="zh-CN"/>
        </w:rPr>
        <w:t>主要人员指技术负责人、施工员、质量员、安全员</w:t>
      </w:r>
      <w:r>
        <w:rPr>
          <w:rFonts w:hint="eastAsia" w:ascii="宋体" w:hAnsi="宋体" w:cs="宋体"/>
          <w:bCs/>
          <w:szCs w:val="18"/>
          <w:highlight w:val="none"/>
          <w:lang w:val="zh-CN" w:eastAsia="zh-CN"/>
        </w:rPr>
        <w:t>、</w:t>
      </w:r>
      <w:r>
        <w:rPr>
          <w:rFonts w:hint="eastAsia" w:ascii="宋体" w:hAnsi="宋体" w:cs="宋体"/>
          <w:bCs/>
          <w:szCs w:val="18"/>
          <w:highlight w:val="none"/>
          <w:lang w:val="zh-CN"/>
        </w:rPr>
        <w:t>标准员、材料员、机械员、劳务员、资料员岗位人员。应附</w:t>
      </w:r>
      <w:r>
        <w:rPr>
          <w:rFonts w:hint="eastAsia" w:ascii="宋体" w:hAnsi="宋体" w:cs="宋体"/>
          <w:bCs/>
          <w:szCs w:val="18"/>
          <w:highlight w:val="none"/>
          <w:lang w:val="en-US" w:eastAsia="zh-CN"/>
        </w:rPr>
        <w:t>相关证书</w:t>
      </w:r>
      <w:r>
        <w:rPr>
          <w:rFonts w:hint="eastAsia" w:ascii="宋体" w:hAnsi="宋体" w:cs="宋体"/>
          <w:bCs/>
          <w:szCs w:val="18"/>
          <w:highlight w:val="none"/>
          <w:lang w:val="zh-CN"/>
        </w:rPr>
        <w:t>、身份证、学历证等复印件</w:t>
      </w:r>
      <w:r>
        <w:rPr>
          <w:rFonts w:hint="eastAsia" w:ascii="宋体" w:hAnsi="宋体" w:cs="宋体"/>
          <w:bCs/>
          <w:kern w:val="0"/>
          <w:szCs w:val="21"/>
          <w:highlight w:val="none"/>
        </w:rPr>
        <w:t>。</w:t>
      </w:r>
    </w:p>
    <w:p w14:paraId="2F417817">
      <w:pPr>
        <w:rPr>
          <w:rFonts w:hint="eastAsia" w:ascii="宋体" w:hAnsi="宋体" w:cs="宋体"/>
          <w:sz w:val="24"/>
          <w:szCs w:val="24"/>
          <w:highlight w:val="none"/>
        </w:rPr>
      </w:pPr>
      <w:r>
        <w:rPr>
          <w:rFonts w:hint="eastAsia" w:ascii="宋体" w:hAnsi="宋体" w:cs="宋体"/>
          <w:sz w:val="24"/>
          <w:szCs w:val="24"/>
          <w:highlight w:val="none"/>
        </w:rPr>
        <w:br w:type="page"/>
      </w:r>
    </w:p>
    <w:p w14:paraId="5462E88E">
      <w:pPr>
        <w:spacing w:line="480" w:lineRule="auto"/>
        <w:rPr>
          <w:rFonts w:ascii="宋体" w:hAnsi="宋体" w:cs="宋体"/>
          <w:sz w:val="24"/>
          <w:szCs w:val="24"/>
          <w:highlight w:val="none"/>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五</w:t>
      </w:r>
      <w:r>
        <w:rPr>
          <w:rFonts w:hint="eastAsia" w:ascii="宋体" w:hAnsi="宋体" w:cs="宋体"/>
          <w:sz w:val="24"/>
          <w:szCs w:val="24"/>
          <w:highlight w:val="none"/>
        </w:rPr>
        <w:t>：</w:t>
      </w:r>
    </w:p>
    <w:p w14:paraId="423324B8">
      <w:pPr>
        <w:jc w:val="center"/>
        <w:outlineLvl w:val="2"/>
        <w:rPr>
          <w:rFonts w:hAnsi="宋体"/>
          <w:sz w:val="32"/>
          <w:szCs w:val="32"/>
          <w:highlight w:val="none"/>
        </w:rPr>
      </w:pPr>
      <w:r>
        <w:rPr>
          <w:rFonts w:hint="eastAsia" w:hAnsi="宋体"/>
          <w:sz w:val="32"/>
          <w:szCs w:val="32"/>
          <w:highlight w:val="none"/>
        </w:rPr>
        <w:t>中小企业声明函</w:t>
      </w:r>
    </w:p>
    <w:p w14:paraId="2996E737">
      <w:pPr>
        <w:jc w:val="center"/>
        <w:outlineLvl w:val="0"/>
        <w:rPr>
          <w:rFonts w:ascii="宋体" w:hAnsi="宋体" w:cs="宋体"/>
          <w:b/>
          <w:bCs/>
          <w:kern w:val="44"/>
          <w:sz w:val="24"/>
          <w:szCs w:val="24"/>
          <w:highlight w:val="none"/>
        </w:rPr>
      </w:pPr>
      <w:bookmarkStart w:id="1560" w:name="_Toc2876"/>
      <w:bookmarkStart w:id="1561" w:name="_Toc6491"/>
      <w:bookmarkStart w:id="1562" w:name="_Toc13671"/>
      <w:bookmarkStart w:id="1563" w:name="_Toc28161"/>
      <w:bookmarkStart w:id="1564" w:name="_Toc23405"/>
      <w:bookmarkStart w:id="1565" w:name="_Toc13936"/>
      <w:bookmarkStart w:id="1566" w:name="_Toc7736"/>
      <w:r>
        <w:rPr>
          <w:rFonts w:hint="eastAsia" w:ascii="宋体" w:hAnsi="宋体" w:cs="宋体"/>
          <w:b/>
          <w:bCs/>
          <w:kern w:val="44"/>
          <w:sz w:val="24"/>
          <w:szCs w:val="24"/>
          <w:highlight w:val="none"/>
        </w:rPr>
        <w:t>中小企业声明函（工程、服务）</w:t>
      </w:r>
      <w:bookmarkEnd w:id="1560"/>
      <w:bookmarkEnd w:id="1561"/>
      <w:bookmarkEnd w:id="1562"/>
      <w:bookmarkEnd w:id="1563"/>
      <w:bookmarkEnd w:id="1564"/>
      <w:bookmarkEnd w:id="1565"/>
      <w:bookmarkEnd w:id="1566"/>
    </w:p>
    <w:p w14:paraId="07408F91">
      <w:pPr>
        <w:spacing w:after="120" w:line="360" w:lineRule="auto"/>
        <w:ind w:right="415" w:firstLine="640"/>
        <w:rPr>
          <w:rFonts w:ascii="宋体" w:hAnsi="宋体" w:cs="宋体"/>
          <w:szCs w:val="21"/>
          <w:highlight w:val="none"/>
        </w:rPr>
      </w:pPr>
    </w:p>
    <w:p w14:paraId="086DC6AB">
      <w:pPr>
        <w:spacing w:after="120" w:line="360" w:lineRule="auto"/>
        <w:ind w:right="415" w:firstLine="640"/>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661BAE68">
      <w:pPr>
        <w:spacing w:after="120" w:line="360" w:lineRule="auto"/>
        <w:ind w:right="415"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ab/>
      </w:r>
      <w:r>
        <w:rPr>
          <w:rFonts w:hint="eastAsia" w:ascii="宋体" w:hAnsi="宋体" w:cs="宋体"/>
          <w:szCs w:val="21"/>
          <w:highlight w:val="none"/>
        </w:rPr>
        <w:t>人，营业收入为</w:t>
      </w:r>
      <w:r>
        <w:rPr>
          <w:rFonts w:hint="eastAsia" w:ascii="宋体" w:hAnsi="宋体" w:cs="宋体"/>
          <w:szCs w:val="21"/>
          <w:highlight w:val="none"/>
          <w:u w:val="single"/>
        </w:rPr>
        <w:tab/>
      </w:r>
      <w:r>
        <w:rPr>
          <w:rFonts w:hint="eastAsia" w:ascii="宋体" w:hAnsi="宋体" w:cs="宋体"/>
          <w:szCs w:val="21"/>
          <w:highlight w:val="none"/>
        </w:rPr>
        <w:t>万元，资产总额为</w:t>
      </w:r>
      <w:r>
        <w:rPr>
          <w:rFonts w:hint="eastAsia" w:ascii="宋体" w:hAnsi="宋体" w:cs="宋体"/>
          <w:szCs w:val="21"/>
          <w:highlight w:val="none"/>
          <w:u w:val="single"/>
        </w:rPr>
        <w:tab/>
      </w:r>
      <w:r>
        <w:rPr>
          <w:rFonts w:hint="eastAsia" w:ascii="宋体" w:hAnsi="宋体" w:cs="宋体"/>
          <w:szCs w:val="21"/>
          <w:highlight w:val="none"/>
        </w:rPr>
        <w:t>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6A8D05CE">
      <w:pPr>
        <w:tabs>
          <w:tab w:val="left" w:pos="1243"/>
          <w:tab w:val="left" w:pos="1806"/>
          <w:tab w:val="left" w:pos="5005"/>
          <w:tab w:val="left" w:pos="7213"/>
        </w:tabs>
        <w:spacing w:line="360" w:lineRule="auto"/>
        <w:ind w:right="258" w:firstLine="420" w:firstLineChars="200"/>
        <w:rPr>
          <w:rFonts w:ascii="宋体" w:hAnsi="宋体" w:cs="宋体"/>
          <w:szCs w:val="21"/>
          <w:highlight w:val="none"/>
        </w:rPr>
      </w:pPr>
      <w:r>
        <w:rPr>
          <w:rFonts w:hint="eastAsia" w:ascii="宋体" w:hAnsi="宋体" w:cs="宋体"/>
          <w:szCs w:val="21"/>
          <w:highlight w:val="none"/>
          <w:u w:val="single"/>
        </w:rPr>
        <w:t>2.（标的名称）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ab/>
      </w:r>
      <w:r>
        <w:rPr>
          <w:rFonts w:hint="eastAsia" w:ascii="宋体" w:hAnsi="宋体" w:cs="宋体"/>
          <w:szCs w:val="21"/>
          <w:highlight w:val="none"/>
        </w:rPr>
        <w:t>人，营业收入为</w:t>
      </w:r>
      <w:r>
        <w:rPr>
          <w:rFonts w:hint="eastAsia" w:ascii="宋体" w:hAnsi="宋体" w:cs="宋体"/>
          <w:szCs w:val="21"/>
          <w:highlight w:val="none"/>
          <w:u w:val="single"/>
        </w:rPr>
        <w:tab/>
      </w:r>
      <w:r>
        <w:rPr>
          <w:rFonts w:hint="eastAsia" w:ascii="宋体" w:hAnsi="宋体" w:cs="宋体"/>
          <w:szCs w:val="21"/>
          <w:highlight w:val="none"/>
        </w:rPr>
        <w:t>万元，资产总额为</w:t>
      </w:r>
      <w:r>
        <w:rPr>
          <w:rFonts w:hint="eastAsia" w:ascii="宋体" w:hAnsi="宋体" w:cs="宋体"/>
          <w:szCs w:val="21"/>
          <w:highlight w:val="none"/>
          <w:u w:val="single"/>
        </w:rPr>
        <w:tab/>
      </w:r>
      <w:r>
        <w:rPr>
          <w:rFonts w:hint="eastAsia" w:ascii="宋体" w:hAnsi="宋体" w:cs="宋体"/>
          <w:szCs w:val="21"/>
          <w:highlight w:val="none"/>
        </w:rPr>
        <w:t>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5163B7F4">
      <w:pPr>
        <w:spacing w:before="11" w:after="120" w:line="360" w:lineRule="auto"/>
        <w:ind w:left="860"/>
        <w:rPr>
          <w:rFonts w:ascii="宋体" w:hAnsi="宋体" w:cs="宋体"/>
          <w:szCs w:val="21"/>
          <w:highlight w:val="none"/>
        </w:rPr>
      </w:pPr>
      <w:r>
        <w:rPr>
          <w:rFonts w:hint="eastAsia" w:ascii="宋体" w:hAnsi="宋体" w:cs="宋体"/>
          <w:szCs w:val="21"/>
          <w:highlight w:val="none"/>
        </w:rPr>
        <w:t>……</w:t>
      </w:r>
    </w:p>
    <w:p w14:paraId="66FD2E93">
      <w:pPr>
        <w:spacing w:before="108" w:after="120" w:line="360" w:lineRule="auto"/>
        <w:ind w:right="417" w:firstLine="645"/>
        <w:rPr>
          <w:rFonts w:ascii="宋体" w:hAnsi="宋体" w:cs="宋体"/>
          <w:szCs w:val="21"/>
          <w:highlight w:val="none"/>
        </w:rPr>
      </w:pPr>
      <w:r>
        <w:rPr>
          <w:rFonts w:hint="eastAsia" w:ascii="宋体" w:hAnsi="宋体" w:cs="宋体"/>
          <w:spacing w:val="-3"/>
          <w:szCs w:val="21"/>
          <w:highlight w:val="none"/>
        </w:rPr>
        <w:t>以上企业，不属于大企业的分支机构，不存在控股股东</w:t>
      </w:r>
      <w:r>
        <w:rPr>
          <w:rFonts w:hint="eastAsia" w:ascii="宋体" w:hAnsi="宋体" w:cs="宋体"/>
          <w:spacing w:val="-5"/>
          <w:szCs w:val="21"/>
          <w:highlight w:val="none"/>
        </w:rPr>
        <w:t>为大企业的情形，也不存在与大企业的负责人为同一人的情形。</w:t>
      </w:r>
    </w:p>
    <w:p w14:paraId="69911AFD">
      <w:pPr>
        <w:spacing w:after="120" w:line="360" w:lineRule="auto"/>
        <w:ind w:right="375" w:firstLine="64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14:paraId="77F52EB9">
      <w:pPr>
        <w:adjustRightInd w:val="0"/>
        <w:snapToGrid w:val="0"/>
        <w:spacing w:line="300" w:lineRule="auto"/>
        <w:ind w:firstLine="516" w:firstLineChars="200"/>
        <w:rPr>
          <w:rFonts w:ascii="宋体" w:hAnsi="宋体" w:cs="宋体"/>
          <w:spacing w:val="24"/>
          <w:szCs w:val="21"/>
          <w:highlight w:val="none"/>
        </w:rPr>
      </w:pPr>
    </w:p>
    <w:p w14:paraId="3E63725A">
      <w:pPr>
        <w:adjustRightInd w:val="0"/>
        <w:snapToGrid w:val="0"/>
        <w:spacing w:line="300" w:lineRule="auto"/>
        <w:ind w:firstLine="516" w:firstLineChars="200"/>
        <w:rPr>
          <w:rFonts w:ascii="宋体" w:hAnsi="宋体" w:cs="宋体"/>
          <w:spacing w:val="24"/>
          <w:szCs w:val="21"/>
          <w:highlight w:val="none"/>
        </w:rPr>
      </w:pPr>
    </w:p>
    <w:p w14:paraId="0C63F600">
      <w:pPr>
        <w:adjustRightInd w:val="0"/>
        <w:snapToGrid w:val="0"/>
        <w:spacing w:line="300" w:lineRule="auto"/>
        <w:ind w:firstLine="516" w:firstLineChars="200"/>
        <w:rPr>
          <w:rFonts w:ascii="宋体" w:hAnsi="宋体" w:cs="宋体"/>
          <w:spacing w:val="24"/>
          <w:szCs w:val="21"/>
          <w:highlight w:val="none"/>
        </w:rPr>
      </w:pPr>
    </w:p>
    <w:p w14:paraId="32329121">
      <w:pPr>
        <w:adjustRightInd w:val="0"/>
        <w:snapToGrid w:val="0"/>
        <w:spacing w:line="300" w:lineRule="auto"/>
        <w:ind w:firstLine="5418" w:firstLineChars="2100"/>
        <w:rPr>
          <w:rFonts w:ascii="宋体" w:hAnsi="宋体" w:cs="宋体"/>
          <w:spacing w:val="24"/>
          <w:szCs w:val="21"/>
          <w:highlight w:val="none"/>
        </w:rPr>
      </w:pPr>
      <w:r>
        <w:rPr>
          <w:rFonts w:hint="eastAsia" w:ascii="宋体" w:hAnsi="宋体" w:cs="宋体"/>
          <w:spacing w:val="24"/>
          <w:szCs w:val="21"/>
          <w:highlight w:val="none"/>
        </w:rPr>
        <w:t>企业名称（盖章）：</w:t>
      </w:r>
    </w:p>
    <w:p w14:paraId="01AF06A2">
      <w:pPr>
        <w:adjustRightInd w:val="0"/>
        <w:snapToGrid w:val="0"/>
        <w:spacing w:line="300" w:lineRule="auto"/>
        <w:ind w:firstLine="516" w:firstLineChars="200"/>
        <w:rPr>
          <w:rFonts w:ascii="宋体" w:hAnsi="宋体" w:cs="宋体"/>
          <w:spacing w:val="24"/>
          <w:szCs w:val="21"/>
          <w:highlight w:val="none"/>
        </w:rPr>
      </w:pPr>
    </w:p>
    <w:p w14:paraId="243A0ABA">
      <w:pPr>
        <w:adjustRightInd w:val="0"/>
        <w:snapToGrid w:val="0"/>
        <w:spacing w:line="300" w:lineRule="auto"/>
        <w:ind w:firstLine="5418" w:firstLineChars="2100"/>
        <w:rPr>
          <w:rFonts w:ascii="宋体" w:hAnsi="宋体" w:cs="宋体"/>
          <w:spacing w:val="24"/>
          <w:szCs w:val="21"/>
          <w:highlight w:val="none"/>
        </w:rPr>
      </w:pPr>
      <w:r>
        <w:rPr>
          <w:rFonts w:hint="eastAsia" w:ascii="宋体" w:hAnsi="宋体" w:cs="宋体"/>
          <w:spacing w:val="24"/>
          <w:szCs w:val="21"/>
          <w:highlight w:val="none"/>
        </w:rPr>
        <w:t>日期：</w:t>
      </w:r>
    </w:p>
    <w:p w14:paraId="2A10EF99">
      <w:pPr>
        <w:widowControl/>
        <w:adjustRightInd w:val="0"/>
        <w:snapToGrid w:val="0"/>
        <w:spacing w:line="360" w:lineRule="auto"/>
        <w:ind w:firstLine="320" w:firstLineChars="200"/>
        <w:jc w:val="left"/>
        <w:rPr>
          <w:rFonts w:hAnsi="宋体"/>
          <w:sz w:val="16"/>
          <w:szCs w:val="16"/>
          <w:highlight w:val="none"/>
        </w:rPr>
      </w:pPr>
    </w:p>
    <w:p w14:paraId="0E51B889">
      <w:pPr>
        <w:widowControl/>
        <w:adjustRightInd w:val="0"/>
        <w:snapToGrid w:val="0"/>
        <w:spacing w:line="360" w:lineRule="auto"/>
        <w:ind w:firstLine="320" w:firstLineChars="200"/>
        <w:jc w:val="left"/>
        <w:rPr>
          <w:rFonts w:hAnsi="宋体"/>
          <w:sz w:val="16"/>
          <w:szCs w:val="16"/>
          <w:highlight w:val="none"/>
        </w:rPr>
      </w:pPr>
    </w:p>
    <w:p w14:paraId="070E884D">
      <w:pPr>
        <w:widowControl/>
        <w:adjustRightInd w:val="0"/>
        <w:snapToGrid w:val="0"/>
        <w:spacing w:line="360" w:lineRule="auto"/>
        <w:ind w:firstLine="320" w:firstLineChars="200"/>
        <w:jc w:val="left"/>
        <w:rPr>
          <w:rFonts w:hAnsi="宋体"/>
          <w:sz w:val="16"/>
          <w:szCs w:val="16"/>
          <w:highlight w:val="none"/>
        </w:rPr>
      </w:pPr>
    </w:p>
    <w:p w14:paraId="6B6E8D30">
      <w:pPr>
        <w:widowControl/>
        <w:adjustRightInd w:val="0"/>
        <w:snapToGrid w:val="0"/>
        <w:spacing w:line="360" w:lineRule="auto"/>
        <w:ind w:firstLine="320" w:firstLineChars="200"/>
        <w:jc w:val="left"/>
        <w:rPr>
          <w:rFonts w:hAnsi="宋体"/>
          <w:sz w:val="16"/>
          <w:szCs w:val="16"/>
          <w:highlight w:val="none"/>
        </w:rPr>
      </w:pPr>
      <w:r>
        <w:rPr>
          <w:rFonts w:hint="eastAsia" w:hAnsi="宋体"/>
          <w:sz w:val="16"/>
          <w:szCs w:val="16"/>
          <w:highlight w:val="none"/>
        </w:rPr>
        <w:t>1从业人员、营业收入、资产总额填报上一年度数据，无上一年度数据的新成立企业可不填报。</w:t>
      </w:r>
    </w:p>
    <w:p w14:paraId="69D9DC15">
      <w:pPr>
        <w:rPr>
          <w:rFonts w:ascii="宋体" w:hAnsi="宋体"/>
          <w:szCs w:val="21"/>
          <w:highlight w:val="none"/>
        </w:rPr>
      </w:pPr>
      <w:r>
        <w:rPr>
          <w:rFonts w:hint="eastAsia" w:ascii="宋体" w:hAnsi="宋体"/>
          <w:szCs w:val="21"/>
          <w:highlight w:val="none"/>
        </w:rPr>
        <w:t xml:space="preserve">                           </w:t>
      </w:r>
    </w:p>
    <w:p w14:paraId="10F281B5">
      <w:pPr>
        <w:rPr>
          <w:rFonts w:ascii="宋体" w:hAnsi="宋体" w:eastAsia="宋体" w:cs="宋体"/>
          <w:spacing w:val="24"/>
          <w:sz w:val="21"/>
          <w:szCs w:val="21"/>
          <w:highlight w:val="none"/>
        </w:rPr>
      </w:pPr>
      <w:r>
        <w:rPr>
          <w:rFonts w:ascii="宋体" w:hAnsi="宋体" w:eastAsia="宋体" w:cs="宋体"/>
          <w:spacing w:val="24"/>
          <w:sz w:val="21"/>
          <w:szCs w:val="21"/>
          <w:highlight w:val="none"/>
        </w:rPr>
        <w:br w:type="page"/>
      </w:r>
    </w:p>
    <w:p w14:paraId="3A0C8B03">
      <w:pPr>
        <w:pStyle w:val="11"/>
        <w:spacing w:before="29" w:line="360" w:lineRule="auto"/>
        <w:ind w:left="4060" w:right="2166"/>
        <w:rPr>
          <w:rFonts w:ascii="宋体" w:hAnsi="宋体" w:eastAsia="宋体" w:cs="宋体"/>
          <w:spacing w:val="24"/>
          <w:sz w:val="21"/>
          <w:szCs w:val="21"/>
          <w:highlight w:val="none"/>
        </w:rPr>
        <w:sectPr>
          <w:pgSz w:w="11910" w:h="16840"/>
          <w:pgMar w:top="1440" w:right="1380" w:bottom="1780" w:left="1580" w:header="850" w:footer="1247" w:gutter="0"/>
          <w:pgNumType w:fmt="decimal"/>
          <w:cols w:space="720" w:num="1"/>
        </w:sectPr>
      </w:pPr>
    </w:p>
    <w:p w14:paraId="4A16A030">
      <w:pPr>
        <w:ind w:right="-65" w:rightChars="-31"/>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中小企业划型标准</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9"/>
        <w:gridCol w:w="1914"/>
        <w:gridCol w:w="1174"/>
        <w:gridCol w:w="904"/>
        <w:gridCol w:w="921"/>
        <w:gridCol w:w="1086"/>
        <w:gridCol w:w="924"/>
        <w:gridCol w:w="978"/>
        <w:gridCol w:w="1086"/>
        <w:gridCol w:w="941"/>
        <w:gridCol w:w="984"/>
        <w:gridCol w:w="1086"/>
        <w:gridCol w:w="865"/>
        <w:gridCol w:w="834"/>
      </w:tblGrid>
      <w:tr w14:paraId="7EB9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jc w:val="center"/>
        </w:trPr>
        <w:tc>
          <w:tcPr>
            <w:tcW w:w="479" w:type="dxa"/>
            <w:vMerge w:val="restart"/>
            <w:tcBorders>
              <w:top w:val="single" w:color="auto" w:sz="4" w:space="0"/>
              <w:left w:val="single" w:color="auto" w:sz="4" w:space="0"/>
              <w:right w:val="single" w:color="auto" w:sz="4" w:space="0"/>
            </w:tcBorders>
            <w:noWrap/>
            <w:vAlign w:val="center"/>
          </w:tcPr>
          <w:p w14:paraId="564D9B44">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序号</w:t>
            </w:r>
          </w:p>
        </w:tc>
        <w:tc>
          <w:tcPr>
            <w:tcW w:w="1914" w:type="dxa"/>
            <w:vMerge w:val="restart"/>
            <w:tcBorders>
              <w:top w:val="single" w:color="auto" w:sz="4" w:space="0"/>
              <w:left w:val="nil"/>
              <w:right w:val="single" w:color="auto" w:sz="4" w:space="0"/>
            </w:tcBorders>
            <w:noWrap/>
            <w:vAlign w:val="center"/>
          </w:tcPr>
          <w:p w14:paraId="13CB589A">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行业</w:t>
            </w:r>
          </w:p>
        </w:tc>
        <w:tc>
          <w:tcPr>
            <w:tcW w:w="2999" w:type="dxa"/>
            <w:gridSpan w:val="3"/>
            <w:tcBorders>
              <w:top w:val="single" w:color="auto" w:sz="4" w:space="0"/>
              <w:left w:val="nil"/>
              <w:bottom w:val="single" w:color="auto" w:sz="4" w:space="0"/>
              <w:right w:val="single" w:color="auto" w:sz="4" w:space="0"/>
            </w:tcBorders>
            <w:noWrap/>
            <w:vAlign w:val="center"/>
          </w:tcPr>
          <w:p w14:paraId="4ABD0A33">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2988" w:type="dxa"/>
            <w:gridSpan w:val="3"/>
            <w:tcBorders>
              <w:top w:val="single" w:color="auto" w:sz="4" w:space="0"/>
              <w:left w:val="nil"/>
              <w:bottom w:val="single" w:color="auto" w:sz="4" w:space="0"/>
              <w:right w:val="single" w:color="auto" w:sz="4" w:space="0"/>
            </w:tcBorders>
            <w:noWrap/>
            <w:vAlign w:val="center"/>
          </w:tcPr>
          <w:p w14:paraId="026F8DD0">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11" w:type="dxa"/>
            <w:gridSpan w:val="3"/>
            <w:tcBorders>
              <w:top w:val="single" w:color="auto" w:sz="4" w:space="0"/>
              <w:left w:val="nil"/>
              <w:bottom w:val="single" w:color="auto" w:sz="4" w:space="0"/>
              <w:right w:val="single" w:color="auto" w:sz="4" w:space="0"/>
            </w:tcBorders>
            <w:noWrap/>
            <w:vAlign w:val="center"/>
          </w:tcPr>
          <w:p w14:paraId="01CB61FD">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785" w:type="dxa"/>
            <w:gridSpan w:val="3"/>
            <w:tcBorders>
              <w:top w:val="single" w:color="auto" w:sz="4" w:space="0"/>
              <w:left w:val="nil"/>
              <w:bottom w:val="single" w:color="auto" w:sz="4" w:space="0"/>
              <w:right w:val="single" w:color="auto" w:sz="4" w:space="0"/>
            </w:tcBorders>
            <w:noWrap/>
            <w:vAlign w:val="center"/>
          </w:tcPr>
          <w:p w14:paraId="25BA653C">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微型企业</w:t>
            </w:r>
          </w:p>
        </w:tc>
      </w:tr>
      <w:tr w14:paraId="74BE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blHeader/>
          <w:jc w:val="center"/>
        </w:trPr>
        <w:tc>
          <w:tcPr>
            <w:tcW w:w="479" w:type="dxa"/>
            <w:vMerge w:val="continue"/>
            <w:tcBorders>
              <w:left w:val="single" w:color="auto" w:sz="4" w:space="0"/>
              <w:bottom w:val="single" w:color="auto" w:sz="4" w:space="0"/>
              <w:right w:val="single" w:color="auto" w:sz="4" w:space="0"/>
            </w:tcBorders>
            <w:noWrap/>
            <w:vAlign w:val="center"/>
          </w:tcPr>
          <w:p w14:paraId="6D9CC3AB"/>
        </w:tc>
        <w:tc>
          <w:tcPr>
            <w:tcW w:w="1914" w:type="dxa"/>
            <w:vMerge w:val="continue"/>
            <w:tcBorders>
              <w:left w:val="nil"/>
              <w:bottom w:val="single" w:color="auto" w:sz="4" w:space="0"/>
              <w:right w:val="single" w:color="auto" w:sz="4" w:space="0"/>
            </w:tcBorders>
            <w:noWrap/>
            <w:vAlign w:val="center"/>
          </w:tcPr>
          <w:p w14:paraId="6B3F732D"/>
        </w:tc>
        <w:tc>
          <w:tcPr>
            <w:tcW w:w="1174" w:type="dxa"/>
            <w:tcBorders>
              <w:top w:val="nil"/>
              <w:left w:val="nil"/>
              <w:bottom w:val="single" w:color="auto" w:sz="4" w:space="0"/>
              <w:right w:val="single" w:color="auto" w:sz="4" w:space="0"/>
            </w:tcBorders>
            <w:noWrap/>
            <w:vAlign w:val="center"/>
          </w:tcPr>
          <w:p w14:paraId="01B48F8C">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14:paraId="78075C24">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04" w:type="dxa"/>
            <w:tcBorders>
              <w:top w:val="nil"/>
              <w:left w:val="nil"/>
              <w:bottom w:val="single" w:color="auto" w:sz="4" w:space="0"/>
              <w:right w:val="single" w:color="auto" w:sz="4" w:space="0"/>
            </w:tcBorders>
            <w:noWrap/>
            <w:vAlign w:val="center"/>
          </w:tcPr>
          <w:p w14:paraId="2E1586D3">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14:paraId="35EA42BD">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21" w:type="dxa"/>
            <w:tcBorders>
              <w:top w:val="nil"/>
              <w:left w:val="nil"/>
              <w:bottom w:val="single" w:color="auto" w:sz="4" w:space="0"/>
              <w:right w:val="single" w:color="auto" w:sz="4" w:space="0"/>
            </w:tcBorders>
            <w:noWrap/>
            <w:vAlign w:val="center"/>
          </w:tcPr>
          <w:p w14:paraId="5B378A1C">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14:paraId="0EFA675C">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086" w:type="dxa"/>
            <w:tcBorders>
              <w:top w:val="nil"/>
              <w:left w:val="nil"/>
              <w:bottom w:val="single" w:color="auto" w:sz="4" w:space="0"/>
              <w:right w:val="single" w:color="auto" w:sz="4" w:space="0"/>
            </w:tcBorders>
            <w:noWrap/>
            <w:vAlign w:val="center"/>
          </w:tcPr>
          <w:p w14:paraId="3C0031B5">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14:paraId="6A85AF2C">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24" w:type="dxa"/>
            <w:tcBorders>
              <w:top w:val="nil"/>
              <w:left w:val="nil"/>
              <w:bottom w:val="single" w:color="auto" w:sz="4" w:space="0"/>
              <w:right w:val="single" w:color="auto" w:sz="4" w:space="0"/>
            </w:tcBorders>
            <w:noWrap/>
            <w:vAlign w:val="center"/>
          </w:tcPr>
          <w:p w14:paraId="2C0DF8EF">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14:paraId="02C3555D">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78" w:type="dxa"/>
            <w:tcBorders>
              <w:top w:val="nil"/>
              <w:left w:val="nil"/>
              <w:bottom w:val="single" w:color="auto" w:sz="4" w:space="0"/>
              <w:right w:val="single" w:color="auto" w:sz="4" w:space="0"/>
            </w:tcBorders>
            <w:noWrap/>
            <w:vAlign w:val="center"/>
          </w:tcPr>
          <w:p w14:paraId="1C5B50D3">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14:paraId="77EE98A1">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086" w:type="dxa"/>
            <w:tcBorders>
              <w:top w:val="nil"/>
              <w:left w:val="nil"/>
              <w:bottom w:val="single" w:color="auto" w:sz="4" w:space="0"/>
              <w:right w:val="single" w:color="auto" w:sz="4" w:space="0"/>
            </w:tcBorders>
            <w:noWrap/>
            <w:vAlign w:val="center"/>
          </w:tcPr>
          <w:p w14:paraId="3D6A4B43">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14:paraId="633967C4">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41" w:type="dxa"/>
            <w:tcBorders>
              <w:top w:val="nil"/>
              <w:left w:val="nil"/>
              <w:bottom w:val="single" w:color="auto" w:sz="4" w:space="0"/>
              <w:right w:val="single" w:color="auto" w:sz="4" w:space="0"/>
            </w:tcBorders>
            <w:noWrap/>
            <w:vAlign w:val="center"/>
          </w:tcPr>
          <w:p w14:paraId="371EED13">
            <w:pPr>
              <w:adjustRightInd w:val="0"/>
              <w:snapToGrid w:val="0"/>
              <w:ind w:left="119" w:leftChars="-23" w:right="-65" w:rightChars="-31" w:hanging="167" w:hangingChars="79"/>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14:paraId="4BC99A2C">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84" w:type="dxa"/>
            <w:tcBorders>
              <w:top w:val="nil"/>
              <w:left w:val="nil"/>
              <w:bottom w:val="single" w:color="auto" w:sz="4" w:space="0"/>
              <w:right w:val="single" w:color="auto" w:sz="4" w:space="0"/>
            </w:tcBorders>
            <w:noWrap/>
            <w:vAlign w:val="center"/>
          </w:tcPr>
          <w:p w14:paraId="150153C9">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14:paraId="698C9BF7">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086" w:type="dxa"/>
            <w:tcBorders>
              <w:top w:val="nil"/>
              <w:left w:val="nil"/>
              <w:bottom w:val="single" w:color="auto" w:sz="4" w:space="0"/>
              <w:right w:val="single" w:color="auto" w:sz="4" w:space="0"/>
            </w:tcBorders>
            <w:noWrap/>
            <w:vAlign w:val="center"/>
          </w:tcPr>
          <w:p w14:paraId="73384E35">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14:paraId="7ACC658D">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865" w:type="dxa"/>
            <w:tcBorders>
              <w:top w:val="nil"/>
              <w:left w:val="nil"/>
              <w:bottom w:val="single" w:color="auto" w:sz="4" w:space="0"/>
              <w:right w:val="single" w:color="auto" w:sz="4" w:space="0"/>
            </w:tcBorders>
            <w:noWrap/>
            <w:vAlign w:val="center"/>
          </w:tcPr>
          <w:p w14:paraId="2BD73F5C">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14:paraId="4336B68A">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834" w:type="dxa"/>
            <w:tcBorders>
              <w:top w:val="nil"/>
              <w:left w:val="nil"/>
              <w:bottom w:val="single" w:color="auto" w:sz="4" w:space="0"/>
              <w:right w:val="single" w:color="auto" w:sz="4" w:space="0"/>
            </w:tcBorders>
            <w:noWrap/>
            <w:vAlign w:val="center"/>
          </w:tcPr>
          <w:p w14:paraId="2ABBB30F">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14:paraId="5AF23E1A">
            <w:pPr>
              <w:adjustRightInd w:val="0"/>
              <w:snapToGrid w:val="0"/>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r>
      <w:tr w14:paraId="53DE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single" w:color="auto" w:sz="4" w:space="0"/>
              <w:left w:val="single" w:color="auto" w:sz="4" w:space="0"/>
              <w:bottom w:val="single" w:color="auto" w:sz="4" w:space="0"/>
              <w:right w:val="single" w:color="auto" w:sz="4" w:space="0"/>
            </w:tcBorders>
            <w:noWrap/>
            <w:vAlign w:val="center"/>
          </w:tcPr>
          <w:p w14:paraId="794731E5">
            <w:pPr>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w:t>
            </w:r>
          </w:p>
        </w:tc>
        <w:tc>
          <w:tcPr>
            <w:tcW w:w="1914" w:type="dxa"/>
            <w:tcBorders>
              <w:top w:val="single" w:color="auto" w:sz="4" w:space="0"/>
              <w:left w:val="nil"/>
              <w:bottom w:val="single" w:color="auto" w:sz="4" w:space="0"/>
              <w:right w:val="single" w:color="auto" w:sz="4" w:space="0"/>
            </w:tcBorders>
            <w:noWrap/>
            <w:vAlign w:val="center"/>
          </w:tcPr>
          <w:p w14:paraId="4CDC6CB6">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74" w:type="dxa"/>
            <w:tcBorders>
              <w:top w:val="single" w:color="auto" w:sz="4" w:space="0"/>
              <w:left w:val="nil"/>
              <w:bottom w:val="single" w:color="auto" w:sz="4" w:space="0"/>
              <w:right w:val="single" w:color="auto" w:sz="4" w:space="0"/>
            </w:tcBorders>
            <w:noWrap/>
            <w:vAlign w:val="center"/>
          </w:tcPr>
          <w:p w14:paraId="29029CF1">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04" w:type="dxa"/>
            <w:tcBorders>
              <w:top w:val="nil"/>
              <w:left w:val="nil"/>
              <w:bottom w:val="single" w:color="auto" w:sz="4" w:space="0"/>
              <w:right w:val="single" w:color="auto" w:sz="4" w:space="0"/>
            </w:tcBorders>
            <w:noWrap/>
            <w:vAlign w:val="center"/>
          </w:tcPr>
          <w:p w14:paraId="0EDBC56C">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1" w:type="dxa"/>
            <w:tcBorders>
              <w:top w:val="nil"/>
              <w:left w:val="nil"/>
              <w:bottom w:val="single" w:color="auto" w:sz="4" w:space="0"/>
              <w:right w:val="single" w:color="auto" w:sz="4" w:space="0"/>
            </w:tcBorders>
            <w:noWrap/>
            <w:vAlign w:val="center"/>
          </w:tcPr>
          <w:p w14:paraId="2C12D15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6015A14">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24" w:type="dxa"/>
            <w:tcBorders>
              <w:top w:val="nil"/>
              <w:left w:val="nil"/>
              <w:bottom w:val="single" w:color="auto" w:sz="4" w:space="0"/>
              <w:right w:val="single" w:color="auto" w:sz="4" w:space="0"/>
            </w:tcBorders>
            <w:noWrap/>
            <w:vAlign w:val="center"/>
          </w:tcPr>
          <w:p w14:paraId="73C80370">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78" w:type="dxa"/>
            <w:tcBorders>
              <w:top w:val="nil"/>
              <w:left w:val="nil"/>
              <w:bottom w:val="single" w:color="auto" w:sz="4" w:space="0"/>
              <w:right w:val="single" w:color="auto" w:sz="4" w:space="0"/>
            </w:tcBorders>
            <w:noWrap/>
            <w:vAlign w:val="center"/>
          </w:tcPr>
          <w:p w14:paraId="21E842E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50420E7E">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41" w:type="dxa"/>
            <w:tcBorders>
              <w:top w:val="nil"/>
              <w:left w:val="nil"/>
              <w:bottom w:val="single" w:color="auto" w:sz="4" w:space="0"/>
              <w:right w:val="single" w:color="auto" w:sz="4" w:space="0"/>
            </w:tcBorders>
            <w:noWrap/>
            <w:vAlign w:val="center"/>
          </w:tcPr>
          <w:p w14:paraId="30EC952B">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84" w:type="dxa"/>
            <w:tcBorders>
              <w:top w:val="nil"/>
              <w:left w:val="nil"/>
              <w:bottom w:val="single" w:color="auto" w:sz="4" w:space="0"/>
              <w:right w:val="single" w:color="auto" w:sz="4" w:space="0"/>
            </w:tcBorders>
            <w:noWrap/>
            <w:vAlign w:val="center"/>
          </w:tcPr>
          <w:p w14:paraId="421A1F2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50E892C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65" w:type="dxa"/>
            <w:tcBorders>
              <w:top w:val="nil"/>
              <w:left w:val="nil"/>
              <w:bottom w:val="single" w:color="auto" w:sz="4" w:space="0"/>
              <w:right w:val="single" w:color="auto" w:sz="4" w:space="0"/>
            </w:tcBorders>
            <w:noWrap/>
            <w:vAlign w:val="center"/>
          </w:tcPr>
          <w:p w14:paraId="7AB7E17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34" w:type="dxa"/>
            <w:tcBorders>
              <w:top w:val="nil"/>
              <w:left w:val="nil"/>
              <w:bottom w:val="single" w:color="auto" w:sz="4" w:space="0"/>
              <w:right w:val="single" w:color="auto" w:sz="4" w:space="0"/>
            </w:tcBorders>
            <w:noWrap/>
            <w:vAlign w:val="center"/>
          </w:tcPr>
          <w:p w14:paraId="1A01DAC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36C0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75E1FDB4">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2</w:t>
            </w:r>
          </w:p>
        </w:tc>
        <w:tc>
          <w:tcPr>
            <w:tcW w:w="1914" w:type="dxa"/>
            <w:tcBorders>
              <w:top w:val="nil"/>
              <w:left w:val="nil"/>
              <w:bottom w:val="single" w:color="auto" w:sz="4" w:space="0"/>
              <w:right w:val="single" w:color="auto" w:sz="4" w:space="0"/>
            </w:tcBorders>
            <w:noWrap/>
            <w:vAlign w:val="center"/>
          </w:tcPr>
          <w:p w14:paraId="1DF1E696">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工业</w:t>
            </w:r>
          </w:p>
        </w:tc>
        <w:tc>
          <w:tcPr>
            <w:tcW w:w="1174" w:type="dxa"/>
            <w:tcBorders>
              <w:top w:val="nil"/>
              <w:left w:val="nil"/>
              <w:bottom w:val="single" w:color="auto" w:sz="4" w:space="0"/>
              <w:right w:val="single" w:color="auto" w:sz="4" w:space="0"/>
            </w:tcBorders>
            <w:noWrap/>
            <w:vAlign w:val="center"/>
          </w:tcPr>
          <w:p w14:paraId="0CC9CE3D">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04" w:type="dxa"/>
            <w:tcBorders>
              <w:top w:val="nil"/>
              <w:left w:val="nil"/>
              <w:bottom w:val="single" w:color="auto" w:sz="4" w:space="0"/>
              <w:right w:val="single" w:color="auto" w:sz="4" w:space="0"/>
            </w:tcBorders>
            <w:noWrap/>
            <w:vAlign w:val="center"/>
          </w:tcPr>
          <w:p w14:paraId="1AE32BD8">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1" w:type="dxa"/>
            <w:tcBorders>
              <w:top w:val="nil"/>
              <w:left w:val="nil"/>
              <w:bottom w:val="single" w:color="auto" w:sz="4" w:space="0"/>
              <w:right w:val="single" w:color="auto" w:sz="4" w:space="0"/>
            </w:tcBorders>
            <w:noWrap/>
            <w:vAlign w:val="center"/>
          </w:tcPr>
          <w:p w14:paraId="27E7C658">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476078EC">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24" w:type="dxa"/>
            <w:tcBorders>
              <w:top w:val="nil"/>
              <w:left w:val="nil"/>
              <w:bottom w:val="single" w:color="auto" w:sz="4" w:space="0"/>
              <w:right w:val="single" w:color="auto" w:sz="4" w:space="0"/>
            </w:tcBorders>
            <w:noWrap/>
            <w:vAlign w:val="center"/>
          </w:tcPr>
          <w:p w14:paraId="62FB84DC">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78" w:type="dxa"/>
            <w:tcBorders>
              <w:top w:val="nil"/>
              <w:left w:val="nil"/>
              <w:bottom w:val="single" w:color="auto" w:sz="4" w:space="0"/>
              <w:right w:val="single" w:color="auto" w:sz="4" w:space="0"/>
            </w:tcBorders>
            <w:noWrap/>
            <w:vAlign w:val="center"/>
          </w:tcPr>
          <w:p w14:paraId="61D809A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2DDC855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noWrap/>
            <w:vAlign w:val="center"/>
          </w:tcPr>
          <w:p w14:paraId="4522E38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84" w:type="dxa"/>
            <w:tcBorders>
              <w:top w:val="nil"/>
              <w:left w:val="nil"/>
              <w:bottom w:val="single" w:color="auto" w:sz="4" w:space="0"/>
              <w:right w:val="single" w:color="auto" w:sz="4" w:space="0"/>
            </w:tcBorders>
            <w:noWrap/>
            <w:vAlign w:val="center"/>
          </w:tcPr>
          <w:p w14:paraId="1B5041D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747F843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65" w:type="dxa"/>
            <w:tcBorders>
              <w:top w:val="nil"/>
              <w:left w:val="nil"/>
              <w:bottom w:val="single" w:color="auto" w:sz="4" w:space="0"/>
              <w:right w:val="single" w:color="auto" w:sz="4" w:space="0"/>
            </w:tcBorders>
            <w:noWrap/>
            <w:vAlign w:val="center"/>
          </w:tcPr>
          <w:p w14:paraId="150B201F">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34" w:type="dxa"/>
            <w:tcBorders>
              <w:top w:val="nil"/>
              <w:left w:val="nil"/>
              <w:bottom w:val="single" w:color="auto" w:sz="4" w:space="0"/>
              <w:right w:val="single" w:color="auto" w:sz="4" w:space="0"/>
            </w:tcBorders>
            <w:noWrap/>
            <w:vAlign w:val="center"/>
          </w:tcPr>
          <w:p w14:paraId="2671FF6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44B8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30071153">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3</w:t>
            </w:r>
          </w:p>
        </w:tc>
        <w:tc>
          <w:tcPr>
            <w:tcW w:w="1914" w:type="dxa"/>
            <w:tcBorders>
              <w:top w:val="nil"/>
              <w:left w:val="nil"/>
              <w:bottom w:val="single" w:color="auto" w:sz="4" w:space="0"/>
              <w:right w:val="single" w:color="auto" w:sz="4" w:space="0"/>
            </w:tcBorders>
            <w:noWrap/>
            <w:vAlign w:val="center"/>
          </w:tcPr>
          <w:p w14:paraId="442830FC">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74" w:type="dxa"/>
            <w:tcBorders>
              <w:top w:val="nil"/>
              <w:left w:val="nil"/>
              <w:bottom w:val="single" w:color="auto" w:sz="4" w:space="0"/>
              <w:right w:val="single" w:color="auto" w:sz="4" w:space="0"/>
            </w:tcBorders>
            <w:noWrap/>
            <w:vAlign w:val="center"/>
          </w:tcPr>
          <w:p w14:paraId="6CC12DF8">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904" w:type="dxa"/>
            <w:tcBorders>
              <w:top w:val="nil"/>
              <w:left w:val="nil"/>
              <w:bottom w:val="single" w:color="auto" w:sz="4" w:space="0"/>
              <w:right w:val="single" w:color="auto" w:sz="4" w:space="0"/>
            </w:tcBorders>
            <w:noWrap/>
            <w:vAlign w:val="center"/>
          </w:tcPr>
          <w:p w14:paraId="33A1A1C8">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1" w:type="dxa"/>
            <w:tcBorders>
              <w:top w:val="nil"/>
              <w:left w:val="nil"/>
              <w:bottom w:val="single" w:color="auto" w:sz="4" w:space="0"/>
              <w:right w:val="single" w:color="auto" w:sz="4" w:space="0"/>
            </w:tcBorders>
            <w:noWrap/>
            <w:vAlign w:val="center"/>
          </w:tcPr>
          <w:p w14:paraId="31C52254">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1086" w:type="dxa"/>
            <w:tcBorders>
              <w:top w:val="nil"/>
              <w:left w:val="nil"/>
              <w:bottom w:val="single" w:color="auto" w:sz="4" w:space="0"/>
              <w:right w:val="single" w:color="auto" w:sz="4" w:space="0"/>
            </w:tcBorders>
            <w:noWrap/>
            <w:vAlign w:val="center"/>
          </w:tcPr>
          <w:p w14:paraId="15278B8D">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24" w:type="dxa"/>
            <w:tcBorders>
              <w:top w:val="nil"/>
              <w:left w:val="nil"/>
              <w:bottom w:val="single" w:color="auto" w:sz="4" w:space="0"/>
              <w:right w:val="single" w:color="auto" w:sz="4" w:space="0"/>
            </w:tcBorders>
            <w:noWrap/>
            <w:vAlign w:val="center"/>
          </w:tcPr>
          <w:p w14:paraId="2CCA325D">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78" w:type="dxa"/>
            <w:tcBorders>
              <w:top w:val="nil"/>
              <w:left w:val="nil"/>
              <w:bottom w:val="single" w:color="auto" w:sz="4" w:space="0"/>
              <w:right w:val="single" w:color="auto" w:sz="4" w:space="0"/>
            </w:tcBorders>
            <w:noWrap/>
            <w:vAlign w:val="center"/>
          </w:tcPr>
          <w:p w14:paraId="4FB9978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1086" w:type="dxa"/>
            <w:tcBorders>
              <w:top w:val="nil"/>
              <w:left w:val="nil"/>
              <w:bottom w:val="single" w:color="auto" w:sz="4" w:space="0"/>
              <w:right w:val="single" w:color="auto" w:sz="4" w:space="0"/>
            </w:tcBorders>
            <w:noWrap/>
            <w:vAlign w:val="center"/>
          </w:tcPr>
          <w:p w14:paraId="58B2146E">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noWrap/>
            <w:vAlign w:val="center"/>
          </w:tcPr>
          <w:p w14:paraId="150F4CA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84" w:type="dxa"/>
            <w:tcBorders>
              <w:top w:val="nil"/>
              <w:left w:val="nil"/>
              <w:bottom w:val="single" w:color="auto" w:sz="4" w:space="0"/>
              <w:right w:val="single" w:color="auto" w:sz="4" w:space="0"/>
            </w:tcBorders>
            <w:noWrap/>
            <w:vAlign w:val="center"/>
          </w:tcPr>
          <w:p w14:paraId="04547426">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1086" w:type="dxa"/>
            <w:tcBorders>
              <w:top w:val="nil"/>
              <w:left w:val="nil"/>
              <w:bottom w:val="single" w:color="auto" w:sz="4" w:space="0"/>
              <w:right w:val="single" w:color="auto" w:sz="4" w:space="0"/>
            </w:tcBorders>
            <w:noWrap/>
            <w:vAlign w:val="center"/>
          </w:tcPr>
          <w:p w14:paraId="4A78CA5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65" w:type="dxa"/>
            <w:tcBorders>
              <w:top w:val="nil"/>
              <w:left w:val="nil"/>
              <w:bottom w:val="single" w:color="auto" w:sz="4" w:space="0"/>
              <w:right w:val="single" w:color="auto" w:sz="4" w:space="0"/>
            </w:tcBorders>
            <w:noWrap/>
            <w:vAlign w:val="center"/>
          </w:tcPr>
          <w:p w14:paraId="2A6291A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34" w:type="dxa"/>
            <w:tcBorders>
              <w:top w:val="nil"/>
              <w:left w:val="nil"/>
              <w:bottom w:val="single" w:color="auto" w:sz="4" w:space="0"/>
              <w:right w:val="single" w:color="auto" w:sz="4" w:space="0"/>
            </w:tcBorders>
            <w:noWrap/>
            <w:vAlign w:val="center"/>
          </w:tcPr>
          <w:p w14:paraId="62ABE25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r>
      <w:tr w14:paraId="1BD3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322FE329">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4</w:t>
            </w:r>
          </w:p>
        </w:tc>
        <w:tc>
          <w:tcPr>
            <w:tcW w:w="1914" w:type="dxa"/>
            <w:tcBorders>
              <w:top w:val="nil"/>
              <w:left w:val="nil"/>
              <w:bottom w:val="single" w:color="auto" w:sz="4" w:space="0"/>
              <w:right w:val="single" w:color="auto" w:sz="4" w:space="0"/>
            </w:tcBorders>
            <w:noWrap/>
            <w:vAlign w:val="center"/>
          </w:tcPr>
          <w:p w14:paraId="7E7FC839">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74" w:type="dxa"/>
            <w:tcBorders>
              <w:top w:val="nil"/>
              <w:left w:val="nil"/>
              <w:bottom w:val="single" w:color="auto" w:sz="4" w:space="0"/>
              <w:right w:val="single" w:color="auto" w:sz="4" w:space="0"/>
            </w:tcBorders>
            <w:noWrap/>
            <w:vAlign w:val="center"/>
          </w:tcPr>
          <w:p w14:paraId="74CD9661">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04" w:type="dxa"/>
            <w:tcBorders>
              <w:top w:val="nil"/>
              <w:left w:val="nil"/>
              <w:bottom w:val="single" w:color="auto" w:sz="4" w:space="0"/>
              <w:right w:val="single" w:color="auto" w:sz="4" w:space="0"/>
            </w:tcBorders>
            <w:noWrap/>
            <w:vAlign w:val="center"/>
          </w:tcPr>
          <w:p w14:paraId="3219F654">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21" w:type="dxa"/>
            <w:tcBorders>
              <w:top w:val="nil"/>
              <w:left w:val="nil"/>
              <w:bottom w:val="single" w:color="auto" w:sz="4" w:space="0"/>
              <w:right w:val="single" w:color="auto" w:sz="4" w:space="0"/>
            </w:tcBorders>
            <w:noWrap/>
            <w:vAlign w:val="center"/>
          </w:tcPr>
          <w:p w14:paraId="7ACF42B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85C593D">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24" w:type="dxa"/>
            <w:tcBorders>
              <w:top w:val="nil"/>
              <w:left w:val="nil"/>
              <w:bottom w:val="single" w:color="auto" w:sz="4" w:space="0"/>
              <w:right w:val="single" w:color="auto" w:sz="4" w:space="0"/>
            </w:tcBorders>
            <w:noWrap/>
            <w:vAlign w:val="center"/>
          </w:tcPr>
          <w:p w14:paraId="0939E779">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78" w:type="dxa"/>
            <w:tcBorders>
              <w:top w:val="nil"/>
              <w:left w:val="nil"/>
              <w:bottom w:val="single" w:color="auto" w:sz="4" w:space="0"/>
              <w:right w:val="single" w:color="auto" w:sz="4" w:space="0"/>
            </w:tcBorders>
            <w:noWrap/>
            <w:vAlign w:val="center"/>
          </w:tcPr>
          <w:p w14:paraId="42EB58E1">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657B16D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noWrap/>
            <w:vAlign w:val="center"/>
          </w:tcPr>
          <w:p w14:paraId="2EBEAC6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5AE64AA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669623D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865" w:type="dxa"/>
            <w:tcBorders>
              <w:top w:val="nil"/>
              <w:left w:val="nil"/>
              <w:bottom w:val="single" w:color="auto" w:sz="4" w:space="0"/>
              <w:right w:val="single" w:color="auto" w:sz="4" w:space="0"/>
            </w:tcBorders>
            <w:noWrap/>
            <w:vAlign w:val="center"/>
          </w:tcPr>
          <w:p w14:paraId="29808B3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834" w:type="dxa"/>
            <w:tcBorders>
              <w:top w:val="nil"/>
              <w:left w:val="nil"/>
              <w:bottom w:val="single" w:color="auto" w:sz="4" w:space="0"/>
              <w:right w:val="single" w:color="auto" w:sz="4" w:space="0"/>
            </w:tcBorders>
            <w:noWrap/>
            <w:vAlign w:val="center"/>
          </w:tcPr>
          <w:p w14:paraId="61BD49F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205F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69E14B7F">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5</w:t>
            </w:r>
          </w:p>
        </w:tc>
        <w:tc>
          <w:tcPr>
            <w:tcW w:w="1914" w:type="dxa"/>
            <w:tcBorders>
              <w:top w:val="nil"/>
              <w:left w:val="nil"/>
              <w:bottom w:val="single" w:color="auto" w:sz="4" w:space="0"/>
              <w:right w:val="single" w:color="auto" w:sz="4" w:space="0"/>
            </w:tcBorders>
            <w:noWrap/>
            <w:vAlign w:val="center"/>
          </w:tcPr>
          <w:p w14:paraId="3AE6EE87">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74" w:type="dxa"/>
            <w:tcBorders>
              <w:top w:val="nil"/>
              <w:left w:val="nil"/>
              <w:bottom w:val="single" w:color="auto" w:sz="4" w:space="0"/>
              <w:right w:val="single" w:color="auto" w:sz="4" w:space="0"/>
            </w:tcBorders>
            <w:noWrap/>
            <w:vAlign w:val="center"/>
          </w:tcPr>
          <w:p w14:paraId="2671782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04" w:type="dxa"/>
            <w:tcBorders>
              <w:top w:val="nil"/>
              <w:left w:val="nil"/>
              <w:bottom w:val="single" w:color="auto" w:sz="4" w:space="0"/>
              <w:right w:val="single" w:color="auto" w:sz="4" w:space="0"/>
            </w:tcBorders>
            <w:noWrap/>
            <w:vAlign w:val="center"/>
          </w:tcPr>
          <w:p w14:paraId="180BEB39">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21" w:type="dxa"/>
            <w:tcBorders>
              <w:top w:val="nil"/>
              <w:left w:val="nil"/>
              <w:bottom w:val="single" w:color="auto" w:sz="4" w:space="0"/>
              <w:right w:val="single" w:color="auto" w:sz="4" w:space="0"/>
            </w:tcBorders>
            <w:noWrap/>
            <w:vAlign w:val="center"/>
          </w:tcPr>
          <w:p w14:paraId="0A3E42F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7CAA7142">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24" w:type="dxa"/>
            <w:tcBorders>
              <w:top w:val="nil"/>
              <w:left w:val="nil"/>
              <w:bottom w:val="single" w:color="auto" w:sz="4" w:space="0"/>
              <w:right w:val="single" w:color="auto" w:sz="4" w:space="0"/>
            </w:tcBorders>
            <w:noWrap/>
            <w:vAlign w:val="center"/>
          </w:tcPr>
          <w:p w14:paraId="0D903912">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78" w:type="dxa"/>
            <w:tcBorders>
              <w:top w:val="nil"/>
              <w:left w:val="nil"/>
              <w:bottom w:val="single" w:color="auto" w:sz="4" w:space="0"/>
              <w:right w:val="single" w:color="auto" w:sz="4" w:space="0"/>
            </w:tcBorders>
            <w:noWrap/>
            <w:vAlign w:val="center"/>
          </w:tcPr>
          <w:p w14:paraId="5C4F04A1">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277AB62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41" w:type="dxa"/>
            <w:tcBorders>
              <w:top w:val="nil"/>
              <w:left w:val="nil"/>
              <w:bottom w:val="single" w:color="auto" w:sz="4" w:space="0"/>
              <w:right w:val="single" w:color="auto" w:sz="4" w:space="0"/>
            </w:tcBorders>
            <w:noWrap/>
            <w:vAlign w:val="center"/>
          </w:tcPr>
          <w:p w14:paraId="2F16F8F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05DF2F8F">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2C8520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65" w:type="dxa"/>
            <w:tcBorders>
              <w:top w:val="nil"/>
              <w:left w:val="nil"/>
              <w:bottom w:val="single" w:color="auto" w:sz="4" w:space="0"/>
              <w:right w:val="single" w:color="auto" w:sz="4" w:space="0"/>
            </w:tcBorders>
            <w:noWrap/>
            <w:vAlign w:val="center"/>
          </w:tcPr>
          <w:p w14:paraId="33A552C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34" w:type="dxa"/>
            <w:tcBorders>
              <w:top w:val="nil"/>
              <w:left w:val="nil"/>
              <w:bottom w:val="single" w:color="auto" w:sz="4" w:space="0"/>
              <w:right w:val="single" w:color="auto" w:sz="4" w:space="0"/>
            </w:tcBorders>
            <w:noWrap/>
            <w:vAlign w:val="center"/>
          </w:tcPr>
          <w:p w14:paraId="7923B8B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15D6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1B22FA7A">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6</w:t>
            </w:r>
          </w:p>
        </w:tc>
        <w:tc>
          <w:tcPr>
            <w:tcW w:w="1914" w:type="dxa"/>
            <w:tcBorders>
              <w:top w:val="nil"/>
              <w:left w:val="nil"/>
              <w:bottom w:val="single" w:color="auto" w:sz="4" w:space="0"/>
              <w:right w:val="single" w:color="auto" w:sz="4" w:space="0"/>
            </w:tcBorders>
            <w:noWrap/>
            <w:vAlign w:val="center"/>
          </w:tcPr>
          <w:p w14:paraId="79A0B0ED">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74" w:type="dxa"/>
            <w:tcBorders>
              <w:top w:val="nil"/>
              <w:left w:val="nil"/>
              <w:bottom w:val="single" w:color="auto" w:sz="4" w:space="0"/>
              <w:right w:val="single" w:color="auto" w:sz="4" w:space="0"/>
            </w:tcBorders>
            <w:noWrap/>
            <w:vAlign w:val="center"/>
          </w:tcPr>
          <w:p w14:paraId="16764C51">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04" w:type="dxa"/>
            <w:tcBorders>
              <w:top w:val="nil"/>
              <w:left w:val="nil"/>
              <w:bottom w:val="single" w:color="auto" w:sz="4" w:space="0"/>
              <w:right w:val="single" w:color="auto" w:sz="4" w:space="0"/>
            </w:tcBorders>
            <w:noWrap/>
            <w:vAlign w:val="center"/>
          </w:tcPr>
          <w:p w14:paraId="086F45E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1" w:type="dxa"/>
            <w:tcBorders>
              <w:top w:val="nil"/>
              <w:left w:val="nil"/>
              <w:bottom w:val="single" w:color="auto" w:sz="4" w:space="0"/>
              <w:right w:val="single" w:color="auto" w:sz="4" w:space="0"/>
            </w:tcBorders>
            <w:noWrap/>
            <w:vAlign w:val="center"/>
          </w:tcPr>
          <w:p w14:paraId="00E0F0E1">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1AEC3B07">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w:t>
            </w:r>
          </w:p>
        </w:tc>
        <w:tc>
          <w:tcPr>
            <w:tcW w:w="924" w:type="dxa"/>
            <w:tcBorders>
              <w:top w:val="nil"/>
              <w:left w:val="nil"/>
              <w:bottom w:val="single" w:color="auto" w:sz="4" w:space="0"/>
              <w:right w:val="single" w:color="auto" w:sz="4" w:space="0"/>
            </w:tcBorders>
            <w:noWrap/>
            <w:vAlign w:val="center"/>
          </w:tcPr>
          <w:p w14:paraId="7A90FA8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78" w:type="dxa"/>
            <w:tcBorders>
              <w:top w:val="nil"/>
              <w:left w:val="nil"/>
              <w:bottom w:val="single" w:color="auto" w:sz="4" w:space="0"/>
              <w:right w:val="single" w:color="auto" w:sz="4" w:space="0"/>
            </w:tcBorders>
            <w:noWrap/>
            <w:vAlign w:val="center"/>
          </w:tcPr>
          <w:p w14:paraId="353A0EE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35D6EFF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noWrap/>
            <w:vAlign w:val="center"/>
          </w:tcPr>
          <w:p w14:paraId="5263206F">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84" w:type="dxa"/>
            <w:tcBorders>
              <w:top w:val="nil"/>
              <w:left w:val="nil"/>
              <w:bottom w:val="single" w:color="auto" w:sz="4" w:space="0"/>
              <w:right w:val="single" w:color="auto" w:sz="4" w:space="0"/>
            </w:tcBorders>
            <w:noWrap/>
            <w:vAlign w:val="center"/>
          </w:tcPr>
          <w:p w14:paraId="74DBF793">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29ADD8AF">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865" w:type="dxa"/>
            <w:tcBorders>
              <w:top w:val="nil"/>
              <w:left w:val="nil"/>
              <w:bottom w:val="single" w:color="auto" w:sz="4" w:space="0"/>
              <w:right w:val="single" w:color="auto" w:sz="4" w:space="0"/>
            </w:tcBorders>
            <w:noWrap/>
            <w:vAlign w:val="center"/>
          </w:tcPr>
          <w:p w14:paraId="53DD6BE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34" w:type="dxa"/>
            <w:tcBorders>
              <w:top w:val="nil"/>
              <w:left w:val="nil"/>
              <w:bottom w:val="single" w:color="auto" w:sz="4" w:space="0"/>
              <w:right w:val="single" w:color="auto" w:sz="4" w:space="0"/>
            </w:tcBorders>
            <w:noWrap/>
            <w:vAlign w:val="center"/>
          </w:tcPr>
          <w:p w14:paraId="1D3B72C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6C8E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4E08F272">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7</w:t>
            </w:r>
          </w:p>
        </w:tc>
        <w:tc>
          <w:tcPr>
            <w:tcW w:w="1914" w:type="dxa"/>
            <w:tcBorders>
              <w:top w:val="nil"/>
              <w:left w:val="nil"/>
              <w:bottom w:val="single" w:color="auto" w:sz="4" w:space="0"/>
              <w:right w:val="single" w:color="auto" w:sz="4" w:space="0"/>
            </w:tcBorders>
            <w:noWrap/>
            <w:vAlign w:val="center"/>
          </w:tcPr>
          <w:p w14:paraId="0669D1FA">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74" w:type="dxa"/>
            <w:tcBorders>
              <w:top w:val="nil"/>
              <w:left w:val="nil"/>
              <w:bottom w:val="single" w:color="auto" w:sz="4" w:space="0"/>
              <w:right w:val="single" w:color="auto" w:sz="4" w:space="0"/>
            </w:tcBorders>
            <w:noWrap/>
            <w:vAlign w:val="center"/>
          </w:tcPr>
          <w:p w14:paraId="3D0ADDC9">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04" w:type="dxa"/>
            <w:tcBorders>
              <w:top w:val="nil"/>
              <w:left w:val="nil"/>
              <w:bottom w:val="single" w:color="auto" w:sz="4" w:space="0"/>
              <w:right w:val="single" w:color="auto" w:sz="4" w:space="0"/>
            </w:tcBorders>
            <w:noWrap/>
            <w:vAlign w:val="center"/>
          </w:tcPr>
          <w:p w14:paraId="3007FB41">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21" w:type="dxa"/>
            <w:tcBorders>
              <w:top w:val="nil"/>
              <w:left w:val="nil"/>
              <w:bottom w:val="single" w:color="auto" w:sz="4" w:space="0"/>
              <w:right w:val="single" w:color="auto" w:sz="4" w:space="0"/>
            </w:tcBorders>
            <w:noWrap/>
            <w:vAlign w:val="center"/>
          </w:tcPr>
          <w:p w14:paraId="61A77E62">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4B76ADA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4" w:type="dxa"/>
            <w:tcBorders>
              <w:top w:val="nil"/>
              <w:left w:val="nil"/>
              <w:bottom w:val="single" w:color="auto" w:sz="4" w:space="0"/>
              <w:right w:val="single" w:color="auto" w:sz="4" w:space="0"/>
            </w:tcBorders>
            <w:noWrap/>
            <w:vAlign w:val="center"/>
          </w:tcPr>
          <w:p w14:paraId="69C5583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78" w:type="dxa"/>
            <w:tcBorders>
              <w:top w:val="nil"/>
              <w:left w:val="nil"/>
              <w:bottom w:val="single" w:color="auto" w:sz="4" w:space="0"/>
              <w:right w:val="single" w:color="auto" w:sz="4" w:space="0"/>
            </w:tcBorders>
            <w:noWrap/>
            <w:vAlign w:val="center"/>
          </w:tcPr>
          <w:p w14:paraId="4A6256D0">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C452FC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41" w:type="dxa"/>
            <w:tcBorders>
              <w:top w:val="nil"/>
              <w:left w:val="nil"/>
              <w:bottom w:val="single" w:color="auto" w:sz="4" w:space="0"/>
              <w:right w:val="single" w:color="auto" w:sz="4" w:space="0"/>
            </w:tcBorders>
            <w:noWrap/>
            <w:vAlign w:val="center"/>
          </w:tcPr>
          <w:p w14:paraId="37DF35FE">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84" w:type="dxa"/>
            <w:tcBorders>
              <w:top w:val="nil"/>
              <w:left w:val="nil"/>
              <w:bottom w:val="single" w:color="auto" w:sz="4" w:space="0"/>
              <w:right w:val="single" w:color="auto" w:sz="4" w:space="0"/>
            </w:tcBorders>
            <w:noWrap/>
            <w:vAlign w:val="center"/>
          </w:tcPr>
          <w:p w14:paraId="438350FE">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5B1CEB6">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65" w:type="dxa"/>
            <w:tcBorders>
              <w:top w:val="nil"/>
              <w:left w:val="nil"/>
              <w:bottom w:val="single" w:color="auto" w:sz="4" w:space="0"/>
              <w:right w:val="single" w:color="auto" w:sz="4" w:space="0"/>
            </w:tcBorders>
            <w:noWrap/>
            <w:vAlign w:val="center"/>
          </w:tcPr>
          <w:p w14:paraId="68BD5FE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34" w:type="dxa"/>
            <w:tcBorders>
              <w:top w:val="nil"/>
              <w:left w:val="nil"/>
              <w:bottom w:val="single" w:color="auto" w:sz="4" w:space="0"/>
              <w:right w:val="single" w:color="auto" w:sz="4" w:space="0"/>
            </w:tcBorders>
            <w:noWrap/>
            <w:vAlign w:val="center"/>
          </w:tcPr>
          <w:p w14:paraId="07026E9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44EA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04A37361">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8</w:t>
            </w:r>
          </w:p>
        </w:tc>
        <w:tc>
          <w:tcPr>
            <w:tcW w:w="1914" w:type="dxa"/>
            <w:tcBorders>
              <w:top w:val="nil"/>
              <w:left w:val="nil"/>
              <w:bottom w:val="single" w:color="auto" w:sz="4" w:space="0"/>
              <w:right w:val="single" w:color="auto" w:sz="4" w:space="0"/>
            </w:tcBorders>
            <w:noWrap/>
            <w:vAlign w:val="center"/>
          </w:tcPr>
          <w:p w14:paraId="4F0203B0">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74" w:type="dxa"/>
            <w:tcBorders>
              <w:top w:val="nil"/>
              <w:left w:val="nil"/>
              <w:bottom w:val="single" w:color="auto" w:sz="4" w:space="0"/>
              <w:right w:val="single" w:color="auto" w:sz="4" w:space="0"/>
            </w:tcBorders>
            <w:noWrap/>
            <w:vAlign w:val="center"/>
          </w:tcPr>
          <w:p w14:paraId="47617972">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04" w:type="dxa"/>
            <w:tcBorders>
              <w:top w:val="nil"/>
              <w:left w:val="nil"/>
              <w:bottom w:val="single" w:color="auto" w:sz="4" w:space="0"/>
              <w:right w:val="single" w:color="auto" w:sz="4" w:space="0"/>
            </w:tcBorders>
            <w:noWrap/>
            <w:vAlign w:val="center"/>
          </w:tcPr>
          <w:p w14:paraId="2D642AA7">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1" w:type="dxa"/>
            <w:tcBorders>
              <w:top w:val="nil"/>
              <w:left w:val="nil"/>
              <w:bottom w:val="single" w:color="auto" w:sz="4" w:space="0"/>
              <w:right w:val="single" w:color="auto" w:sz="4" w:space="0"/>
            </w:tcBorders>
            <w:noWrap/>
            <w:vAlign w:val="center"/>
          </w:tcPr>
          <w:p w14:paraId="1EB4EFB0">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1B1398B3">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24" w:type="dxa"/>
            <w:tcBorders>
              <w:top w:val="nil"/>
              <w:left w:val="nil"/>
              <w:bottom w:val="single" w:color="auto" w:sz="4" w:space="0"/>
              <w:right w:val="single" w:color="auto" w:sz="4" w:space="0"/>
            </w:tcBorders>
            <w:noWrap/>
            <w:vAlign w:val="center"/>
          </w:tcPr>
          <w:p w14:paraId="2094ADD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78" w:type="dxa"/>
            <w:tcBorders>
              <w:top w:val="nil"/>
              <w:left w:val="nil"/>
              <w:bottom w:val="single" w:color="auto" w:sz="4" w:space="0"/>
              <w:right w:val="single" w:color="auto" w:sz="4" w:space="0"/>
            </w:tcBorders>
            <w:noWrap/>
            <w:vAlign w:val="center"/>
          </w:tcPr>
          <w:p w14:paraId="6E8A6CF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30916A3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41" w:type="dxa"/>
            <w:tcBorders>
              <w:top w:val="nil"/>
              <w:left w:val="nil"/>
              <w:bottom w:val="single" w:color="auto" w:sz="4" w:space="0"/>
              <w:right w:val="single" w:color="auto" w:sz="4" w:space="0"/>
            </w:tcBorders>
            <w:noWrap/>
            <w:vAlign w:val="center"/>
          </w:tcPr>
          <w:p w14:paraId="145E06C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84" w:type="dxa"/>
            <w:tcBorders>
              <w:top w:val="nil"/>
              <w:left w:val="nil"/>
              <w:bottom w:val="single" w:color="auto" w:sz="4" w:space="0"/>
              <w:right w:val="single" w:color="auto" w:sz="4" w:space="0"/>
            </w:tcBorders>
            <w:noWrap/>
            <w:vAlign w:val="center"/>
          </w:tcPr>
          <w:p w14:paraId="3F9E3AA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792C5FC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65" w:type="dxa"/>
            <w:tcBorders>
              <w:top w:val="nil"/>
              <w:left w:val="nil"/>
              <w:bottom w:val="single" w:color="auto" w:sz="4" w:space="0"/>
              <w:right w:val="single" w:color="auto" w:sz="4" w:space="0"/>
            </w:tcBorders>
            <w:noWrap/>
            <w:vAlign w:val="center"/>
          </w:tcPr>
          <w:p w14:paraId="7226138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34" w:type="dxa"/>
            <w:tcBorders>
              <w:top w:val="nil"/>
              <w:left w:val="nil"/>
              <w:bottom w:val="single" w:color="auto" w:sz="4" w:space="0"/>
              <w:right w:val="single" w:color="auto" w:sz="4" w:space="0"/>
            </w:tcBorders>
            <w:noWrap/>
            <w:vAlign w:val="center"/>
          </w:tcPr>
          <w:p w14:paraId="4C0B33D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6447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04334378">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9</w:t>
            </w:r>
          </w:p>
        </w:tc>
        <w:tc>
          <w:tcPr>
            <w:tcW w:w="1914" w:type="dxa"/>
            <w:tcBorders>
              <w:top w:val="nil"/>
              <w:left w:val="nil"/>
              <w:bottom w:val="single" w:color="auto" w:sz="4" w:space="0"/>
              <w:right w:val="single" w:color="auto" w:sz="4" w:space="0"/>
            </w:tcBorders>
            <w:noWrap/>
            <w:vAlign w:val="center"/>
          </w:tcPr>
          <w:p w14:paraId="2FF3A8D5">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74" w:type="dxa"/>
            <w:tcBorders>
              <w:top w:val="nil"/>
              <w:left w:val="nil"/>
              <w:bottom w:val="single" w:color="auto" w:sz="4" w:space="0"/>
              <w:right w:val="single" w:color="auto" w:sz="4" w:space="0"/>
            </w:tcBorders>
            <w:noWrap/>
            <w:vAlign w:val="center"/>
          </w:tcPr>
          <w:p w14:paraId="44A6427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04" w:type="dxa"/>
            <w:tcBorders>
              <w:top w:val="nil"/>
              <w:left w:val="nil"/>
              <w:bottom w:val="single" w:color="auto" w:sz="4" w:space="0"/>
              <w:right w:val="single" w:color="auto" w:sz="4" w:space="0"/>
            </w:tcBorders>
            <w:noWrap/>
            <w:vAlign w:val="center"/>
          </w:tcPr>
          <w:p w14:paraId="7E1B631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21" w:type="dxa"/>
            <w:tcBorders>
              <w:top w:val="nil"/>
              <w:left w:val="nil"/>
              <w:bottom w:val="single" w:color="auto" w:sz="4" w:space="0"/>
              <w:right w:val="single" w:color="auto" w:sz="4" w:space="0"/>
            </w:tcBorders>
            <w:noWrap/>
            <w:vAlign w:val="center"/>
          </w:tcPr>
          <w:p w14:paraId="0B83481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444CC19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24" w:type="dxa"/>
            <w:tcBorders>
              <w:top w:val="nil"/>
              <w:left w:val="nil"/>
              <w:bottom w:val="single" w:color="auto" w:sz="4" w:space="0"/>
              <w:right w:val="single" w:color="auto" w:sz="4" w:space="0"/>
            </w:tcBorders>
            <w:noWrap/>
            <w:vAlign w:val="center"/>
          </w:tcPr>
          <w:p w14:paraId="31571807">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78" w:type="dxa"/>
            <w:tcBorders>
              <w:top w:val="nil"/>
              <w:left w:val="nil"/>
              <w:bottom w:val="single" w:color="auto" w:sz="4" w:space="0"/>
              <w:right w:val="single" w:color="auto" w:sz="4" w:space="0"/>
            </w:tcBorders>
            <w:noWrap/>
            <w:vAlign w:val="center"/>
          </w:tcPr>
          <w:p w14:paraId="3AD2657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180434F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41" w:type="dxa"/>
            <w:tcBorders>
              <w:top w:val="nil"/>
              <w:left w:val="nil"/>
              <w:bottom w:val="single" w:color="auto" w:sz="4" w:space="0"/>
              <w:right w:val="single" w:color="auto" w:sz="4" w:space="0"/>
            </w:tcBorders>
            <w:noWrap/>
            <w:vAlign w:val="center"/>
          </w:tcPr>
          <w:p w14:paraId="6435E5B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255E0DF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445AF88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65" w:type="dxa"/>
            <w:tcBorders>
              <w:top w:val="nil"/>
              <w:left w:val="nil"/>
              <w:bottom w:val="single" w:color="auto" w:sz="4" w:space="0"/>
              <w:right w:val="single" w:color="auto" w:sz="4" w:space="0"/>
            </w:tcBorders>
            <w:noWrap/>
            <w:vAlign w:val="center"/>
          </w:tcPr>
          <w:p w14:paraId="4E1E9A1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34" w:type="dxa"/>
            <w:tcBorders>
              <w:top w:val="nil"/>
              <w:left w:val="nil"/>
              <w:bottom w:val="single" w:color="auto" w:sz="4" w:space="0"/>
              <w:right w:val="single" w:color="auto" w:sz="4" w:space="0"/>
            </w:tcBorders>
            <w:noWrap/>
            <w:vAlign w:val="center"/>
          </w:tcPr>
          <w:p w14:paraId="4AD7106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3E22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36F39C1F">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10</w:t>
            </w:r>
          </w:p>
        </w:tc>
        <w:tc>
          <w:tcPr>
            <w:tcW w:w="1914" w:type="dxa"/>
            <w:tcBorders>
              <w:top w:val="nil"/>
              <w:left w:val="nil"/>
              <w:bottom w:val="single" w:color="auto" w:sz="4" w:space="0"/>
              <w:right w:val="single" w:color="auto" w:sz="4" w:space="0"/>
            </w:tcBorders>
            <w:noWrap/>
            <w:vAlign w:val="center"/>
          </w:tcPr>
          <w:p w14:paraId="1A1C5D9E">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74" w:type="dxa"/>
            <w:tcBorders>
              <w:top w:val="nil"/>
              <w:left w:val="nil"/>
              <w:bottom w:val="single" w:color="auto" w:sz="4" w:space="0"/>
              <w:right w:val="single" w:color="auto" w:sz="4" w:space="0"/>
            </w:tcBorders>
            <w:noWrap/>
            <w:vAlign w:val="center"/>
          </w:tcPr>
          <w:p w14:paraId="33C31AEF">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04" w:type="dxa"/>
            <w:tcBorders>
              <w:top w:val="nil"/>
              <w:left w:val="nil"/>
              <w:bottom w:val="single" w:color="auto" w:sz="4" w:space="0"/>
              <w:right w:val="single" w:color="auto" w:sz="4" w:space="0"/>
            </w:tcBorders>
            <w:noWrap/>
            <w:vAlign w:val="center"/>
          </w:tcPr>
          <w:p w14:paraId="5515770E">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21" w:type="dxa"/>
            <w:tcBorders>
              <w:top w:val="nil"/>
              <w:left w:val="nil"/>
              <w:bottom w:val="single" w:color="auto" w:sz="4" w:space="0"/>
              <w:right w:val="single" w:color="auto" w:sz="4" w:space="0"/>
            </w:tcBorders>
            <w:noWrap/>
            <w:vAlign w:val="center"/>
          </w:tcPr>
          <w:p w14:paraId="59B3D007">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BC06B0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24" w:type="dxa"/>
            <w:tcBorders>
              <w:top w:val="nil"/>
              <w:left w:val="nil"/>
              <w:bottom w:val="single" w:color="auto" w:sz="4" w:space="0"/>
              <w:right w:val="single" w:color="auto" w:sz="4" w:space="0"/>
            </w:tcBorders>
            <w:noWrap/>
            <w:vAlign w:val="center"/>
          </w:tcPr>
          <w:p w14:paraId="789C44E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78" w:type="dxa"/>
            <w:tcBorders>
              <w:top w:val="nil"/>
              <w:left w:val="nil"/>
              <w:bottom w:val="single" w:color="auto" w:sz="4" w:space="0"/>
              <w:right w:val="single" w:color="auto" w:sz="4" w:space="0"/>
            </w:tcBorders>
            <w:noWrap/>
            <w:vAlign w:val="center"/>
          </w:tcPr>
          <w:p w14:paraId="2EF9598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45E04D8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41" w:type="dxa"/>
            <w:tcBorders>
              <w:top w:val="nil"/>
              <w:left w:val="nil"/>
              <w:bottom w:val="single" w:color="auto" w:sz="4" w:space="0"/>
              <w:right w:val="single" w:color="auto" w:sz="4" w:space="0"/>
            </w:tcBorders>
            <w:noWrap/>
            <w:vAlign w:val="center"/>
          </w:tcPr>
          <w:p w14:paraId="4FB6DD50">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31AD22B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7C4CC6A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65" w:type="dxa"/>
            <w:tcBorders>
              <w:top w:val="nil"/>
              <w:left w:val="nil"/>
              <w:bottom w:val="single" w:color="auto" w:sz="4" w:space="0"/>
              <w:right w:val="single" w:color="auto" w:sz="4" w:space="0"/>
            </w:tcBorders>
            <w:noWrap/>
            <w:vAlign w:val="center"/>
          </w:tcPr>
          <w:p w14:paraId="044C03CB">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34" w:type="dxa"/>
            <w:tcBorders>
              <w:top w:val="nil"/>
              <w:left w:val="nil"/>
              <w:bottom w:val="single" w:color="auto" w:sz="4" w:space="0"/>
              <w:right w:val="single" w:color="auto" w:sz="4" w:space="0"/>
            </w:tcBorders>
            <w:noWrap/>
            <w:vAlign w:val="center"/>
          </w:tcPr>
          <w:p w14:paraId="2516052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2285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18AF8C1D">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11</w:t>
            </w:r>
          </w:p>
        </w:tc>
        <w:tc>
          <w:tcPr>
            <w:tcW w:w="1914" w:type="dxa"/>
            <w:tcBorders>
              <w:top w:val="nil"/>
              <w:left w:val="nil"/>
              <w:bottom w:val="single" w:color="auto" w:sz="4" w:space="0"/>
              <w:right w:val="single" w:color="auto" w:sz="4" w:space="0"/>
            </w:tcBorders>
            <w:noWrap/>
            <w:vAlign w:val="center"/>
          </w:tcPr>
          <w:p w14:paraId="42FD74C5">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74" w:type="dxa"/>
            <w:tcBorders>
              <w:top w:val="nil"/>
              <w:left w:val="nil"/>
              <w:bottom w:val="single" w:color="auto" w:sz="4" w:space="0"/>
              <w:right w:val="single" w:color="auto" w:sz="4" w:space="0"/>
            </w:tcBorders>
            <w:noWrap/>
            <w:vAlign w:val="center"/>
          </w:tcPr>
          <w:p w14:paraId="0204AAC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≥100000</w:t>
            </w:r>
          </w:p>
        </w:tc>
        <w:tc>
          <w:tcPr>
            <w:tcW w:w="904" w:type="dxa"/>
            <w:tcBorders>
              <w:top w:val="nil"/>
              <w:left w:val="nil"/>
              <w:bottom w:val="single" w:color="auto" w:sz="4" w:space="0"/>
              <w:right w:val="single" w:color="auto" w:sz="4" w:space="0"/>
            </w:tcBorders>
            <w:noWrap/>
            <w:vAlign w:val="center"/>
          </w:tcPr>
          <w:p w14:paraId="6066DF97">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21" w:type="dxa"/>
            <w:tcBorders>
              <w:top w:val="nil"/>
              <w:left w:val="nil"/>
              <w:bottom w:val="single" w:color="auto" w:sz="4" w:space="0"/>
              <w:right w:val="single" w:color="auto" w:sz="4" w:space="0"/>
            </w:tcBorders>
            <w:noWrap/>
            <w:vAlign w:val="center"/>
          </w:tcPr>
          <w:p w14:paraId="44CB633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2B763C3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4" w:type="dxa"/>
            <w:tcBorders>
              <w:top w:val="nil"/>
              <w:left w:val="nil"/>
              <w:bottom w:val="single" w:color="auto" w:sz="4" w:space="0"/>
              <w:right w:val="single" w:color="auto" w:sz="4" w:space="0"/>
            </w:tcBorders>
            <w:noWrap/>
            <w:vAlign w:val="center"/>
          </w:tcPr>
          <w:p w14:paraId="7F699643">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78" w:type="dxa"/>
            <w:tcBorders>
              <w:top w:val="nil"/>
              <w:left w:val="nil"/>
              <w:bottom w:val="single" w:color="auto" w:sz="4" w:space="0"/>
              <w:right w:val="single" w:color="auto" w:sz="4" w:space="0"/>
            </w:tcBorders>
            <w:noWrap/>
            <w:vAlign w:val="center"/>
          </w:tcPr>
          <w:p w14:paraId="60B81606">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765F1861">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41" w:type="dxa"/>
            <w:tcBorders>
              <w:top w:val="nil"/>
              <w:left w:val="nil"/>
              <w:bottom w:val="single" w:color="auto" w:sz="4" w:space="0"/>
              <w:right w:val="single" w:color="auto" w:sz="4" w:space="0"/>
            </w:tcBorders>
            <w:noWrap/>
            <w:vAlign w:val="center"/>
          </w:tcPr>
          <w:p w14:paraId="1F9FB2F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73E89AC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6C22880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65" w:type="dxa"/>
            <w:tcBorders>
              <w:top w:val="nil"/>
              <w:left w:val="nil"/>
              <w:bottom w:val="single" w:color="auto" w:sz="4" w:space="0"/>
              <w:right w:val="single" w:color="auto" w:sz="4" w:space="0"/>
            </w:tcBorders>
            <w:noWrap/>
            <w:vAlign w:val="center"/>
          </w:tcPr>
          <w:p w14:paraId="2BC3AF2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34" w:type="dxa"/>
            <w:tcBorders>
              <w:top w:val="nil"/>
              <w:left w:val="nil"/>
              <w:bottom w:val="single" w:color="auto" w:sz="4" w:space="0"/>
              <w:right w:val="single" w:color="auto" w:sz="4" w:space="0"/>
            </w:tcBorders>
            <w:noWrap/>
            <w:vAlign w:val="center"/>
          </w:tcPr>
          <w:p w14:paraId="5D5C61B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5523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697A431B">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12</w:t>
            </w:r>
          </w:p>
        </w:tc>
        <w:tc>
          <w:tcPr>
            <w:tcW w:w="1914" w:type="dxa"/>
            <w:tcBorders>
              <w:top w:val="nil"/>
              <w:left w:val="nil"/>
              <w:bottom w:val="single" w:color="auto" w:sz="4" w:space="0"/>
              <w:right w:val="single" w:color="auto" w:sz="4" w:space="0"/>
            </w:tcBorders>
            <w:noWrap/>
            <w:vAlign w:val="center"/>
          </w:tcPr>
          <w:p w14:paraId="3B7AFF81">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74" w:type="dxa"/>
            <w:tcBorders>
              <w:top w:val="nil"/>
              <w:left w:val="nil"/>
              <w:bottom w:val="single" w:color="auto" w:sz="4" w:space="0"/>
              <w:right w:val="single" w:color="auto" w:sz="4" w:space="0"/>
            </w:tcBorders>
            <w:noWrap/>
            <w:vAlign w:val="center"/>
          </w:tcPr>
          <w:p w14:paraId="5B1A1B00">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04" w:type="dxa"/>
            <w:tcBorders>
              <w:top w:val="nil"/>
              <w:left w:val="nil"/>
              <w:bottom w:val="single" w:color="auto" w:sz="4" w:space="0"/>
              <w:right w:val="single" w:color="auto" w:sz="4" w:space="0"/>
            </w:tcBorders>
            <w:noWrap/>
            <w:vAlign w:val="center"/>
          </w:tcPr>
          <w:p w14:paraId="51B0A1D0">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21" w:type="dxa"/>
            <w:tcBorders>
              <w:top w:val="nil"/>
              <w:left w:val="nil"/>
              <w:bottom w:val="single" w:color="auto" w:sz="4" w:space="0"/>
              <w:right w:val="single" w:color="auto" w:sz="4" w:space="0"/>
            </w:tcBorders>
            <w:noWrap/>
            <w:vAlign w:val="center"/>
          </w:tcPr>
          <w:p w14:paraId="48535FC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348A4983">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4" w:type="dxa"/>
            <w:tcBorders>
              <w:top w:val="nil"/>
              <w:left w:val="nil"/>
              <w:bottom w:val="single" w:color="auto" w:sz="4" w:space="0"/>
              <w:right w:val="single" w:color="auto" w:sz="4" w:space="0"/>
            </w:tcBorders>
            <w:noWrap/>
            <w:vAlign w:val="center"/>
          </w:tcPr>
          <w:p w14:paraId="10F0C039">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78" w:type="dxa"/>
            <w:tcBorders>
              <w:top w:val="nil"/>
              <w:left w:val="nil"/>
              <w:bottom w:val="single" w:color="auto" w:sz="4" w:space="0"/>
              <w:right w:val="single" w:color="auto" w:sz="4" w:space="0"/>
            </w:tcBorders>
            <w:noWrap/>
            <w:vAlign w:val="center"/>
          </w:tcPr>
          <w:p w14:paraId="435D63A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819619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41" w:type="dxa"/>
            <w:tcBorders>
              <w:top w:val="nil"/>
              <w:left w:val="nil"/>
              <w:bottom w:val="single" w:color="auto" w:sz="4" w:space="0"/>
              <w:right w:val="single" w:color="auto" w:sz="4" w:space="0"/>
            </w:tcBorders>
            <w:noWrap/>
            <w:vAlign w:val="center"/>
          </w:tcPr>
          <w:p w14:paraId="2904FD8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56331B3E">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22BF4850">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65" w:type="dxa"/>
            <w:tcBorders>
              <w:top w:val="nil"/>
              <w:left w:val="nil"/>
              <w:bottom w:val="single" w:color="auto" w:sz="4" w:space="0"/>
              <w:right w:val="single" w:color="auto" w:sz="4" w:space="0"/>
            </w:tcBorders>
            <w:noWrap/>
            <w:vAlign w:val="center"/>
          </w:tcPr>
          <w:p w14:paraId="00F0560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34" w:type="dxa"/>
            <w:tcBorders>
              <w:top w:val="nil"/>
              <w:left w:val="nil"/>
              <w:bottom w:val="single" w:color="auto" w:sz="4" w:space="0"/>
              <w:right w:val="single" w:color="auto" w:sz="4" w:space="0"/>
            </w:tcBorders>
            <w:noWrap/>
            <w:vAlign w:val="center"/>
          </w:tcPr>
          <w:p w14:paraId="47C36710">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3CAD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77D0E0B9">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13</w:t>
            </w:r>
          </w:p>
        </w:tc>
        <w:tc>
          <w:tcPr>
            <w:tcW w:w="1914" w:type="dxa"/>
            <w:tcBorders>
              <w:top w:val="nil"/>
              <w:left w:val="nil"/>
              <w:bottom w:val="single" w:color="auto" w:sz="4" w:space="0"/>
              <w:right w:val="single" w:color="auto" w:sz="4" w:space="0"/>
            </w:tcBorders>
            <w:noWrap/>
            <w:vAlign w:val="center"/>
          </w:tcPr>
          <w:p w14:paraId="03DAC65C">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74" w:type="dxa"/>
            <w:tcBorders>
              <w:top w:val="nil"/>
              <w:left w:val="nil"/>
              <w:bottom w:val="single" w:color="auto" w:sz="4" w:space="0"/>
              <w:right w:val="single" w:color="auto" w:sz="4" w:space="0"/>
            </w:tcBorders>
            <w:noWrap/>
            <w:vAlign w:val="center"/>
          </w:tcPr>
          <w:p w14:paraId="18810B14">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≥200000</w:t>
            </w:r>
          </w:p>
        </w:tc>
        <w:tc>
          <w:tcPr>
            <w:tcW w:w="904" w:type="dxa"/>
            <w:tcBorders>
              <w:top w:val="nil"/>
              <w:left w:val="nil"/>
              <w:bottom w:val="single" w:color="auto" w:sz="4" w:space="0"/>
              <w:right w:val="single" w:color="auto" w:sz="4" w:space="0"/>
            </w:tcBorders>
            <w:noWrap/>
            <w:vAlign w:val="center"/>
          </w:tcPr>
          <w:p w14:paraId="70D2D4FF">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1" w:type="dxa"/>
            <w:tcBorders>
              <w:top w:val="nil"/>
              <w:left w:val="nil"/>
              <w:bottom w:val="single" w:color="auto" w:sz="4" w:space="0"/>
              <w:right w:val="single" w:color="auto" w:sz="4" w:space="0"/>
            </w:tcBorders>
            <w:noWrap/>
            <w:vAlign w:val="center"/>
          </w:tcPr>
          <w:p w14:paraId="0678C07E">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或,≥10000</w:t>
            </w:r>
          </w:p>
        </w:tc>
        <w:tc>
          <w:tcPr>
            <w:tcW w:w="1086" w:type="dxa"/>
            <w:tcBorders>
              <w:top w:val="nil"/>
              <w:left w:val="nil"/>
              <w:bottom w:val="single" w:color="auto" w:sz="4" w:space="0"/>
              <w:right w:val="single" w:color="auto" w:sz="4" w:space="0"/>
            </w:tcBorders>
            <w:noWrap/>
            <w:vAlign w:val="center"/>
          </w:tcPr>
          <w:p w14:paraId="0785D2EE">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4" w:type="dxa"/>
            <w:tcBorders>
              <w:top w:val="nil"/>
              <w:left w:val="nil"/>
              <w:bottom w:val="single" w:color="auto" w:sz="4" w:space="0"/>
              <w:right w:val="single" w:color="auto" w:sz="4" w:space="0"/>
            </w:tcBorders>
            <w:noWrap/>
            <w:vAlign w:val="center"/>
          </w:tcPr>
          <w:p w14:paraId="4B20A55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78" w:type="dxa"/>
            <w:tcBorders>
              <w:top w:val="nil"/>
              <w:left w:val="nil"/>
              <w:bottom w:val="single" w:color="auto" w:sz="4" w:space="0"/>
              <w:right w:val="single" w:color="auto" w:sz="4" w:space="0"/>
            </w:tcBorders>
            <w:noWrap/>
            <w:vAlign w:val="center"/>
          </w:tcPr>
          <w:p w14:paraId="79CBC80D">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且,≥5000</w:t>
            </w:r>
          </w:p>
        </w:tc>
        <w:tc>
          <w:tcPr>
            <w:tcW w:w="1086" w:type="dxa"/>
            <w:tcBorders>
              <w:top w:val="nil"/>
              <w:left w:val="nil"/>
              <w:bottom w:val="single" w:color="auto" w:sz="4" w:space="0"/>
              <w:right w:val="single" w:color="auto" w:sz="4" w:space="0"/>
            </w:tcBorders>
            <w:noWrap/>
            <w:vAlign w:val="center"/>
          </w:tcPr>
          <w:p w14:paraId="7099695F">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41" w:type="dxa"/>
            <w:tcBorders>
              <w:top w:val="nil"/>
              <w:left w:val="nil"/>
              <w:bottom w:val="single" w:color="auto" w:sz="4" w:space="0"/>
              <w:right w:val="single" w:color="auto" w:sz="4" w:space="0"/>
            </w:tcBorders>
            <w:noWrap/>
            <w:vAlign w:val="center"/>
          </w:tcPr>
          <w:p w14:paraId="0B30247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84" w:type="dxa"/>
            <w:tcBorders>
              <w:top w:val="nil"/>
              <w:left w:val="nil"/>
              <w:bottom w:val="single" w:color="auto" w:sz="4" w:space="0"/>
              <w:right w:val="single" w:color="auto" w:sz="4" w:space="0"/>
            </w:tcBorders>
            <w:noWrap/>
            <w:vAlign w:val="center"/>
          </w:tcPr>
          <w:p w14:paraId="566F1C3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且,≥2000</w:t>
            </w:r>
          </w:p>
        </w:tc>
        <w:tc>
          <w:tcPr>
            <w:tcW w:w="1086" w:type="dxa"/>
            <w:tcBorders>
              <w:top w:val="nil"/>
              <w:left w:val="nil"/>
              <w:bottom w:val="single" w:color="auto" w:sz="4" w:space="0"/>
              <w:right w:val="single" w:color="auto" w:sz="4" w:space="0"/>
            </w:tcBorders>
            <w:noWrap/>
            <w:vAlign w:val="center"/>
          </w:tcPr>
          <w:p w14:paraId="28265CC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65" w:type="dxa"/>
            <w:tcBorders>
              <w:top w:val="nil"/>
              <w:left w:val="nil"/>
              <w:bottom w:val="single" w:color="auto" w:sz="4" w:space="0"/>
              <w:right w:val="single" w:color="auto" w:sz="4" w:space="0"/>
            </w:tcBorders>
            <w:noWrap/>
            <w:vAlign w:val="center"/>
          </w:tcPr>
          <w:p w14:paraId="33C4182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34" w:type="dxa"/>
            <w:tcBorders>
              <w:top w:val="nil"/>
              <w:left w:val="nil"/>
              <w:bottom w:val="single" w:color="auto" w:sz="4" w:space="0"/>
              <w:right w:val="single" w:color="auto" w:sz="4" w:space="0"/>
            </w:tcBorders>
            <w:noWrap/>
            <w:vAlign w:val="center"/>
          </w:tcPr>
          <w:p w14:paraId="43CEB52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或,＜2000</w:t>
            </w:r>
          </w:p>
        </w:tc>
      </w:tr>
      <w:tr w14:paraId="5332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4B1EADF2">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14</w:t>
            </w:r>
          </w:p>
        </w:tc>
        <w:tc>
          <w:tcPr>
            <w:tcW w:w="1914" w:type="dxa"/>
            <w:tcBorders>
              <w:top w:val="nil"/>
              <w:left w:val="nil"/>
              <w:bottom w:val="single" w:color="auto" w:sz="4" w:space="0"/>
              <w:right w:val="single" w:color="auto" w:sz="4" w:space="0"/>
            </w:tcBorders>
            <w:noWrap/>
            <w:vAlign w:val="center"/>
          </w:tcPr>
          <w:p w14:paraId="568F3680">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74" w:type="dxa"/>
            <w:tcBorders>
              <w:top w:val="nil"/>
              <w:left w:val="nil"/>
              <w:bottom w:val="single" w:color="auto" w:sz="4" w:space="0"/>
              <w:right w:val="single" w:color="auto" w:sz="4" w:space="0"/>
            </w:tcBorders>
            <w:noWrap/>
            <w:vAlign w:val="center"/>
          </w:tcPr>
          <w:p w14:paraId="33C1F18A">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04" w:type="dxa"/>
            <w:tcBorders>
              <w:top w:val="nil"/>
              <w:left w:val="nil"/>
              <w:bottom w:val="single" w:color="auto" w:sz="4" w:space="0"/>
              <w:right w:val="single" w:color="auto" w:sz="4" w:space="0"/>
            </w:tcBorders>
            <w:noWrap/>
            <w:vAlign w:val="center"/>
          </w:tcPr>
          <w:p w14:paraId="76A71737">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1" w:type="dxa"/>
            <w:tcBorders>
              <w:top w:val="nil"/>
              <w:left w:val="nil"/>
              <w:bottom w:val="single" w:color="auto" w:sz="4" w:space="0"/>
              <w:right w:val="single" w:color="auto" w:sz="4" w:space="0"/>
            </w:tcBorders>
            <w:noWrap/>
            <w:vAlign w:val="center"/>
          </w:tcPr>
          <w:p w14:paraId="3BFDEB5F">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592AB9C9">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24" w:type="dxa"/>
            <w:tcBorders>
              <w:top w:val="nil"/>
              <w:left w:val="nil"/>
              <w:bottom w:val="single" w:color="auto" w:sz="4" w:space="0"/>
              <w:right w:val="single" w:color="auto" w:sz="4" w:space="0"/>
            </w:tcBorders>
            <w:noWrap/>
            <w:vAlign w:val="center"/>
          </w:tcPr>
          <w:p w14:paraId="00444927">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78" w:type="dxa"/>
            <w:tcBorders>
              <w:top w:val="nil"/>
              <w:left w:val="nil"/>
              <w:bottom w:val="single" w:color="auto" w:sz="4" w:space="0"/>
              <w:right w:val="single" w:color="auto" w:sz="4" w:space="0"/>
            </w:tcBorders>
            <w:noWrap/>
            <w:vAlign w:val="center"/>
          </w:tcPr>
          <w:p w14:paraId="144BBEB3">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39458FE3">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41" w:type="dxa"/>
            <w:tcBorders>
              <w:top w:val="nil"/>
              <w:left w:val="nil"/>
              <w:bottom w:val="single" w:color="auto" w:sz="4" w:space="0"/>
              <w:right w:val="single" w:color="auto" w:sz="4" w:space="0"/>
            </w:tcBorders>
            <w:noWrap/>
            <w:vAlign w:val="center"/>
          </w:tcPr>
          <w:p w14:paraId="3EEE7ED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84" w:type="dxa"/>
            <w:tcBorders>
              <w:top w:val="nil"/>
              <w:left w:val="nil"/>
              <w:bottom w:val="single" w:color="auto" w:sz="4" w:space="0"/>
              <w:right w:val="single" w:color="auto" w:sz="4" w:space="0"/>
            </w:tcBorders>
            <w:noWrap/>
            <w:vAlign w:val="center"/>
          </w:tcPr>
          <w:p w14:paraId="3EBD4D4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2E40381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865" w:type="dxa"/>
            <w:tcBorders>
              <w:top w:val="nil"/>
              <w:left w:val="nil"/>
              <w:bottom w:val="single" w:color="auto" w:sz="4" w:space="0"/>
              <w:right w:val="single" w:color="auto" w:sz="4" w:space="0"/>
            </w:tcBorders>
            <w:noWrap/>
            <w:vAlign w:val="center"/>
          </w:tcPr>
          <w:p w14:paraId="1EEED64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34" w:type="dxa"/>
            <w:tcBorders>
              <w:top w:val="nil"/>
              <w:left w:val="nil"/>
              <w:bottom w:val="single" w:color="auto" w:sz="4" w:space="0"/>
              <w:right w:val="single" w:color="auto" w:sz="4" w:space="0"/>
            </w:tcBorders>
            <w:noWrap/>
            <w:vAlign w:val="center"/>
          </w:tcPr>
          <w:p w14:paraId="132040E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71C8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716F3C64">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15</w:t>
            </w:r>
          </w:p>
        </w:tc>
        <w:tc>
          <w:tcPr>
            <w:tcW w:w="1914" w:type="dxa"/>
            <w:tcBorders>
              <w:top w:val="nil"/>
              <w:left w:val="nil"/>
              <w:bottom w:val="single" w:color="auto" w:sz="4" w:space="0"/>
              <w:right w:val="single" w:color="auto" w:sz="4" w:space="0"/>
            </w:tcBorders>
            <w:noWrap/>
            <w:vAlign w:val="center"/>
          </w:tcPr>
          <w:p w14:paraId="11A07662">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74" w:type="dxa"/>
            <w:tcBorders>
              <w:top w:val="nil"/>
              <w:left w:val="nil"/>
              <w:bottom w:val="single" w:color="auto" w:sz="4" w:space="0"/>
              <w:right w:val="single" w:color="auto" w:sz="4" w:space="0"/>
            </w:tcBorders>
            <w:noWrap/>
            <w:vAlign w:val="center"/>
          </w:tcPr>
          <w:p w14:paraId="4885BDCF">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04" w:type="dxa"/>
            <w:tcBorders>
              <w:top w:val="nil"/>
              <w:left w:val="nil"/>
              <w:bottom w:val="single" w:color="auto" w:sz="4" w:space="0"/>
              <w:right w:val="single" w:color="auto" w:sz="4" w:space="0"/>
            </w:tcBorders>
            <w:noWrap/>
            <w:vAlign w:val="center"/>
          </w:tcPr>
          <w:p w14:paraId="11561993">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21" w:type="dxa"/>
            <w:tcBorders>
              <w:top w:val="nil"/>
              <w:left w:val="nil"/>
              <w:bottom w:val="single" w:color="auto" w:sz="4" w:space="0"/>
              <w:right w:val="single" w:color="auto" w:sz="4" w:space="0"/>
            </w:tcBorders>
            <w:noWrap/>
            <w:vAlign w:val="center"/>
          </w:tcPr>
          <w:p w14:paraId="1115F2F5">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或,≥120000</w:t>
            </w:r>
          </w:p>
        </w:tc>
        <w:tc>
          <w:tcPr>
            <w:tcW w:w="1086" w:type="dxa"/>
            <w:tcBorders>
              <w:top w:val="nil"/>
              <w:left w:val="nil"/>
              <w:bottom w:val="single" w:color="auto" w:sz="4" w:space="0"/>
              <w:right w:val="single" w:color="auto" w:sz="4" w:space="0"/>
            </w:tcBorders>
            <w:noWrap/>
            <w:vAlign w:val="center"/>
          </w:tcPr>
          <w:p w14:paraId="2C365BE4">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4" w:type="dxa"/>
            <w:tcBorders>
              <w:top w:val="nil"/>
              <w:left w:val="nil"/>
              <w:bottom w:val="single" w:color="auto" w:sz="4" w:space="0"/>
              <w:right w:val="single" w:color="auto" w:sz="4" w:space="0"/>
            </w:tcBorders>
            <w:noWrap/>
            <w:vAlign w:val="center"/>
          </w:tcPr>
          <w:p w14:paraId="5D2F555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78" w:type="dxa"/>
            <w:tcBorders>
              <w:top w:val="nil"/>
              <w:left w:val="nil"/>
              <w:bottom w:val="single" w:color="auto" w:sz="4" w:space="0"/>
              <w:right w:val="single" w:color="auto" w:sz="4" w:space="0"/>
            </w:tcBorders>
            <w:noWrap/>
            <w:vAlign w:val="center"/>
          </w:tcPr>
          <w:p w14:paraId="71C2A3E6">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且,≥8000</w:t>
            </w:r>
          </w:p>
        </w:tc>
        <w:tc>
          <w:tcPr>
            <w:tcW w:w="1086" w:type="dxa"/>
            <w:tcBorders>
              <w:top w:val="nil"/>
              <w:left w:val="nil"/>
              <w:bottom w:val="single" w:color="auto" w:sz="4" w:space="0"/>
              <w:right w:val="single" w:color="auto" w:sz="4" w:space="0"/>
            </w:tcBorders>
            <w:noWrap/>
            <w:vAlign w:val="center"/>
          </w:tcPr>
          <w:p w14:paraId="11A6B0E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noWrap/>
            <w:vAlign w:val="center"/>
          </w:tcPr>
          <w:p w14:paraId="265BDD14">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380E080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且,≥100</w:t>
            </w:r>
          </w:p>
        </w:tc>
        <w:tc>
          <w:tcPr>
            <w:tcW w:w="1086" w:type="dxa"/>
            <w:tcBorders>
              <w:top w:val="nil"/>
              <w:left w:val="nil"/>
              <w:bottom w:val="single" w:color="auto" w:sz="4" w:space="0"/>
              <w:right w:val="single" w:color="auto" w:sz="4" w:space="0"/>
            </w:tcBorders>
            <w:noWrap/>
            <w:vAlign w:val="center"/>
          </w:tcPr>
          <w:p w14:paraId="26B5968A">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65" w:type="dxa"/>
            <w:tcBorders>
              <w:top w:val="nil"/>
              <w:left w:val="nil"/>
              <w:bottom w:val="single" w:color="auto" w:sz="4" w:space="0"/>
              <w:right w:val="single" w:color="auto" w:sz="4" w:space="0"/>
            </w:tcBorders>
            <w:noWrap/>
            <w:vAlign w:val="center"/>
          </w:tcPr>
          <w:p w14:paraId="21354EE7">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34" w:type="dxa"/>
            <w:tcBorders>
              <w:top w:val="nil"/>
              <w:left w:val="nil"/>
              <w:bottom w:val="single" w:color="auto" w:sz="4" w:space="0"/>
              <w:right w:val="single" w:color="auto" w:sz="4" w:space="0"/>
            </w:tcBorders>
            <w:noWrap/>
            <w:vAlign w:val="center"/>
          </w:tcPr>
          <w:p w14:paraId="1D80FA4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w:t>
            </w:r>
          </w:p>
        </w:tc>
      </w:tr>
      <w:tr w14:paraId="00F2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noWrap/>
            <w:vAlign w:val="center"/>
          </w:tcPr>
          <w:p w14:paraId="0B12069D">
            <w:pPr>
              <w:widowControl/>
              <w:adjustRightInd w:val="0"/>
              <w:snapToGrid w:val="0"/>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16</w:t>
            </w:r>
          </w:p>
        </w:tc>
        <w:tc>
          <w:tcPr>
            <w:tcW w:w="1914" w:type="dxa"/>
            <w:tcBorders>
              <w:top w:val="nil"/>
              <w:left w:val="nil"/>
              <w:bottom w:val="single" w:color="auto" w:sz="4" w:space="0"/>
              <w:right w:val="single" w:color="auto" w:sz="4" w:space="0"/>
            </w:tcBorders>
            <w:noWrap/>
            <w:vAlign w:val="center"/>
          </w:tcPr>
          <w:p w14:paraId="7BCFE853">
            <w:pPr>
              <w:adjustRightInd w:val="0"/>
              <w:snapToGrid w:val="0"/>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74" w:type="dxa"/>
            <w:tcBorders>
              <w:top w:val="nil"/>
              <w:left w:val="nil"/>
              <w:bottom w:val="single" w:color="auto" w:sz="4" w:space="0"/>
              <w:right w:val="single" w:color="auto" w:sz="4" w:space="0"/>
            </w:tcBorders>
            <w:noWrap/>
            <w:vAlign w:val="center"/>
          </w:tcPr>
          <w:p w14:paraId="4614E90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04" w:type="dxa"/>
            <w:tcBorders>
              <w:top w:val="nil"/>
              <w:left w:val="nil"/>
              <w:bottom w:val="single" w:color="auto" w:sz="4" w:space="0"/>
              <w:right w:val="single" w:color="auto" w:sz="4" w:space="0"/>
            </w:tcBorders>
            <w:noWrap/>
            <w:vAlign w:val="center"/>
          </w:tcPr>
          <w:p w14:paraId="7ECBC7A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21" w:type="dxa"/>
            <w:tcBorders>
              <w:top w:val="nil"/>
              <w:left w:val="nil"/>
              <w:bottom w:val="single" w:color="auto" w:sz="4" w:space="0"/>
              <w:right w:val="single" w:color="auto" w:sz="4" w:space="0"/>
            </w:tcBorders>
            <w:noWrap/>
            <w:vAlign w:val="center"/>
          </w:tcPr>
          <w:p w14:paraId="7253DAEB">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5EDA1506">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4" w:type="dxa"/>
            <w:tcBorders>
              <w:top w:val="nil"/>
              <w:left w:val="nil"/>
              <w:bottom w:val="single" w:color="auto" w:sz="4" w:space="0"/>
              <w:right w:val="single" w:color="auto" w:sz="4" w:space="0"/>
            </w:tcBorders>
            <w:noWrap/>
            <w:vAlign w:val="center"/>
          </w:tcPr>
          <w:p w14:paraId="54ABD203">
            <w:pPr>
              <w:widowControl/>
              <w:adjustRightInd w:val="0"/>
              <w:snapToGrid w:val="0"/>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78" w:type="dxa"/>
            <w:tcBorders>
              <w:top w:val="nil"/>
              <w:left w:val="nil"/>
              <w:bottom w:val="single" w:color="auto" w:sz="4" w:space="0"/>
              <w:right w:val="single" w:color="auto" w:sz="4" w:space="0"/>
            </w:tcBorders>
            <w:noWrap/>
            <w:vAlign w:val="center"/>
          </w:tcPr>
          <w:p w14:paraId="1E26BDA0">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0F61D61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noWrap/>
            <w:vAlign w:val="center"/>
          </w:tcPr>
          <w:p w14:paraId="62C596F8">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984" w:type="dxa"/>
            <w:tcBorders>
              <w:top w:val="nil"/>
              <w:left w:val="nil"/>
              <w:bottom w:val="single" w:color="auto" w:sz="4" w:space="0"/>
              <w:right w:val="single" w:color="auto" w:sz="4" w:space="0"/>
            </w:tcBorders>
            <w:noWrap/>
            <w:vAlign w:val="center"/>
          </w:tcPr>
          <w:p w14:paraId="277EFA0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6" w:type="dxa"/>
            <w:tcBorders>
              <w:top w:val="nil"/>
              <w:left w:val="nil"/>
              <w:bottom w:val="single" w:color="auto" w:sz="4" w:space="0"/>
              <w:right w:val="single" w:color="auto" w:sz="4" w:space="0"/>
            </w:tcBorders>
            <w:noWrap/>
            <w:vAlign w:val="center"/>
          </w:tcPr>
          <w:p w14:paraId="660B1391">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65" w:type="dxa"/>
            <w:tcBorders>
              <w:top w:val="nil"/>
              <w:left w:val="nil"/>
              <w:bottom w:val="single" w:color="auto" w:sz="4" w:space="0"/>
              <w:right w:val="single" w:color="auto" w:sz="4" w:space="0"/>
            </w:tcBorders>
            <w:noWrap/>
            <w:vAlign w:val="center"/>
          </w:tcPr>
          <w:p w14:paraId="35E508FF">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34" w:type="dxa"/>
            <w:tcBorders>
              <w:top w:val="nil"/>
              <w:left w:val="nil"/>
              <w:bottom w:val="single" w:color="auto" w:sz="4" w:space="0"/>
              <w:right w:val="single" w:color="auto" w:sz="4" w:space="0"/>
            </w:tcBorders>
            <w:noWrap/>
            <w:vAlign w:val="center"/>
          </w:tcPr>
          <w:p w14:paraId="767FAD19">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bl>
    <w:p w14:paraId="29915734">
      <w:pPr>
        <w:pStyle w:val="11"/>
        <w:spacing w:before="29" w:line="360" w:lineRule="auto"/>
        <w:ind w:left="4060" w:right="2166"/>
        <w:rPr>
          <w:rFonts w:ascii="宋体" w:hAnsi="宋体" w:eastAsia="宋体" w:cs="宋体"/>
          <w:spacing w:val="24"/>
          <w:sz w:val="21"/>
          <w:szCs w:val="21"/>
          <w:highlight w:val="none"/>
        </w:rPr>
      </w:pPr>
    </w:p>
    <w:p w14:paraId="1827D7AC">
      <w:pPr>
        <w:spacing w:line="316" w:lineRule="auto"/>
        <w:rPr>
          <w:rFonts w:ascii="宋体" w:hAnsi="宋体" w:cs="宋体"/>
          <w:highlight w:val="none"/>
        </w:rPr>
        <w:sectPr>
          <w:pgSz w:w="16840" w:h="11910" w:orient="landscape"/>
          <w:pgMar w:top="1580" w:right="1440" w:bottom="1380" w:left="1780" w:header="850" w:footer="1247" w:gutter="0"/>
          <w:pgNumType w:fmt="decimal"/>
          <w:cols w:space="720" w:num="1"/>
        </w:sectPr>
      </w:pPr>
    </w:p>
    <w:bookmarkEnd w:id="1544"/>
    <w:bookmarkEnd w:id="1545"/>
    <w:bookmarkEnd w:id="1546"/>
    <w:bookmarkEnd w:id="1547"/>
    <w:bookmarkEnd w:id="1548"/>
    <w:p w14:paraId="4E2714B7">
      <w:pPr>
        <w:pStyle w:val="3"/>
        <w:jc w:val="center"/>
        <w:rPr>
          <w:rFonts w:ascii="宋体" w:hAnsi="宋体" w:eastAsia="宋体" w:cs="宋体"/>
          <w:sz w:val="30"/>
          <w:szCs w:val="30"/>
          <w:highlight w:val="none"/>
        </w:rPr>
      </w:pPr>
      <w:bookmarkStart w:id="1567" w:name="_Toc32222"/>
      <w:bookmarkStart w:id="1568" w:name="_Toc16962"/>
      <w:bookmarkStart w:id="1569" w:name="_Toc3780"/>
      <w:bookmarkStart w:id="1570" w:name="_Toc13395"/>
      <w:r>
        <w:rPr>
          <w:rFonts w:hint="eastAsia" w:ascii="宋体" w:hAnsi="宋体" w:eastAsia="宋体" w:cs="宋体"/>
          <w:sz w:val="30"/>
          <w:szCs w:val="30"/>
          <w:highlight w:val="none"/>
          <w:lang w:val="en-US" w:eastAsia="zh-CN"/>
        </w:rPr>
        <w:t>九</w:t>
      </w:r>
      <w:r>
        <w:rPr>
          <w:rFonts w:hint="eastAsia" w:ascii="宋体" w:hAnsi="宋体" w:eastAsia="宋体" w:cs="宋体"/>
          <w:sz w:val="30"/>
          <w:szCs w:val="30"/>
          <w:highlight w:val="none"/>
        </w:rPr>
        <w:t>、</w:t>
      </w:r>
      <w:bookmarkEnd w:id="1567"/>
      <w:r>
        <w:rPr>
          <w:rFonts w:hint="eastAsia" w:ascii="宋体" w:hAnsi="宋体" w:eastAsia="宋体" w:cs="宋体"/>
          <w:sz w:val="30"/>
          <w:szCs w:val="30"/>
          <w:highlight w:val="none"/>
        </w:rPr>
        <w:t>其他</w:t>
      </w:r>
      <w:bookmarkEnd w:id="1568"/>
      <w:r>
        <w:rPr>
          <w:rFonts w:hint="eastAsia" w:ascii="宋体" w:hAnsi="宋体" w:eastAsia="宋体" w:cs="宋体"/>
          <w:sz w:val="30"/>
          <w:szCs w:val="30"/>
          <w:highlight w:val="none"/>
        </w:rPr>
        <w:t>资料</w:t>
      </w:r>
    </w:p>
    <w:p w14:paraId="771E4DCC">
      <w:pPr>
        <w:adjustRightInd w:val="0"/>
        <w:snapToGrid w:val="0"/>
        <w:spacing w:line="360" w:lineRule="auto"/>
        <w:jc w:val="center"/>
        <w:outlineLvl w:val="0"/>
        <w:rPr>
          <w:highlight w:val="none"/>
        </w:rPr>
      </w:pPr>
      <w:bookmarkStart w:id="1571" w:name="_Toc25691"/>
      <w:r>
        <w:rPr>
          <w:rFonts w:hint="eastAsia" w:ascii="宋体" w:hAnsi="宋体" w:cs="宋体"/>
          <w:b/>
          <w:bCs/>
          <w:highlight w:val="none"/>
        </w:rPr>
        <w:t>（供应商认为对本次投标有利的其他证明材料等）</w:t>
      </w:r>
      <w:bookmarkEnd w:id="1569"/>
      <w:bookmarkEnd w:id="1570"/>
      <w:bookmarkEnd w:id="1571"/>
    </w:p>
    <w:p w14:paraId="4FBB0339">
      <w:pPr>
        <w:rPr>
          <w:rFonts w:ascii="宋体" w:hAnsi="宋体" w:cs="宋体"/>
          <w:szCs w:val="21"/>
          <w:highlight w:val="none"/>
        </w:rPr>
      </w:pPr>
    </w:p>
    <w:sectPr>
      <w:headerReference r:id="rId19"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Courier New"/>
    <w:panose1 w:val="00000000000000000000"/>
    <w:charset w:val="00"/>
    <w:family w:val="auto"/>
    <w:pitch w:val="default"/>
    <w:sig w:usb0="00000000" w:usb1="00000000" w:usb2="00000000" w:usb3="00000000" w:csb0="00040001" w:csb1="00000000"/>
  </w:font>
  <w:font w:name="F5">
    <w:altName w:val="Segoe Print"/>
    <w:panose1 w:val="00000000000000000000"/>
    <w:charset w:val="00"/>
    <w:family w:val="auto"/>
    <w:pitch w:val="default"/>
    <w:sig w:usb0="00000000" w:usb1="00000000" w:usb2="00000000" w:usb3="00000000" w:csb0="00000001" w:csb1="00000000"/>
  </w:font>
  <w:font w:name="F11">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75918">
    <w:pPr>
      <w:pStyle w:val="19"/>
      <w:tabs>
        <w:tab w:val="center" w:pos="4819"/>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0AF7">
    <w:pPr>
      <w:pStyle w:val="19"/>
      <w:rPr>
        <w:rFonts w:ascii="Times New Roman" w:hAns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0FBFA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230FBFA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45A7">
    <w:pP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25FEC">
                          <w:pPr>
                            <w:pStyle w:val="1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52D25FEC">
                    <w:pPr>
                      <w:pStyle w:val="1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EA41">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0DBA5">
                          <w:pPr>
                            <w:pStyle w:val="1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10DBA5">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F835">
    <w:pPr>
      <w:pStyle w:val="1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BA7E9">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3BA7E9">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1BC6">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C27C">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DF7D">
    <w:pPr>
      <w:pStyle w:val="19"/>
      <w:tabs>
        <w:tab w:val="center" w:pos="4819"/>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7B99">
    <w:pPr>
      <w:pStyle w:val="1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E428">
    <w:pPr>
      <w:pStyle w:val="19"/>
      <w:tabs>
        <w:tab w:val="center" w:pos="4819"/>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8DFC">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B48DFC">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EA02B">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01EE6">
                          <w:pPr>
                            <w:pStyle w:val="1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401EE6">
                    <w:pPr>
                      <w:pStyle w:val="19"/>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2887980</wp:posOffset>
              </wp:positionH>
              <wp:positionV relativeFrom="paragraph">
                <wp:posOffset>-9525</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11759">
                          <w:pPr>
                            <w:pStyle w:val="19"/>
                          </w:pPr>
                        </w:p>
                      </w:txbxContent>
                    </wps:txbx>
                    <wps:bodyPr wrap="none" lIns="0" tIns="0" rIns="0" bIns="0" upright="1">
                      <a:spAutoFit/>
                    </wps:bodyPr>
                  </wps:wsp>
                </a:graphicData>
              </a:graphic>
            </wp:anchor>
          </w:drawing>
        </mc:Choice>
        <mc:Fallback>
          <w:pict>
            <v:shape id="文本框 13" o:spid="_x0000_s1026" o:spt="202" type="#_x0000_t202" style="position:absolute;left:0pt;margin-left:227.4pt;margin-top:-0.75pt;height:144pt;width:144pt;mso-position-horizontal-relative:margin;mso-wrap-style:none;z-index:251663360;mso-width-relative:page;mso-height-relative:page;" filled="f" stroked="f" coordsize="21600,21600" o:gfxdata="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T3HPfXAAAACgEAAA8AAAAAAAAAAQAgAAAAIgAAAGRycy9k&#10;b3ducmV2LnhtbFBLAQIUABQAAAAIAIdO4kBRK88mygEAAJsDAAAOAAAAAAAAAAEAIAAAACYBAABk&#10;cnMvZTJvRG9jLnhtbFBLBQYAAAAABgAGAFkBAABiBQAAAAA=&#10;">
              <v:fill on="f" focussize="0,0"/>
              <v:stroke on="f"/>
              <v:imagedata o:title=""/>
              <o:lock v:ext="edit" aspectratio="f"/>
              <v:textbox inset="0mm,0mm,0mm,0mm" style="mso-fit-shape-to-text:t;">
                <w:txbxContent>
                  <w:p w14:paraId="16111759">
                    <w:pPr>
                      <w:pStyle w:val="19"/>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809A95"/>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7oms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7J8&#10;nfvTB6gx7SFgYhru/IBbM/sBnVn2oKLNXxREMI7dPV+7K4dERH60Xq3XFYYExuYL4rPH5yFCeiu9&#10;JdloaMTxla7y03tIY+qckqs5f6+NKSM07i8HYmYPy9xHjtlKw36YBO19e0Y9PU6+oQ4XnRLzzmFj&#10;85LMRpyN/WwcQ9SHDqktCy8It8eEJAq3XGGEnQrjyIq6ab3yTvx5L1m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03uiayQEAAJoDAAAOAAAAAAAAAAEAIAAAAB4BAABkcnMvZTJvRG9j&#10;LnhtbFBLBQYAAAAABgAGAFkBAABZBQAAAAA=&#10;">
              <v:fill on="f" focussize="0,0"/>
              <v:stroke on="f"/>
              <v:imagedata o:title=""/>
              <o:lock v:ext="edit" aspectratio="f"/>
              <v:textbox inset="0mm,0mm,0mm,0mm" style="mso-fit-shape-to-text:t;">
                <w:txbxContent>
                  <w:p w14:paraId="09809A95"/>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245F">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A4928">
                          <w:pPr>
                            <w:pStyle w:val="1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4A4928">
                    <w:pPr>
                      <w:pStyle w:val="19"/>
                    </w:pPr>
                    <w:r>
                      <w:fldChar w:fldCharType="begin"/>
                    </w:r>
                    <w:r>
                      <w:instrText xml:space="preserve"> PAGE  \* MERGEFORMAT </w:instrText>
                    </w:r>
                    <w:r>
                      <w:fldChar w:fldCharType="separate"/>
                    </w:r>
                    <w:r>
                      <w:t>27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2887980</wp:posOffset>
              </wp:positionH>
              <wp:positionV relativeFrom="paragraph">
                <wp:posOffset>-9525</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E0A39B">
                          <w:pPr>
                            <w:pStyle w:val="19"/>
                          </w:pPr>
                        </w:p>
                      </w:txbxContent>
                    </wps:txbx>
                    <wps:bodyPr wrap="none" lIns="0" tIns="0" rIns="0" bIns="0" upright="1">
                      <a:spAutoFit/>
                    </wps:bodyPr>
                  </wps:wsp>
                </a:graphicData>
              </a:graphic>
            </wp:anchor>
          </w:drawing>
        </mc:Choice>
        <mc:Fallback>
          <w:pict>
            <v:shape id="文本框 7" o:spid="_x0000_s1026" o:spt="202" type="#_x0000_t202" style="position:absolute;left:0pt;margin-left:227.4pt;margin-top:-0.75pt;height:144pt;width:144pt;mso-position-horizontal-relative:margin;mso-wrap-style:none;z-index:251662336;mso-width-relative:page;mso-height-relative:page;" filled="f" stroked="f" coordsize="21600,21600" o:gfxdata="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9xz31wAAAAoBAAAPAAAAAAAAAAEAIAAAACIAAABkcnMvZG93&#10;bnJldi54bWxQSwECFAAUAAAACACHTuJAbChUUcgBAACaAwAADgAAAAAAAAABACAAAAAmAQAAZHJz&#10;L2Uyb0RvYy54bWxQSwUGAAAAAAYABgBZAQAAYAUAAAAA&#10;">
              <v:fill on="f" focussize="0,0"/>
              <v:stroke on="f"/>
              <v:imagedata o:title=""/>
              <o:lock v:ext="edit" aspectratio="f"/>
              <v:textbox inset="0mm,0mm,0mm,0mm" style="mso-fit-shape-to-text:t;">
                <w:txbxContent>
                  <w:p w14:paraId="4CE0A39B">
                    <w:pPr>
                      <w:pStyle w:val="19"/>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303421"/>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14:paraId="21303421"/>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7C5F">
    <w:pPr>
      <w:pStyle w:val="1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0D4F4">
                          <w:pPr>
                            <w:pStyle w:val="1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F0D4F4">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E06A9">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FEBE">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8F00">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8522">
    <w:r>
      <w:pict>
        <v:shape id="_x0000_s2049" o:spid="_x0000_s2049" o:spt="136" type="#_x0000_t136" style="position:absolute;left:0pt;height:100pt;width:500pt;mso-position-horizontal:center;mso-position-horizontal-relative:page;mso-position-vertical:center;mso-position-vertical-relative:page;rotation:-2621440f;z-index:251670528;mso-width-relative:page;mso-height-relative:page;" stroked="t" coordsize="21600,21600">
          <v:path/>
          <v:fill focussize="0,0"/>
          <v:stroke color="#FFFFFF"/>
          <v:imagedata o:title=""/>
          <o:lock v:ext="edit"/>
          <v:textpath on="t" fitshape="t" fitpath="t" trim="f" xscale="f" string="仅供个人学习参考" style="font-family:黑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580E"/>
    <w:multiLevelType w:val="multilevel"/>
    <w:tmpl w:val="8CC1580E"/>
    <w:lvl w:ilvl="0" w:tentative="0">
      <w:start w:val="1"/>
      <w:numFmt w:val="decimal"/>
      <w:suff w:val="nothing"/>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1">
    <w:nsid w:val="AE6797C5"/>
    <w:multiLevelType w:val="singleLevel"/>
    <w:tmpl w:val="AE6797C5"/>
    <w:lvl w:ilvl="0" w:tentative="0">
      <w:start w:val="1"/>
      <w:numFmt w:val="decimal"/>
      <w:lvlText w:val="(%1)"/>
      <w:lvlJc w:val="left"/>
      <w:pPr>
        <w:ind w:left="425" w:hanging="425"/>
      </w:pPr>
      <w:rPr>
        <w:rFonts w:hint="default"/>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4">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5">
    <w:nsid w:val="0000001C"/>
    <w:multiLevelType w:val="multilevel"/>
    <w:tmpl w:val="0000001C"/>
    <w:lvl w:ilvl="0" w:tentative="0">
      <w:start w:val="1"/>
      <w:numFmt w:val="decimal"/>
      <w:lvlText w:val="（%1）"/>
      <w:lvlJc w:val="left"/>
      <w:pPr>
        <w:ind w:left="1441" w:hanging="420"/>
      </w:pPr>
      <w:rPr>
        <w:rFonts w:hint="eastAsia"/>
      </w:rPr>
    </w:lvl>
    <w:lvl w:ilvl="1" w:tentative="0">
      <w:start w:val="1"/>
      <w:numFmt w:val="decimal"/>
      <w:lvlText w:val="%2."/>
      <w:lvlJc w:val="left"/>
      <w:pPr>
        <w:ind w:left="2568" w:hanging="1127"/>
      </w:pPr>
      <w:rPr>
        <w:rFonts w:hint="default"/>
      </w:rPr>
    </w:lvl>
    <w:lvl w:ilvl="2" w:tentative="0">
      <w:start w:val="1"/>
      <w:numFmt w:val="decimal"/>
      <w:lvlText w:val="%3)"/>
      <w:lvlJc w:val="left"/>
      <w:pPr>
        <w:ind w:left="2221" w:hanging="360"/>
      </w:pPr>
      <w:rPr>
        <w:rFonts w:hint="default"/>
      </w:rPr>
    </w:lvl>
    <w:lvl w:ilvl="3" w:tentative="0">
      <w:start w:val="1"/>
      <w:numFmt w:val="decimal"/>
      <w:lvlText w:val="%4."/>
      <w:lvlJc w:val="left"/>
      <w:pPr>
        <w:ind w:left="2701" w:hanging="420"/>
      </w:pPr>
    </w:lvl>
    <w:lvl w:ilvl="4" w:tentative="0">
      <w:start w:val="1"/>
      <w:numFmt w:val="lowerLetter"/>
      <w:lvlText w:val="%5)"/>
      <w:lvlJc w:val="left"/>
      <w:pPr>
        <w:ind w:left="3121" w:hanging="420"/>
      </w:pPr>
    </w:lvl>
    <w:lvl w:ilvl="5" w:tentative="0">
      <w:start w:val="1"/>
      <w:numFmt w:val="lowerRoman"/>
      <w:lvlText w:val="%6."/>
      <w:lvlJc w:val="right"/>
      <w:pPr>
        <w:ind w:left="3541" w:hanging="420"/>
      </w:pPr>
    </w:lvl>
    <w:lvl w:ilvl="6" w:tentative="0">
      <w:start w:val="1"/>
      <w:numFmt w:val="decimal"/>
      <w:lvlText w:val="%7."/>
      <w:lvlJc w:val="left"/>
      <w:pPr>
        <w:ind w:left="3961" w:hanging="420"/>
      </w:pPr>
    </w:lvl>
    <w:lvl w:ilvl="7" w:tentative="0">
      <w:start w:val="1"/>
      <w:numFmt w:val="lowerLetter"/>
      <w:lvlText w:val="%8)"/>
      <w:lvlJc w:val="left"/>
      <w:pPr>
        <w:ind w:left="4381" w:hanging="420"/>
      </w:pPr>
    </w:lvl>
    <w:lvl w:ilvl="8" w:tentative="0">
      <w:start w:val="1"/>
      <w:numFmt w:val="lowerRoman"/>
      <w:lvlText w:val="%9."/>
      <w:lvlJc w:val="right"/>
      <w:pPr>
        <w:ind w:left="4801" w:hanging="42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hideSpellingErrors/>
  <w:documentProtection w:enforcement="0"/>
  <w:defaultTabStop w:val="420"/>
  <w:drawingGridHorizontalSpacing w:val="210"/>
  <w:drawingGridVerticalSpacing w:val="24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WVkZjY1NGE5MDE5NTU5OTE5MGY0MzdjNWJiMDMifQ=="/>
    <w:docVar w:name="KSO_WPS_MARK_KEY" w:val="061f812f-c817-4cf8-9656-9e9f1c446bd8"/>
  </w:docVars>
  <w:rsids>
    <w:rsidRoot w:val="00172A27"/>
    <w:rsid w:val="00000118"/>
    <w:rsid w:val="00000AC8"/>
    <w:rsid w:val="00001B64"/>
    <w:rsid w:val="00002F16"/>
    <w:rsid w:val="0000447F"/>
    <w:rsid w:val="00005416"/>
    <w:rsid w:val="00006CA9"/>
    <w:rsid w:val="00010C41"/>
    <w:rsid w:val="00010D09"/>
    <w:rsid w:val="00012441"/>
    <w:rsid w:val="00012CF4"/>
    <w:rsid w:val="00015D95"/>
    <w:rsid w:val="00015E20"/>
    <w:rsid w:val="000220EE"/>
    <w:rsid w:val="00024826"/>
    <w:rsid w:val="0002668A"/>
    <w:rsid w:val="00026B0F"/>
    <w:rsid w:val="0002770B"/>
    <w:rsid w:val="00031879"/>
    <w:rsid w:val="0003256D"/>
    <w:rsid w:val="000352EA"/>
    <w:rsid w:val="00035766"/>
    <w:rsid w:val="00042408"/>
    <w:rsid w:val="0004258D"/>
    <w:rsid w:val="00043ACC"/>
    <w:rsid w:val="00044C16"/>
    <w:rsid w:val="00054B32"/>
    <w:rsid w:val="00060891"/>
    <w:rsid w:val="000639CC"/>
    <w:rsid w:val="000640E0"/>
    <w:rsid w:val="000655C2"/>
    <w:rsid w:val="00067091"/>
    <w:rsid w:val="0006787A"/>
    <w:rsid w:val="00071F02"/>
    <w:rsid w:val="00072812"/>
    <w:rsid w:val="00074A95"/>
    <w:rsid w:val="00074C87"/>
    <w:rsid w:val="00081396"/>
    <w:rsid w:val="00081F60"/>
    <w:rsid w:val="0008378C"/>
    <w:rsid w:val="00084789"/>
    <w:rsid w:val="000859EF"/>
    <w:rsid w:val="00087E1D"/>
    <w:rsid w:val="000906FE"/>
    <w:rsid w:val="00091B6C"/>
    <w:rsid w:val="0009659E"/>
    <w:rsid w:val="0009719E"/>
    <w:rsid w:val="000978E1"/>
    <w:rsid w:val="000A2CB2"/>
    <w:rsid w:val="000A484F"/>
    <w:rsid w:val="000A48F4"/>
    <w:rsid w:val="000A520D"/>
    <w:rsid w:val="000A55BB"/>
    <w:rsid w:val="000A7C8E"/>
    <w:rsid w:val="000B1BAC"/>
    <w:rsid w:val="000B40C9"/>
    <w:rsid w:val="000B4DC2"/>
    <w:rsid w:val="000B733C"/>
    <w:rsid w:val="000C1834"/>
    <w:rsid w:val="000C2402"/>
    <w:rsid w:val="000C38C4"/>
    <w:rsid w:val="000C4DEC"/>
    <w:rsid w:val="000C5184"/>
    <w:rsid w:val="000D055C"/>
    <w:rsid w:val="000D1BDD"/>
    <w:rsid w:val="000E0149"/>
    <w:rsid w:val="000E10E4"/>
    <w:rsid w:val="000E15CC"/>
    <w:rsid w:val="000E192A"/>
    <w:rsid w:val="000E260B"/>
    <w:rsid w:val="000E300E"/>
    <w:rsid w:val="000E324A"/>
    <w:rsid w:val="000E734E"/>
    <w:rsid w:val="000E7851"/>
    <w:rsid w:val="000F358A"/>
    <w:rsid w:val="000F7BB6"/>
    <w:rsid w:val="00102597"/>
    <w:rsid w:val="0010699F"/>
    <w:rsid w:val="00114A26"/>
    <w:rsid w:val="00116052"/>
    <w:rsid w:val="001207B3"/>
    <w:rsid w:val="00121277"/>
    <w:rsid w:val="00121EA2"/>
    <w:rsid w:val="001263A0"/>
    <w:rsid w:val="001269B0"/>
    <w:rsid w:val="001273E0"/>
    <w:rsid w:val="00130589"/>
    <w:rsid w:val="00132B25"/>
    <w:rsid w:val="00133935"/>
    <w:rsid w:val="00141586"/>
    <w:rsid w:val="001424AB"/>
    <w:rsid w:val="00144D53"/>
    <w:rsid w:val="00144DF2"/>
    <w:rsid w:val="00152501"/>
    <w:rsid w:val="00153759"/>
    <w:rsid w:val="00154F55"/>
    <w:rsid w:val="00155482"/>
    <w:rsid w:val="001571C1"/>
    <w:rsid w:val="00160167"/>
    <w:rsid w:val="0016469D"/>
    <w:rsid w:val="00165B0B"/>
    <w:rsid w:val="00167B27"/>
    <w:rsid w:val="001703FD"/>
    <w:rsid w:val="00170BF5"/>
    <w:rsid w:val="00172A27"/>
    <w:rsid w:val="00174ADB"/>
    <w:rsid w:val="0017554D"/>
    <w:rsid w:val="00176CF7"/>
    <w:rsid w:val="00180B99"/>
    <w:rsid w:val="001819BC"/>
    <w:rsid w:val="00182FE9"/>
    <w:rsid w:val="001834B1"/>
    <w:rsid w:val="0018381A"/>
    <w:rsid w:val="001850A6"/>
    <w:rsid w:val="00186F0C"/>
    <w:rsid w:val="00191EC7"/>
    <w:rsid w:val="00193BBF"/>
    <w:rsid w:val="00193D62"/>
    <w:rsid w:val="001940C6"/>
    <w:rsid w:val="00194A33"/>
    <w:rsid w:val="00197100"/>
    <w:rsid w:val="001A055E"/>
    <w:rsid w:val="001A35BA"/>
    <w:rsid w:val="001A4114"/>
    <w:rsid w:val="001A5F91"/>
    <w:rsid w:val="001B03AE"/>
    <w:rsid w:val="001B14B9"/>
    <w:rsid w:val="001B20B9"/>
    <w:rsid w:val="001B293F"/>
    <w:rsid w:val="001B393F"/>
    <w:rsid w:val="001B5390"/>
    <w:rsid w:val="001B5CD4"/>
    <w:rsid w:val="001B5EBD"/>
    <w:rsid w:val="001B66F7"/>
    <w:rsid w:val="001C0C11"/>
    <w:rsid w:val="001C10A4"/>
    <w:rsid w:val="001C1208"/>
    <w:rsid w:val="001C4C1A"/>
    <w:rsid w:val="001C7859"/>
    <w:rsid w:val="001D206F"/>
    <w:rsid w:val="001D294B"/>
    <w:rsid w:val="001D30A4"/>
    <w:rsid w:val="001D4501"/>
    <w:rsid w:val="001D6C36"/>
    <w:rsid w:val="001D6C95"/>
    <w:rsid w:val="001D72C9"/>
    <w:rsid w:val="001D75B0"/>
    <w:rsid w:val="001E14E2"/>
    <w:rsid w:val="001E3E39"/>
    <w:rsid w:val="001E578A"/>
    <w:rsid w:val="001E7E56"/>
    <w:rsid w:val="001F14B5"/>
    <w:rsid w:val="001F16C6"/>
    <w:rsid w:val="001F4D6F"/>
    <w:rsid w:val="001F6AA6"/>
    <w:rsid w:val="0020264B"/>
    <w:rsid w:val="00203854"/>
    <w:rsid w:val="00204096"/>
    <w:rsid w:val="00204991"/>
    <w:rsid w:val="002075A0"/>
    <w:rsid w:val="00210F7A"/>
    <w:rsid w:val="002130BA"/>
    <w:rsid w:val="00213906"/>
    <w:rsid w:val="00213967"/>
    <w:rsid w:val="002141D5"/>
    <w:rsid w:val="002163D3"/>
    <w:rsid w:val="002203B6"/>
    <w:rsid w:val="0022079B"/>
    <w:rsid w:val="00221499"/>
    <w:rsid w:val="00221EF8"/>
    <w:rsid w:val="0022272A"/>
    <w:rsid w:val="00223DEE"/>
    <w:rsid w:val="00225ED9"/>
    <w:rsid w:val="0023677D"/>
    <w:rsid w:val="0023776D"/>
    <w:rsid w:val="0024018D"/>
    <w:rsid w:val="00241817"/>
    <w:rsid w:val="002421A2"/>
    <w:rsid w:val="00243BC5"/>
    <w:rsid w:val="00244ACC"/>
    <w:rsid w:val="002470B3"/>
    <w:rsid w:val="002476C9"/>
    <w:rsid w:val="0025166C"/>
    <w:rsid w:val="0025168D"/>
    <w:rsid w:val="00251B7D"/>
    <w:rsid w:val="002525FF"/>
    <w:rsid w:val="00253BCB"/>
    <w:rsid w:val="002560D9"/>
    <w:rsid w:val="0025641C"/>
    <w:rsid w:val="00256598"/>
    <w:rsid w:val="0026009E"/>
    <w:rsid w:val="00265A9D"/>
    <w:rsid w:val="00266747"/>
    <w:rsid w:val="0026712B"/>
    <w:rsid w:val="00270DCC"/>
    <w:rsid w:val="0027292C"/>
    <w:rsid w:val="00273F7C"/>
    <w:rsid w:val="00275CF4"/>
    <w:rsid w:val="00275D8C"/>
    <w:rsid w:val="0027690C"/>
    <w:rsid w:val="00277F3B"/>
    <w:rsid w:val="00281A5D"/>
    <w:rsid w:val="00282CE0"/>
    <w:rsid w:val="00285085"/>
    <w:rsid w:val="00286326"/>
    <w:rsid w:val="00286F0E"/>
    <w:rsid w:val="00292AAC"/>
    <w:rsid w:val="00295223"/>
    <w:rsid w:val="00296D93"/>
    <w:rsid w:val="002A33EA"/>
    <w:rsid w:val="002A45CB"/>
    <w:rsid w:val="002A7B2D"/>
    <w:rsid w:val="002B0136"/>
    <w:rsid w:val="002B06C4"/>
    <w:rsid w:val="002B456D"/>
    <w:rsid w:val="002B460B"/>
    <w:rsid w:val="002B4C9E"/>
    <w:rsid w:val="002B56A9"/>
    <w:rsid w:val="002C0530"/>
    <w:rsid w:val="002C0DB1"/>
    <w:rsid w:val="002C13C4"/>
    <w:rsid w:val="002C1D30"/>
    <w:rsid w:val="002C3D5B"/>
    <w:rsid w:val="002C4B5C"/>
    <w:rsid w:val="002C521B"/>
    <w:rsid w:val="002D06E5"/>
    <w:rsid w:val="002D13E8"/>
    <w:rsid w:val="002D4103"/>
    <w:rsid w:val="002D4194"/>
    <w:rsid w:val="002D587D"/>
    <w:rsid w:val="002D6281"/>
    <w:rsid w:val="002E7265"/>
    <w:rsid w:val="002F22E2"/>
    <w:rsid w:val="002F3F6B"/>
    <w:rsid w:val="002F42D9"/>
    <w:rsid w:val="002F45C4"/>
    <w:rsid w:val="00300F91"/>
    <w:rsid w:val="00303335"/>
    <w:rsid w:val="003062AB"/>
    <w:rsid w:val="00307074"/>
    <w:rsid w:val="00310272"/>
    <w:rsid w:val="003131C0"/>
    <w:rsid w:val="00322FCD"/>
    <w:rsid w:val="0032304E"/>
    <w:rsid w:val="00325440"/>
    <w:rsid w:val="00326A22"/>
    <w:rsid w:val="00330958"/>
    <w:rsid w:val="00334C93"/>
    <w:rsid w:val="0033612E"/>
    <w:rsid w:val="00337436"/>
    <w:rsid w:val="00337451"/>
    <w:rsid w:val="0034042A"/>
    <w:rsid w:val="00342A73"/>
    <w:rsid w:val="00342AC8"/>
    <w:rsid w:val="00346C82"/>
    <w:rsid w:val="00347B9E"/>
    <w:rsid w:val="00350777"/>
    <w:rsid w:val="00351AB1"/>
    <w:rsid w:val="00353939"/>
    <w:rsid w:val="00354684"/>
    <w:rsid w:val="00354CA4"/>
    <w:rsid w:val="00355D1F"/>
    <w:rsid w:val="003568B3"/>
    <w:rsid w:val="00356C34"/>
    <w:rsid w:val="003570A9"/>
    <w:rsid w:val="003577A2"/>
    <w:rsid w:val="00361F52"/>
    <w:rsid w:val="00363079"/>
    <w:rsid w:val="00363EAD"/>
    <w:rsid w:val="00363F4C"/>
    <w:rsid w:val="0036501B"/>
    <w:rsid w:val="0036535A"/>
    <w:rsid w:val="00370097"/>
    <w:rsid w:val="00371BB7"/>
    <w:rsid w:val="003742F5"/>
    <w:rsid w:val="00374AC7"/>
    <w:rsid w:val="00374C89"/>
    <w:rsid w:val="00375A16"/>
    <w:rsid w:val="0037670C"/>
    <w:rsid w:val="00377495"/>
    <w:rsid w:val="0037752E"/>
    <w:rsid w:val="0038393F"/>
    <w:rsid w:val="00385B80"/>
    <w:rsid w:val="003916A6"/>
    <w:rsid w:val="00394745"/>
    <w:rsid w:val="0039628B"/>
    <w:rsid w:val="00397092"/>
    <w:rsid w:val="003A6DC2"/>
    <w:rsid w:val="003B22CA"/>
    <w:rsid w:val="003B3CF0"/>
    <w:rsid w:val="003B4676"/>
    <w:rsid w:val="003B6B15"/>
    <w:rsid w:val="003B72CB"/>
    <w:rsid w:val="003B7D02"/>
    <w:rsid w:val="003C02DF"/>
    <w:rsid w:val="003C2437"/>
    <w:rsid w:val="003C298F"/>
    <w:rsid w:val="003C3E31"/>
    <w:rsid w:val="003C5902"/>
    <w:rsid w:val="003C6294"/>
    <w:rsid w:val="003D0ACA"/>
    <w:rsid w:val="003D1C12"/>
    <w:rsid w:val="003D3CC5"/>
    <w:rsid w:val="003D499A"/>
    <w:rsid w:val="003E36AE"/>
    <w:rsid w:val="003E43DE"/>
    <w:rsid w:val="003F22DB"/>
    <w:rsid w:val="003F239C"/>
    <w:rsid w:val="003F4423"/>
    <w:rsid w:val="003F7360"/>
    <w:rsid w:val="00401108"/>
    <w:rsid w:val="0040258D"/>
    <w:rsid w:val="00403131"/>
    <w:rsid w:val="0040343B"/>
    <w:rsid w:val="00403A55"/>
    <w:rsid w:val="00403B4F"/>
    <w:rsid w:val="0040427B"/>
    <w:rsid w:val="00406DB4"/>
    <w:rsid w:val="00411D77"/>
    <w:rsid w:val="00412359"/>
    <w:rsid w:val="00413760"/>
    <w:rsid w:val="00414D78"/>
    <w:rsid w:val="00415C22"/>
    <w:rsid w:val="004171F5"/>
    <w:rsid w:val="00417E89"/>
    <w:rsid w:val="004216A2"/>
    <w:rsid w:val="00422134"/>
    <w:rsid w:val="00423EF7"/>
    <w:rsid w:val="00424434"/>
    <w:rsid w:val="0042474A"/>
    <w:rsid w:val="00424B8D"/>
    <w:rsid w:val="00425468"/>
    <w:rsid w:val="00427C84"/>
    <w:rsid w:val="00430A4C"/>
    <w:rsid w:val="004317F7"/>
    <w:rsid w:val="00431B59"/>
    <w:rsid w:val="00434BBC"/>
    <w:rsid w:val="004370C2"/>
    <w:rsid w:val="004441EE"/>
    <w:rsid w:val="00444BF1"/>
    <w:rsid w:val="00445FE6"/>
    <w:rsid w:val="00446B3E"/>
    <w:rsid w:val="004508B4"/>
    <w:rsid w:val="004530ED"/>
    <w:rsid w:val="00454182"/>
    <w:rsid w:val="00454E37"/>
    <w:rsid w:val="00462D47"/>
    <w:rsid w:val="0046341B"/>
    <w:rsid w:val="00465BCC"/>
    <w:rsid w:val="0046672B"/>
    <w:rsid w:val="004668B6"/>
    <w:rsid w:val="00470E2E"/>
    <w:rsid w:val="00471FDB"/>
    <w:rsid w:val="0047400B"/>
    <w:rsid w:val="0047548A"/>
    <w:rsid w:val="00475499"/>
    <w:rsid w:val="004821DD"/>
    <w:rsid w:val="004822EF"/>
    <w:rsid w:val="00482FB4"/>
    <w:rsid w:val="00484DFC"/>
    <w:rsid w:val="004854F3"/>
    <w:rsid w:val="00486537"/>
    <w:rsid w:val="00486F32"/>
    <w:rsid w:val="0049406F"/>
    <w:rsid w:val="004941D6"/>
    <w:rsid w:val="004955EC"/>
    <w:rsid w:val="00495ED7"/>
    <w:rsid w:val="00497F6D"/>
    <w:rsid w:val="004A0100"/>
    <w:rsid w:val="004A0500"/>
    <w:rsid w:val="004A0A26"/>
    <w:rsid w:val="004A22EA"/>
    <w:rsid w:val="004A3FF2"/>
    <w:rsid w:val="004A764E"/>
    <w:rsid w:val="004A79EB"/>
    <w:rsid w:val="004B009A"/>
    <w:rsid w:val="004B0366"/>
    <w:rsid w:val="004B32C1"/>
    <w:rsid w:val="004B49F4"/>
    <w:rsid w:val="004B5BC9"/>
    <w:rsid w:val="004B625C"/>
    <w:rsid w:val="004B6D85"/>
    <w:rsid w:val="004B799D"/>
    <w:rsid w:val="004C1115"/>
    <w:rsid w:val="004C111F"/>
    <w:rsid w:val="004C3FF5"/>
    <w:rsid w:val="004C40DA"/>
    <w:rsid w:val="004C4567"/>
    <w:rsid w:val="004C456E"/>
    <w:rsid w:val="004C57AB"/>
    <w:rsid w:val="004C586C"/>
    <w:rsid w:val="004C6107"/>
    <w:rsid w:val="004D0651"/>
    <w:rsid w:val="004D07B5"/>
    <w:rsid w:val="004D4DA2"/>
    <w:rsid w:val="004D7922"/>
    <w:rsid w:val="004E5EC4"/>
    <w:rsid w:val="004E60C0"/>
    <w:rsid w:val="004E67E2"/>
    <w:rsid w:val="004F10A3"/>
    <w:rsid w:val="004F193D"/>
    <w:rsid w:val="004F4444"/>
    <w:rsid w:val="004F49C5"/>
    <w:rsid w:val="004F51A5"/>
    <w:rsid w:val="00500479"/>
    <w:rsid w:val="005006FC"/>
    <w:rsid w:val="0050366C"/>
    <w:rsid w:val="00503764"/>
    <w:rsid w:val="00507F13"/>
    <w:rsid w:val="0051197D"/>
    <w:rsid w:val="00513907"/>
    <w:rsid w:val="00513BD6"/>
    <w:rsid w:val="00514397"/>
    <w:rsid w:val="005162D5"/>
    <w:rsid w:val="00522C2E"/>
    <w:rsid w:val="0052760F"/>
    <w:rsid w:val="00527956"/>
    <w:rsid w:val="005357DF"/>
    <w:rsid w:val="00536D14"/>
    <w:rsid w:val="00540DE8"/>
    <w:rsid w:val="005412E7"/>
    <w:rsid w:val="00541AE6"/>
    <w:rsid w:val="00542145"/>
    <w:rsid w:val="005422C2"/>
    <w:rsid w:val="005429F5"/>
    <w:rsid w:val="005436A3"/>
    <w:rsid w:val="00544CA3"/>
    <w:rsid w:val="00550E32"/>
    <w:rsid w:val="0055400C"/>
    <w:rsid w:val="00557C49"/>
    <w:rsid w:val="00560559"/>
    <w:rsid w:val="00560E50"/>
    <w:rsid w:val="00561A3B"/>
    <w:rsid w:val="00561C97"/>
    <w:rsid w:val="005640BC"/>
    <w:rsid w:val="00564B68"/>
    <w:rsid w:val="00567E91"/>
    <w:rsid w:val="0057214F"/>
    <w:rsid w:val="00572CB6"/>
    <w:rsid w:val="00572DDF"/>
    <w:rsid w:val="00573553"/>
    <w:rsid w:val="005745F6"/>
    <w:rsid w:val="0057671F"/>
    <w:rsid w:val="00577803"/>
    <w:rsid w:val="00577813"/>
    <w:rsid w:val="00580E82"/>
    <w:rsid w:val="0058416F"/>
    <w:rsid w:val="00584DDC"/>
    <w:rsid w:val="005855EF"/>
    <w:rsid w:val="0059380D"/>
    <w:rsid w:val="00593B9C"/>
    <w:rsid w:val="005942A4"/>
    <w:rsid w:val="005A01FE"/>
    <w:rsid w:val="005A2870"/>
    <w:rsid w:val="005A3730"/>
    <w:rsid w:val="005B4387"/>
    <w:rsid w:val="005B657E"/>
    <w:rsid w:val="005B7090"/>
    <w:rsid w:val="005C10C9"/>
    <w:rsid w:val="005C3E12"/>
    <w:rsid w:val="005C522C"/>
    <w:rsid w:val="005C5C55"/>
    <w:rsid w:val="005D090A"/>
    <w:rsid w:val="005D0C62"/>
    <w:rsid w:val="005D12B0"/>
    <w:rsid w:val="005D174B"/>
    <w:rsid w:val="005D19C8"/>
    <w:rsid w:val="005D32AB"/>
    <w:rsid w:val="005D4346"/>
    <w:rsid w:val="005D4C93"/>
    <w:rsid w:val="005D7A1A"/>
    <w:rsid w:val="005D7A8E"/>
    <w:rsid w:val="005E1082"/>
    <w:rsid w:val="005E2C88"/>
    <w:rsid w:val="005E3861"/>
    <w:rsid w:val="005E51AC"/>
    <w:rsid w:val="005E54B6"/>
    <w:rsid w:val="005E7371"/>
    <w:rsid w:val="005F0BBB"/>
    <w:rsid w:val="006000FC"/>
    <w:rsid w:val="006021D7"/>
    <w:rsid w:val="006030FE"/>
    <w:rsid w:val="0060339E"/>
    <w:rsid w:val="0060359B"/>
    <w:rsid w:val="00604052"/>
    <w:rsid w:val="00606552"/>
    <w:rsid w:val="00614515"/>
    <w:rsid w:val="006162CF"/>
    <w:rsid w:val="0062162B"/>
    <w:rsid w:val="00625B76"/>
    <w:rsid w:val="00627EF7"/>
    <w:rsid w:val="00631914"/>
    <w:rsid w:val="0063298A"/>
    <w:rsid w:val="00633E19"/>
    <w:rsid w:val="00633FF1"/>
    <w:rsid w:val="006341BC"/>
    <w:rsid w:val="00636F1A"/>
    <w:rsid w:val="00641350"/>
    <w:rsid w:val="006415A7"/>
    <w:rsid w:val="00642E14"/>
    <w:rsid w:val="00643DD4"/>
    <w:rsid w:val="00647E2A"/>
    <w:rsid w:val="00650D0C"/>
    <w:rsid w:val="00652A17"/>
    <w:rsid w:val="00652DFD"/>
    <w:rsid w:val="00653FCF"/>
    <w:rsid w:val="00656B87"/>
    <w:rsid w:val="00656E58"/>
    <w:rsid w:val="006612B1"/>
    <w:rsid w:val="00661CAB"/>
    <w:rsid w:val="006622DC"/>
    <w:rsid w:val="00666487"/>
    <w:rsid w:val="00667DCD"/>
    <w:rsid w:val="00667E28"/>
    <w:rsid w:val="00670D65"/>
    <w:rsid w:val="00671FCE"/>
    <w:rsid w:val="006723BC"/>
    <w:rsid w:val="00673DA6"/>
    <w:rsid w:val="006744CE"/>
    <w:rsid w:val="0067542B"/>
    <w:rsid w:val="00675ABB"/>
    <w:rsid w:val="00677E7B"/>
    <w:rsid w:val="00680E4E"/>
    <w:rsid w:val="006824C3"/>
    <w:rsid w:val="00691494"/>
    <w:rsid w:val="0069284D"/>
    <w:rsid w:val="00696147"/>
    <w:rsid w:val="006966E5"/>
    <w:rsid w:val="00696DAE"/>
    <w:rsid w:val="006A0DF9"/>
    <w:rsid w:val="006A1416"/>
    <w:rsid w:val="006A1CA1"/>
    <w:rsid w:val="006A2624"/>
    <w:rsid w:val="006A50FE"/>
    <w:rsid w:val="006A5BEE"/>
    <w:rsid w:val="006A6F2E"/>
    <w:rsid w:val="006A756B"/>
    <w:rsid w:val="006B1331"/>
    <w:rsid w:val="006B179F"/>
    <w:rsid w:val="006B1B36"/>
    <w:rsid w:val="006B3658"/>
    <w:rsid w:val="006B471E"/>
    <w:rsid w:val="006B6C2A"/>
    <w:rsid w:val="006C05FF"/>
    <w:rsid w:val="006C088B"/>
    <w:rsid w:val="006C29E0"/>
    <w:rsid w:val="006C365E"/>
    <w:rsid w:val="006C687A"/>
    <w:rsid w:val="006D1CC7"/>
    <w:rsid w:val="006D31AD"/>
    <w:rsid w:val="006E05C7"/>
    <w:rsid w:val="006E1003"/>
    <w:rsid w:val="006E267D"/>
    <w:rsid w:val="006E3496"/>
    <w:rsid w:val="006E47DA"/>
    <w:rsid w:val="006E6083"/>
    <w:rsid w:val="006E62AE"/>
    <w:rsid w:val="006E78B0"/>
    <w:rsid w:val="006E7C42"/>
    <w:rsid w:val="006F4EC5"/>
    <w:rsid w:val="007023B3"/>
    <w:rsid w:val="00702578"/>
    <w:rsid w:val="00703ED8"/>
    <w:rsid w:val="00704990"/>
    <w:rsid w:val="00705FB9"/>
    <w:rsid w:val="00710D91"/>
    <w:rsid w:val="0071147A"/>
    <w:rsid w:val="007153C6"/>
    <w:rsid w:val="0071648B"/>
    <w:rsid w:val="00721592"/>
    <w:rsid w:val="007224F0"/>
    <w:rsid w:val="007254BF"/>
    <w:rsid w:val="00732E10"/>
    <w:rsid w:val="00733252"/>
    <w:rsid w:val="007362FA"/>
    <w:rsid w:val="0073740F"/>
    <w:rsid w:val="00741D86"/>
    <w:rsid w:val="00742F86"/>
    <w:rsid w:val="00745374"/>
    <w:rsid w:val="00746E49"/>
    <w:rsid w:val="00750236"/>
    <w:rsid w:val="0075043D"/>
    <w:rsid w:val="00751310"/>
    <w:rsid w:val="0075192C"/>
    <w:rsid w:val="007526ED"/>
    <w:rsid w:val="00752CDE"/>
    <w:rsid w:val="007531AC"/>
    <w:rsid w:val="0075745D"/>
    <w:rsid w:val="00760209"/>
    <w:rsid w:val="00760EAC"/>
    <w:rsid w:val="00763620"/>
    <w:rsid w:val="007639C3"/>
    <w:rsid w:val="00767CA3"/>
    <w:rsid w:val="00770173"/>
    <w:rsid w:val="00772444"/>
    <w:rsid w:val="00772971"/>
    <w:rsid w:val="00772AD5"/>
    <w:rsid w:val="00773A2E"/>
    <w:rsid w:val="0077463B"/>
    <w:rsid w:val="00776128"/>
    <w:rsid w:val="00777317"/>
    <w:rsid w:val="00780E29"/>
    <w:rsid w:val="007811D0"/>
    <w:rsid w:val="00783CEC"/>
    <w:rsid w:val="00785E49"/>
    <w:rsid w:val="00787CBD"/>
    <w:rsid w:val="00790996"/>
    <w:rsid w:val="00790FB7"/>
    <w:rsid w:val="00791984"/>
    <w:rsid w:val="00794159"/>
    <w:rsid w:val="0079634D"/>
    <w:rsid w:val="007A0E62"/>
    <w:rsid w:val="007A1793"/>
    <w:rsid w:val="007A1D87"/>
    <w:rsid w:val="007A2B1A"/>
    <w:rsid w:val="007A5EA5"/>
    <w:rsid w:val="007A6FE2"/>
    <w:rsid w:val="007B2C6D"/>
    <w:rsid w:val="007B3233"/>
    <w:rsid w:val="007B378A"/>
    <w:rsid w:val="007B65FC"/>
    <w:rsid w:val="007B6AAA"/>
    <w:rsid w:val="007C0B01"/>
    <w:rsid w:val="007C2713"/>
    <w:rsid w:val="007C39E4"/>
    <w:rsid w:val="007D114E"/>
    <w:rsid w:val="007D390D"/>
    <w:rsid w:val="007D46B1"/>
    <w:rsid w:val="007D4F3D"/>
    <w:rsid w:val="007D5792"/>
    <w:rsid w:val="007D5DEA"/>
    <w:rsid w:val="007D73EB"/>
    <w:rsid w:val="007E0FC9"/>
    <w:rsid w:val="007E33BA"/>
    <w:rsid w:val="007E401C"/>
    <w:rsid w:val="007E46A9"/>
    <w:rsid w:val="007E564F"/>
    <w:rsid w:val="007E5848"/>
    <w:rsid w:val="007E6BF0"/>
    <w:rsid w:val="007E7115"/>
    <w:rsid w:val="007E7307"/>
    <w:rsid w:val="007F0888"/>
    <w:rsid w:val="007F377A"/>
    <w:rsid w:val="007F3DA8"/>
    <w:rsid w:val="007F61CD"/>
    <w:rsid w:val="007F6B5A"/>
    <w:rsid w:val="00800D80"/>
    <w:rsid w:val="00803B46"/>
    <w:rsid w:val="00803E8E"/>
    <w:rsid w:val="00805AE3"/>
    <w:rsid w:val="0081211F"/>
    <w:rsid w:val="00816997"/>
    <w:rsid w:val="00817696"/>
    <w:rsid w:val="00817776"/>
    <w:rsid w:val="008229B4"/>
    <w:rsid w:val="008264AB"/>
    <w:rsid w:val="00827B24"/>
    <w:rsid w:val="00830E23"/>
    <w:rsid w:val="008347B3"/>
    <w:rsid w:val="008373FC"/>
    <w:rsid w:val="0084195C"/>
    <w:rsid w:val="00844623"/>
    <w:rsid w:val="00844F37"/>
    <w:rsid w:val="008466B5"/>
    <w:rsid w:val="008511A4"/>
    <w:rsid w:val="00852916"/>
    <w:rsid w:val="008575B4"/>
    <w:rsid w:val="00860E6C"/>
    <w:rsid w:val="00861AE1"/>
    <w:rsid w:val="00865C4D"/>
    <w:rsid w:val="00870A95"/>
    <w:rsid w:val="008735F9"/>
    <w:rsid w:val="00883CB1"/>
    <w:rsid w:val="008900AB"/>
    <w:rsid w:val="008914DE"/>
    <w:rsid w:val="008918F5"/>
    <w:rsid w:val="00892BBC"/>
    <w:rsid w:val="0089400E"/>
    <w:rsid w:val="00895296"/>
    <w:rsid w:val="008A054F"/>
    <w:rsid w:val="008A150E"/>
    <w:rsid w:val="008A1974"/>
    <w:rsid w:val="008A7153"/>
    <w:rsid w:val="008B1173"/>
    <w:rsid w:val="008B4EE5"/>
    <w:rsid w:val="008B4FFB"/>
    <w:rsid w:val="008B57EE"/>
    <w:rsid w:val="008B7BB7"/>
    <w:rsid w:val="008C2364"/>
    <w:rsid w:val="008C3DBE"/>
    <w:rsid w:val="008C57C9"/>
    <w:rsid w:val="008C6C5B"/>
    <w:rsid w:val="008C7718"/>
    <w:rsid w:val="008C7F06"/>
    <w:rsid w:val="008D149D"/>
    <w:rsid w:val="008D1B14"/>
    <w:rsid w:val="008D1BE9"/>
    <w:rsid w:val="008D1F9E"/>
    <w:rsid w:val="008D3D13"/>
    <w:rsid w:val="008D4119"/>
    <w:rsid w:val="008D590E"/>
    <w:rsid w:val="008D68C3"/>
    <w:rsid w:val="008D74DF"/>
    <w:rsid w:val="008D7C94"/>
    <w:rsid w:val="008E1E7C"/>
    <w:rsid w:val="008E3CE0"/>
    <w:rsid w:val="008E72C1"/>
    <w:rsid w:val="008F1783"/>
    <w:rsid w:val="00900874"/>
    <w:rsid w:val="009010D8"/>
    <w:rsid w:val="00901900"/>
    <w:rsid w:val="00903E9B"/>
    <w:rsid w:val="00903F2D"/>
    <w:rsid w:val="00903F9E"/>
    <w:rsid w:val="00904179"/>
    <w:rsid w:val="00904773"/>
    <w:rsid w:val="0090479D"/>
    <w:rsid w:val="009059A7"/>
    <w:rsid w:val="00905F9C"/>
    <w:rsid w:val="009068A0"/>
    <w:rsid w:val="00907B6D"/>
    <w:rsid w:val="00911EA0"/>
    <w:rsid w:val="0091603A"/>
    <w:rsid w:val="00916A13"/>
    <w:rsid w:val="00916F0C"/>
    <w:rsid w:val="009179EB"/>
    <w:rsid w:val="00920F21"/>
    <w:rsid w:val="00921159"/>
    <w:rsid w:val="009232E8"/>
    <w:rsid w:val="00925E45"/>
    <w:rsid w:val="0092679C"/>
    <w:rsid w:val="0093173B"/>
    <w:rsid w:val="00931D39"/>
    <w:rsid w:val="00931D62"/>
    <w:rsid w:val="00932CB4"/>
    <w:rsid w:val="00934C00"/>
    <w:rsid w:val="00935477"/>
    <w:rsid w:val="00936E49"/>
    <w:rsid w:val="0093772B"/>
    <w:rsid w:val="00937B52"/>
    <w:rsid w:val="00942422"/>
    <w:rsid w:val="00943CFA"/>
    <w:rsid w:val="00945783"/>
    <w:rsid w:val="00947CCC"/>
    <w:rsid w:val="009503BB"/>
    <w:rsid w:val="00950461"/>
    <w:rsid w:val="00950ECE"/>
    <w:rsid w:val="00952324"/>
    <w:rsid w:val="00956680"/>
    <w:rsid w:val="00960974"/>
    <w:rsid w:val="009671C7"/>
    <w:rsid w:val="00970F07"/>
    <w:rsid w:val="00973533"/>
    <w:rsid w:val="00974BEB"/>
    <w:rsid w:val="00974D32"/>
    <w:rsid w:val="0097626B"/>
    <w:rsid w:val="00977FB0"/>
    <w:rsid w:val="00982904"/>
    <w:rsid w:val="00982C21"/>
    <w:rsid w:val="0098324B"/>
    <w:rsid w:val="009867CB"/>
    <w:rsid w:val="00992D59"/>
    <w:rsid w:val="009948BD"/>
    <w:rsid w:val="00994E23"/>
    <w:rsid w:val="009953FE"/>
    <w:rsid w:val="009956CD"/>
    <w:rsid w:val="00997DC5"/>
    <w:rsid w:val="00997DE1"/>
    <w:rsid w:val="009A020C"/>
    <w:rsid w:val="009A056D"/>
    <w:rsid w:val="009A15B1"/>
    <w:rsid w:val="009A27F0"/>
    <w:rsid w:val="009A3324"/>
    <w:rsid w:val="009A5914"/>
    <w:rsid w:val="009A7C19"/>
    <w:rsid w:val="009A7C52"/>
    <w:rsid w:val="009B016B"/>
    <w:rsid w:val="009B052F"/>
    <w:rsid w:val="009B409F"/>
    <w:rsid w:val="009B4CAB"/>
    <w:rsid w:val="009C035D"/>
    <w:rsid w:val="009C076E"/>
    <w:rsid w:val="009C1073"/>
    <w:rsid w:val="009C54B7"/>
    <w:rsid w:val="009D0193"/>
    <w:rsid w:val="009D1080"/>
    <w:rsid w:val="009D3DED"/>
    <w:rsid w:val="009D4810"/>
    <w:rsid w:val="009D7AB7"/>
    <w:rsid w:val="009E01AB"/>
    <w:rsid w:val="009E23CA"/>
    <w:rsid w:val="009E35D9"/>
    <w:rsid w:val="009E3AB2"/>
    <w:rsid w:val="009E3FBA"/>
    <w:rsid w:val="009E4266"/>
    <w:rsid w:val="009E73BD"/>
    <w:rsid w:val="009F2B33"/>
    <w:rsid w:val="009F2CA0"/>
    <w:rsid w:val="009F3B94"/>
    <w:rsid w:val="009F42E3"/>
    <w:rsid w:val="009F4C1B"/>
    <w:rsid w:val="009F4EE8"/>
    <w:rsid w:val="009F517C"/>
    <w:rsid w:val="009F621E"/>
    <w:rsid w:val="00A00729"/>
    <w:rsid w:val="00A01059"/>
    <w:rsid w:val="00A017E8"/>
    <w:rsid w:val="00A059BD"/>
    <w:rsid w:val="00A11532"/>
    <w:rsid w:val="00A11779"/>
    <w:rsid w:val="00A14019"/>
    <w:rsid w:val="00A21BFA"/>
    <w:rsid w:val="00A23961"/>
    <w:rsid w:val="00A24BA4"/>
    <w:rsid w:val="00A25B59"/>
    <w:rsid w:val="00A27954"/>
    <w:rsid w:val="00A30E78"/>
    <w:rsid w:val="00A31BA9"/>
    <w:rsid w:val="00A31FA9"/>
    <w:rsid w:val="00A331BE"/>
    <w:rsid w:val="00A339B6"/>
    <w:rsid w:val="00A41A45"/>
    <w:rsid w:val="00A423C3"/>
    <w:rsid w:val="00A45F14"/>
    <w:rsid w:val="00A46594"/>
    <w:rsid w:val="00A47659"/>
    <w:rsid w:val="00A505DA"/>
    <w:rsid w:val="00A50CCE"/>
    <w:rsid w:val="00A53E17"/>
    <w:rsid w:val="00A56FFF"/>
    <w:rsid w:val="00A57BEB"/>
    <w:rsid w:val="00A601FA"/>
    <w:rsid w:val="00A6193D"/>
    <w:rsid w:val="00A6347D"/>
    <w:rsid w:val="00A6451B"/>
    <w:rsid w:val="00A67500"/>
    <w:rsid w:val="00A67CB1"/>
    <w:rsid w:val="00A73FFF"/>
    <w:rsid w:val="00A7620A"/>
    <w:rsid w:val="00A76A83"/>
    <w:rsid w:val="00A77425"/>
    <w:rsid w:val="00A82A17"/>
    <w:rsid w:val="00A82C58"/>
    <w:rsid w:val="00A86BB8"/>
    <w:rsid w:val="00A8788B"/>
    <w:rsid w:val="00A87D59"/>
    <w:rsid w:val="00A922E5"/>
    <w:rsid w:val="00A92B43"/>
    <w:rsid w:val="00A953FD"/>
    <w:rsid w:val="00A96457"/>
    <w:rsid w:val="00A96C7D"/>
    <w:rsid w:val="00A97952"/>
    <w:rsid w:val="00AA33AA"/>
    <w:rsid w:val="00AA4682"/>
    <w:rsid w:val="00AA6E7B"/>
    <w:rsid w:val="00AA6F32"/>
    <w:rsid w:val="00AA7083"/>
    <w:rsid w:val="00AB05DB"/>
    <w:rsid w:val="00AB1F33"/>
    <w:rsid w:val="00AB2242"/>
    <w:rsid w:val="00AC0565"/>
    <w:rsid w:val="00AC2616"/>
    <w:rsid w:val="00AC4AC2"/>
    <w:rsid w:val="00AC6DE1"/>
    <w:rsid w:val="00AC6F91"/>
    <w:rsid w:val="00AD04E5"/>
    <w:rsid w:val="00AD437E"/>
    <w:rsid w:val="00AD4F04"/>
    <w:rsid w:val="00AE0B02"/>
    <w:rsid w:val="00AE10DD"/>
    <w:rsid w:val="00AE497B"/>
    <w:rsid w:val="00AE7A9F"/>
    <w:rsid w:val="00AF0856"/>
    <w:rsid w:val="00AF0B79"/>
    <w:rsid w:val="00AF296D"/>
    <w:rsid w:val="00AF2F1A"/>
    <w:rsid w:val="00AF5DA1"/>
    <w:rsid w:val="00AF6E38"/>
    <w:rsid w:val="00AF7121"/>
    <w:rsid w:val="00B00DD3"/>
    <w:rsid w:val="00B02124"/>
    <w:rsid w:val="00B02844"/>
    <w:rsid w:val="00B04A03"/>
    <w:rsid w:val="00B061A7"/>
    <w:rsid w:val="00B124B8"/>
    <w:rsid w:val="00B1279E"/>
    <w:rsid w:val="00B12CEA"/>
    <w:rsid w:val="00B1591A"/>
    <w:rsid w:val="00B16678"/>
    <w:rsid w:val="00B17728"/>
    <w:rsid w:val="00B247CF"/>
    <w:rsid w:val="00B31C07"/>
    <w:rsid w:val="00B32594"/>
    <w:rsid w:val="00B3350D"/>
    <w:rsid w:val="00B33CDB"/>
    <w:rsid w:val="00B3665F"/>
    <w:rsid w:val="00B4214C"/>
    <w:rsid w:val="00B43B9F"/>
    <w:rsid w:val="00B43CF7"/>
    <w:rsid w:val="00B44B26"/>
    <w:rsid w:val="00B462E2"/>
    <w:rsid w:val="00B46CC7"/>
    <w:rsid w:val="00B50DBD"/>
    <w:rsid w:val="00B514A5"/>
    <w:rsid w:val="00B53DC2"/>
    <w:rsid w:val="00B53E9C"/>
    <w:rsid w:val="00B578BE"/>
    <w:rsid w:val="00B57F05"/>
    <w:rsid w:val="00B61734"/>
    <w:rsid w:val="00B62E5E"/>
    <w:rsid w:val="00B63952"/>
    <w:rsid w:val="00B6411E"/>
    <w:rsid w:val="00B709B8"/>
    <w:rsid w:val="00B70DF1"/>
    <w:rsid w:val="00B70E75"/>
    <w:rsid w:val="00B721E2"/>
    <w:rsid w:val="00B725A2"/>
    <w:rsid w:val="00B7315F"/>
    <w:rsid w:val="00B75343"/>
    <w:rsid w:val="00B76D50"/>
    <w:rsid w:val="00B811EE"/>
    <w:rsid w:val="00B819B7"/>
    <w:rsid w:val="00B827A9"/>
    <w:rsid w:val="00B83C0D"/>
    <w:rsid w:val="00B84BE7"/>
    <w:rsid w:val="00B854C4"/>
    <w:rsid w:val="00B87260"/>
    <w:rsid w:val="00B877AB"/>
    <w:rsid w:val="00B91FB5"/>
    <w:rsid w:val="00B93382"/>
    <w:rsid w:val="00B9347E"/>
    <w:rsid w:val="00B9377D"/>
    <w:rsid w:val="00BA04DA"/>
    <w:rsid w:val="00BA0A60"/>
    <w:rsid w:val="00BA5498"/>
    <w:rsid w:val="00BA6506"/>
    <w:rsid w:val="00BA74AD"/>
    <w:rsid w:val="00BA7CA9"/>
    <w:rsid w:val="00BB045F"/>
    <w:rsid w:val="00BB25B6"/>
    <w:rsid w:val="00BB3796"/>
    <w:rsid w:val="00BB4049"/>
    <w:rsid w:val="00BB62AE"/>
    <w:rsid w:val="00BB65FA"/>
    <w:rsid w:val="00BC11CD"/>
    <w:rsid w:val="00BC2547"/>
    <w:rsid w:val="00BC306E"/>
    <w:rsid w:val="00BC35ED"/>
    <w:rsid w:val="00BC5B22"/>
    <w:rsid w:val="00BC6DCF"/>
    <w:rsid w:val="00BD15CA"/>
    <w:rsid w:val="00BD15FA"/>
    <w:rsid w:val="00BD24FA"/>
    <w:rsid w:val="00BD2C5C"/>
    <w:rsid w:val="00BD4542"/>
    <w:rsid w:val="00BD49AA"/>
    <w:rsid w:val="00BD53EC"/>
    <w:rsid w:val="00BD5BB9"/>
    <w:rsid w:val="00BD5D33"/>
    <w:rsid w:val="00BD7B13"/>
    <w:rsid w:val="00BE0191"/>
    <w:rsid w:val="00BE6620"/>
    <w:rsid w:val="00BE69E1"/>
    <w:rsid w:val="00BE7360"/>
    <w:rsid w:val="00BF0401"/>
    <w:rsid w:val="00BF1BAD"/>
    <w:rsid w:val="00BF1EBF"/>
    <w:rsid w:val="00BF252F"/>
    <w:rsid w:val="00BF488C"/>
    <w:rsid w:val="00BF6534"/>
    <w:rsid w:val="00BF6A72"/>
    <w:rsid w:val="00BF72EF"/>
    <w:rsid w:val="00C00426"/>
    <w:rsid w:val="00C01726"/>
    <w:rsid w:val="00C0294A"/>
    <w:rsid w:val="00C0494D"/>
    <w:rsid w:val="00C0735A"/>
    <w:rsid w:val="00C07686"/>
    <w:rsid w:val="00C078A7"/>
    <w:rsid w:val="00C109A4"/>
    <w:rsid w:val="00C143E7"/>
    <w:rsid w:val="00C16C2E"/>
    <w:rsid w:val="00C21BD0"/>
    <w:rsid w:val="00C254EB"/>
    <w:rsid w:val="00C25B2C"/>
    <w:rsid w:val="00C26BE2"/>
    <w:rsid w:val="00C35FF9"/>
    <w:rsid w:val="00C375EB"/>
    <w:rsid w:val="00C42B03"/>
    <w:rsid w:val="00C42B74"/>
    <w:rsid w:val="00C4356E"/>
    <w:rsid w:val="00C445F4"/>
    <w:rsid w:val="00C44C26"/>
    <w:rsid w:val="00C44E9C"/>
    <w:rsid w:val="00C45237"/>
    <w:rsid w:val="00C454A4"/>
    <w:rsid w:val="00C4655C"/>
    <w:rsid w:val="00C546A2"/>
    <w:rsid w:val="00C60289"/>
    <w:rsid w:val="00C642A3"/>
    <w:rsid w:val="00C6570C"/>
    <w:rsid w:val="00C65CE3"/>
    <w:rsid w:val="00C65E7F"/>
    <w:rsid w:val="00C66584"/>
    <w:rsid w:val="00C67A56"/>
    <w:rsid w:val="00C71439"/>
    <w:rsid w:val="00C757CC"/>
    <w:rsid w:val="00C7694A"/>
    <w:rsid w:val="00C81D5E"/>
    <w:rsid w:val="00C8637F"/>
    <w:rsid w:val="00C87076"/>
    <w:rsid w:val="00C877F2"/>
    <w:rsid w:val="00C918B3"/>
    <w:rsid w:val="00CA1034"/>
    <w:rsid w:val="00CA2DA8"/>
    <w:rsid w:val="00CA3C2F"/>
    <w:rsid w:val="00CA4096"/>
    <w:rsid w:val="00CA4C88"/>
    <w:rsid w:val="00CA5CA2"/>
    <w:rsid w:val="00CA75F5"/>
    <w:rsid w:val="00CB677A"/>
    <w:rsid w:val="00CB7CFA"/>
    <w:rsid w:val="00CC3701"/>
    <w:rsid w:val="00CC569F"/>
    <w:rsid w:val="00CC7554"/>
    <w:rsid w:val="00CD122C"/>
    <w:rsid w:val="00CD1DCD"/>
    <w:rsid w:val="00CD216B"/>
    <w:rsid w:val="00CD59DB"/>
    <w:rsid w:val="00CE2D00"/>
    <w:rsid w:val="00CE4338"/>
    <w:rsid w:val="00CE43F0"/>
    <w:rsid w:val="00CE4DAB"/>
    <w:rsid w:val="00CE5FB9"/>
    <w:rsid w:val="00CE6CBF"/>
    <w:rsid w:val="00CF0F73"/>
    <w:rsid w:val="00CF1526"/>
    <w:rsid w:val="00CF1585"/>
    <w:rsid w:val="00CF1857"/>
    <w:rsid w:val="00CF2D42"/>
    <w:rsid w:val="00CF4709"/>
    <w:rsid w:val="00CF5CF9"/>
    <w:rsid w:val="00CF6C69"/>
    <w:rsid w:val="00CF7041"/>
    <w:rsid w:val="00CF7AF1"/>
    <w:rsid w:val="00D02DA2"/>
    <w:rsid w:val="00D032D8"/>
    <w:rsid w:val="00D04860"/>
    <w:rsid w:val="00D06010"/>
    <w:rsid w:val="00D07BEB"/>
    <w:rsid w:val="00D11ABF"/>
    <w:rsid w:val="00D1240C"/>
    <w:rsid w:val="00D13B76"/>
    <w:rsid w:val="00D16845"/>
    <w:rsid w:val="00D16C96"/>
    <w:rsid w:val="00D23D0E"/>
    <w:rsid w:val="00D24588"/>
    <w:rsid w:val="00D24C75"/>
    <w:rsid w:val="00D265C1"/>
    <w:rsid w:val="00D3060F"/>
    <w:rsid w:val="00D35CEA"/>
    <w:rsid w:val="00D36294"/>
    <w:rsid w:val="00D40B21"/>
    <w:rsid w:val="00D417E5"/>
    <w:rsid w:val="00D42B52"/>
    <w:rsid w:val="00D4523D"/>
    <w:rsid w:val="00D45CC7"/>
    <w:rsid w:val="00D52322"/>
    <w:rsid w:val="00D53CCC"/>
    <w:rsid w:val="00D54B97"/>
    <w:rsid w:val="00D54D69"/>
    <w:rsid w:val="00D551DA"/>
    <w:rsid w:val="00D60D52"/>
    <w:rsid w:val="00D60F07"/>
    <w:rsid w:val="00D618C1"/>
    <w:rsid w:val="00D64B4F"/>
    <w:rsid w:val="00D656B7"/>
    <w:rsid w:val="00D67256"/>
    <w:rsid w:val="00D7014A"/>
    <w:rsid w:val="00D746FE"/>
    <w:rsid w:val="00D834B5"/>
    <w:rsid w:val="00D83D3B"/>
    <w:rsid w:val="00D87413"/>
    <w:rsid w:val="00D901DE"/>
    <w:rsid w:val="00D904AF"/>
    <w:rsid w:val="00D91F52"/>
    <w:rsid w:val="00D92A68"/>
    <w:rsid w:val="00D93644"/>
    <w:rsid w:val="00DA0141"/>
    <w:rsid w:val="00DA018A"/>
    <w:rsid w:val="00DA028A"/>
    <w:rsid w:val="00DA1D84"/>
    <w:rsid w:val="00DA2697"/>
    <w:rsid w:val="00DA5F96"/>
    <w:rsid w:val="00DB043B"/>
    <w:rsid w:val="00DB21C2"/>
    <w:rsid w:val="00DB6E8F"/>
    <w:rsid w:val="00DB70DC"/>
    <w:rsid w:val="00DC132F"/>
    <w:rsid w:val="00DC4887"/>
    <w:rsid w:val="00DD115E"/>
    <w:rsid w:val="00DD1E11"/>
    <w:rsid w:val="00DD2453"/>
    <w:rsid w:val="00DD3444"/>
    <w:rsid w:val="00DD3466"/>
    <w:rsid w:val="00DD3EBC"/>
    <w:rsid w:val="00DD4917"/>
    <w:rsid w:val="00DD4C9A"/>
    <w:rsid w:val="00DD511D"/>
    <w:rsid w:val="00DD54EB"/>
    <w:rsid w:val="00DD6C77"/>
    <w:rsid w:val="00DD6DEC"/>
    <w:rsid w:val="00DE2953"/>
    <w:rsid w:val="00DE2C6E"/>
    <w:rsid w:val="00DE5089"/>
    <w:rsid w:val="00DE7541"/>
    <w:rsid w:val="00DF068C"/>
    <w:rsid w:val="00DF262E"/>
    <w:rsid w:val="00DF5463"/>
    <w:rsid w:val="00DF6B0B"/>
    <w:rsid w:val="00DF72A5"/>
    <w:rsid w:val="00DF778A"/>
    <w:rsid w:val="00E01D31"/>
    <w:rsid w:val="00E01D3D"/>
    <w:rsid w:val="00E026FF"/>
    <w:rsid w:val="00E04F75"/>
    <w:rsid w:val="00E06298"/>
    <w:rsid w:val="00E06A1E"/>
    <w:rsid w:val="00E0707C"/>
    <w:rsid w:val="00E11ED7"/>
    <w:rsid w:val="00E13B5F"/>
    <w:rsid w:val="00E150B4"/>
    <w:rsid w:val="00E15EE8"/>
    <w:rsid w:val="00E206FB"/>
    <w:rsid w:val="00E21AF6"/>
    <w:rsid w:val="00E247FF"/>
    <w:rsid w:val="00E26199"/>
    <w:rsid w:val="00E26314"/>
    <w:rsid w:val="00E31934"/>
    <w:rsid w:val="00E337DF"/>
    <w:rsid w:val="00E34A46"/>
    <w:rsid w:val="00E4267C"/>
    <w:rsid w:val="00E43A24"/>
    <w:rsid w:val="00E43FB7"/>
    <w:rsid w:val="00E441E4"/>
    <w:rsid w:val="00E45964"/>
    <w:rsid w:val="00E46BA5"/>
    <w:rsid w:val="00E472E0"/>
    <w:rsid w:val="00E500E7"/>
    <w:rsid w:val="00E50ADE"/>
    <w:rsid w:val="00E5208F"/>
    <w:rsid w:val="00E52A29"/>
    <w:rsid w:val="00E53153"/>
    <w:rsid w:val="00E568BA"/>
    <w:rsid w:val="00E60DE6"/>
    <w:rsid w:val="00E64F64"/>
    <w:rsid w:val="00E6550F"/>
    <w:rsid w:val="00E663DF"/>
    <w:rsid w:val="00E667F2"/>
    <w:rsid w:val="00E66E3D"/>
    <w:rsid w:val="00E674C2"/>
    <w:rsid w:val="00E677B8"/>
    <w:rsid w:val="00E70123"/>
    <w:rsid w:val="00E72CA7"/>
    <w:rsid w:val="00E73202"/>
    <w:rsid w:val="00E81F71"/>
    <w:rsid w:val="00E82661"/>
    <w:rsid w:val="00E8365C"/>
    <w:rsid w:val="00E84A4E"/>
    <w:rsid w:val="00E87014"/>
    <w:rsid w:val="00E8778E"/>
    <w:rsid w:val="00E9026E"/>
    <w:rsid w:val="00E91735"/>
    <w:rsid w:val="00E92F6F"/>
    <w:rsid w:val="00E943FD"/>
    <w:rsid w:val="00E9450E"/>
    <w:rsid w:val="00E95B63"/>
    <w:rsid w:val="00E96B69"/>
    <w:rsid w:val="00E97642"/>
    <w:rsid w:val="00E97C61"/>
    <w:rsid w:val="00EA0428"/>
    <w:rsid w:val="00EA1839"/>
    <w:rsid w:val="00EA525C"/>
    <w:rsid w:val="00EA743D"/>
    <w:rsid w:val="00EB1A3C"/>
    <w:rsid w:val="00EB2786"/>
    <w:rsid w:val="00EB2C50"/>
    <w:rsid w:val="00EB46D9"/>
    <w:rsid w:val="00EB5204"/>
    <w:rsid w:val="00EB6519"/>
    <w:rsid w:val="00EB6A80"/>
    <w:rsid w:val="00EB720F"/>
    <w:rsid w:val="00EC5736"/>
    <w:rsid w:val="00EC5CDB"/>
    <w:rsid w:val="00ED1935"/>
    <w:rsid w:val="00ED2768"/>
    <w:rsid w:val="00ED27A6"/>
    <w:rsid w:val="00EE1916"/>
    <w:rsid w:val="00EE1DD5"/>
    <w:rsid w:val="00EF08BE"/>
    <w:rsid w:val="00EF0DF5"/>
    <w:rsid w:val="00EF0F9D"/>
    <w:rsid w:val="00EF2511"/>
    <w:rsid w:val="00EF51FB"/>
    <w:rsid w:val="00EF53B1"/>
    <w:rsid w:val="00EF54F7"/>
    <w:rsid w:val="00EF6437"/>
    <w:rsid w:val="00EF7B3B"/>
    <w:rsid w:val="00EF7E9C"/>
    <w:rsid w:val="00F037B6"/>
    <w:rsid w:val="00F03D13"/>
    <w:rsid w:val="00F057B8"/>
    <w:rsid w:val="00F06F6A"/>
    <w:rsid w:val="00F156AA"/>
    <w:rsid w:val="00F16EF6"/>
    <w:rsid w:val="00F179E9"/>
    <w:rsid w:val="00F20681"/>
    <w:rsid w:val="00F20DC5"/>
    <w:rsid w:val="00F2447E"/>
    <w:rsid w:val="00F31E1A"/>
    <w:rsid w:val="00F32841"/>
    <w:rsid w:val="00F32907"/>
    <w:rsid w:val="00F3335E"/>
    <w:rsid w:val="00F35E77"/>
    <w:rsid w:val="00F41240"/>
    <w:rsid w:val="00F418D6"/>
    <w:rsid w:val="00F43903"/>
    <w:rsid w:val="00F4565A"/>
    <w:rsid w:val="00F4588A"/>
    <w:rsid w:val="00F46602"/>
    <w:rsid w:val="00F47901"/>
    <w:rsid w:val="00F52996"/>
    <w:rsid w:val="00F53412"/>
    <w:rsid w:val="00F53726"/>
    <w:rsid w:val="00F55ADF"/>
    <w:rsid w:val="00F5655B"/>
    <w:rsid w:val="00F578D2"/>
    <w:rsid w:val="00F619DB"/>
    <w:rsid w:val="00F63985"/>
    <w:rsid w:val="00F64919"/>
    <w:rsid w:val="00F64A9E"/>
    <w:rsid w:val="00F65C5D"/>
    <w:rsid w:val="00F65EB2"/>
    <w:rsid w:val="00F71140"/>
    <w:rsid w:val="00F711CA"/>
    <w:rsid w:val="00F728B9"/>
    <w:rsid w:val="00F73FE1"/>
    <w:rsid w:val="00F81266"/>
    <w:rsid w:val="00F837C5"/>
    <w:rsid w:val="00F8736B"/>
    <w:rsid w:val="00F87F40"/>
    <w:rsid w:val="00F87FBA"/>
    <w:rsid w:val="00F90994"/>
    <w:rsid w:val="00F90FC3"/>
    <w:rsid w:val="00F9175D"/>
    <w:rsid w:val="00F91C87"/>
    <w:rsid w:val="00F9576E"/>
    <w:rsid w:val="00F97172"/>
    <w:rsid w:val="00FA3AC1"/>
    <w:rsid w:val="00FA43AE"/>
    <w:rsid w:val="00FA597C"/>
    <w:rsid w:val="00FB2F1D"/>
    <w:rsid w:val="00FB667C"/>
    <w:rsid w:val="00FC5E06"/>
    <w:rsid w:val="00FC6504"/>
    <w:rsid w:val="00FD30B7"/>
    <w:rsid w:val="00FD68E7"/>
    <w:rsid w:val="00FD6A10"/>
    <w:rsid w:val="00FE22D7"/>
    <w:rsid w:val="00FE4272"/>
    <w:rsid w:val="00FE63E6"/>
    <w:rsid w:val="00FF14EB"/>
    <w:rsid w:val="00FF26D0"/>
    <w:rsid w:val="00FF3FE5"/>
    <w:rsid w:val="00FF4C81"/>
    <w:rsid w:val="00FF58B3"/>
    <w:rsid w:val="00FF5F91"/>
    <w:rsid w:val="010C17EA"/>
    <w:rsid w:val="01153B57"/>
    <w:rsid w:val="01256BE7"/>
    <w:rsid w:val="0141212B"/>
    <w:rsid w:val="01EC20E2"/>
    <w:rsid w:val="02164FC6"/>
    <w:rsid w:val="02422369"/>
    <w:rsid w:val="0275478F"/>
    <w:rsid w:val="02863CFD"/>
    <w:rsid w:val="02A05EA9"/>
    <w:rsid w:val="02A32060"/>
    <w:rsid w:val="02A73421"/>
    <w:rsid w:val="02B3358A"/>
    <w:rsid w:val="02CB3ABB"/>
    <w:rsid w:val="02F3758A"/>
    <w:rsid w:val="037812F4"/>
    <w:rsid w:val="037C7321"/>
    <w:rsid w:val="03F963E6"/>
    <w:rsid w:val="0406450A"/>
    <w:rsid w:val="04165736"/>
    <w:rsid w:val="042542DE"/>
    <w:rsid w:val="04842688"/>
    <w:rsid w:val="049D5915"/>
    <w:rsid w:val="04BD1B14"/>
    <w:rsid w:val="05015DB0"/>
    <w:rsid w:val="05177476"/>
    <w:rsid w:val="05486C87"/>
    <w:rsid w:val="055F4150"/>
    <w:rsid w:val="056A64DB"/>
    <w:rsid w:val="05B336F9"/>
    <w:rsid w:val="05B42D89"/>
    <w:rsid w:val="05CD222A"/>
    <w:rsid w:val="05F14D67"/>
    <w:rsid w:val="06077803"/>
    <w:rsid w:val="0609362E"/>
    <w:rsid w:val="062254F8"/>
    <w:rsid w:val="06677F89"/>
    <w:rsid w:val="06693D01"/>
    <w:rsid w:val="0689375E"/>
    <w:rsid w:val="068B7826"/>
    <w:rsid w:val="068D70C4"/>
    <w:rsid w:val="07247C28"/>
    <w:rsid w:val="07271AEB"/>
    <w:rsid w:val="073216FD"/>
    <w:rsid w:val="07840A97"/>
    <w:rsid w:val="07A171AB"/>
    <w:rsid w:val="07AE2C0E"/>
    <w:rsid w:val="07CE55F2"/>
    <w:rsid w:val="07E10001"/>
    <w:rsid w:val="07EB55C1"/>
    <w:rsid w:val="0807410A"/>
    <w:rsid w:val="0834624D"/>
    <w:rsid w:val="088219AA"/>
    <w:rsid w:val="08DF3D36"/>
    <w:rsid w:val="099D5711"/>
    <w:rsid w:val="09B462A8"/>
    <w:rsid w:val="09F064E7"/>
    <w:rsid w:val="0A334D52"/>
    <w:rsid w:val="0A4A6D32"/>
    <w:rsid w:val="0A795802"/>
    <w:rsid w:val="0AA417AC"/>
    <w:rsid w:val="0AB15C77"/>
    <w:rsid w:val="0AB661D5"/>
    <w:rsid w:val="0AC0410C"/>
    <w:rsid w:val="0AC3328D"/>
    <w:rsid w:val="0ACF008A"/>
    <w:rsid w:val="0AE56ABA"/>
    <w:rsid w:val="0AEE2A27"/>
    <w:rsid w:val="0B472137"/>
    <w:rsid w:val="0B7727D1"/>
    <w:rsid w:val="0B8F756D"/>
    <w:rsid w:val="0BA27BC8"/>
    <w:rsid w:val="0BA55DDA"/>
    <w:rsid w:val="0C517711"/>
    <w:rsid w:val="0C727782"/>
    <w:rsid w:val="0CA227D1"/>
    <w:rsid w:val="0CE12501"/>
    <w:rsid w:val="0CF63E15"/>
    <w:rsid w:val="0D076AAD"/>
    <w:rsid w:val="0D2E4C17"/>
    <w:rsid w:val="0D3037CB"/>
    <w:rsid w:val="0D3606B5"/>
    <w:rsid w:val="0D725B91"/>
    <w:rsid w:val="0DA73361"/>
    <w:rsid w:val="0DA74E85"/>
    <w:rsid w:val="0DE27FB3"/>
    <w:rsid w:val="0E257F4A"/>
    <w:rsid w:val="0E3E465C"/>
    <w:rsid w:val="0E791140"/>
    <w:rsid w:val="0E7E4540"/>
    <w:rsid w:val="0E811712"/>
    <w:rsid w:val="0E884F40"/>
    <w:rsid w:val="0F1253B8"/>
    <w:rsid w:val="0F145373"/>
    <w:rsid w:val="0F384BB8"/>
    <w:rsid w:val="0F9E5A6A"/>
    <w:rsid w:val="0FB719A1"/>
    <w:rsid w:val="0FD75D43"/>
    <w:rsid w:val="0FDB43AD"/>
    <w:rsid w:val="10160A0B"/>
    <w:rsid w:val="101D3604"/>
    <w:rsid w:val="107E65FB"/>
    <w:rsid w:val="109113E4"/>
    <w:rsid w:val="109B4630"/>
    <w:rsid w:val="109E6A9F"/>
    <w:rsid w:val="1190521A"/>
    <w:rsid w:val="11BC16A5"/>
    <w:rsid w:val="128A5555"/>
    <w:rsid w:val="129C5FF9"/>
    <w:rsid w:val="12EF1D2E"/>
    <w:rsid w:val="132A4818"/>
    <w:rsid w:val="132F22B6"/>
    <w:rsid w:val="13486DCB"/>
    <w:rsid w:val="13811D28"/>
    <w:rsid w:val="13963C5C"/>
    <w:rsid w:val="1399374C"/>
    <w:rsid w:val="13AC0C03"/>
    <w:rsid w:val="13E12BA1"/>
    <w:rsid w:val="13FB2E04"/>
    <w:rsid w:val="141C7EA6"/>
    <w:rsid w:val="1432607A"/>
    <w:rsid w:val="14477DF7"/>
    <w:rsid w:val="145202AB"/>
    <w:rsid w:val="146546C8"/>
    <w:rsid w:val="147E306D"/>
    <w:rsid w:val="148443FC"/>
    <w:rsid w:val="14C013EB"/>
    <w:rsid w:val="154D3DDA"/>
    <w:rsid w:val="15896594"/>
    <w:rsid w:val="15AA0A99"/>
    <w:rsid w:val="15C70701"/>
    <w:rsid w:val="15F43A69"/>
    <w:rsid w:val="16005D04"/>
    <w:rsid w:val="16223ECC"/>
    <w:rsid w:val="16514346"/>
    <w:rsid w:val="167C0225"/>
    <w:rsid w:val="167C2F1C"/>
    <w:rsid w:val="169014BB"/>
    <w:rsid w:val="169D685A"/>
    <w:rsid w:val="16C42250"/>
    <w:rsid w:val="16CE2114"/>
    <w:rsid w:val="17681DB3"/>
    <w:rsid w:val="1780041E"/>
    <w:rsid w:val="17B956B6"/>
    <w:rsid w:val="17C74D2B"/>
    <w:rsid w:val="17EC4792"/>
    <w:rsid w:val="18090EA0"/>
    <w:rsid w:val="184F2F28"/>
    <w:rsid w:val="18714C97"/>
    <w:rsid w:val="18CE5C46"/>
    <w:rsid w:val="190D249C"/>
    <w:rsid w:val="1928773F"/>
    <w:rsid w:val="194507A0"/>
    <w:rsid w:val="194E3EEF"/>
    <w:rsid w:val="198D6224"/>
    <w:rsid w:val="19A35324"/>
    <w:rsid w:val="19C5507B"/>
    <w:rsid w:val="19C95F2A"/>
    <w:rsid w:val="19F41D96"/>
    <w:rsid w:val="1A0548AF"/>
    <w:rsid w:val="1A2900F4"/>
    <w:rsid w:val="1A2D426C"/>
    <w:rsid w:val="1A567094"/>
    <w:rsid w:val="1A6202B5"/>
    <w:rsid w:val="1A631088"/>
    <w:rsid w:val="1A7367AB"/>
    <w:rsid w:val="1A886ABA"/>
    <w:rsid w:val="1AC92B69"/>
    <w:rsid w:val="1B1A5E47"/>
    <w:rsid w:val="1B1E590D"/>
    <w:rsid w:val="1B223F31"/>
    <w:rsid w:val="1B414DA7"/>
    <w:rsid w:val="1B506DE6"/>
    <w:rsid w:val="1B5A2537"/>
    <w:rsid w:val="1B660E75"/>
    <w:rsid w:val="1B7C1AC6"/>
    <w:rsid w:val="1B8224A6"/>
    <w:rsid w:val="1BAA5DCB"/>
    <w:rsid w:val="1C044240"/>
    <w:rsid w:val="1C2A6463"/>
    <w:rsid w:val="1C3C141F"/>
    <w:rsid w:val="1C4622D6"/>
    <w:rsid w:val="1C5923E0"/>
    <w:rsid w:val="1C5B68BD"/>
    <w:rsid w:val="1C5D5C5E"/>
    <w:rsid w:val="1C5F1840"/>
    <w:rsid w:val="1C8E7A48"/>
    <w:rsid w:val="1CCA1678"/>
    <w:rsid w:val="1CD04532"/>
    <w:rsid w:val="1CD37CCF"/>
    <w:rsid w:val="1D247334"/>
    <w:rsid w:val="1D2A5042"/>
    <w:rsid w:val="1D4C0A34"/>
    <w:rsid w:val="1D6E6501"/>
    <w:rsid w:val="1D74259D"/>
    <w:rsid w:val="1DB35F7C"/>
    <w:rsid w:val="1DC85359"/>
    <w:rsid w:val="1DFC68A7"/>
    <w:rsid w:val="1DFE521F"/>
    <w:rsid w:val="1E3B6102"/>
    <w:rsid w:val="1E796654"/>
    <w:rsid w:val="1EDA35C3"/>
    <w:rsid w:val="1F5477CE"/>
    <w:rsid w:val="2020322B"/>
    <w:rsid w:val="20C637A5"/>
    <w:rsid w:val="20D0092B"/>
    <w:rsid w:val="20D12777"/>
    <w:rsid w:val="20DA7A27"/>
    <w:rsid w:val="2116462E"/>
    <w:rsid w:val="211B610E"/>
    <w:rsid w:val="211E5E44"/>
    <w:rsid w:val="21230DB2"/>
    <w:rsid w:val="21510737"/>
    <w:rsid w:val="216726C4"/>
    <w:rsid w:val="21884916"/>
    <w:rsid w:val="21A53DE7"/>
    <w:rsid w:val="21F41AEF"/>
    <w:rsid w:val="222531C4"/>
    <w:rsid w:val="224372DE"/>
    <w:rsid w:val="228C3320"/>
    <w:rsid w:val="22964CB4"/>
    <w:rsid w:val="22B37249"/>
    <w:rsid w:val="22E23ECE"/>
    <w:rsid w:val="23185789"/>
    <w:rsid w:val="23A9212A"/>
    <w:rsid w:val="23C36021"/>
    <w:rsid w:val="23C51742"/>
    <w:rsid w:val="23C54539"/>
    <w:rsid w:val="23EF17C4"/>
    <w:rsid w:val="24017274"/>
    <w:rsid w:val="24097CAC"/>
    <w:rsid w:val="24121836"/>
    <w:rsid w:val="24310219"/>
    <w:rsid w:val="24363B03"/>
    <w:rsid w:val="248F3363"/>
    <w:rsid w:val="24BA764A"/>
    <w:rsid w:val="24D50EFC"/>
    <w:rsid w:val="24EA4B39"/>
    <w:rsid w:val="25046B01"/>
    <w:rsid w:val="253B0639"/>
    <w:rsid w:val="254B0802"/>
    <w:rsid w:val="259A3A19"/>
    <w:rsid w:val="25ED71F2"/>
    <w:rsid w:val="25F17D6D"/>
    <w:rsid w:val="25F47496"/>
    <w:rsid w:val="260E7BC2"/>
    <w:rsid w:val="263A0DB0"/>
    <w:rsid w:val="26AE02C4"/>
    <w:rsid w:val="26C176BF"/>
    <w:rsid w:val="26EA4592"/>
    <w:rsid w:val="270D43CE"/>
    <w:rsid w:val="273E7C56"/>
    <w:rsid w:val="274968C3"/>
    <w:rsid w:val="276264AD"/>
    <w:rsid w:val="277327DA"/>
    <w:rsid w:val="278F2EA5"/>
    <w:rsid w:val="27DF53BB"/>
    <w:rsid w:val="281C26A2"/>
    <w:rsid w:val="282C5587"/>
    <w:rsid w:val="286260CB"/>
    <w:rsid w:val="287E29B7"/>
    <w:rsid w:val="288E1E70"/>
    <w:rsid w:val="2950496F"/>
    <w:rsid w:val="2976430B"/>
    <w:rsid w:val="298A5C70"/>
    <w:rsid w:val="29985B4A"/>
    <w:rsid w:val="29A62027"/>
    <w:rsid w:val="29EA2E65"/>
    <w:rsid w:val="2A2329E3"/>
    <w:rsid w:val="2A257B11"/>
    <w:rsid w:val="2A2E0C3A"/>
    <w:rsid w:val="2A433FDF"/>
    <w:rsid w:val="2A667E3C"/>
    <w:rsid w:val="2A7156E7"/>
    <w:rsid w:val="2A9803F1"/>
    <w:rsid w:val="2AC47F1A"/>
    <w:rsid w:val="2B0D5E23"/>
    <w:rsid w:val="2B895054"/>
    <w:rsid w:val="2B972AA4"/>
    <w:rsid w:val="2BB05DAB"/>
    <w:rsid w:val="2BCF6BD4"/>
    <w:rsid w:val="2BD46333"/>
    <w:rsid w:val="2BE00F10"/>
    <w:rsid w:val="2BFC09A7"/>
    <w:rsid w:val="2C307C60"/>
    <w:rsid w:val="2C4A4D7A"/>
    <w:rsid w:val="2C5823B5"/>
    <w:rsid w:val="2C5E1C1D"/>
    <w:rsid w:val="2C907A9F"/>
    <w:rsid w:val="2CBD0053"/>
    <w:rsid w:val="2CFB024B"/>
    <w:rsid w:val="2D430542"/>
    <w:rsid w:val="2D5806C4"/>
    <w:rsid w:val="2DAF3E40"/>
    <w:rsid w:val="2DC7118A"/>
    <w:rsid w:val="2DDF5CC1"/>
    <w:rsid w:val="2EA96AE1"/>
    <w:rsid w:val="2ED03A86"/>
    <w:rsid w:val="2F310C07"/>
    <w:rsid w:val="2F4B5DEA"/>
    <w:rsid w:val="2F5B3F6E"/>
    <w:rsid w:val="2FCD67FF"/>
    <w:rsid w:val="30026D12"/>
    <w:rsid w:val="301369BF"/>
    <w:rsid w:val="30191A45"/>
    <w:rsid w:val="30527CE5"/>
    <w:rsid w:val="30636123"/>
    <w:rsid w:val="307971C3"/>
    <w:rsid w:val="30955FA1"/>
    <w:rsid w:val="30B8478C"/>
    <w:rsid w:val="30C333F5"/>
    <w:rsid w:val="30DD0CC4"/>
    <w:rsid w:val="30FD5F74"/>
    <w:rsid w:val="31321010"/>
    <w:rsid w:val="313E5696"/>
    <w:rsid w:val="316A6620"/>
    <w:rsid w:val="318A675D"/>
    <w:rsid w:val="3195415B"/>
    <w:rsid w:val="319D3F94"/>
    <w:rsid w:val="31C20A7A"/>
    <w:rsid w:val="31F70515"/>
    <w:rsid w:val="31FD5DBF"/>
    <w:rsid w:val="326B7343"/>
    <w:rsid w:val="326E42CA"/>
    <w:rsid w:val="32A368F5"/>
    <w:rsid w:val="32E30699"/>
    <w:rsid w:val="330A7D0E"/>
    <w:rsid w:val="33184DB7"/>
    <w:rsid w:val="337B06EF"/>
    <w:rsid w:val="338D24ED"/>
    <w:rsid w:val="33D4727D"/>
    <w:rsid w:val="349A5491"/>
    <w:rsid w:val="34D14F32"/>
    <w:rsid w:val="34D776E7"/>
    <w:rsid w:val="34FE3911"/>
    <w:rsid w:val="350805A7"/>
    <w:rsid w:val="350B2C11"/>
    <w:rsid w:val="354C7B88"/>
    <w:rsid w:val="35642652"/>
    <w:rsid w:val="358B49A2"/>
    <w:rsid w:val="35AE12A1"/>
    <w:rsid w:val="360C7CFD"/>
    <w:rsid w:val="364151A6"/>
    <w:rsid w:val="365B1B86"/>
    <w:rsid w:val="366B28CE"/>
    <w:rsid w:val="36BE159D"/>
    <w:rsid w:val="36CD1568"/>
    <w:rsid w:val="370107E5"/>
    <w:rsid w:val="37293F4F"/>
    <w:rsid w:val="3773322A"/>
    <w:rsid w:val="37B03DA6"/>
    <w:rsid w:val="37D3533A"/>
    <w:rsid w:val="382A3B65"/>
    <w:rsid w:val="385A223F"/>
    <w:rsid w:val="38720E65"/>
    <w:rsid w:val="38934A8A"/>
    <w:rsid w:val="38A800C7"/>
    <w:rsid w:val="38CE3ABD"/>
    <w:rsid w:val="38DC088D"/>
    <w:rsid w:val="38F109C3"/>
    <w:rsid w:val="38F60B75"/>
    <w:rsid w:val="3908173E"/>
    <w:rsid w:val="39365415"/>
    <w:rsid w:val="39920FC6"/>
    <w:rsid w:val="39C85FA8"/>
    <w:rsid w:val="3A850DFD"/>
    <w:rsid w:val="3A92001A"/>
    <w:rsid w:val="3AAD1967"/>
    <w:rsid w:val="3AB31750"/>
    <w:rsid w:val="3AD12CC2"/>
    <w:rsid w:val="3B1A3241"/>
    <w:rsid w:val="3B1B2B15"/>
    <w:rsid w:val="3B8C7800"/>
    <w:rsid w:val="3BA75EFB"/>
    <w:rsid w:val="3BCC257D"/>
    <w:rsid w:val="3BE64ED1"/>
    <w:rsid w:val="3BEB24E7"/>
    <w:rsid w:val="3C476E07"/>
    <w:rsid w:val="3C5A766D"/>
    <w:rsid w:val="3CBD420D"/>
    <w:rsid w:val="3D053F47"/>
    <w:rsid w:val="3D0D1B40"/>
    <w:rsid w:val="3D0F6763"/>
    <w:rsid w:val="3D1C1E9A"/>
    <w:rsid w:val="3D225064"/>
    <w:rsid w:val="3D280A5B"/>
    <w:rsid w:val="3D2A34E3"/>
    <w:rsid w:val="3D5C16A1"/>
    <w:rsid w:val="3D7B5B5B"/>
    <w:rsid w:val="3D8E5820"/>
    <w:rsid w:val="3DAB7747"/>
    <w:rsid w:val="3DBC3A8D"/>
    <w:rsid w:val="3DD27E02"/>
    <w:rsid w:val="3E1A402D"/>
    <w:rsid w:val="3E3A3350"/>
    <w:rsid w:val="3E4B6664"/>
    <w:rsid w:val="3E582A9C"/>
    <w:rsid w:val="3E59441C"/>
    <w:rsid w:val="3EA30731"/>
    <w:rsid w:val="3EC977A1"/>
    <w:rsid w:val="3EE770D7"/>
    <w:rsid w:val="3EF0656C"/>
    <w:rsid w:val="3F1E3881"/>
    <w:rsid w:val="3F453866"/>
    <w:rsid w:val="3F6B7DD5"/>
    <w:rsid w:val="3F726015"/>
    <w:rsid w:val="3FA92726"/>
    <w:rsid w:val="3FBF2A11"/>
    <w:rsid w:val="3FC95554"/>
    <w:rsid w:val="3FD77BAA"/>
    <w:rsid w:val="403A3BDC"/>
    <w:rsid w:val="4098049D"/>
    <w:rsid w:val="40D774DE"/>
    <w:rsid w:val="40EF7FF5"/>
    <w:rsid w:val="40F00D14"/>
    <w:rsid w:val="410F6555"/>
    <w:rsid w:val="418F7DB9"/>
    <w:rsid w:val="41B83649"/>
    <w:rsid w:val="41DF04EA"/>
    <w:rsid w:val="41E22C3E"/>
    <w:rsid w:val="42385148"/>
    <w:rsid w:val="424218D1"/>
    <w:rsid w:val="424A0157"/>
    <w:rsid w:val="42541C80"/>
    <w:rsid w:val="425D2944"/>
    <w:rsid w:val="426209C8"/>
    <w:rsid w:val="42AF7CDA"/>
    <w:rsid w:val="42DB06BB"/>
    <w:rsid w:val="432A412C"/>
    <w:rsid w:val="4330324F"/>
    <w:rsid w:val="43373254"/>
    <w:rsid w:val="433C0400"/>
    <w:rsid w:val="434A22F7"/>
    <w:rsid w:val="43882D11"/>
    <w:rsid w:val="43BF2BD7"/>
    <w:rsid w:val="43C200BF"/>
    <w:rsid w:val="43CC20DA"/>
    <w:rsid w:val="44163A79"/>
    <w:rsid w:val="44552337"/>
    <w:rsid w:val="44867E96"/>
    <w:rsid w:val="44BC1930"/>
    <w:rsid w:val="44E17945"/>
    <w:rsid w:val="452D1DC2"/>
    <w:rsid w:val="45373785"/>
    <w:rsid w:val="454F3AE7"/>
    <w:rsid w:val="456604E0"/>
    <w:rsid w:val="458342E1"/>
    <w:rsid w:val="45CF4C28"/>
    <w:rsid w:val="462D713C"/>
    <w:rsid w:val="46484638"/>
    <w:rsid w:val="46B96933"/>
    <w:rsid w:val="46D52BC8"/>
    <w:rsid w:val="46DF38C3"/>
    <w:rsid w:val="47065B76"/>
    <w:rsid w:val="47153DF3"/>
    <w:rsid w:val="472D3538"/>
    <w:rsid w:val="4736652B"/>
    <w:rsid w:val="47413903"/>
    <w:rsid w:val="47B362E4"/>
    <w:rsid w:val="47B801CA"/>
    <w:rsid w:val="47E17C5F"/>
    <w:rsid w:val="47E75C89"/>
    <w:rsid w:val="480D1A37"/>
    <w:rsid w:val="48141F25"/>
    <w:rsid w:val="48353619"/>
    <w:rsid w:val="48414A85"/>
    <w:rsid w:val="48A31674"/>
    <w:rsid w:val="48A5058A"/>
    <w:rsid w:val="48B325DE"/>
    <w:rsid w:val="48C15350"/>
    <w:rsid w:val="49413E8D"/>
    <w:rsid w:val="496505A0"/>
    <w:rsid w:val="49755AB1"/>
    <w:rsid w:val="49A026BD"/>
    <w:rsid w:val="49D23A49"/>
    <w:rsid w:val="49E96FDA"/>
    <w:rsid w:val="49ED0FD0"/>
    <w:rsid w:val="4A1E7F2C"/>
    <w:rsid w:val="4A4B09D9"/>
    <w:rsid w:val="4A5908C0"/>
    <w:rsid w:val="4A782655"/>
    <w:rsid w:val="4A8A736F"/>
    <w:rsid w:val="4AB32D6A"/>
    <w:rsid w:val="4AFA2747"/>
    <w:rsid w:val="4B0C247A"/>
    <w:rsid w:val="4B1052B9"/>
    <w:rsid w:val="4B1355B6"/>
    <w:rsid w:val="4B230A05"/>
    <w:rsid w:val="4B4B2D21"/>
    <w:rsid w:val="4B717EF9"/>
    <w:rsid w:val="4B965452"/>
    <w:rsid w:val="4BAE43B7"/>
    <w:rsid w:val="4BAF0E23"/>
    <w:rsid w:val="4BD21601"/>
    <w:rsid w:val="4BD27220"/>
    <w:rsid w:val="4C3C0825"/>
    <w:rsid w:val="4C4E2360"/>
    <w:rsid w:val="4CA35484"/>
    <w:rsid w:val="4CCD27B1"/>
    <w:rsid w:val="4CCF4EFA"/>
    <w:rsid w:val="4D1473F9"/>
    <w:rsid w:val="4D4D4C94"/>
    <w:rsid w:val="4D817439"/>
    <w:rsid w:val="4E0141B0"/>
    <w:rsid w:val="4E600306"/>
    <w:rsid w:val="4E670940"/>
    <w:rsid w:val="4E941A56"/>
    <w:rsid w:val="4E980C89"/>
    <w:rsid w:val="4EBC27F9"/>
    <w:rsid w:val="4EE26AC4"/>
    <w:rsid w:val="4F071BF9"/>
    <w:rsid w:val="4F47584C"/>
    <w:rsid w:val="4F557FA5"/>
    <w:rsid w:val="4F9323F3"/>
    <w:rsid w:val="4FA74325"/>
    <w:rsid w:val="4FF57F76"/>
    <w:rsid w:val="4FF96ED5"/>
    <w:rsid w:val="50342257"/>
    <w:rsid w:val="504D3319"/>
    <w:rsid w:val="50783987"/>
    <w:rsid w:val="50821469"/>
    <w:rsid w:val="50AD025B"/>
    <w:rsid w:val="50D00E0E"/>
    <w:rsid w:val="510C5FB5"/>
    <w:rsid w:val="51830965"/>
    <w:rsid w:val="51C944B0"/>
    <w:rsid w:val="51F010D6"/>
    <w:rsid w:val="51F41470"/>
    <w:rsid w:val="520B242B"/>
    <w:rsid w:val="52622F8D"/>
    <w:rsid w:val="528A0854"/>
    <w:rsid w:val="52BB45C0"/>
    <w:rsid w:val="52C13669"/>
    <w:rsid w:val="52CC1BF6"/>
    <w:rsid w:val="52E369E5"/>
    <w:rsid w:val="52F17B91"/>
    <w:rsid w:val="53495210"/>
    <w:rsid w:val="53815CDA"/>
    <w:rsid w:val="539A63B1"/>
    <w:rsid w:val="53D376B8"/>
    <w:rsid w:val="53D564F3"/>
    <w:rsid w:val="53E237EB"/>
    <w:rsid w:val="541145DC"/>
    <w:rsid w:val="542D6275"/>
    <w:rsid w:val="54310FFD"/>
    <w:rsid w:val="54317DB4"/>
    <w:rsid w:val="546565BE"/>
    <w:rsid w:val="54A22AA4"/>
    <w:rsid w:val="54D27AD9"/>
    <w:rsid w:val="54D93F6B"/>
    <w:rsid w:val="54F27683"/>
    <w:rsid w:val="55295B15"/>
    <w:rsid w:val="552F56E3"/>
    <w:rsid w:val="55391CB3"/>
    <w:rsid w:val="55653867"/>
    <w:rsid w:val="557A6DB8"/>
    <w:rsid w:val="557D6387"/>
    <w:rsid w:val="55C510C6"/>
    <w:rsid w:val="55DF5B01"/>
    <w:rsid w:val="561279EC"/>
    <w:rsid w:val="56175063"/>
    <w:rsid w:val="56576026"/>
    <w:rsid w:val="565D1DDC"/>
    <w:rsid w:val="565E39A4"/>
    <w:rsid w:val="56ED2E14"/>
    <w:rsid w:val="56F2682A"/>
    <w:rsid w:val="570A4794"/>
    <w:rsid w:val="572F5526"/>
    <w:rsid w:val="574C1253"/>
    <w:rsid w:val="57725C07"/>
    <w:rsid w:val="577613A7"/>
    <w:rsid w:val="577F4436"/>
    <w:rsid w:val="57AC301B"/>
    <w:rsid w:val="57D57251"/>
    <w:rsid w:val="57EB5665"/>
    <w:rsid w:val="57F724F1"/>
    <w:rsid w:val="585E23F0"/>
    <w:rsid w:val="586C27AA"/>
    <w:rsid w:val="58753DBA"/>
    <w:rsid w:val="589337FE"/>
    <w:rsid w:val="58CC5572"/>
    <w:rsid w:val="58E37754"/>
    <w:rsid w:val="58EE3C43"/>
    <w:rsid w:val="592D48F7"/>
    <w:rsid w:val="592E08A3"/>
    <w:rsid w:val="5948212E"/>
    <w:rsid w:val="594A2AEB"/>
    <w:rsid w:val="59810B11"/>
    <w:rsid w:val="59A65848"/>
    <w:rsid w:val="59F9006D"/>
    <w:rsid w:val="5A0E242F"/>
    <w:rsid w:val="5A286C6D"/>
    <w:rsid w:val="5A79536E"/>
    <w:rsid w:val="5AD41B5C"/>
    <w:rsid w:val="5ADF1011"/>
    <w:rsid w:val="5AFC776D"/>
    <w:rsid w:val="5B203B1A"/>
    <w:rsid w:val="5B525C87"/>
    <w:rsid w:val="5B777B7D"/>
    <w:rsid w:val="5BCB2A2E"/>
    <w:rsid w:val="5BDF231B"/>
    <w:rsid w:val="5BF6707F"/>
    <w:rsid w:val="5C335AB8"/>
    <w:rsid w:val="5C381899"/>
    <w:rsid w:val="5C521F55"/>
    <w:rsid w:val="5C587A75"/>
    <w:rsid w:val="5C711B98"/>
    <w:rsid w:val="5C8B4F29"/>
    <w:rsid w:val="5C96111B"/>
    <w:rsid w:val="5CC7109C"/>
    <w:rsid w:val="5CC93AA8"/>
    <w:rsid w:val="5CF43F63"/>
    <w:rsid w:val="5CFB327D"/>
    <w:rsid w:val="5D0715E2"/>
    <w:rsid w:val="5D1E2FE4"/>
    <w:rsid w:val="5D3C0667"/>
    <w:rsid w:val="5D4B1566"/>
    <w:rsid w:val="5D56306C"/>
    <w:rsid w:val="5D7E30A1"/>
    <w:rsid w:val="5D9C58DF"/>
    <w:rsid w:val="5DCE3E14"/>
    <w:rsid w:val="5DF425DE"/>
    <w:rsid w:val="5E021C74"/>
    <w:rsid w:val="5E0E35A3"/>
    <w:rsid w:val="5E153C6B"/>
    <w:rsid w:val="5E7A0FE5"/>
    <w:rsid w:val="5EFB4BD5"/>
    <w:rsid w:val="5F4B456F"/>
    <w:rsid w:val="5F51216C"/>
    <w:rsid w:val="5FC0084A"/>
    <w:rsid w:val="5FC42773"/>
    <w:rsid w:val="5FC56E5F"/>
    <w:rsid w:val="5FDA6506"/>
    <w:rsid w:val="5FEA18DA"/>
    <w:rsid w:val="5FF16729"/>
    <w:rsid w:val="603431CA"/>
    <w:rsid w:val="609265C3"/>
    <w:rsid w:val="60CA0C10"/>
    <w:rsid w:val="60F01E0A"/>
    <w:rsid w:val="61386D43"/>
    <w:rsid w:val="615A02C8"/>
    <w:rsid w:val="61760567"/>
    <w:rsid w:val="617E4632"/>
    <w:rsid w:val="61C61054"/>
    <w:rsid w:val="61FB0E26"/>
    <w:rsid w:val="62771C93"/>
    <w:rsid w:val="629B06A9"/>
    <w:rsid w:val="62BA532A"/>
    <w:rsid w:val="62C040D9"/>
    <w:rsid w:val="63055F94"/>
    <w:rsid w:val="63076E62"/>
    <w:rsid w:val="638143A0"/>
    <w:rsid w:val="639808F7"/>
    <w:rsid w:val="63F86CF9"/>
    <w:rsid w:val="63FF42BA"/>
    <w:rsid w:val="644F4D38"/>
    <w:rsid w:val="648028B9"/>
    <w:rsid w:val="648C7EFE"/>
    <w:rsid w:val="64AC2EA2"/>
    <w:rsid w:val="64C74014"/>
    <w:rsid w:val="64E37F22"/>
    <w:rsid w:val="658560D0"/>
    <w:rsid w:val="65E67470"/>
    <w:rsid w:val="664F11C3"/>
    <w:rsid w:val="668B2F39"/>
    <w:rsid w:val="66B97468"/>
    <w:rsid w:val="66BE0104"/>
    <w:rsid w:val="66C86FA2"/>
    <w:rsid w:val="66F3205B"/>
    <w:rsid w:val="670544F5"/>
    <w:rsid w:val="670D1102"/>
    <w:rsid w:val="671310F4"/>
    <w:rsid w:val="67800F27"/>
    <w:rsid w:val="67A213C6"/>
    <w:rsid w:val="67C65A33"/>
    <w:rsid w:val="67CE79EB"/>
    <w:rsid w:val="67E10571"/>
    <w:rsid w:val="680E2F36"/>
    <w:rsid w:val="685E10D3"/>
    <w:rsid w:val="6888718C"/>
    <w:rsid w:val="68A0020A"/>
    <w:rsid w:val="68B80A62"/>
    <w:rsid w:val="690A71E9"/>
    <w:rsid w:val="696A54A5"/>
    <w:rsid w:val="697E2AC3"/>
    <w:rsid w:val="698A0514"/>
    <w:rsid w:val="69EE7060"/>
    <w:rsid w:val="69FF6A31"/>
    <w:rsid w:val="6A1B7151"/>
    <w:rsid w:val="6A3A0A05"/>
    <w:rsid w:val="6A5C063B"/>
    <w:rsid w:val="6A665D7E"/>
    <w:rsid w:val="6AB77D8E"/>
    <w:rsid w:val="6AC8491D"/>
    <w:rsid w:val="6AFF48E7"/>
    <w:rsid w:val="6B3B2FD6"/>
    <w:rsid w:val="6B4645F5"/>
    <w:rsid w:val="6B4C5917"/>
    <w:rsid w:val="6B5D2E5A"/>
    <w:rsid w:val="6B6D1E3A"/>
    <w:rsid w:val="6B9765EB"/>
    <w:rsid w:val="6BA20565"/>
    <w:rsid w:val="6BA91D76"/>
    <w:rsid w:val="6BD335C5"/>
    <w:rsid w:val="6C0024CA"/>
    <w:rsid w:val="6C134FBF"/>
    <w:rsid w:val="6C2824A4"/>
    <w:rsid w:val="6C340C59"/>
    <w:rsid w:val="6C515AE7"/>
    <w:rsid w:val="6C6356EE"/>
    <w:rsid w:val="6CA25DEF"/>
    <w:rsid w:val="6CC74628"/>
    <w:rsid w:val="6D0E4D79"/>
    <w:rsid w:val="6D115728"/>
    <w:rsid w:val="6D413DAD"/>
    <w:rsid w:val="6D527D69"/>
    <w:rsid w:val="6D5D7239"/>
    <w:rsid w:val="6D9263B7"/>
    <w:rsid w:val="6D9C76EB"/>
    <w:rsid w:val="6DAF0D17"/>
    <w:rsid w:val="6DB85E1E"/>
    <w:rsid w:val="6DD06017"/>
    <w:rsid w:val="6DE07122"/>
    <w:rsid w:val="6DFF5751"/>
    <w:rsid w:val="6E3F6DDD"/>
    <w:rsid w:val="6E557E31"/>
    <w:rsid w:val="6E751734"/>
    <w:rsid w:val="6E842B2E"/>
    <w:rsid w:val="6E95112F"/>
    <w:rsid w:val="6EAE15D9"/>
    <w:rsid w:val="6EB26D11"/>
    <w:rsid w:val="6EC270B2"/>
    <w:rsid w:val="6EC62CA9"/>
    <w:rsid w:val="6ECD3360"/>
    <w:rsid w:val="6ECD443F"/>
    <w:rsid w:val="6F071680"/>
    <w:rsid w:val="6F174F9E"/>
    <w:rsid w:val="6F1B1466"/>
    <w:rsid w:val="6F214C5C"/>
    <w:rsid w:val="6F2B40AF"/>
    <w:rsid w:val="6F336070"/>
    <w:rsid w:val="6F380638"/>
    <w:rsid w:val="6F54383B"/>
    <w:rsid w:val="6F726F28"/>
    <w:rsid w:val="6F8A60BF"/>
    <w:rsid w:val="701D014B"/>
    <w:rsid w:val="70244222"/>
    <w:rsid w:val="70666086"/>
    <w:rsid w:val="70977057"/>
    <w:rsid w:val="709C5D76"/>
    <w:rsid w:val="70A84B24"/>
    <w:rsid w:val="70B01B82"/>
    <w:rsid w:val="70C366D8"/>
    <w:rsid w:val="70C841B1"/>
    <w:rsid w:val="70CD7E32"/>
    <w:rsid w:val="70E41417"/>
    <w:rsid w:val="7104588C"/>
    <w:rsid w:val="71157833"/>
    <w:rsid w:val="71360E34"/>
    <w:rsid w:val="714A3020"/>
    <w:rsid w:val="714C264A"/>
    <w:rsid w:val="715421D7"/>
    <w:rsid w:val="7183399A"/>
    <w:rsid w:val="71B514B3"/>
    <w:rsid w:val="71BF2A27"/>
    <w:rsid w:val="71C50D4D"/>
    <w:rsid w:val="71E4090E"/>
    <w:rsid w:val="723815EF"/>
    <w:rsid w:val="7256290A"/>
    <w:rsid w:val="72D134DE"/>
    <w:rsid w:val="72D364DA"/>
    <w:rsid w:val="72DA4267"/>
    <w:rsid w:val="732301DD"/>
    <w:rsid w:val="73604EBF"/>
    <w:rsid w:val="73BB1B84"/>
    <w:rsid w:val="73E511CB"/>
    <w:rsid w:val="7491127E"/>
    <w:rsid w:val="74967296"/>
    <w:rsid w:val="749C3ABE"/>
    <w:rsid w:val="74A55C41"/>
    <w:rsid w:val="74FF6910"/>
    <w:rsid w:val="750000AA"/>
    <w:rsid w:val="750C791B"/>
    <w:rsid w:val="754A43CA"/>
    <w:rsid w:val="75745715"/>
    <w:rsid w:val="7591701C"/>
    <w:rsid w:val="75A110CB"/>
    <w:rsid w:val="75AB270C"/>
    <w:rsid w:val="75B2747D"/>
    <w:rsid w:val="76271A1F"/>
    <w:rsid w:val="762E3DE0"/>
    <w:rsid w:val="763A2238"/>
    <w:rsid w:val="766F21F9"/>
    <w:rsid w:val="76761CAB"/>
    <w:rsid w:val="7682155A"/>
    <w:rsid w:val="769B62DC"/>
    <w:rsid w:val="76DD68F5"/>
    <w:rsid w:val="76ED3071"/>
    <w:rsid w:val="76F13ED0"/>
    <w:rsid w:val="76FB3D49"/>
    <w:rsid w:val="770644E0"/>
    <w:rsid w:val="77147E3D"/>
    <w:rsid w:val="771F6F0D"/>
    <w:rsid w:val="77761F7E"/>
    <w:rsid w:val="77E95BED"/>
    <w:rsid w:val="77F56A69"/>
    <w:rsid w:val="78450FBA"/>
    <w:rsid w:val="78685C24"/>
    <w:rsid w:val="787C3549"/>
    <w:rsid w:val="78BF72FD"/>
    <w:rsid w:val="78D436C2"/>
    <w:rsid w:val="78E146E8"/>
    <w:rsid w:val="78F775E6"/>
    <w:rsid w:val="798F1441"/>
    <w:rsid w:val="79D64303"/>
    <w:rsid w:val="79EE1FAD"/>
    <w:rsid w:val="79F30B2D"/>
    <w:rsid w:val="7A07200F"/>
    <w:rsid w:val="7A2B4349"/>
    <w:rsid w:val="7A391454"/>
    <w:rsid w:val="7A3D2FFA"/>
    <w:rsid w:val="7A5E1AFB"/>
    <w:rsid w:val="7A8023D2"/>
    <w:rsid w:val="7AB7387C"/>
    <w:rsid w:val="7AE76CEE"/>
    <w:rsid w:val="7B1D1455"/>
    <w:rsid w:val="7B303D62"/>
    <w:rsid w:val="7B856711"/>
    <w:rsid w:val="7B890DF9"/>
    <w:rsid w:val="7B8E5564"/>
    <w:rsid w:val="7B9A4DB4"/>
    <w:rsid w:val="7BC01F93"/>
    <w:rsid w:val="7C115C8D"/>
    <w:rsid w:val="7C482BC8"/>
    <w:rsid w:val="7C4F0BF0"/>
    <w:rsid w:val="7C844BE2"/>
    <w:rsid w:val="7CA156F4"/>
    <w:rsid w:val="7D00333D"/>
    <w:rsid w:val="7D043DE5"/>
    <w:rsid w:val="7D065D0C"/>
    <w:rsid w:val="7D0C0A04"/>
    <w:rsid w:val="7D1D7DC5"/>
    <w:rsid w:val="7D386E4D"/>
    <w:rsid w:val="7DC30555"/>
    <w:rsid w:val="7E4159BB"/>
    <w:rsid w:val="7E6A79C6"/>
    <w:rsid w:val="7E6C64BC"/>
    <w:rsid w:val="7EC344FB"/>
    <w:rsid w:val="7F0B7DCF"/>
    <w:rsid w:val="7F69317D"/>
    <w:rsid w:val="7F870CE1"/>
    <w:rsid w:val="7F960417"/>
    <w:rsid w:val="7FA258C7"/>
    <w:rsid w:val="7FD8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5"/>
    <w:autoRedefine/>
    <w:qFormat/>
    <w:uiPriority w:val="0"/>
    <w:pPr>
      <w:keepNext/>
      <w:keepLines/>
      <w:spacing w:before="340" w:after="330" w:line="576" w:lineRule="auto"/>
      <w:outlineLvl w:val="0"/>
    </w:pPr>
    <w:rPr>
      <w:b/>
      <w:kern w:val="44"/>
      <w:sz w:val="44"/>
    </w:rPr>
  </w:style>
  <w:style w:type="paragraph" w:styleId="3">
    <w:name w:val="heading 2"/>
    <w:basedOn w:val="1"/>
    <w:next w:val="1"/>
    <w:link w:val="10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2"/>
    <w:autoRedefine/>
    <w:qFormat/>
    <w:uiPriority w:val="0"/>
    <w:pPr>
      <w:keepNext/>
      <w:keepLines/>
      <w:spacing w:before="260" w:after="260" w:line="413" w:lineRule="auto"/>
      <w:outlineLvl w:val="2"/>
    </w:pPr>
    <w:rPr>
      <w:b/>
      <w:kern w:val="0"/>
      <w:sz w:val="32"/>
    </w:rPr>
  </w:style>
  <w:style w:type="paragraph" w:styleId="5">
    <w:name w:val="heading 4"/>
    <w:basedOn w:val="1"/>
    <w:next w:val="1"/>
    <w:link w:val="89"/>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7"/>
    <w:autoRedefine/>
    <w:qFormat/>
    <w:uiPriority w:val="0"/>
    <w:pPr>
      <w:keepNext/>
      <w:keepLines/>
      <w:spacing w:before="280" w:after="290" w:line="376" w:lineRule="auto"/>
      <w:outlineLvl w:val="4"/>
    </w:pPr>
    <w:rPr>
      <w:b/>
      <w:bCs/>
      <w:kern w:val="0"/>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70"/>
    <w:autoRedefine/>
    <w:qFormat/>
    <w:uiPriority w:val="0"/>
    <w:pPr>
      <w:ind w:firstLine="420"/>
    </w:pPr>
  </w:style>
  <w:style w:type="paragraph" w:styleId="8">
    <w:name w:val="Document Map"/>
    <w:basedOn w:val="1"/>
    <w:link w:val="71"/>
    <w:autoRedefine/>
    <w:semiHidden/>
    <w:qFormat/>
    <w:uiPriority w:val="0"/>
    <w:pPr>
      <w:shd w:val="clear" w:color="auto" w:fill="000080"/>
    </w:pPr>
    <w:rPr>
      <w:kern w:val="0"/>
      <w:sz w:val="20"/>
    </w:rPr>
  </w:style>
  <w:style w:type="paragraph" w:styleId="9">
    <w:name w:val="annotation text"/>
    <w:basedOn w:val="1"/>
    <w:link w:val="103"/>
    <w:autoRedefine/>
    <w:unhideWhenUsed/>
    <w:qFormat/>
    <w:uiPriority w:val="0"/>
    <w:pPr>
      <w:jc w:val="left"/>
    </w:pPr>
  </w:style>
  <w:style w:type="paragraph" w:styleId="10">
    <w:name w:val="Body Text 3"/>
    <w:basedOn w:val="1"/>
    <w:link w:val="74"/>
    <w:autoRedefine/>
    <w:unhideWhenUsed/>
    <w:qFormat/>
    <w:uiPriority w:val="99"/>
    <w:pPr>
      <w:spacing w:after="120"/>
    </w:pPr>
    <w:rPr>
      <w:sz w:val="16"/>
      <w:szCs w:val="16"/>
    </w:rPr>
  </w:style>
  <w:style w:type="paragraph" w:styleId="11">
    <w:name w:val="Body Text"/>
    <w:basedOn w:val="1"/>
    <w:link w:val="99"/>
    <w:autoRedefine/>
    <w:qFormat/>
    <w:uiPriority w:val="0"/>
    <w:rPr>
      <w:rFonts w:eastAsia="楷体_GB2312"/>
      <w:kern w:val="0"/>
      <w:sz w:val="30"/>
    </w:rPr>
  </w:style>
  <w:style w:type="paragraph" w:styleId="12">
    <w:name w:val="Body Text Indent"/>
    <w:basedOn w:val="1"/>
    <w:next w:val="1"/>
    <w:link w:val="111"/>
    <w:autoRedefine/>
    <w:qFormat/>
    <w:uiPriority w:val="0"/>
    <w:pPr>
      <w:spacing w:after="120"/>
      <w:ind w:left="420" w:leftChars="200"/>
    </w:pPr>
    <w:rPr>
      <w:kern w:val="0"/>
      <w:sz w:val="20"/>
    </w:rPr>
  </w:style>
  <w:style w:type="paragraph" w:styleId="13">
    <w:name w:val="toc 5"/>
    <w:basedOn w:val="1"/>
    <w:next w:val="1"/>
    <w:autoRedefine/>
    <w:qFormat/>
    <w:uiPriority w:val="0"/>
    <w:pPr>
      <w:tabs>
        <w:tab w:val="right" w:leader="dot" w:pos="8296"/>
      </w:tabs>
      <w:ind w:leftChars="500"/>
    </w:pPr>
    <w:rPr>
      <w:rFonts w:ascii="Calibri" w:hAnsi="Calibri"/>
      <w:szCs w:val="22"/>
    </w:r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110"/>
    <w:autoRedefine/>
    <w:qFormat/>
    <w:uiPriority w:val="99"/>
    <w:rPr>
      <w:rFonts w:ascii="宋体" w:hAnsi="Courier New"/>
      <w:kern w:val="0"/>
      <w:sz w:val="20"/>
    </w:rPr>
  </w:style>
  <w:style w:type="paragraph" w:styleId="16">
    <w:name w:val="Date"/>
    <w:basedOn w:val="1"/>
    <w:next w:val="1"/>
    <w:link w:val="65"/>
    <w:autoRedefine/>
    <w:qFormat/>
    <w:uiPriority w:val="0"/>
    <w:pPr>
      <w:ind w:left="100" w:leftChars="2500"/>
    </w:pPr>
    <w:rPr>
      <w:kern w:val="0"/>
      <w:sz w:val="36"/>
    </w:rPr>
  </w:style>
  <w:style w:type="paragraph" w:styleId="17">
    <w:name w:val="Body Text Indent 2"/>
    <w:basedOn w:val="1"/>
    <w:link w:val="64"/>
    <w:autoRedefine/>
    <w:qFormat/>
    <w:uiPriority w:val="0"/>
    <w:pPr>
      <w:spacing w:after="120" w:line="480" w:lineRule="auto"/>
      <w:ind w:left="420" w:leftChars="200"/>
    </w:pPr>
    <w:rPr>
      <w:kern w:val="0"/>
      <w:sz w:val="20"/>
    </w:rPr>
  </w:style>
  <w:style w:type="paragraph" w:styleId="18">
    <w:name w:val="Balloon Text"/>
    <w:basedOn w:val="1"/>
    <w:link w:val="57"/>
    <w:autoRedefine/>
    <w:qFormat/>
    <w:uiPriority w:val="0"/>
    <w:rPr>
      <w:kern w:val="0"/>
      <w:sz w:val="18"/>
    </w:rPr>
  </w:style>
  <w:style w:type="paragraph" w:styleId="19">
    <w:name w:val="footer"/>
    <w:basedOn w:val="1"/>
    <w:link w:val="98"/>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link w:val="8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39"/>
  </w:style>
  <w:style w:type="paragraph" w:styleId="22">
    <w:name w:val="toc 4"/>
    <w:basedOn w:val="1"/>
    <w:next w:val="1"/>
    <w:autoRedefine/>
    <w:qFormat/>
    <w:uiPriority w:val="0"/>
    <w:pPr>
      <w:tabs>
        <w:tab w:val="left" w:pos="1890"/>
        <w:tab w:val="right" w:leader="dot" w:pos="8296"/>
      </w:tabs>
      <w:ind w:leftChars="300"/>
    </w:pPr>
    <w:rPr>
      <w:rFonts w:ascii="Calibri" w:hAnsi="Calibri"/>
      <w:szCs w:val="22"/>
    </w:rPr>
  </w:style>
  <w:style w:type="paragraph" w:styleId="23">
    <w:name w:val="Body Text Indent 3"/>
    <w:basedOn w:val="1"/>
    <w:link w:val="106"/>
    <w:autoRedefine/>
    <w:qFormat/>
    <w:uiPriority w:val="0"/>
    <w:pPr>
      <w:tabs>
        <w:tab w:val="left" w:pos="1365"/>
      </w:tabs>
      <w:ind w:left="-4" w:leftChars="-2" w:firstLine="640" w:firstLineChars="200"/>
    </w:pPr>
    <w:rPr>
      <w:rFonts w:ascii="宋体" w:hAnsi="宋体"/>
      <w:kern w:val="0"/>
      <w:sz w:val="32"/>
    </w:rPr>
  </w:style>
  <w:style w:type="paragraph" w:styleId="24">
    <w:name w:val="toc 2"/>
    <w:basedOn w:val="1"/>
    <w:next w:val="1"/>
    <w:autoRedefine/>
    <w:semiHidden/>
    <w:unhideWhenUsed/>
    <w:qFormat/>
    <w:uiPriority w:val="39"/>
    <w:pPr>
      <w:ind w:left="420" w:leftChars="200"/>
    </w:pPr>
  </w:style>
  <w:style w:type="paragraph" w:styleId="25">
    <w:name w:val="HTML Preformatted"/>
    <w:basedOn w:val="1"/>
    <w:link w:val="1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Arial" w:hAnsi="Arial"/>
      <w:kern w:val="0"/>
      <w:sz w:val="15"/>
      <w:szCs w:val="15"/>
    </w:rPr>
  </w:style>
  <w:style w:type="paragraph" w:styleId="26">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27">
    <w:name w:val="Title"/>
    <w:basedOn w:val="1"/>
    <w:next w:val="1"/>
    <w:link w:val="153"/>
    <w:autoRedefine/>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28">
    <w:name w:val="annotation subject"/>
    <w:basedOn w:val="9"/>
    <w:next w:val="9"/>
    <w:link w:val="69"/>
    <w:autoRedefine/>
    <w:unhideWhenUsed/>
    <w:qFormat/>
    <w:uiPriority w:val="99"/>
    <w:rPr>
      <w:b/>
      <w:bCs/>
    </w:rPr>
  </w:style>
  <w:style w:type="paragraph" w:styleId="29">
    <w:name w:val="Body Text First Indent"/>
    <w:basedOn w:val="11"/>
    <w:link w:val="100"/>
    <w:autoRedefine/>
    <w:qFormat/>
    <w:uiPriority w:val="0"/>
    <w:pPr>
      <w:adjustRightInd w:val="0"/>
      <w:spacing w:after="120" w:line="360" w:lineRule="auto"/>
      <w:ind w:left="289" w:leftChars="1" w:firstLine="420" w:firstLineChars="100"/>
      <w:textAlignment w:val="baseline"/>
    </w:pPr>
    <w:rPr>
      <w:rFonts w:ascii="宋体" w:hAnsi="宋体" w:eastAsia="宋体"/>
      <w:b/>
      <w:bCs/>
      <w:sz w:val="20"/>
    </w:rPr>
  </w:style>
  <w:style w:type="paragraph" w:styleId="30">
    <w:name w:val="Body Text First Indent 2"/>
    <w:basedOn w:val="12"/>
    <w:autoRedefine/>
    <w:qFormat/>
    <w:uiPriority w:val="99"/>
    <w:pPr>
      <w:ind w:firstLine="624"/>
    </w:pPr>
    <w:rPr>
      <w:rFonts w:ascii="Calibri" w:hAnsi="Calibri"/>
    </w:rPr>
  </w:style>
  <w:style w:type="table" w:styleId="32">
    <w:name w:val="Table Grid"/>
    <w:basedOn w:val="3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basedOn w:val="33"/>
    <w:autoRedefine/>
    <w:qFormat/>
    <w:uiPriority w:val="0"/>
  </w:style>
  <w:style w:type="character" w:styleId="36">
    <w:name w:val="FollowedHyperlink"/>
    <w:autoRedefine/>
    <w:unhideWhenUsed/>
    <w:qFormat/>
    <w:uiPriority w:val="99"/>
    <w:rPr>
      <w:color w:val="333333"/>
      <w:u w:val="none"/>
    </w:rPr>
  </w:style>
  <w:style w:type="character" w:styleId="37">
    <w:name w:val="Emphasis"/>
    <w:autoRedefine/>
    <w:qFormat/>
    <w:uiPriority w:val="0"/>
    <w:rPr>
      <w:i/>
      <w:iCs/>
    </w:rPr>
  </w:style>
  <w:style w:type="character" w:styleId="38">
    <w:name w:val="line number"/>
    <w:basedOn w:val="33"/>
    <w:autoRedefine/>
    <w:qFormat/>
    <w:uiPriority w:val="0"/>
  </w:style>
  <w:style w:type="character" w:styleId="39">
    <w:name w:val="HTML Definition"/>
    <w:basedOn w:val="33"/>
    <w:autoRedefine/>
    <w:semiHidden/>
    <w:unhideWhenUsed/>
    <w:qFormat/>
    <w:uiPriority w:val="99"/>
  </w:style>
  <w:style w:type="character" w:styleId="40">
    <w:name w:val="HTML Typewriter"/>
    <w:basedOn w:val="33"/>
    <w:autoRedefine/>
    <w:semiHidden/>
    <w:unhideWhenUsed/>
    <w:qFormat/>
    <w:uiPriority w:val="99"/>
    <w:rPr>
      <w:rFonts w:hint="default" w:ascii="monospace" w:hAnsi="monospace" w:eastAsia="monospace" w:cs="monospace"/>
      <w:sz w:val="20"/>
    </w:rPr>
  </w:style>
  <w:style w:type="character" w:styleId="41">
    <w:name w:val="HTML Acronym"/>
    <w:basedOn w:val="33"/>
    <w:autoRedefine/>
    <w:semiHidden/>
    <w:unhideWhenUsed/>
    <w:qFormat/>
    <w:uiPriority w:val="99"/>
    <w:rPr>
      <w:bdr w:val="single" w:color="D2D2D2" w:sz="2" w:space="0"/>
      <w:shd w:val="clear" w:color="auto" w:fill="FFFFFF"/>
    </w:rPr>
  </w:style>
  <w:style w:type="character" w:styleId="42">
    <w:name w:val="HTML Variable"/>
    <w:basedOn w:val="33"/>
    <w:autoRedefine/>
    <w:semiHidden/>
    <w:unhideWhenUsed/>
    <w:qFormat/>
    <w:uiPriority w:val="99"/>
  </w:style>
  <w:style w:type="character" w:styleId="43">
    <w:name w:val="Hyperlink"/>
    <w:basedOn w:val="33"/>
    <w:autoRedefine/>
    <w:qFormat/>
    <w:uiPriority w:val="99"/>
    <w:rPr>
      <w:color w:val="0000FF"/>
      <w:u w:val="none"/>
    </w:rPr>
  </w:style>
  <w:style w:type="character" w:styleId="44">
    <w:name w:val="HTML Code"/>
    <w:basedOn w:val="33"/>
    <w:autoRedefine/>
    <w:semiHidden/>
    <w:unhideWhenUsed/>
    <w:qFormat/>
    <w:uiPriority w:val="99"/>
    <w:rPr>
      <w:rFonts w:ascii="monospace" w:hAnsi="monospace" w:eastAsia="monospace" w:cs="monospace"/>
      <w:sz w:val="20"/>
    </w:rPr>
  </w:style>
  <w:style w:type="character" w:styleId="45">
    <w:name w:val="annotation reference"/>
    <w:autoRedefine/>
    <w:unhideWhenUsed/>
    <w:qFormat/>
    <w:uiPriority w:val="99"/>
    <w:rPr>
      <w:sz w:val="21"/>
      <w:szCs w:val="21"/>
    </w:rPr>
  </w:style>
  <w:style w:type="character" w:styleId="46">
    <w:name w:val="HTML Cite"/>
    <w:basedOn w:val="33"/>
    <w:autoRedefine/>
    <w:semiHidden/>
    <w:unhideWhenUsed/>
    <w:qFormat/>
    <w:uiPriority w:val="99"/>
  </w:style>
  <w:style w:type="character" w:styleId="47">
    <w:name w:val="HTML Keyboard"/>
    <w:basedOn w:val="33"/>
    <w:autoRedefine/>
    <w:semiHidden/>
    <w:unhideWhenUsed/>
    <w:qFormat/>
    <w:uiPriority w:val="99"/>
    <w:rPr>
      <w:rFonts w:hint="default" w:ascii="monospace" w:hAnsi="monospace" w:eastAsia="monospace" w:cs="monospace"/>
      <w:sz w:val="20"/>
    </w:rPr>
  </w:style>
  <w:style w:type="character" w:styleId="48">
    <w:name w:val="HTML Sample"/>
    <w:basedOn w:val="33"/>
    <w:autoRedefine/>
    <w:semiHidden/>
    <w:unhideWhenUsed/>
    <w:qFormat/>
    <w:uiPriority w:val="99"/>
    <w:rPr>
      <w:rFonts w:hint="default" w:ascii="monospace" w:hAnsi="monospace" w:eastAsia="monospace" w:cs="monospace"/>
    </w:rPr>
  </w:style>
  <w:style w:type="paragraph" w:customStyle="1" w:styleId="49">
    <w:name w:val="列出段落1"/>
    <w:basedOn w:val="1"/>
    <w:autoRedefine/>
    <w:qFormat/>
    <w:uiPriority w:val="0"/>
    <w:pPr>
      <w:ind w:firstLine="420" w:firstLineChars="200"/>
    </w:pPr>
    <w:rPr>
      <w:rFonts w:ascii="Calibri" w:hAnsi="Calibri"/>
      <w:szCs w:val="22"/>
    </w:rPr>
  </w:style>
  <w:style w:type="paragraph" w:customStyle="1" w:styleId="50">
    <w:name w:val="Heading1"/>
    <w:basedOn w:val="1"/>
    <w:next w:val="1"/>
    <w:autoRedefine/>
    <w:qFormat/>
    <w:uiPriority w:val="0"/>
    <w:pPr>
      <w:keepNext/>
      <w:keepLines/>
      <w:jc w:val="center"/>
      <w:textAlignment w:val="baseline"/>
    </w:pPr>
    <w:rPr>
      <w:rFonts w:ascii="Calibri" w:hAnsi="Calibri"/>
      <w:b/>
      <w:spacing w:val="20"/>
      <w:kern w:val="44"/>
      <w:sz w:val="32"/>
      <w:szCs w:val="24"/>
    </w:rPr>
  </w:style>
  <w:style w:type="paragraph" w:customStyle="1" w:styleId="5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53">
    <w:name w:val="font61"/>
    <w:basedOn w:val="33"/>
    <w:autoRedefine/>
    <w:qFormat/>
    <w:uiPriority w:val="0"/>
    <w:rPr>
      <w:rFonts w:hint="eastAsia" w:ascii="宋体" w:hAnsi="宋体" w:eastAsia="宋体" w:cs="宋体"/>
      <w:color w:val="000000"/>
      <w:sz w:val="20"/>
      <w:szCs w:val="20"/>
      <w:u w:val="none"/>
    </w:rPr>
  </w:style>
  <w:style w:type="character" w:customStyle="1" w:styleId="54">
    <w:name w:val="g1481"/>
    <w:autoRedefine/>
    <w:qFormat/>
    <w:uiPriority w:val="0"/>
    <w:rPr>
      <w:color w:val="5F897B"/>
      <w:sz w:val="22"/>
    </w:rPr>
  </w:style>
  <w:style w:type="character" w:customStyle="1" w:styleId="55">
    <w:name w:val="ca-1"/>
    <w:basedOn w:val="33"/>
    <w:autoRedefine/>
    <w:qFormat/>
    <w:uiPriority w:val="0"/>
  </w:style>
  <w:style w:type="character" w:customStyle="1" w:styleId="56">
    <w:name w:val="p141"/>
    <w:autoRedefine/>
    <w:qFormat/>
    <w:uiPriority w:val="0"/>
    <w:rPr>
      <w:sz w:val="21"/>
      <w:szCs w:val="21"/>
    </w:rPr>
  </w:style>
  <w:style w:type="character" w:customStyle="1" w:styleId="57">
    <w:name w:val="批注框文本 Char"/>
    <w:link w:val="18"/>
    <w:autoRedefine/>
    <w:qFormat/>
    <w:uiPriority w:val="0"/>
    <w:rPr>
      <w:rFonts w:ascii="Times New Roman" w:hAnsi="Times New Roman" w:eastAsia="宋体" w:cs="Times New Roman"/>
      <w:sz w:val="18"/>
      <w:szCs w:val="20"/>
    </w:rPr>
  </w:style>
  <w:style w:type="character" w:customStyle="1" w:styleId="58">
    <w:name w:val="font01"/>
    <w:basedOn w:val="33"/>
    <w:autoRedefine/>
    <w:qFormat/>
    <w:uiPriority w:val="0"/>
    <w:rPr>
      <w:rFonts w:ascii="Arial" w:hAnsi="Arial" w:cs="Arial"/>
      <w:color w:val="000000"/>
      <w:sz w:val="20"/>
      <w:szCs w:val="20"/>
      <w:u w:val="none"/>
    </w:rPr>
  </w:style>
  <w:style w:type="character" w:customStyle="1" w:styleId="59">
    <w:name w:val="样式1 Char"/>
    <w:link w:val="60"/>
    <w:autoRedefine/>
    <w:qFormat/>
    <w:uiPriority w:val="0"/>
    <w:rPr>
      <w:rFonts w:ascii="Cambria" w:hAnsi="Cambria" w:eastAsia="黑体"/>
      <w:bCs/>
      <w:iCs/>
      <w:sz w:val="21"/>
      <w:szCs w:val="28"/>
      <w:lang w:eastAsia="en-US" w:bidi="en-US"/>
    </w:rPr>
  </w:style>
  <w:style w:type="paragraph" w:customStyle="1" w:styleId="60">
    <w:name w:val="样式1"/>
    <w:basedOn w:val="3"/>
    <w:link w:val="59"/>
    <w:autoRedefine/>
    <w:qFormat/>
    <w:uiPriority w:val="0"/>
    <w:pPr>
      <w:keepNext w:val="0"/>
      <w:keepLines w:val="0"/>
      <w:widowControl/>
      <w:spacing w:before="100" w:beforeAutospacing="1" w:after="100" w:afterAutospacing="1" w:line="240" w:lineRule="auto"/>
      <w:ind w:right="100" w:rightChars="100"/>
      <w:jc w:val="left"/>
    </w:pPr>
    <w:rPr>
      <w:rFonts w:ascii="Cambria" w:hAnsi="Cambria"/>
      <w:b w:val="0"/>
      <w:iCs/>
      <w:sz w:val="21"/>
      <w:szCs w:val="28"/>
      <w:lang w:eastAsia="en-US" w:bidi="en-US"/>
    </w:rPr>
  </w:style>
  <w:style w:type="character" w:customStyle="1" w:styleId="61">
    <w:name w:val="apple-converted-space"/>
    <w:basedOn w:val="33"/>
    <w:autoRedefine/>
    <w:qFormat/>
    <w:uiPriority w:val="0"/>
  </w:style>
  <w:style w:type="character" w:customStyle="1" w:styleId="62">
    <w:name w:val="标题 3 Char"/>
    <w:link w:val="4"/>
    <w:autoRedefine/>
    <w:qFormat/>
    <w:uiPriority w:val="0"/>
    <w:rPr>
      <w:rFonts w:ascii="Times New Roman" w:hAnsi="Times New Roman" w:eastAsia="宋体" w:cs="Times New Roman"/>
      <w:b/>
      <w:sz w:val="32"/>
      <w:szCs w:val="20"/>
    </w:rPr>
  </w:style>
  <w:style w:type="character" w:customStyle="1" w:styleId="63">
    <w:name w:val="正文首行缩进 Char1"/>
    <w:autoRedefine/>
    <w:semiHidden/>
    <w:qFormat/>
    <w:uiPriority w:val="99"/>
    <w:rPr>
      <w:rFonts w:ascii="Times New Roman" w:hAnsi="Times New Roman" w:eastAsia="楷体_GB2312" w:cs="Times New Roman"/>
      <w:kern w:val="2"/>
      <w:sz w:val="21"/>
      <w:szCs w:val="20"/>
    </w:rPr>
  </w:style>
  <w:style w:type="character" w:customStyle="1" w:styleId="64">
    <w:name w:val="正文文本缩进 2 Char"/>
    <w:link w:val="17"/>
    <w:autoRedefine/>
    <w:qFormat/>
    <w:uiPriority w:val="0"/>
    <w:rPr>
      <w:rFonts w:ascii="Times New Roman" w:hAnsi="Times New Roman" w:eastAsia="宋体" w:cs="Times New Roman"/>
      <w:szCs w:val="20"/>
    </w:rPr>
  </w:style>
  <w:style w:type="character" w:customStyle="1" w:styleId="65">
    <w:name w:val="日期 Char"/>
    <w:link w:val="16"/>
    <w:autoRedefine/>
    <w:qFormat/>
    <w:uiPriority w:val="0"/>
    <w:rPr>
      <w:rFonts w:ascii="Times New Roman" w:hAnsi="Times New Roman" w:eastAsia="宋体" w:cs="Times New Roman"/>
      <w:sz w:val="36"/>
      <w:szCs w:val="20"/>
    </w:rPr>
  </w:style>
  <w:style w:type="character" w:customStyle="1" w:styleId="66">
    <w:name w:val="font21"/>
    <w:autoRedefine/>
    <w:qFormat/>
    <w:uiPriority w:val="0"/>
    <w:rPr>
      <w:rFonts w:hint="default" w:ascii="Times New Roman" w:hAnsi="Times New Roman" w:cs="Times New Roman"/>
      <w:color w:val="000000"/>
      <w:sz w:val="20"/>
      <w:szCs w:val="20"/>
      <w:u w:val="none"/>
    </w:rPr>
  </w:style>
  <w:style w:type="character" w:customStyle="1" w:styleId="67">
    <w:name w:val="标题 5 Char"/>
    <w:link w:val="6"/>
    <w:autoRedefine/>
    <w:qFormat/>
    <w:uiPriority w:val="0"/>
    <w:rPr>
      <w:b/>
      <w:bCs/>
      <w:sz w:val="28"/>
      <w:szCs w:val="28"/>
    </w:rPr>
  </w:style>
  <w:style w:type="character" w:customStyle="1" w:styleId="68">
    <w:name w:val="纯文本 Char1"/>
    <w:autoRedefine/>
    <w:qFormat/>
    <w:uiPriority w:val="0"/>
    <w:rPr>
      <w:rFonts w:ascii="宋体" w:hAnsi="Courier New" w:eastAsia="宋体"/>
      <w:kern w:val="2"/>
      <w:sz w:val="21"/>
      <w:lang w:val="en-US" w:eastAsia="zh-CN" w:bidi="ar-SA"/>
    </w:rPr>
  </w:style>
  <w:style w:type="character" w:customStyle="1" w:styleId="69">
    <w:name w:val="批注主题 Char"/>
    <w:link w:val="28"/>
    <w:autoRedefine/>
    <w:qFormat/>
    <w:uiPriority w:val="99"/>
    <w:rPr>
      <w:b/>
      <w:bCs/>
      <w:kern w:val="2"/>
      <w:sz w:val="21"/>
    </w:rPr>
  </w:style>
  <w:style w:type="character" w:customStyle="1" w:styleId="70">
    <w:name w:val="正文缩进 Char"/>
    <w:link w:val="7"/>
    <w:autoRedefine/>
    <w:qFormat/>
    <w:uiPriority w:val="0"/>
    <w:rPr>
      <w:kern w:val="2"/>
      <w:sz w:val="21"/>
    </w:rPr>
  </w:style>
  <w:style w:type="character" w:customStyle="1" w:styleId="71">
    <w:name w:val="文档结构图 Char"/>
    <w:link w:val="8"/>
    <w:autoRedefine/>
    <w:semiHidden/>
    <w:qFormat/>
    <w:uiPriority w:val="0"/>
    <w:rPr>
      <w:shd w:val="clear" w:color="auto" w:fill="000080"/>
    </w:rPr>
  </w:style>
  <w:style w:type="character" w:customStyle="1" w:styleId="72">
    <w:name w:val="列出段落 Char"/>
    <w:link w:val="73"/>
    <w:autoRedefine/>
    <w:qFormat/>
    <w:locked/>
    <w:uiPriority w:val="99"/>
    <w:rPr>
      <w:kern w:val="2"/>
      <w:sz w:val="36"/>
    </w:rPr>
  </w:style>
  <w:style w:type="paragraph" w:styleId="73">
    <w:name w:val="List Paragraph"/>
    <w:basedOn w:val="1"/>
    <w:link w:val="72"/>
    <w:autoRedefine/>
    <w:qFormat/>
    <w:uiPriority w:val="99"/>
    <w:pPr>
      <w:ind w:firstLine="420" w:firstLineChars="200"/>
    </w:pPr>
    <w:rPr>
      <w:sz w:val="36"/>
    </w:rPr>
  </w:style>
  <w:style w:type="character" w:customStyle="1" w:styleId="74">
    <w:name w:val="正文文本 3 Char"/>
    <w:link w:val="10"/>
    <w:autoRedefine/>
    <w:qFormat/>
    <w:uiPriority w:val="99"/>
    <w:rPr>
      <w:kern w:val="2"/>
      <w:sz w:val="16"/>
      <w:szCs w:val="16"/>
    </w:rPr>
  </w:style>
  <w:style w:type="character" w:customStyle="1" w:styleId="75">
    <w:name w:val="apple-style-span"/>
    <w:basedOn w:val="33"/>
    <w:autoRedefine/>
    <w:qFormat/>
    <w:uiPriority w:val="0"/>
  </w:style>
  <w:style w:type="character" w:customStyle="1" w:styleId="76">
    <w:name w:val="批注主题 Char1"/>
    <w:autoRedefine/>
    <w:semiHidden/>
    <w:qFormat/>
    <w:uiPriority w:val="99"/>
    <w:rPr>
      <w:b/>
      <w:bCs/>
      <w:kern w:val="2"/>
      <w:sz w:val="21"/>
    </w:rPr>
  </w:style>
  <w:style w:type="character" w:customStyle="1" w:styleId="77">
    <w:name w:val="正文文本缩进 3 Char1"/>
    <w:autoRedefine/>
    <w:semiHidden/>
    <w:qFormat/>
    <w:uiPriority w:val="99"/>
    <w:rPr>
      <w:kern w:val="2"/>
      <w:sz w:val="16"/>
      <w:szCs w:val="16"/>
    </w:rPr>
  </w:style>
  <w:style w:type="character" w:customStyle="1" w:styleId="78">
    <w:name w:val="font31"/>
    <w:autoRedefine/>
    <w:qFormat/>
    <w:uiPriority w:val="0"/>
    <w:rPr>
      <w:rFonts w:hint="eastAsia" w:ascii="宋体" w:hAnsi="宋体" w:eastAsia="宋体" w:cs="宋体"/>
      <w:color w:val="000000"/>
      <w:sz w:val="20"/>
      <w:szCs w:val="20"/>
      <w:u w:val="none"/>
    </w:rPr>
  </w:style>
  <w:style w:type="character" w:customStyle="1" w:styleId="79">
    <w:name w:val="样式4 Char"/>
    <w:basedOn w:val="80"/>
    <w:link w:val="81"/>
    <w:autoRedefine/>
    <w:qFormat/>
    <w:uiPriority w:val="0"/>
    <w:rPr>
      <w:sz w:val="18"/>
      <w:szCs w:val="18"/>
    </w:rPr>
  </w:style>
  <w:style w:type="character" w:customStyle="1" w:styleId="80">
    <w:name w:val="页眉 Char"/>
    <w:link w:val="20"/>
    <w:autoRedefine/>
    <w:qFormat/>
    <w:uiPriority w:val="99"/>
    <w:rPr>
      <w:sz w:val="18"/>
      <w:szCs w:val="18"/>
    </w:rPr>
  </w:style>
  <w:style w:type="paragraph" w:customStyle="1" w:styleId="81">
    <w:name w:val="样式4"/>
    <w:basedOn w:val="20"/>
    <w:link w:val="79"/>
    <w:autoRedefine/>
    <w:qFormat/>
    <w:uiPriority w:val="0"/>
    <w:pPr>
      <w:pBdr>
        <w:bottom w:val="none" w:color="auto" w:sz="0" w:space="0"/>
      </w:pBdr>
      <w:jc w:val="both"/>
    </w:pPr>
  </w:style>
  <w:style w:type="character" w:customStyle="1" w:styleId="82">
    <w:name w:val="font11"/>
    <w:basedOn w:val="33"/>
    <w:autoRedefine/>
    <w:qFormat/>
    <w:uiPriority w:val="0"/>
    <w:rPr>
      <w:rFonts w:ascii="font-weight : 700" w:hAnsi="font-weight : 700" w:eastAsia="font-weight : 700" w:cs="font-weight : 700"/>
      <w:color w:val="000000"/>
      <w:sz w:val="20"/>
      <w:szCs w:val="20"/>
      <w:u w:val="none"/>
    </w:rPr>
  </w:style>
  <w:style w:type="character" w:customStyle="1" w:styleId="83">
    <w:name w:val="fontstyle01"/>
    <w:autoRedefine/>
    <w:qFormat/>
    <w:uiPriority w:val="99"/>
    <w:rPr>
      <w:rFonts w:ascii="F5" w:hAnsi="F5" w:eastAsia="Times New Roman" w:cs="F5"/>
      <w:color w:val="000000"/>
      <w:sz w:val="22"/>
      <w:szCs w:val="22"/>
    </w:rPr>
  </w:style>
  <w:style w:type="character" w:customStyle="1" w:styleId="84">
    <w:name w:val="文档结构图 Char1"/>
    <w:autoRedefine/>
    <w:semiHidden/>
    <w:qFormat/>
    <w:uiPriority w:val="99"/>
    <w:rPr>
      <w:rFonts w:ascii="宋体"/>
      <w:kern w:val="2"/>
      <w:sz w:val="18"/>
      <w:szCs w:val="18"/>
    </w:rPr>
  </w:style>
  <w:style w:type="character" w:customStyle="1" w:styleId="85">
    <w:name w:val="标题 1 Char"/>
    <w:link w:val="2"/>
    <w:autoRedefine/>
    <w:qFormat/>
    <w:uiPriority w:val="0"/>
    <w:rPr>
      <w:rFonts w:ascii="Times New Roman" w:hAnsi="Times New Roman" w:eastAsia="宋体" w:cs="Times New Roman"/>
      <w:b/>
      <w:kern w:val="44"/>
      <w:sz w:val="44"/>
      <w:szCs w:val="20"/>
    </w:rPr>
  </w:style>
  <w:style w:type="character" w:customStyle="1" w:styleId="86">
    <w:name w:val="fontstyle21"/>
    <w:autoRedefine/>
    <w:qFormat/>
    <w:uiPriority w:val="99"/>
    <w:rPr>
      <w:rFonts w:ascii="F11" w:hAnsi="F11" w:eastAsia="Times New Roman" w:cs="F11"/>
      <w:color w:val="000000"/>
      <w:sz w:val="22"/>
      <w:szCs w:val="22"/>
    </w:rPr>
  </w:style>
  <w:style w:type="character" w:customStyle="1" w:styleId="87">
    <w:name w:val="纯文本 Char2"/>
    <w:autoRedefine/>
    <w:semiHidden/>
    <w:qFormat/>
    <w:uiPriority w:val="99"/>
    <w:rPr>
      <w:rFonts w:ascii="宋体" w:hAnsi="Courier New" w:eastAsia="宋体" w:cs="Courier New"/>
      <w:szCs w:val="21"/>
    </w:rPr>
  </w:style>
  <w:style w:type="character" w:customStyle="1" w:styleId="88">
    <w:name w:val="ca-0"/>
    <w:basedOn w:val="33"/>
    <w:autoRedefine/>
    <w:qFormat/>
    <w:uiPriority w:val="0"/>
  </w:style>
  <w:style w:type="character" w:customStyle="1" w:styleId="89">
    <w:name w:val="标题 4 Char"/>
    <w:link w:val="5"/>
    <w:autoRedefine/>
    <w:qFormat/>
    <w:uiPriority w:val="0"/>
    <w:rPr>
      <w:rFonts w:ascii="Cambria" w:hAnsi="Cambria"/>
      <w:b/>
      <w:bCs/>
      <w:sz w:val="28"/>
      <w:szCs w:val="28"/>
    </w:rPr>
  </w:style>
  <w:style w:type="character" w:customStyle="1" w:styleId="90">
    <w:name w:val="样式2 Char"/>
    <w:basedOn w:val="80"/>
    <w:link w:val="91"/>
    <w:autoRedefine/>
    <w:qFormat/>
    <w:uiPriority w:val="0"/>
    <w:rPr>
      <w:sz w:val="18"/>
      <w:szCs w:val="18"/>
    </w:rPr>
  </w:style>
  <w:style w:type="paragraph" w:customStyle="1" w:styleId="91">
    <w:name w:val="样式2"/>
    <w:basedOn w:val="20"/>
    <w:link w:val="90"/>
    <w:autoRedefine/>
    <w:qFormat/>
    <w:uiPriority w:val="0"/>
    <w:pPr>
      <w:pBdr>
        <w:bottom w:val="none" w:color="auto" w:sz="0" w:space="0"/>
      </w:pBdr>
      <w:jc w:val="both"/>
    </w:pPr>
  </w:style>
  <w:style w:type="character" w:customStyle="1" w:styleId="92">
    <w:name w:val="样式5 Char"/>
    <w:basedOn w:val="80"/>
    <w:link w:val="93"/>
    <w:autoRedefine/>
    <w:qFormat/>
    <w:uiPriority w:val="0"/>
    <w:rPr>
      <w:sz w:val="18"/>
      <w:szCs w:val="18"/>
    </w:rPr>
  </w:style>
  <w:style w:type="paragraph" w:customStyle="1" w:styleId="93">
    <w:name w:val="样式5"/>
    <w:basedOn w:val="20"/>
    <w:link w:val="92"/>
    <w:autoRedefine/>
    <w:qFormat/>
    <w:uiPriority w:val="0"/>
    <w:pPr>
      <w:pBdr>
        <w:bottom w:val="none" w:color="auto" w:sz="0" w:space="0"/>
      </w:pBdr>
      <w:jc w:val="both"/>
    </w:pPr>
  </w:style>
  <w:style w:type="character" w:customStyle="1" w:styleId="94">
    <w:name w:val="样式6 Char"/>
    <w:basedOn w:val="80"/>
    <w:link w:val="95"/>
    <w:autoRedefine/>
    <w:qFormat/>
    <w:uiPriority w:val="0"/>
    <w:rPr>
      <w:sz w:val="18"/>
      <w:szCs w:val="18"/>
    </w:rPr>
  </w:style>
  <w:style w:type="paragraph" w:customStyle="1" w:styleId="95">
    <w:name w:val="样式6"/>
    <w:basedOn w:val="20"/>
    <w:link w:val="94"/>
    <w:autoRedefine/>
    <w:qFormat/>
    <w:uiPriority w:val="0"/>
    <w:pPr>
      <w:pBdr>
        <w:bottom w:val="none" w:color="auto" w:sz="0" w:space="0"/>
      </w:pBdr>
    </w:pPr>
  </w:style>
  <w:style w:type="character" w:customStyle="1" w:styleId="96">
    <w:name w:val="Char Char"/>
    <w:autoRedefine/>
    <w:qFormat/>
    <w:locked/>
    <w:uiPriority w:val="0"/>
    <w:rPr>
      <w:rFonts w:ascii="宋体" w:hAnsi="Courier New" w:eastAsia="宋体"/>
      <w:kern w:val="2"/>
      <w:sz w:val="21"/>
      <w:lang w:bidi="ar-SA"/>
    </w:rPr>
  </w:style>
  <w:style w:type="character" w:customStyle="1" w:styleId="97">
    <w:name w:val="HTML 预设格式 Char1"/>
    <w:autoRedefine/>
    <w:semiHidden/>
    <w:qFormat/>
    <w:uiPriority w:val="99"/>
    <w:rPr>
      <w:rFonts w:ascii="Courier New" w:hAnsi="Courier New" w:cs="Courier New"/>
      <w:kern w:val="2"/>
    </w:rPr>
  </w:style>
  <w:style w:type="character" w:customStyle="1" w:styleId="98">
    <w:name w:val="页脚 Char"/>
    <w:link w:val="19"/>
    <w:autoRedefine/>
    <w:qFormat/>
    <w:uiPriority w:val="99"/>
    <w:rPr>
      <w:sz w:val="18"/>
      <w:szCs w:val="18"/>
    </w:rPr>
  </w:style>
  <w:style w:type="character" w:customStyle="1" w:styleId="99">
    <w:name w:val="正文文本 Char"/>
    <w:link w:val="11"/>
    <w:autoRedefine/>
    <w:qFormat/>
    <w:uiPriority w:val="0"/>
    <w:rPr>
      <w:rFonts w:ascii="Times New Roman" w:hAnsi="Times New Roman" w:eastAsia="楷体_GB2312" w:cs="Times New Roman"/>
      <w:sz w:val="30"/>
      <w:szCs w:val="20"/>
    </w:rPr>
  </w:style>
  <w:style w:type="character" w:customStyle="1" w:styleId="100">
    <w:name w:val="正文首行缩进 Char"/>
    <w:link w:val="29"/>
    <w:autoRedefine/>
    <w:qFormat/>
    <w:uiPriority w:val="0"/>
    <w:rPr>
      <w:rFonts w:ascii="宋体" w:hAnsi="宋体" w:cs="宋体"/>
      <w:b/>
      <w:bCs/>
    </w:rPr>
  </w:style>
  <w:style w:type="character" w:customStyle="1" w:styleId="101">
    <w:name w:val="正文文本缩进 Char1"/>
    <w:autoRedefine/>
    <w:semiHidden/>
    <w:qFormat/>
    <w:uiPriority w:val="99"/>
    <w:rPr>
      <w:rFonts w:ascii="Times New Roman" w:hAnsi="Times New Roman" w:eastAsia="宋体" w:cs="Times New Roman"/>
      <w:szCs w:val="20"/>
    </w:rPr>
  </w:style>
  <w:style w:type="character" w:customStyle="1" w:styleId="102">
    <w:name w:val="ca-3"/>
    <w:basedOn w:val="33"/>
    <w:autoRedefine/>
    <w:qFormat/>
    <w:uiPriority w:val="0"/>
  </w:style>
  <w:style w:type="character" w:customStyle="1" w:styleId="103">
    <w:name w:val="批注文字 Char"/>
    <w:link w:val="9"/>
    <w:autoRedefine/>
    <w:qFormat/>
    <w:uiPriority w:val="0"/>
    <w:rPr>
      <w:kern w:val="2"/>
      <w:sz w:val="21"/>
    </w:rPr>
  </w:style>
  <w:style w:type="character" w:customStyle="1" w:styleId="104">
    <w:name w:val="HTML 预设格式 Char"/>
    <w:link w:val="25"/>
    <w:autoRedefine/>
    <w:qFormat/>
    <w:uiPriority w:val="0"/>
    <w:rPr>
      <w:rFonts w:ascii="Arial" w:hAnsi="Arial" w:cs="Arial"/>
      <w:sz w:val="15"/>
      <w:szCs w:val="15"/>
    </w:rPr>
  </w:style>
  <w:style w:type="character" w:customStyle="1" w:styleId="105">
    <w:name w:val="标题 2 Char"/>
    <w:link w:val="3"/>
    <w:autoRedefine/>
    <w:qFormat/>
    <w:uiPriority w:val="0"/>
    <w:rPr>
      <w:rFonts w:ascii="Arial" w:hAnsi="Arial" w:eastAsia="黑体" w:cs="Times New Roman"/>
      <w:b/>
      <w:bCs/>
      <w:sz w:val="32"/>
      <w:szCs w:val="32"/>
    </w:rPr>
  </w:style>
  <w:style w:type="character" w:customStyle="1" w:styleId="106">
    <w:name w:val="正文文本缩进 3 Char"/>
    <w:link w:val="23"/>
    <w:autoRedefine/>
    <w:qFormat/>
    <w:uiPriority w:val="0"/>
    <w:rPr>
      <w:rFonts w:ascii="宋体" w:hAnsi="宋体"/>
      <w:sz w:val="32"/>
    </w:rPr>
  </w:style>
  <w:style w:type="character" w:customStyle="1" w:styleId="107">
    <w:name w:val="font41"/>
    <w:autoRedefine/>
    <w:qFormat/>
    <w:uiPriority w:val="0"/>
    <w:rPr>
      <w:rFonts w:hint="eastAsia" w:ascii="宋体" w:hAnsi="宋体" w:eastAsia="宋体" w:cs="宋体"/>
      <w:color w:val="000000"/>
      <w:sz w:val="20"/>
      <w:szCs w:val="20"/>
      <w:u w:val="none"/>
    </w:rPr>
  </w:style>
  <w:style w:type="character" w:customStyle="1" w:styleId="108">
    <w:name w:val="页脚2 Char"/>
    <w:link w:val="109"/>
    <w:autoRedefine/>
    <w:qFormat/>
    <w:uiPriority w:val="0"/>
    <w:rPr>
      <w:rFonts w:ascii="宋体" w:hAnsi="宋体"/>
      <w:sz w:val="18"/>
      <w:szCs w:val="18"/>
    </w:rPr>
  </w:style>
  <w:style w:type="paragraph" w:customStyle="1" w:styleId="109">
    <w:name w:val="页脚2"/>
    <w:basedOn w:val="1"/>
    <w:link w:val="108"/>
    <w:autoRedefine/>
    <w:qFormat/>
    <w:uiPriority w:val="0"/>
    <w:pPr>
      <w:widowControl/>
      <w:pBdr>
        <w:top w:val="single" w:color="auto" w:sz="6" w:space="0"/>
      </w:pBdr>
      <w:jc w:val="right"/>
      <w:textAlignment w:val="center"/>
    </w:pPr>
    <w:rPr>
      <w:rFonts w:ascii="宋体" w:hAnsi="宋体"/>
      <w:kern w:val="0"/>
      <w:sz w:val="18"/>
      <w:szCs w:val="18"/>
    </w:rPr>
  </w:style>
  <w:style w:type="character" w:customStyle="1" w:styleId="110">
    <w:name w:val="纯文本 Char"/>
    <w:link w:val="15"/>
    <w:autoRedefine/>
    <w:qFormat/>
    <w:uiPriority w:val="0"/>
    <w:rPr>
      <w:rFonts w:ascii="宋体" w:hAnsi="Courier New" w:eastAsia="宋体"/>
    </w:rPr>
  </w:style>
  <w:style w:type="character" w:customStyle="1" w:styleId="111">
    <w:name w:val="正文文本缩进 Char"/>
    <w:link w:val="12"/>
    <w:autoRedefine/>
    <w:qFormat/>
    <w:uiPriority w:val="0"/>
    <w:rPr>
      <w:rFonts w:ascii="Times New Roman" w:hAnsi="Times New Roman" w:eastAsia="宋体" w:cs="Times New Roman"/>
      <w:szCs w:val="20"/>
    </w:rPr>
  </w:style>
  <w:style w:type="paragraph" w:customStyle="1" w:styleId="112">
    <w:name w:val="List Paragraph1"/>
    <w:basedOn w:val="1"/>
    <w:autoRedefine/>
    <w:qFormat/>
    <w:uiPriority w:val="0"/>
    <w:pPr>
      <w:ind w:firstLine="420" w:firstLineChars="200"/>
    </w:pPr>
    <w:rPr>
      <w:rFonts w:ascii="Calibri" w:hAnsi="Calibri"/>
      <w:szCs w:val="22"/>
    </w:rPr>
  </w:style>
  <w:style w:type="paragraph" w:customStyle="1" w:styleId="113">
    <w:name w:val="xl6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4">
    <w:name w:val="Style First line:  1.71 ch"/>
    <w:basedOn w:val="1"/>
    <w:autoRedefine/>
    <w:qFormat/>
    <w:uiPriority w:val="0"/>
    <w:pPr>
      <w:spacing w:line="360" w:lineRule="auto"/>
      <w:ind w:firstLine="359" w:firstLineChars="171"/>
    </w:pPr>
    <w:rPr>
      <w:rFonts w:cs="宋体"/>
      <w:sz w:val="24"/>
    </w:rPr>
  </w:style>
  <w:style w:type="paragraph" w:customStyle="1" w:styleId="115">
    <w:name w:val="Char Char Char Char"/>
    <w:basedOn w:val="1"/>
    <w:autoRedefine/>
    <w:qFormat/>
    <w:uiPriority w:val="0"/>
    <w:pPr>
      <w:spacing w:line="360" w:lineRule="auto"/>
      <w:ind w:firstLine="200" w:firstLineChars="200"/>
    </w:pPr>
  </w:style>
  <w:style w:type="paragraph" w:customStyle="1" w:styleId="116">
    <w:name w:val="默认段落字体 Para Char"/>
    <w:basedOn w:val="1"/>
    <w:autoRedefine/>
    <w:qFormat/>
    <w:uiPriority w:val="0"/>
    <w:rPr>
      <w:rFonts w:ascii="Tahoma" w:hAnsi="Tahoma"/>
      <w:sz w:val="24"/>
    </w:rPr>
  </w:style>
  <w:style w:type="paragraph" w:customStyle="1" w:styleId="117">
    <w:name w:val="_Style 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Char Char Char"/>
    <w:basedOn w:val="8"/>
    <w:autoRedefine/>
    <w:qFormat/>
    <w:uiPriority w:val="0"/>
    <w:pPr>
      <w:adjustRightInd w:val="0"/>
      <w:spacing w:line="436" w:lineRule="exact"/>
      <w:ind w:left="357"/>
      <w:jc w:val="left"/>
      <w:outlineLvl w:val="3"/>
    </w:pPr>
    <w:rPr>
      <w:rFonts w:ascii="Tahoma" w:hAnsi="Tahoma" w:cs="Tahoma"/>
      <w:b/>
      <w:bCs/>
      <w:sz w:val="24"/>
      <w:szCs w:val="24"/>
    </w:rPr>
  </w:style>
  <w:style w:type="paragraph" w:customStyle="1" w:styleId="119">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1">
    <w:name w:val="pa-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2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24">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5">
    <w:name w:val="p0"/>
    <w:basedOn w:val="1"/>
    <w:autoRedefine/>
    <w:qFormat/>
    <w:uiPriority w:val="0"/>
    <w:pPr>
      <w:widowControl/>
    </w:pPr>
    <w:rPr>
      <w:kern w:val="0"/>
      <w:szCs w:val="21"/>
    </w:rPr>
  </w:style>
  <w:style w:type="paragraph" w:customStyle="1" w:styleId="126">
    <w:name w:val="样式 标题 2 + Times New Roman 四号 非加粗 段前: 5 磅 段后: 0 磅 行距: 固定值 20..."/>
    <w:basedOn w:val="3"/>
    <w:autoRedefine/>
    <w:qFormat/>
    <w:uiPriority w:val="0"/>
    <w:pPr>
      <w:autoSpaceDE w:val="0"/>
      <w:autoSpaceDN w:val="0"/>
      <w:spacing w:before="100" w:after="0" w:line="400" w:lineRule="exact"/>
    </w:pPr>
    <w:rPr>
      <w:rFonts w:ascii="Times New Roman" w:hAnsi="Times New Roman" w:eastAsia="宋体" w:cs="宋体"/>
      <w:b w:val="0"/>
      <w:bCs w:val="0"/>
      <w:caps/>
      <w:sz w:val="28"/>
      <w:szCs w:val="20"/>
    </w:rPr>
  </w:style>
  <w:style w:type="paragraph" w:customStyle="1" w:styleId="127">
    <w:name w:val="Char11"/>
    <w:basedOn w:val="1"/>
    <w:autoRedefine/>
    <w:qFormat/>
    <w:uiPriority w:val="0"/>
    <w:pPr>
      <w:adjustRightInd w:val="0"/>
      <w:spacing w:line="360" w:lineRule="auto"/>
    </w:pPr>
    <w:rPr>
      <w:kern w:val="0"/>
      <w:sz w:val="24"/>
    </w:rPr>
  </w:style>
  <w:style w:type="paragraph" w:customStyle="1" w:styleId="128">
    <w:name w:val="标题4"/>
    <w:basedOn w:val="5"/>
    <w:autoRedefine/>
    <w:qFormat/>
    <w:uiPriority w:val="0"/>
    <w:pPr>
      <w:keepNext w:val="0"/>
      <w:keepLines w:val="0"/>
      <w:adjustRightInd w:val="0"/>
      <w:spacing w:before="100" w:beforeAutospacing="1" w:after="100" w:afterAutospacing="1" w:line="320" w:lineRule="exact"/>
      <w:jc w:val="center"/>
      <w:textAlignment w:val="baseline"/>
    </w:pPr>
    <w:rPr>
      <w:rFonts w:ascii="幼圆" w:hAnsi="Arial" w:eastAsia="幼圆" w:cs="Arial"/>
      <w:szCs w:val="24"/>
    </w:rPr>
  </w:style>
  <w:style w:type="paragraph" w:customStyle="1" w:styleId="129">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Column Headings"/>
    <w:basedOn w:val="3"/>
    <w:autoRedefine/>
    <w:qFormat/>
    <w:uiPriority w:val="99"/>
    <w:pPr>
      <w:keepLines w:val="0"/>
      <w:widowControl/>
      <w:spacing w:before="20" w:after="0" w:line="240" w:lineRule="auto"/>
    </w:pPr>
    <w:rPr>
      <w:rFonts w:ascii="Microsoft Sans Serif" w:hAnsi="Microsoft Sans Serif"/>
      <w:bCs w:val="0"/>
      <w:color w:val="7F7F7F"/>
      <w:sz w:val="16"/>
      <w:szCs w:val="16"/>
      <w:lang w:eastAsia="en-US"/>
    </w:rPr>
  </w:style>
  <w:style w:type="paragraph" w:customStyle="1" w:styleId="132">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列出段落11"/>
    <w:basedOn w:val="1"/>
    <w:autoRedefine/>
    <w:qFormat/>
    <w:uiPriority w:val="0"/>
    <w:pPr>
      <w:widowControl/>
      <w:ind w:firstLine="420" w:firstLineChars="200"/>
      <w:jc w:val="left"/>
    </w:pPr>
    <w:rPr>
      <w:kern w:val="0"/>
      <w:sz w:val="24"/>
      <w:szCs w:val="24"/>
    </w:rPr>
  </w:style>
  <w:style w:type="paragraph" w:customStyle="1" w:styleId="134">
    <w:name w:val="Char1 Char Char Char Char Char Char"/>
    <w:basedOn w:val="1"/>
    <w:autoRedefine/>
    <w:qFormat/>
    <w:uiPriority w:val="0"/>
    <w:pPr>
      <w:ind w:left="289" w:leftChars="1" w:hanging="287" w:hangingChars="143"/>
    </w:pPr>
    <w:rPr>
      <w:rFonts w:ascii="Tahoma" w:hAnsi="Tahoma" w:cs="宋体"/>
      <w:sz w:val="20"/>
    </w:rPr>
  </w:style>
  <w:style w:type="paragraph" w:customStyle="1" w:styleId="1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6">
    <w:name w:val="样式3"/>
    <w:basedOn w:val="20"/>
    <w:autoRedefine/>
    <w:qFormat/>
    <w:uiPriority w:val="0"/>
    <w:pPr>
      <w:pBdr>
        <w:bottom w:val="none" w:color="auto" w:sz="0" w:space="0"/>
      </w:pBdr>
      <w:jc w:val="left"/>
    </w:pPr>
    <w:rPr>
      <w:rFonts w:ascii="仿宋_GB2312" w:hAnsi="宋体" w:eastAsia="仿宋_GB2312" w:cs="Lucida Sans Unicode"/>
      <w:sz w:val="24"/>
    </w:rPr>
  </w:style>
  <w:style w:type="paragraph" w:customStyle="1" w:styleId="137">
    <w:name w:val="表 靠左"/>
    <w:basedOn w:val="1"/>
    <w:next w:val="1"/>
    <w:autoRedefine/>
    <w:qFormat/>
    <w:uiPriority w:val="0"/>
    <w:pPr>
      <w:adjustRightInd w:val="0"/>
      <w:snapToGrid w:val="0"/>
      <w:ind w:left="420" w:hanging="420"/>
      <w:jc w:val="center"/>
    </w:pPr>
    <w:rPr>
      <w:rFonts w:ascii="宋体" w:hAnsi="宋体" w:cs="宋体"/>
      <w:kern w:val="0"/>
      <w:sz w:val="24"/>
      <w:szCs w:val="24"/>
    </w:rPr>
  </w:style>
  <w:style w:type="paragraph" w:customStyle="1" w:styleId="138">
    <w:name w:val="Char Char Char1"/>
    <w:basedOn w:val="1"/>
    <w:autoRedefine/>
    <w:qFormat/>
    <w:uiPriority w:val="0"/>
  </w:style>
  <w:style w:type="paragraph" w:customStyle="1" w:styleId="139">
    <w:name w:val="Char1"/>
    <w:basedOn w:val="1"/>
    <w:autoRedefine/>
    <w:qFormat/>
    <w:uiPriority w:val="0"/>
    <w:rPr>
      <w:rFonts w:ascii="Tahoma" w:hAnsi="Tahoma"/>
      <w:sz w:val="24"/>
    </w:rPr>
  </w:style>
  <w:style w:type="paragraph" w:customStyle="1" w:styleId="140">
    <w:name w:val="列出段落2"/>
    <w:basedOn w:val="1"/>
    <w:autoRedefine/>
    <w:qFormat/>
    <w:uiPriority w:val="0"/>
    <w:pPr>
      <w:ind w:firstLine="420" w:firstLineChars="200"/>
    </w:pPr>
  </w:style>
  <w:style w:type="paragraph" w:customStyle="1" w:styleId="141">
    <w:name w:val="列出段落111"/>
    <w:basedOn w:val="1"/>
    <w:autoRedefine/>
    <w:qFormat/>
    <w:uiPriority w:val="34"/>
    <w:pPr>
      <w:ind w:firstLine="420" w:firstLineChars="200"/>
    </w:pPr>
  </w:style>
  <w:style w:type="paragraph" w:customStyle="1" w:styleId="142">
    <w:name w:val="默认段落字体 Para Char Char Char Char"/>
    <w:basedOn w:val="1"/>
    <w:autoRedefine/>
    <w:qFormat/>
    <w:uiPriority w:val="0"/>
    <w:rPr>
      <w:szCs w:val="24"/>
    </w:rPr>
  </w:style>
  <w:style w:type="paragraph" w:customStyle="1" w:styleId="143">
    <w:name w:val="_Style 2"/>
    <w:basedOn w:val="1"/>
    <w:autoRedefine/>
    <w:qFormat/>
    <w:uiPriority w:val="99"/>
    <w:pPr>
      <w:ind w:left="720"/>
      <w:contextualSpacing/>
    </w:pPr>
  </w:style>
  <w:style w:type="paragraph" w:customStyle="1" w:styleId="144">
    <w:name w:val="_Style 3"/>
    <w:basedOn w:val="1"/>
    <w:autoRedefine/>
    <w:qFormat/>
    <w:uiPriority w:val="1"/>
    <w:pPr>
      <w:ind w:firstLine="420" w:firstLineChars="200"/>
    </w:pPr>
  </w:style>
  <w:style w:type="paragraph" w:customStyle="1" w:styleId="145">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14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Amount"/>
    <w:basedOn w:val="1"/>
    <w:autoRedefine/>
    <w:qFormat/>
    <w:uiPriority w:val="99"/>
    <w:pPr>
      <w:widowControl/>
      <w:jc w:val="right"/>
    </w:pPr>
    <w:rPr>
      <w:rFonts w:ascii="Microsoft Sans Serif" w:hAnsi="Microsoft Sans Serif" w:eastAsia="黑体"/>
      <w:kern w:val="0"/>
      <w:sz w:val="16"/>
      <w:szCs w:val="24"/>
      <w:lang w:eastAsia="en-US"/>
    </w:rPr>
  </w:style>
  <w:style w:type="paragraph" w:customStyle="1" w:styleId="148">
    <w:name w:val="_Style 7"/>
    <w:basedOn w:val="1"/>
    <w:autoRedefine/>
    <w:qFormat/>
    <w:uiPriority w:val="99"/>
    <w:pPr>
      <w:ind w:firstLine="420" w:firstLineChars="200"/>
    </w:pPr>
    <w:rPr>
      <w:rFonts w:ascii="Calibri" w:hAnsi="Calibri"/>
      <w:kern w:val="0"/>
      <w:sz w:val="20"/>
    </w:rPr>
  </w:style>
  <w:style w:type="paragraph" w:customStyle="1" w:styleId="149">
    <w:name w:val="p16"/>
    <w:basedOn w:val="1"/>
    <w:autoRedefine/>
    <w:qFormat/>
    <w:uiPriority w:val="99"/>
    <w:pPr>
      <w:widowControl/>
      <w:ind w:firstLine="420"/>
    </w:pPr>
    <w:rPr>
      <w:rFonts w:ascii="Calibri" w:hAnsi="Calibri" w:cs="宋体"/>
      <w:kern w:val="0"/>
      <w:szCs w:val="21"/>
    </w:rPr>
  </w:style>
  <w:style w:type="paragraph" w:customStyle="1" w:styleId="150">
    <w:name w:val="pa-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纯文本1"/>
    <w:basedOn w:val="1"/>
    <w:autoRedefine/>
    <w:qFormat/>
    <w:uiPriority w:val="0"/>
    <w:rPr>
      <w:rFonts w:ascii="宋体" w:hAnsi="Courier New" w:cs="Courier New"/>
      <w:szCs w:val="21"/>
    </w:rPr>
  </w:style>
  <w:style w:type="character" w:customStyle="1" w:styleId="152">
    <w:name w:val="标题 Char"/>
    <w:basedOn w:val="33"/>
    <w:autoRedefine/>
    <w:qFormat/>
    <w:uiPriority w:val="0"/>
    <w:rPr>
      <w:rFonts w:ascii="Arial" w:hAnsi="Arial" w:cs="Arial"/>
      <w:b/>
      <w:sz w:val="32"/>
    </w:rPr>
  </w:style>
  <w:style w:type="character" w:customStyle="1" w:styleId="153">
    <w:name w:val="标题 Char1"/>
    <w:basedOn w:val="33"/>
    <w:link w:val="27"/>
    <w:autoRedefine/>
    <w:qFormat/>
    <w:uiPriority w:val="10"/>
    <w:rPr>
      <w:rFonts w:asciiTheme="majorHAnsi" w:hAnsiTheme="majorHAnsi" w:cstheme="majorBidi"/>
      <w:b/>
      <w:bCs/>
      <w:kern w:val="2"/>
      <w:sz w:val="32"/>
      <w:szCs w:val="32"/>
    </w:rPr>
  </w:style>
  <w:style w:type="character" w:customStyle="1" w:styleId="154">
    <w:name w:val="layui-layer-tabnow"/>
    <w:basedOn w:val="33"/>
    <w:autoRedefine/>
    <w:qFormat/>
    <w:uiPriority w:val="0"/>
    <w:rPr>
      <w:bdr w:val="single" w:color="CCCCCC" w:sz="6" w:space="0"/>
      <w:shd w:val="clear" w:color="auto" w:fill="FFFFFF"/>
    </w:rPr>
  </w:style>
  <w:style w:type="character" w:customStyle="1" w:styleId="155">
    <w:name w:val="first-child"/>
    <w:basedOn w:val="33"/>
    <w:autoRedefine/>
    <w:qFormat/>
    <w:uiPriority w:val="0"/>
  </w:style>
  <w:style w:type="paragraph" w:customStyle="1" w:styleId="156">
    <w:name w:val="列出段落3"/>
    <w:basedOn w:val="1"/>
    <w:autoRedefine/>
    <w:qFormat/>
    <w:uiPriority w:val="34"/>
    <w:pPr>
      <w:ind w:firstLine="420" w:firstLineChars="200"/>
    </w:pPr>
  </w:style>
  <w:style w:type="paragraph" w:customStyle="1" w:styleId="157">
    <w:name w:val="10 f"/>
    <w:basedOn w:val="1"/>
    <w:autoRedefine/>
    <w:qFormat/>
    <w:uiPriority w:val="0"/>
    <w:pPr>
      <w:tabs>
        <w:tab w:val="left" w:pos="2835"/>
        <w:tab w:val="left" w:pos="3119"/>
        <w:tab w:val="left" w:pos="3402"/>
        <w:tab w:val="left" w:pos="3686"/>
        <w:tab w:val="left" w:pos="3969"/>
        <w:tab w:val="left" w:pos="4253"/>
      </w:tabs>
    </w:pPr>
    <w:rPr>
      <w:b/>
    </w:rPr>
  </w:style>
  <w:style w:type="character" w:customStyle="1" w:styleId="158">
    <w:name w:val="s1"/>
    <w:autoRedefine/>
    <w:qFormat/>
    <w:uiPriority w:val="99"/>
    <w:rPr>
      <w:sz w:val="20"/>
    </w:rPr>
  </w:style>
  <w:style w:type="paragraph" w:customStyle="1" w:styleId="159">
    <w:name w:val="列表段落1"/>
    <w:basedOn w:val="1"/>
    <w:autoRedefine/>
    <w:qFormat/>
    <w:uiPriority w:val="34"/>
    <w:pPr>
      <w:ind w:firstLine="420" w:firstLineChars="200"/>
    </w:pPr>
  </w:style>
  <w:style w:type="character" w:customStyle="1" w:styleId="160">
    <w:name w:val="NormalCharacter"/>
    <w:autoRedefine/>
    <w:semiHidden/>
    <w:qFormat/>
    <w:uiPriority w:val="0"/>
    <w:rPr>
      <w:rFonts w:ascii="Times New Roman" w:hAnsi="Times New Roman" w:eastAsia="宋体" w:cs="Times New Roman"/>
      <w:kern w:val="2"/>
      <w:sz w:val="21"/>
      <w:lang w:val="en-US" w:eastAsia="zh-CN" w:bidi="ar-SA"/>
    </w:rPr>
  </w:style>
  <w:style w:type="paragraph" w:customStyle="1" w:styleId="161">
    <w:name w:val="表格文字"/>
    <w:basedOn w:val="1"/>
    <w:autoRedefine/>
    <w:qFormat/>
    <w:uiPriority w:val="0"/>
    <w:pPr>
      <w:spacing w:before="25" w:after="25"/>
      <w:jc w:val="left"/>
    </w:pPr>
    <w:rPr>
      <w:rFonts w:ascii="Calibri" w:hAnsi="Calibri"/>
      <w:bCs/>
      <w:spacing w:val="10"/>
      <w:kern w:val="0"/>
      <w:sz w:val="24"/>
      <w:szCs w:val="24"/>
    </w:rPr>
  </w:style>
  <w:style w:type="paragraph" w:customStyle="1" w:styleId="162">
    <w:name w:val="样式 标题 1 + 宋体 居中 段前: 17 磅 段后: 16.5 磅"/>
    <w:basedOn w:val="2"/>
    <w:autoRedefine/>
    <w:qFormat/>
    <w:uiPriority w:val="0"/>
    <w:pPr>
      <w:widowControl/>
      <w:tabs>
        <w:tab w:val="left" w:pos="840"/>
      </w:tabs>
      <w:snapToGrid w:val="0"/>
      <w:spacing w:before="0" w:line="360" w:lineRule="auto"/>
      <w:ind w:left="840" w:hanging="420"/>
    </w:pPr>
    <w:rPr>
      <w:rFonts w:ascii="华文中宋" w:hAnsi="华文中宋" w:eastAsia="华文中宋" w:cs="宋体"/>
      <w:b w:val="0"/>
      <w:sz w:val="28"/>
    </w:rPr>
  </w:style>
  <w:style w:type="paragraph" w:customStyle="1" w:styleId="163">
    <w:name w:val="纯文本2"/>
    <w:autoRedefine/>
    <w:qFormat/>
    <w:uiPriority w:val="0"/>
    <w:pPr>
      <w:widowControl w:val="0"/>
      <w:jc w:val="both"/>
    </w:pPr>
    <w:rPr>
      <w:rFonts w:ascii="宋体" w:hAnsi="Courier New" w:eastAsia="宋体" w:cs="Courier New"/>
      <w:kern w:val="2"/>
      <w:sz w:val="21"/>
      <w:szCs w:val="21"/>
      <w:lang w:val="en-US" w:eastAsia="zh-CN" w:bidi="ar-SA"/>
    </w:rPr>
  </w:style>
  <w:style w:type="paragraph" w:customStyle="1" w:styleId="164">
    <w:name w:val="标题 2_0"/>
    <w:basedOn w:val="51"/>
    <w:next w:val="51"/>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65">
    <w:name w:val="普通(网站)_0"/>
    <w:basedOn w:val="51"/>
    <w:autoRedefine/>
    <w:qFormat/>
    <w:uiPriority w:val="0"/>
    <w:pPr>
      <w:widowControl/>
      <w:spacing w:before="100" w:beforeAutospacing="1" w:after="100" w:afterAutospacing="1"/>
      <w:jc w:val="left"/>
    </w:pPr>
    <w:rPr>
      <w:rFonts w:ascii="宋体" w:hAnsi="宋体"/>
      <w:kern w:val="0"/>
      <w:sz w:val="24"/>
    </w:rPr>
  </w:style>
  <w:style w:type="paragraph" w:customStyle="1" w:styleId="166">
    <w:name w:val="Normal_0_1_1"/>
    <w:autoRedefine/>
    <w:qFormat/>
    <w:uiPriority w:val="0"/>
    <w:rPr>
      <w:rFonts w:ascii="Times New Roman" w:hAnsi="Times New Roman" w:eastAsia="Times New Roman" w:cs="Times New Roman"/>
      <w:sz w:val="24"/>
      <w:szCs w:val="24"/>
      <w:lang w:val="en-US" w:eastAsia="zh-CN" w:bidi="ar-SA"/>
    </w:rPr>
  </w:style>
  <w:style w:type="character" w:customStyle="1" w:styleId="167">
    <w:name w:val="bsharetext"/>
    <w:basedOn w:val="33"/>
    <w:autoRedefine/>
    <w:qFormat/>
    <w:uiPriority w:val="0"/>
  </w:style>
  <w:style w:type="character" w:customStyle="1" w:styleId="168">
    <w:name w:val="layui-laypage-curr"/>
    <w:basedOn w:val="33"/>
    <w:autoRedefine/>
    <w:qFormat/>
    <w:uiPriority w:val="0"/>
  </w:style>
  <w:style w:type="paragraph" w:customStyle="1" w:styleId="169">
    <w:name w:val="WPSOffice手动目录 1"/>
    <w:autoRedefine/>
    <w:qFormat/>
    <w:uiPriority w:val="0"/>
    <w:rPr>
      <w:rFonts w:ascii="Times New Roman" w:hAnsi="Times New Roman" w:eastAsia="宋体" w:cs="Times New Roman"/>
      <w:lang w:val="en-US" w:eastAsia="zh-CN" w:bidi="ar-SA"/>
    </w:rPr>
  </w:style>
  <w:style w:type="table" w:customStyle="1" w:styleId="170">
    <w:name w:val="网格型111"/>
    <w:basedOn w:val="3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_Style 6"/>
    <w:basedOn w:val="2"/>
    <w:next w:val="1"/>
    <w:autoRedefine/>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4.wmf"/><Relationship Id="rId27" Type="http://schemas.openxmlformats.org/officeDocument/2006/relationships/oleObject" Target="embeddings/oleObject4.bin"/><Relationship Id="rId26" Type="http://schemas.openxmlformats.org/officeDocument/2006/relationships/image" Target="media/image3.wmf"/><Relationship Id="rId25" Type="http://schemas.openxmlformats.org/officeDocument/2006/relationships/oleObject" Target="embeddings/oleObject3.bin"/><Relationship Id="rId24" Type="http://schemas.openxmlformats.org/officeDocument/2006/relationships/image" Target="media/image2.wmf"/><Relationship Id="rId23" Type="http://schemas.openxmlformats.org/officeDocument/2006/relationships/oleObject" Target="embeddings/oleObject2.bin"/><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159</Pages>
  <Words>28646</Words>
  <Characters>30748</Characters>
  <Lines>364</Lines>
  <Paragraphs>102</Paragraphs>
  <TotalTime>23</TotalTime>
  <ScaleCrop>false</ScaleCrop>
  <LinksUpToDate>false</LinksUpToDate>
  <CharactersWithSpaces>32233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2024-04-23T02:49:00Z</dcterms:created>
  <dc:creator>微软用户</dc:creator>
  <cp:lastModifiedBy>雪落无痕</cp:lastModifiedBy>
  <cp:lastPrinted>2025-07-07T04:36:18Z</cp:lastPrinted>
  <dcterms:modified xsi:type="dcterms:W3CDTF">2025-07-07T05:26:59Z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982F0EAF86A14DC99FD677B1E2BC2930_13</vt:lpwstr>
  </property>
  <property fmtid="{D5CDD505-2E9C-101B-9397-08002B2CF9AE}" pid="4" name="KSOTemplateDocerSaveRecord">
    <vt:lpwstr>eyJoZGlkIjoiZjgzYzY0ZGNjZDRiZDg1MjQwOGZkZTVjNmU5ZWY4YTkiLCJ1c2VySWQiOiIxMTAxNTUyODAwIn0=</vt:lpwstr>
  </property>
</Properties>
</file>