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BC43E">
      <w:pPr>
        <w:jc w:val="center"/>
        <w:rPr>
          <w:rFonts w:hint="eastAsia" w:ascii="宋体" w:hAnsi="宋体" w:eastAsia="宋体" w:cs="宋体"/>
          <w:b/>
          <w:bCs/>
          <w:color w:val="auto"/>
          <w:sz w:val="56"/>
          <w:szCs w:val="72"/>
          <w:highlight w:val="none"/>
          <w:lang w:eastAsia="zh-CN"/>
        </w:rPr>
      </w:pPr>
    </w:p>
    <w:p w14:paraId="6C7D60CD">
      <w:pPr>
        <w:jc w:val="center"/>
        <w:rPr>
          <w:rFonts w:hint="eastAsia" w:ascii="宋体" w:hAnsi="宋体" w:eastAsia="宋体" w:cs="宋体"/>
          <w:b/>
          <w:bCs/>
          <w:color w:val="auto"/>
          <w:sz w:val="60"/>
          <w:szCs w:val="96"/>
          <w:highlight w:val="none"/>
          <w:lang w:eastAsia="zh-CN"/>
        </w:rPr>
      </w:pPr>
      <w:r>
        <w:rPr>
          <w:rFonts w:hint="eastAsia" w:ascii="宋体" w:hAnsi="宋体" w:eastAsia="宋体" w:cs="宋体"/>
          <w:b/>
          <w:bCs/>
          <w:color w:val="auto"/>
          <w:sz w:val="60"/>
          <w:szCs w:val="96"/>
          <w:highlight w:val="none"/>
          <w:lang w:eastAsia="zh-CN"/>
        </w:rPr>
        <w:t>吉林司法警官职业学院常态化智慧教室建设项目</w:t>
      </w:r>
      <w:r>
        <w:rPr>
          <w:rFonts w:hint="eastAsia" w:ascii="宋体" w:hAnsi="宋体" w:cs="宋体"/>
          <w:b/>
          <w:bCs/>
          <w:color w:val="auto"/>
          <w:sz w:val="60"/>
          <w:szCs w:val="96"/>
          <w:highlight w:val="none"/>
          <w:lang w:eastAsia="zh-CN"/>
        </w:rPr>
        <w:t>（</w:t>
      </w:r>
      <w:r>
        <w:rPr>
          <w:rFonts w:hint="eastAsia" w:ascii="宋体" w:hAnsi="宋体" w:cs="宋体"/>
          <w:b/>
          <w:bCs/>
          <w:color w:val="auto"/>
          <w:sz w:val="60"/>
          <w:szCs w:val="96"/>
          <w:highlight w:val="none"/>
          <w:lang w:val="en-US" w:eastAsia="zh-CN"/>
        </w:rPr>
        <w:t>二次</w:t>
      </w:r>
      <w:r>
        <w:rPr>
          <w:rFonts w:hint="eastAsia" w:ascii="宋体" w:hAnsi="宋体" w:cs="宋体"/>
          <w:b/>
          <w:bCs/>
          <w:color w:val="auto"/>
          <w:sz w:val="60"/>
          <w:szCs w:val="96"/>
          <w:highlight w:val="none"/>
          <w:lang w:eastAsia="zh-CN"/>
        </w:rPr>
        <w:t>）</w:t>
      </w:r>
    </w:p>
    <w:p w14:paraId="3CBBC9BE">
      <w:pPr>
        <w:jc w:val="center"/>
        <w:rPr>
          <w:rFonts w:hint="eastAsia" w:ascii="宋体" w:hAnsi="宋体" w:eastAsia="宋体" w:cs="宋体"/>
          <w:b/>
          <w:bCs/>
          <w:color w:val="auto"/>
          <w:sz w:val="84"/>
          <w:szCs w:val="72"/>
          <w:highlight w:val="none"/>
        </w:rPr>
      </w:pPr>
    </w:p>
    <w:p w14:paraId="3E6D149A">
      <w:pPr>
        <w:jc w:val="center"/>
        <w:rPr>
          <w:rFonts w:hint="eastAsia" w:ascii="宋体" w:hAnsi="宋体" w:eastAsia="宋体" w:cs="宋体"/>
          <w:b/>
          <w:bCs/>
          <w:color w:val="auto"/>
          <w:sz w:val="84"/>
          <w:szCs w:val="72"/>
          <w:highlight w:val="none"/>
        </w:rPr>
      </w:pPr>
    </w:p>
    <w:p w14:paraId="45107A01">
      <w:pPr>
        <w:jc w:val="center"/>
        <w:rPr>
          <w:rFonts w:ascii="宋体" w:hAnsi="宋体" w:cs="宋体"/>
          <w:b/>
          <w:sz w:val="32"/>
          <w:szCs w:val="32"/>
          <w:highlight w:val="none"/>
        </w:rPr>
      </w:pPr>
      <w:r>
        <w:rPr>
          <w:rFonts w:hint="eastAsia" w:ascii="宋体" w:hAnsi="宋体" w:eastAsia="宋体" w:cs="宋体"/>
          <w:b/>
          <w:bCs/>
          <w:color w:val="auto"/>
          <w:sz w:val="84"/>
          <w:szCs w:val="72"/>
          <w:highlight w:val="none"/>
        </w:rPr>
        <w:t>竞争性谈判文件</w:t>
      </w:r>
    </w:p>
    <w:p w14:paraId="69B98551">
      <w:pPr>
        <w:tabs>
          <w:tab w:val="left" w:pos="3630"/>
        </w:tabs>
        <w:jc w:val="center"/>
        <w:rPr>
          <w:rFonts w:hint="default" w:ascii="宋体" w:hAnsi="宋体" w:eastAsia="宋体" w:cs="宋体"/>
          <w:b/>
          <w:color w:val="C00000"/>
          <w:sz w:val="28"/>
          <w:highlight w:val="none"/>
          <w:lang w:val="en-US" w:eastAsia="zh-CN"/>
        </w:rPr>
      </w:pPr>
      <w:r>
        <w:rPr>
          <w:rFonts w:hint="eastAsia" w:ascii="宋体" w:hAnsi="宋体" w:cs="宋体"/>
          <w:b/>
          <w:color w:val="000000"/>
          <w:sz w:val="24"/>
          <w:szCs w:val="24"/>
          <w:highlight w:val="none"/>
        </w:rPr>
        <w:t>项目编号: 采购计划-[2025]-07114号-JLSB2025-107C-H</w:t>
      </w:r>
      <w:r>
        <w:rPr>
          <w:rFonts w:hint="eastAsia" w:ascii="宋体" w:hAnsi="宋体" w:cs="宋体"/>
          <w:b/>
          <w:color w:val="000000"/>
          <w:sz w:val="24"/>
          <w:szCs w:val="24"/>
          <w:highlight w:val="none"/>
          <w:lang w:val="en-US" w:eastAsia="zh-CN"/>
        </w:rPr>
        <w:t>-1</w:t>
      </w:r>
    </w:p>
    <w:p w14:paraId="12F8B6CC">
      <w:pPr>
        <w:tabs>
          <w:tab w:val="left" w:pos="7140"/>
        </w:tabs>
        <w:ind w:firstLine="602" w:firstLineChars="200"/>
        <w:rPr>
          <w:rFonts w:hint="eastAsia" w:ascii="宋体" w:hAnsi="宋体" w:cs="宋体"/>
          <w:b/>
          <w:bCs/>
          <w:color w:val="000000"/>
          <w:sz w:val="30"/>
          <w:szCs w:val="30"/>
          <w:highlight w:val="none"/>
        </w:rPr>
      </w:pPr>
    </w:p>
    <w:p w14:paraId="37B21AAC">
      <w:pPr>
        <w:tabs>
          <w:tab w:val="left" w:pos="7140"/>
        </w:tabs>
        <w:ind w:firstLine="602" w:firstLineChars="200"/>
        <w:rPr>
          <w:rFonts w:hint="eastAsia" w:ascii="宋体" w:hAnsi="宋体" w:cs="宋体"/>
          <w:b/>
          <w:bCs/>
          <w:color w:val="000000"/>
          <w:sz w:val="30"/>
          <w:szCs w:val="30"/>
          <w:highlight w:val="none"/>
        </w:rPr>
      </w:pPr>
    </w:p>
    <w:p w14:paraId="395BD363">
      <w:pPr>
        <w:tabs>
          <w:tab w:val="left" w:pos="7140"/>
        </w:tabs>
        <w:ind w:firstLine="602" w:firstLineChars="200"/>
        <w:rPr>
          <w:rFonts w:hint="eastAsia" w:ascii="宋体" w:hAnsi="宋体" w:cs="宋体"/>
          <w:b/>
          <w:bCs/>
          <w:color w:val="000000"/>
          <w:sz w:val="30"/>
          <w:szCs w:val="30"/>
          <w:highlight w:val="none"/>
        </w:rPr>
      </w:pPr>
    </w:p>
    <w:p w14:paraId="5F3F0F20">
      <w:pPr>
        <w:tabs>
          <w:tab w:val="left" w:pos="7140"/>
        </w:tabs>
        <w:ind w:firstLine="602" w:firstLineChars="200"/>
        <w:rPr>
          <w:rFonts w:hint="eastAsia" w:ascii="宋体" w:hAnsi="宋体" w:cs="宋体"/>
          <w:b/>
          <w:bCs/>
          <w:color w:val="000000"/>
          <w:sz w:val="30"/>
          <w:szCs w:val="30"/>
          <w:highlight w:val="none"/>
        </w:rPr>
      </w:pPr>
    </w:p>
    <w:p w14:paraId="7613C808">
      <w:pPr>
        <w:tabs>
          <w:tab w:val="left" w:pos="7140"/>
        </w:tabs>
        <w:ind w:firstLine="602" w:firstLineChars="200"/>
        <w:rPr>
          <w:rFonts w:hint="eastAsia" w:ascii="宋体" w:hAnsi="宋体" w:cs="宋体"/>
          <w:b/>
          <w:bCs/>
          <w:color w:val="000000"/>
          <w:sz w:val="30"/>
          <w:szCs w:val="30"/>
          <w:highlight w:val="none"/>
        </w:rPr>
      </w:pPr>
    </w:p>
    <w:p w14:paraId="3EEEA8A6">
      <w:pPr>
        <w:tabs>
          <w:tab w:val="left" w:pos="7140"/>
        </w:tabs>
        <w:ind w:firstLine="602" w:firstLineChars="200"/>
        <w:rPr>
          <w:rFonts w:hint="eastAsia" w:ascii="宋体" w:hAnsi="宋体" w:cs="宋体"/>
          <w:b/>
          <w:bCs/>
          <w:color w:val="000000"/>
          <w:sz w:val="30"/>
          <w:szCs w:val="30"/>
          <w:highlight w:val="none"/>
        </w:rPr>
      </w:pPr>
    </w:p>
    <w:p w14:paraId="3B58DBA0">
      <w:pPr>
        <w:pageBreakBefore w:val="0"/>
        <w:kinsoku/>
        <w:wordWrap/>
        <w:overflowPunct/>
        <w:topLinePunct w:val="0"/>
        <w:autoSpaceDE w:val="0"/>
        <w:autoSpaceDN w:val="0"/>
        <w:bidi w:val="0"/>
        <w:adjustRightInd w:val="0"/>
        <w:snapToGrid w:val="0"/>
        <w:spacing w:line="520" w:lineRule="exact"/>
        <w:jc w:val="center"/>
        <w:textAlignment w:val="auto"/>
        <w:outlineLvl w:val="9"/>
        <w:rPr>
          <w:rFonts w:hint="eastAsia" w:ascii="宋体" w:hAnsi="宋体"/>
          <w:b w:val="0"/>
          <w:bCs w:val="0"/>
          <w:sz w:val="30"/>
          <w:szCs w:val="30"/>
          <w:highlight w:val="none"/>
          <w:lang w:val="en-US" w:eastAsia="zh-CN"/>
        </w:rPr>
      </w:pPr>
    </w:p>
    <w:p w14:paraId="651F100C">
      <w:pPr>
        <w:pageBreakBefore w:val="0"/>
        <w:kinsoku/>
        <w:wordWrap/>
        <w:overflowPunct/>
        <w:topLinePunct w:val="0"/>
        <w:autoSpaceDE w:val="0"/>
        <w:autoSpaceDN w:val="0"/>
        <w:bidi w:val="0"/>
        <w:adjustRightInd w:val="0"/>
        <w:snapToGrid w:val="0"/>
        <w:spacing w:line="520" w:lineRule="exact"/>
        <w:jc w:val="center"/>
        <w:textAlignment w:val="auto"/>
        <w:outlineLvl w:val="9"/>
        <w:rPr>
          <w:rFonts w:hint="eastAsia" w:ascii="宋体" w:hAnsi="宋体"/>
          <w:b/>
          <w:bCs/>
          <w:sz w:val="30"/>
          <w:szCs w:val="30"/>
          <w:highlight w:val="none"/>
        </w:rPr>
      </w:pPr>
      <w:r>
        <w:rPr>
          <w:rFonts w:hint="eastAsia" w:ascii="宋体" w:hAnsi="宋体"/>
          <w:b/>
          <w:bCs/>
          <w:sz w:val="30"/>
          <w:szCs w:val="30"/>
          <w:highlight w:val="none"/>
          <w:lang w:val="en-US" w:eastAsia="zh-CN"/>
        </w:rPr>
        <w:t>采购</w:t>
      </w:r>
      <w:r>
        <w:rPr>
          <w:rFonts w:hint="eastAsia" w:ascii="宋体" w:hAnsi="宋体"/>
          <w:b/>
          <w:bCs/>
          <w:sz w:val="30"/>
          <w:szCs w:val="30"/>
          <w:highlight w:val="none"/>
        </w:rPr>
        <w:t>人：</w:t>
      </w:r>
      <w:r>
        <w:rPr>
          <w:rFonts w:hint="eastAsia" w:ascii="宋体" w:hAnsi="宋体"/>
          <w:b/>
          <w:bCs/>
          <w:sz w:val="30"/>
          <w:szCs w:val="30"/>
          <w:highlight w:val="none"/>
          <w:lang w:val="zh-CN"/>
        </w:rPr>
        <w:t>吉林司法警官职业学院</w:t>
      </w:r>
    </w:p>
    <w:p w14:paraId="5A92A4C5">
      <w:pPr>
        <w:spacing w:line="360" w:lineRule="auto"/>
        <w:jc w:val="center"/>
        <w:rPr>
          <w:rFonts w:hint="default" w:ascii="宋体" w:hAnsi="宋体" w:eastAsia="宋体"/>
          <w:b/>
          <w:bCs/>
          <w:sz w:val="30"/>
          <w:szCs w:val="30"/>
          <w:highlight w:val="none"/>
          <w:lang w:val="en-US" w:eastAsia="zh-CN"/>
        </w:rPr>
      </w:pPr>
      <w:r>
        <w:rPr>
          <w:rFonts w:hint="eastAsia" w:ascii="宋体" w:hAnsi="宋体"/>
          <w:b/>
          <w:bCs/>
          <w:sz w:val="30"/>
          <w:szCs w:val="30"/>
          <w:highlight w:val="none"/>
        </w:rPr>
        <w:t>招标代理机构</w:t>
      </w:r>
      <w:r>
        <w:rPr>
          <w:rFonts w:hint="eastAsia" w:ascii="宋体" w:hAnsi="宋体"/>
          <w:b/>
          <w:bCs/>
          <w:sz w:val="30"/>
          <w:szCs w:val="30"/>
          <w:highlight w:val="none"/>
          <w:lang w:eastAsia="zh-CN"/>
        </w:rPr>
        <w:t>：</w:t>
      </w:r>
      <w:r>
        <w:rPr>
          <w:rFonts w:hint="eastAsia" w:ascii="宋体" w:hAnsi="宋体"/>
          <w:b/>
          <w:bCs/>
          <w:sz w:val="30"/>
          <w:szCs w:val="30"/>
          <w:highlight w:val="none"/>
          <w:lang w:val="zh-CN" w:eastAsia="zh-CN"/>
        </w:rPr>
        <w:t>吉林省世博项目管理有限公司</w:t>
      </w:r>
    </w:p>
    <w:p w14:paraId="73FAF56F">
      <w:pPr>
        <w:pageBreakBefore w:val="0"/>
        <w:kinsoku/>
        <w:wordWrap/>
        <w:overflowPunct/>
        <w:topLinePunct w:val="0"/>
        <w:autoSpaceDE w:val="0"/>
        <w:autoSpaceDN w:val="0"/>
        <w:bidi w:val="0"/>
        <w:adjustRightInd w:val="0"/>
        <w:snapToGrid w:val="0"/>
        <w:spacing w:line="520" w:lineRule="exact"/>
        <w:jc w:val="center"/>
        <w:textAlignment w:val="auto"/>
        <w:outlineLvl w:val="9"/>
        <w:rPr>
          <w:rFonts w:ascii="宋体" w:hAnsi="宋体"/>
          <w:b/>
          <w:bCs/>
          <w:sz w:val="30"/>
          <w:szCs w:val="30"/>
          <w:highlight w:val="none"/>
        </w:rPr>
        <w:sectPr>
          <w:footerReference r:id="rId5" w:type="first"/>
          <w:headerReference r:id="rId3" w:type="default"/>
          <w:footerReference r:id="rId4" w:type="even"/>
          <w:pgSz w:w="11906" w:h="16838"/>
          <w:pgMar w:top="1701" w:right="850" w:bottom="1701" w:left="1134" w:header="851" w:footer="737" w:gutter="0"/>
          <w:pgNumType w:fmt="decimal" w:start="0"/>
          <w:cols w:space="0" w:num="1"/>
          <w:rtlGutter w:val="0"/>
          <w:docGrid w:type="lines" w:linePitch="490" w:charSpace="0"/>
        </w:sectPr>
      </w:pPr>
      <w:r>
        <w:rPr>
          <w:rFonts w:hint="eastAsia" w:ascii="宋体" w:hAnsi="宋体"/>
          <w:b/>
          <w:bCs/>
          <w:sz w:val="30"/>
          <w:szCs w:val="30"/>
          <w:highlight w:val="none"/>
        </w:rPr>
        <w:t>20</w:t>
      </w:r>
      <w:r>
        <w:rPr>
          <w:rFonts w:hint="eastAsia" w:ascii="宋体" w:hAnsi="宋体"/>
          <w:b/>
          <w:bCs/>
          <w:sz w:val="30"/>
          <w:szCs w:val="30"/>
          <w:highlight w:val="none"/>
          <w:lang w:val="en-US" w:eastAsia="zh-CN"/>
        </w:rPr>
        <w:t>25</w:t>
      </w:r>
      <w:r>
        <w:rPr>
          <w:rFonts w:hint="eastAsia" w:ascii="宋体" w:hAnsi="宋体"/>
          <w:b/>
          <w:bCs/>
          <w:sz w:val="30"/>
          <w:szCs w:val="30"/>
          <w:highlight w:val="none"/>
        </w:rPr>
        <w:t>年</w:t>
      </w:r>
      <w:r>
        <w:rPr>
          <w:rFonts w:hint="eastAsia" w:ascii="宋体" w:hAnsi="宋体"/>
          <w:b/>
          <w:bCs/>
          <w:sz w:val="30"/>
          <w:szCs w:val="30"/>
          <w:highlight w:val="none"/>
          <w:lang w:val="en-US" w:eastAsia="zh-CN"/>
        </w:rPr>
        <w:t>07</w:t>
      </w:r>
      <w:r>
        <w:rPr>
          <w:rFonts w:hint="eastAsia" w:ascii="宋体" w:hAnsi="宋体"/>
          <w:b/>
          <w:bCs/>
          <w:sz w:val="30"/>
          <w:szCs w:val="30"/>
          <w:highlight w:val="none"/>
        </w:rPr>
        <w:t>月</w:t>
      </w:r>
    </w:p>
    <w:sdt>
      <w:sdtPr>
        <w:rPr>
          <w:rFonts w:ascii="宋体" w:hAnsi="宋体" w:eastAsia="宋体" w:cs="Times New Roman"/>
          <w:kern w:val="2"/>
          <w:sz w:val="21"/>
          <w:szCs w:val="24"/>
          <w:highlight w:val="none"/>
          <w:lang w:val="en-US" w:eastAsia="zh-CN" w:bidi="ar-SA"/>
        </w:rPr>
        <w:id w:val="147475647"/>
        <w15:color w:val="DBDBDB"/>
        <w:docPartObj>
          <w:docPartGallery w:val="Table of Contents"/>
          <w:docPartUnique/>
        </w:docPartObj>
      </w:sdtPr>
      <w:sdtEndPr>
        <w:rPr>
          <w:rFonts w:ascii="宋体" w:hAnsi="宋体" w:eastAsia="宋体" w:cs="宋体"/>
          <w:kern w:val="2"/>
          <w:sz w:val="21"/>
          <w:szCs w:val="32"/>
          <w:highlight w:val="none"/>
          <w:lang w:val="en-US" w:eastAsia="zh-CN" w:bidi="ar-SA"/>
        </w:rPr>
      </w:sdtEndPr>
      <w:sdtContent>
        <w:p w14:paraId="6D23BBB2">
          <w:pPr>
            <w:spacing w:before="0" w:beforeLines="0" w:after="0" w:afterLines="0" w:line="240" w:lineRule="auto"/>
            <w:ind w:left="0" w:leftChars="0" w:right="0" w:rightChars="0" w:firstLine="0" w:firstLineChars="0"/>
            <w:jc w:val="center"/>
            <w:rPr>
              <w:b/>
              <w:bCs/>
              <w:sz w:val="96"/>
              <w:szCs w:val="144"/>
              <w:highlight w:val="none"/>
            </w:rPr>
          </w:pPr>
          <w:r>
            <w:rPr>
              <w:rFonts w:ascii="宋体" w:hAnsi="宋体" w:eastAsia="宋体"/>
              <w:b/>
              <w:bCs/>
              <w:sz w:val="60"/>
              <w:szCs w:val="96"/>
              <w:highlight w:val="none"/>
            </w:rPr>
            <w:t>目录</w:t>
          </w:r>
        </w:p>
        <w:p w14:paraId="746392A8">
          <w:pPr>
            <w:pStyle w:val="12"/>
            <w:tabs>
              <w:tab w:val="right" w:leader="dot" w:pos="9780"/>
            </w:tabs>
            <w:spacing w:line="360" w:lineRule="auto"/>
            <w:rPr>
              <w:sz w:val="28"/>
              <w:szCs w:val="28"/>
              <w:highlight w:val="none"/>
            </w:rPr>
          </w:pPr>
          <w:r>
            <w:rPr>
              <w:rFonts w:ascii="宋体" w:hAnsi="宋体" w:eastAsia="宋体" w:cs="宋体"/>
              <w:kern w:val="2"/>
              <w:sz w:val="32"/>
              <w:szCs w:val="48"/>
              <w:highlight w:val="none"/>
              <w:lang w:val="en-US" w:eastAsia="zh-CN" w:bidi="ar-SA"/>
            </w:rPr>
            <w:fldChar w:fldCharType="begin"/>
          </w:r>
          <w:r>
            <w:rPr>
              <w:rFonts w:ascii="宋体" w:hAnsi="宋体" w:eastAsia="宋体" w:cs="宋体"/>
              <w:kern w:val="2"/>
              <w:sz w:val="32"/>
              <w:szCs w:val="48"/>
              <w:highlight w:val="none"/>
              <w:lang w:val="en-US" w:eastAsia="zh-CN" w:bidi="ar-SA"/>
            </w:rPr>
            <w:instrText xml:space="preserve">TOC \o "1-1" \h \u </w:instrText>
          </w:r>
          <w:r>
            <w:rPr>
              <w:rFonts w:ascii="宋体" w:hAnsi="宋体" w:eastAsia="宋体" w:cs="宋体"/>
              <w:kern w:val="2"/>
              <w:sz w:val="32"/>
              <w:szCs w:val="48"/>
              <w:highlight w:val="none"/>
              <w:lang w:val="en-US" w:eastAsia="zh-CN" w:bidi="ar-SA"/>
            </w:rPr>
            <w:fldChar w:fldCharType="separate"/>
          </w:r>
          <w:r>
            <w:rPr>
              <w:rFonts w:ascii="宋体" w:hAnsi="宋体" w:eastAsia="宋体" w:cs="宋体"/>
              <w:kern w:val="2"/>
              <w:sz w:val="28"/>
              <w:szCs w:val="48"/>
              <w:highlight w:val="none"/>
              <w:lang w:val="en-US" w:eastAsia="zh-CN" w:bidi="ar-SA"/>
            </w:rPr>
            <w:fldChar w:fldCharType="begin"/>
          </w:r>
          <w:r>
            <w:rPr>
              <w:rFonts w:ascii="宋体" w:hAnsi="宋体" w:eastAsia="宋体" w:cs="宋体"/>
              <w:kern w:val="2"/>
              <w:sz w:val="28"/>
              <w:szCs w:val="48"/>
              <w:highlight w:val="none"/>
              <w:lang w:val="en-US" w:eastAsia="zh-CN" w:bidi="ar-SA"/>
            </w:rPr>
            <w:instrText xml:space="preserve"> HYPERLINK \l _Toc4175 </w:instrText>
          </w:r>
          <w:r>
            <w:rPr>
              <w:rFonts w:ascii="宋体" w:hAnsi="宋体" w:eastAsia="宋体" w:cs="宋体"/>
              <w:kern w:val="2"/>
              <w:sz w:val="28"/>
              <w:szCs w:val="48"/>
              <w:highlight w:val="none"/>
              <w:lang w:val="en-US" w:eastAsia="zh-CN" w:bidi="ar-SA"/>
            </w:rPr>
            <w:fldChar w:fldCharType="separate"/>
          </w:r>
          <w:r>
            <w:rPr>
              <w:rFonts w:hint="eastAsia"/>
              <w:sz w:val="28"/>
              <w:szCs w:val="52"/>
              <w:highlight w:val="none"/>
            </w:rPr>
            <w:t>第一章  竞争性谈判公告</w:t>
          </w:r>
          <w:r>
            <w:rPr>
              <w:sz w:val="28"/>
              <w:szCs w:val="28"/>
              <w:highlight w:val="none"/>
            </w:rPr>
            <w:tab/>
          </w:r>
          <w:r>
            <w:rPr>
              <w:sz w:val="28"/>
              <w:szCs w:val="28"/>
              <w:highlight w:val="none"/>
            </w:rPr>
            <w:fldChar w:fldCharType="begin"/>
          </w:r>
          <w:r>
            <w:rPr>
              <w:sz w:val="28"/>
              <w:szCs w:val="28"/>
              <w:highlight w:val="none"/>
            </w:rPr>
            <w:instrText xml:space="preserve"> PAGEREF _Toc4175 \h </w:instrText>
          </w:r>
          <w:r>
            <w:rPr>
              <w:sz w:val="28"/>
              <w:szCs w:val="28"/>
              <w:highlight w:val="none"/>
            </w:rPr>
            <w:fldChar w:fldCharType="separate"/>
          </w:r>
          <w:r>
            <w:rPr>
              <w:sz w:val="28"/>
              <w:szCs w:val="28"/>
              <w:highlight w:val="none"/>
            </w:rPr>
            <w:t>1</w:t>
          </w:r>
          <w:r>
            <w:rPr>
              <w:sz w:val="28"/>
              <w:szCs w:val="28"/>
              <w:highlight w:val="none"/>
            </w:rPr>
            <w:fldChar w:fldCharType="end"/>
          </w:r>
          <w:r>
            <w:rPr>
              <w:rFonts w:ascii="宋体" w:hAnsi="宋体" w:eastAsia="宋体" w:cs="宋体"/>
              <w:kern w:val="2"/>
              <w:sz w:val="28"/>
              <w:szCs w:val="48"/>
              <w:highlight w:val="none"/>
              <w:lang w:val="en-US" w:eastAsia="zh-CN" w:bidi="ar-SA"/>
            </w:rPr>
            <w:fldChar w:fldCharType="end"/>
          </w:r>
        </w:p>
        <w:p w14:paraId="76FA7325">
          <w:pPr>
            <w:pStyle w:val="12"/>
            <w:tabs>
              <w:tab w:val="right" w:leader="dot" w:pos="9780"/>
            </w:tabs>
            <w:spacing w:line="360" w:lineRule="auto"/>
            <w:rPr>
              <w:sz w:val="28"/>
              <w:szCs w:val="28"/>
              <w:highlight w:val="none"/>
            </w:rPr>
          </w:pPr>
          <w:r>
            <w:rPr>
              <w:rFonts w:ascii="宋体" w:hAnsi="宋体" w:eastAsia="宋体" w:cs="宋体"/>
              <w:kern w:val="2"/>
              <w:sz w:val="28"/>
              <w:szCs w:val="48"/>
              <w:highlight w:val="none"/>
              <w:lang w:val="en-US" w:eastAsia="zh-CN" w:bidi="ar-SA"/>
            </w:rPr>
            <w:fldChar w:fldCharType="begin"/>
          </w:r>
          <w:r>
            <w:rPr>
              <w:rFonts w:ascii="宋体" w:hAnsi="宋体" w:eastAsia="宋体" w:cs="宋体"/>
              <w:kern w:val="2"/>
              <w:sz w:val="28"/>
              <w:szCs w:val="48"/>
              <w:highlight w:val="none"/>
              <w:lang w:val="en-US" w:eastAsia="zh-CN" w:bidi="ar-SA"/>
            </w:rPr>
            <w:instrText xml:space="preserve"> HYPERLINK \l _Toc10155 </w:instrText>
          </w:r>
          <w:r>
            <w:rPr>
              <w:rFonts w:ascii="宋体" w:hAnsi="宋体" w:eastAsia="宋体" w:cs="宋体"/>
              <w:kern w:val="2"/>
              <w:sz w:val="28"/>
              <w:szCs w:val="48"/>
              <w:highlight w:val="none"/>
              <w:lang w:val="en-US" w:eastAsia="zh-CN" w:bidi="ar-SA"/>
            </w:rPr>
            <w:fldChar w:fldCharType="separate"/>
          </w:r>
          <w:r>
            <w:rPr>
              <w:rFonts w:hint="eastAsia" w:ascii="宋体" w:hAnsi="宋体" w:cs="宋体"/>
              <w:sz w:val="28"/>
              <w:szCs w:val="44"/>
              <w:highlight w:val="none"/>
            </w:rPr>
            <w:t>第二章  供应商须知</w:t>
          </w:r>
          <w:r>
            <w:rPr>
              <w:sz w:val="28"/>
              <w:szCs w:val="28"/>
              <w:highlight w:val="none"/>
            </w:rPr>
            <w:tab/>
          </w:r>
          <w:r>
            <w:rPr>
              <w:sz w:val="28"/>
              <w:szCs w:val="28"/>
              <w:highlight w:val="none"/>
            </w:rPr>
            <w:fldChar w:fldCharType="begin"/>
          </w:r>
          <w:r>
            <w:rPr>
              <w:sz w:val="28"/>
              <w:szCs w:val="28"/>
              <w:highlight w:val="none"/>
            </w:rPr>
            <w:instrText xml:space="preserve"> PAGEREF _Toc10155 \h </w:instrText>
          </w:r>
          <w:r>
            <w:rPr>
              <w:sz w:val="28"/>
              <w:szCs w:val="28"/>
              <w:highlight w:val="none"/>
            </w:rPr>
            <w:fldChar w:fldCharType="separate"/>
          </w:r>
          <w:r>
            <w:rPr>
              <w:sz w:val="28"/>
              <w:szCs w:val="28"/>
              <w:highlight w:val="none"/>
            </w:rPr>
            <w:t>4</w:t>
          </w:r>
          <w:r>
            <w:rPr>
              <w:sz w:val="28"/>
              <w:szCs w:val="28"/>
              <w:highlight w:val="none"/>
            </w:rPr>
            <w:fldChar w:fldCharType="end"/>
          </w:r>
          <w:r>
            <w:rPr>
              <w:rFonts w:ascii="宋体" w:hAnsi="宋体" w:eastAsia="宋体" w:cs="宋体"/>
              <w:kern w:val="2"/>
              <w:sz w:val="28"/>
              <w:szCs w:val="48"/>
              <w:highlight w:val="none"/>
              <w:lang w:val="en-US" w:eastAsia="zh-CN" w:bidi="ar-SA"/>
            </w:rPr>
            <w:fldChar w:fldCharType="end"/>
          </w:r>
        </w:p>
        <w:p w14:paraId="743D8CBE">
          <w:pPr>
            <w:pStyle w:val="12"/>
            <w:tabs>
              <w:tab w:val="right" w:leader="dot" w:pos="9780"/>
            </w:tabs>
            <w:spacing w:line="360" w:lineRule="auto"/>
            <w:rPr>
              <w:sz w:val="28"/>
              <w:szCs w:val="28"/>
              <w:highlight w:val="none"/>
            </w:rPr>
          </w:pPr>
          <w:r>
            <w:rPr>
              <w:rFonts w:ascii="宋体" w:hAnsi="宋体" w:eastAsia="宋体" w:cs="宋体"/>
              <w:kern w:val="2"/>
              <w:sz w:val="28"/>
              <w:szCs w:val="48"/>
              <w:highlight w:val="none"/>
              <w:lang w:val="en-US" w:eastAsia="zh-CN" w:bidi="ar-SA"/>
            </w:rPr>
            <w:fldChar w:fldCharType="begin"/>
          </w:r>
          <w:r>
            <w:rPr>
              <w:rFonts w:ascii="宋体" w:hAnsi="宋体" w:eastAsia="宋体" w:cs="宋体"/>
              <w:kern w:val="2"/>
              <w:sz w:val="28"/>
              <w:szCs w:val="48"/>
              <w:highlight w:val="none"/>
              <w:lang w:val="en-US" w:eastAsia="zh-CN" w:bidi="ar-SA"/>
            </w:rPr>
            <w:instrText xml:space="preserve"> HYPERLINK \l _Toc693 </w:instrText>
          </w:r>
          <w:r>
            <w:rPr>
              <w:rFonts w:ascii="宋体" w:hAnsi="宋体" w:eastAsia="宋体" w:cs="宋体"/>
              <w:kern w:val="2"/>
              <w:sz w:val="28"/>
              <w:szCs w:val="48"/>
              <w:highlight w:val="none"/>
              <w:lang w:val="en-US" w:eastAsia="zh-CN" w:bidi="ar-SA"/>
            </w:rPr>
            <w:fldChar w:fldCharType="separate"/>
          </w:r>
          <w:r>
            <w:rPr>
              <w:rFonts w:hint="eastAsia"/>
              <w:sz w:val="28"/>
              <w:szCs w:val="52"/>
              <w:highlight w:val="none"/>
              <w:lang w:val="zh-CN"/>
            </w:rPr>
            <w:t xml:space="preserve">第三章 </w:t>
          </w:r>
          <w:r>
            <w:rPr>
              <w:rFonts w:hint="eastAsia"/>
              <w:sz w:val="28"/>
              <w:szCs w:val="52"/>
              <w:highlight w:val="none"/>
            </w:rPr>
            <w:t>货物采购</w:t>
          </w:r>
          <w:r>
            <w:rPr>
              <w:rFonts w:hint="eastAsia"/>
              <w:sz w:val="28"/>
              <w:szCs w:val="52"/>
              <w:highlight w:val="none"/>
              <w:lang w:val="zh-CN"/>
            </w:rPr>
            <w:t>需求</w:t>
          </w:r>
          <w:r>
            <w:rPr>
              <w:sz w:val="28"/>
              <w:szCs w:val="28"/>
              <w:highlight w:val="none"/>
            </w:rPr>
            <w:tab/>
          </w:r>
          <w:r>
            <w:rPr>
              <w:sz w:val="28"/>
              <w:szCs w:val="28"/>
              <w:highlight w:val="none"/>
            </w:rPr>
            <w:fldChar w:fldCharType="begin"/>
          </w:r>
          <w:r>
            <w:rPr>
              <w:sz w:val="28"/>
              <w:szCs w:val="28"/>
              <w:highlight w:val="none"/>
            </w:rPr>
            <w:instrText xml:space="preserve"> PAGEREF _Toc693 \h </w:instrText>
          </w:r>
          <w:r>
            <w:rPr>
              <w:sz w:val="28"/>
              <w:szCs w:val="28"/>
              <w:highlight w:val="none"/>
            </w:rPr>
            <w:fldChar w:fldCharType="separate"/>
          </w:r>
          <w:r>
            <w:rPr>
              <w:sz w:val="28"/>
              <w:szCs w:val="28"/>
              <w:highlight w:val="none"/>
            </w:rPr>
            <w:t>27</w:t>
          </w:r>
          <w:r>
            <w:rPr>
              <w:sz w:val="28"/>
              <w:szCs w:val="28"/>
              <w:highlight w:val="none"/>
            </w:rPr>
            <w:fldChar w:fldCharType="end"/>
          </w:r>
          <w:r>
            <w:rPr>
              <w:rFonts w:ascii="宋体" w:hAnsi="宋体" w:eastAsia="宋体" w:cs="宋体"/>
              <w:kern w:val="2"/>
              <w:sz w:val="28"/>
              <w:szCs w:val="48"/>
              <w:highlight w:val="none"/>
              <w:lang w:val="en-US" w:eastAsia="zh-CN" w:bidi="ar-SA"/>
            </w:rPr>
            <w:fldChar w:fldCharType="end"/>
          </w:r>
        </w:p>
        <w:p w14:paraId="2A8AA928">
          <w:pPr>
            <w:pStyle w:val="12"/>
            <w:tabs>
              <w:tab w:val="right" w:leader="dot" w:pos="9780"/>
            </w:tabs>
            <w:spacing w:line="360" w:lineRule="auto"/>
            <w:rPr>
              <w:sz w:val="28"/>
              <w:szCs w:val="28"/>
              <w:highlight w:val="none"/>
            </w:rPr>
          </w:pPr>
          <w:r>
            <w:rPr>
              <w:rFonts w:ascii="宋体" w:hAnsi="宋体" w:eastAsia="宋体" w:cs="宋体"/>
              <w:kern w:val="2"/>
              <w:sz w:val="28"/>
              <w:szCs w:val="48"/>
              <w:highlight w:val="none"/>
              <w:lang w:val="en-US" w:eastAsia="zh-CN" w:bidi="ar-SA"/>
            </w:rPr>
            <w:fldChar w:fldCharType="begin"/>
          </w:r>
          <w:r>
            <w:rPr>
              <w:rFonts w:ascii="宋体" w:hAnsi="宋体" w:eastAsia="宋体" w:cs="宋体"/>
              <w:kern w:val="2"/>
              <w:sz w:val="28"/>
              <w:szCs w:val="48"/>
              <w:highlight w:val="none"/>
              <w:lang w:val="en-US" w:eastAsia="zh-CN" w:bidi="ar-SA"/>
            </w:rPr>
            <w:instrText xml:space="preserve"> HYPERLINK \l _Toc19078 </w:instrText>
          </w:r>
          <w:r>
            <w:rPr>
              <w:rFonts w:ascii="宋体" w:hAnsi="宋体" w:eastAsia="宋体" w:cs="宋体"/>
              <w:kern w:val="2"/>
              <w:sz w:val="28"/>
              <w:szCs w:val="48"/>
              <w:highlight w:val="none"/>
              <w:lang w:val="en-US" w:eastAsia="zh-CN" w:bidi="ar-SA"/>
            </w:rPr>
            <w:fldChar w:fldCharType="separate"/>
          </w:r>
          <w:r>
            <w:rPr>
              <w:rFonts w:hint="eastAsia"/>
              <w:sz w:val="28"/>
              <w:szCs w:val="56"/>
              <w:highlight w:val="none"/>
            </w:rPr>
            <w:t>第四章  评审</w:t>
          </w:r>
          <w:r>
            <w:rPr>
              <w:rFonts w:hint="eastAsia"/>
              <w:sz w:val="28"/>
              <w:szCs w:val="56"/>
              <w:highlight w:val="none"/>
              <w:lang w:eastAsia="zh-CN"/>
            </w:rPr>
            <w:t>办</w:t>
          </w:r>
          <w:r>
            <w:rPr>
              <w:rFonts w:hint="eastAsia"/>
              <w:sz w:val="28"/>
              <w:szCs w:val="56"/>
              <w:highlight w:val="none"/>
            </w:rPr>
            <w:t>法</w:t>
          </w:r>
          <w:r>
            <w:rPr>
              <w:sz w:val="28"/>
              <w:szCs w:val="28"/>
              <w:highlight w:val="none"/>
            </w:rPr>
            <w:tab/>
          </w:r>
          <w:r>
            <w:rPr>
              <w:sz w:val="28"/>
              <w:szCs w:val="28"/>
              <w:highlight w:val="none"/>
            </w:rPr>
            <w:fldChar w:fldCharType="begin"/>
          </w:r>
          <w:r>
            <w:rPr>
              <w:sz w:val="28"/>
              <w:szCs w:val="28"/>
              <w:highlight w:val="none"/>
            </w:rPr>
            <w:instrText xml:space="preserve"> PAGEREF _Toc19078 \h </w:instrText>
          </w:r>
          <w:r>
            <w:rPr>
              <w:sz w:val="28"/>
              <w:szCs w:val="28"/>
              <w:highlight w:val="none"/>
            </w:rPr>
            <w:fldChar w:fldCharType="separate"/>
          </w:r>
          <w:r>
            <w:rPr>
              <w:sz w:val="28"/>
              <w:szCs w:val="28"/>
              <w:highlight w:val="none"/>
            </w:rPr>
            <w:t>43</w:t>
          </w:r>
          <w:r>
            <w:rPr>
              <w:sz w:val="28"/>
              <w:szCs w:val="28"/>
              <w:highlight w:val="none"/>
            </w:rPr>
            <w:fldChar w:fldCharType="end"/>
          </w:r>
          <w:r>
            <w:rPr>
              <w:rFonts w:ascii="宋体" w:hAnsi="宋体" w:eastAsia="宋体" w:cs="宋体"/>
              <w:kern w:val="2"/>
              <w:sz w:val="28"/>
              <w:szCs w:val="48"/>
              <w:highlight w:val="none"/>
              <w:lang w:val="en-US" w:eastAsia="zh-CN" w:bidi="ar-SA"/>
            </w:rPr>
            <w:fldChar w:fldCharType="end"/>
          </w:r>
        </w:p>
        <w:p w14:paraId="4CA6214B">
          <w:pPr>
            <w:pStyle w:val="12"/>
            <w:tabs>
              <w:tab w:val="right" w:leader="dot" w:pos="9780"/>
            </w:tabs>
            <w:spacing w:line="360" w:lineRule="auto"/>
            <w:rPr>
              <w:sz w:val="28"/>
              <w:szCs w:val="28"/>
              <w:highlight w:val="none"/>
            </w:rPr>
          </w:pPr>
          <w:r>
            <w:rPr>
              <w:rFonts w:ascii="宋体" w:hAnsi="宋体" w:eastAsia="宋体" w:cs="宋体"/>
              <w:kern w:val="2"/>
              <w:sz w:val="28"/>
              <w:szCs w:val="48"/>
              <w:highlight w:val="none"/>
              <w:lang w:val="en-US" w:eastAsia="zh-CN" w:bidi="ar-SA"/>
            </w:rPr>
            <w:fldChar w:fldCharType="begin"/>
          </w:r>
          <w:r>
            <w:rPr>
              <w:rFonts w:ascii="宋体" w:hAnsi="宋体" w:eastAsia="宋体" w:cs="宋体"/>
              <w:kern w:val="2"/>
              <w:sz w:val="28"/>
              <w:szCs w:val="48"/>
              <w:highlight w:val="none"/>
              <w:lang w:val="en-US" w:eastAsia="zh-CN" w:bidi="ar-SA"/>
            </w:rPr>
            <w:instrText xml:space="preserve"> HYPERLINK \l _Toc20340 </w:instrText>
          </w:r>
          <w:r>
            <w:rPr>
              <w:rFonts w:ascii="宋体" w:hAnsi="宋体" w:eastAsia="宋体" w:cs="宋体"/>
              <w:kern w:val="2"/>
              <w:sz w:val="28"/>
              <w:szCs w:val="48"/>
              <w:highlight w:val="none"/>
              <w:lang w:val="en-US" w:eastAsia="zh-CN" w:bidi="ar-SA"/>
            </w:rPr>
            <w:fldChar w:fldCharType="separate"/>
          </w:r>
          <w:r>
            <w:rPr>
              <w:rFonts w:hint="eastAsia" w:ascii="宋体" w:hAnsi="宋体" w:cs="宋体"/>
              <w:sz w:val="28"/>
              <w:szCs w:val="44"/>
              <w:highlight w:val="none"/>
            </w:rPr>
            <w:t>第五章  合同主要条款及格式（仅供参考）</w:t>
          </w:r>
          <w:r>
            <w:rPr>
              <w:sz w:val="28"/>
              <w:szCs w:val="28"/>
              <w:highlight w:val="none"/>
            </w:rPr>
            <w:tab/>
          </w:r>
          <w:r>
            <w:rPr>
              <w:sz w:val="28"/>
              <w:szCs w:val="28"/>
              <w:highlight w:val="none"/>
            </w:rPr>
            <w:fldChar w:fldCharType="begin"/>
          </w:r>
          <w:r>
            <w:rPr>
              <w:sz w:val="28"/>
              <w:szCs w:val="28"/>
              <w:highlight w:val="none"/>
            </w:rPr>
            <w:instrText xml:space="preserve"> PAGEREF _Toc20340 \h </w:instrText>
          </w:r>
          <w:r>
            <w:rPr>
              <w:sz w:val="28"/>
              <w:szCs w:val="28"/>
              <w:highlight w:val="none"/>
            </w:rPr>
            <w:fldChar w:fldCharType="separate"/>
          </w:r>
          <w:r>
            <w:rPr>
              <w:sz w:val="28"/>
              <w:szCs w:val="28"/>
              <w:highlight w:val="none"/>
            </w:rPr>
            <w:t>50</w:t>
          </w:r>
          <w:r>
            <w:rPr>
              <w:sz w:val="28"/>
              <w:szCs w:val="28"/>
              <w:highlight w:val="none"/>
            </w:rPr>
            <w:fldChar w:fldCharType="end"/>
          </w:r>
          <w:r>
            <w:rPr>
              <w:rFonts w:ascii="宋体" w:hAnsi="宋体" w:eastAsia="宋体" w:cs="宋体"/>
              <w:kern w:val="2"/>
              <w:sz w:val="28"/>
              <w:szCs w:val="48"/>
              <w:highlight w:val="none"/>
              <w:lang w:val="en-US" w:eastAsia="zh-CN" w:bidi="ar-SA"/>
            </w:rPr>
            <w:fldChar w:fldCharType="end"/>
          </w:r>
        </w:p>
        <w:p w14:paraId="6708BEC1">
          <w:pPr>
            <w:pStyle w:val="12"/>
            <w:tabs>
              <w:tab w:val="right" w:leader="dot" w:pos="9780"/>
            </w:tabs>
            <w:spacing w:line="360" w:lineRule="auto"/>
            <w:rPr>
              <w:sz w:val="28"/>
              <w:szCs w:val="28"/>
              <w:highlight w:val="none"/>
            </w:rPr>
          </w:pPr>
          <w:r>
            <w:rPr>
              <w:rFonts w:ascii="宋体" w:hAnsi="宋体" w:eastAsia="宋体" w:cs="宋体"/>
              <w:kern w:val="2"/>
              <w:sz w:val="28"/>
              <w:szCs w:val="48"/>
              <w:highlight w:val="none"/>
              <w:lang w:val="en-US" w:eastAsia="zh-CN" w:bidi="ar-SA"/>
            </w:rPr>
            <w:fldChar w:fldCharType="begin"/>
          </w:r>
          <w:r>
            <w:rPr>
              <w:rFonts w:ascii="宋体" w:hAnsi="宋体" w:eastAsia="宋体" w:cs="宋体"/>
              <w:kern w:val="2"/>
              <w:sz w:val="28"/>
              <w:szCs w:val="48"/>
              <w:highlight w:val="none"/>
              <w:lang w:val="en-US" w:eastAsia="zh-CN" w:bidi="ar-SA"/>
            </w:rPr>
            <w:instrText xml:space="preserve"> HYPERLINK \l _Toc13817 </w:instrText>
          </w:r>
          <w:r>
            <w:rPr>
              <w:rFonts w:ascii="宋体" w:hAnsi="宋体" w:eastAsia="宋体" w:cs="宋体"/>
              <w:kern w:val="2"/>
              <w:sz w:val="28"/>
              <w:szCs w:val="48"/>
              <w:highlight w:val="none"/>
              <w:lang w:val="en-US" w:eastAsia="zh-CN" w:bidi="ar-SA"/>
            </w:rPr>
            <w:fldChar w:fldCharType="separate"/>
          </w:r>
          <w:r>
            <w:rPr>
              <w:rFonts w:hint="eastAsia" w:ascii="宋体" w:hAnsi="宋体" w:cs="宋体"/>
              <w:sz w:val="28"/>
              <w:szCs w:val="48"/>
              <w:highlight w:val="none"/>
            </w:rPr>
            <w:t>第六章  响应文件格式</w:t>
          </w:r>
          <w:r>
            <w:rPr>
              <w:sz w:val="28"/>
              <w:szCs w:val="28"/>
              <w:highlight w:val="none"/>
            </w:rPr>
            <w:tab/>
          </w:r>
          <w:r>
            <w:rPr>
              <w:sz w:val="28"/>
              <w:szCs w:val="28"/>
              <w:highlight w:val="none"/>
            </w:rPr>
            <w:fldChar w:fldCharType="begin"/>
          </w:r>
          <w:r>
            <w:rPr>
              <w:sz w:val="28"/>
              <w:szCs w:val="28"/>
              <w:highlight w:val="none"/>
            </w:rPr>
            <w:instrText xml:space="preserve"> PAGEREF _Toc13817 \h </w:instrText>
          </w:r>
          <w:r>
            <w:rPr>
              <w:sz w:val="28"/>
              <w:szCs w:val="28"/>
              <w:highlight w:val="none"/>
            </w:rPr>
            <w:fldChar w:fldCharType="separate"/>
          </w:r>
          <w:r>
            <w:rPr>
              <w:sz w:val="28"/>
              <w:szCs w:val="28"/>
              <w:highlight w:val="none"/>
            </w:rPr>
            <w:t>51</w:t>
          </w:r>
          <w:r>
            <w:rPr>
              <w:sz w:val="28"/>
              <w:szCs w:val="28"/>
              <w:highlight w:val="none"/>
            </w:rPr>
            <w:fldChar w:fldCharType="end"/>
          </w:r>
          <w:r>
            <w:rPr>
              <w:rFonts w:ascii="宋体" w:hAnsi="宋体" w:eastAsia="宋体" w:cs="宋体"/>
              <w:kern w:val="2"/>
              <w:sz w:val="28"/>
              <w:szCs w:val="48"/>
              <w:highlight w:val="none"/>
              <w:lang w:val="en-US" w:eastAsia="zh-CN" w:bidi="ar-SA"/>
            </w:rPr>
            <w:fldChar w:fldCharType="end"/>
          </w:r>
        </w:p>
        <w:p w14:paraId="6790A83B">
          <w:pPr>
            <w:pStyle w:val="12"/>
            <w:tabs>
              <w:tab w:val="right" w:leader="dot" w:pos="9780"/>
            </w:tabs>
            <w:spacing w:line="360" w:lineRule="auto"/>
            <w:rPr>
              <w:sz w:val="28"/>
              <w:szCs w:val="28"/>
              <w:highlight w:val="none"/>
            </w:rPr>
          </w:pPr>
          <w:r>
            <w:rPr>
              <w:rFonts w:ascii="宋体" w:hAnsi="宋体" w:eastAsia="宋体" w:cs="宋体"/>
              <w:kern w:val="2"/>
              <w:sz w:val="28"/>
              <w:szCs w:val="48"/>
              <w:highlight w:val="none"/>
              <w:lang w:val="en-US" w:eastAsia="zh-CN" w:bidi="ar-SA"/>
            </w:rPr>
            <w:fldChar w:fldCharType="begin"/>
          </w:r>
          <w:r>
            <w:rPr>
              <w:rFonts w:ascii="宋体" w:hAnsi="宋体" w:eastAsia="宋体" w:cs="宋体"/>
              <w:kern w:val="2"/>
              <w:sz w:val="28"/>
              <w:szCs w:val="48"/>
              <w:highlight w:val="none"/>
              <w:lang w:val="en-US" w:eastAsia="zh-CN" w:bidi="ar-SA"/>
            </w:rPr>
            <w:instrText xml:space="preserve"> HYPERLINK \l _Toc17192 </w:instrText>
          </w:r>
          <w:r>
            <w:rPr>
              <w:rFonts w:ascii="宋体" w:hAnsi="宋体" w:eastAsia="宋体" w:cs="宋体"/>
              <w:kern w:val="2"/>
              <w:sz w:val="28"/>
              <w:szCs w:val="48"/>
              <w:highlight w:val="none"/>
              <w:lang w:val="en-US" w:eastAsia="zh-CN" w:bidi="ar-SA"/>
            </w:rPr>
            <w:fldChar w:fldCharType="separate"/>
          </w:r>
          <w:r>
            <w:rPr>
              <w:rFonts w:hint="eastAsia"/>
              <w:sz w:val="28"/>
              <w:szCs w:val="28"/>
              <w:highlight w:val="none"/>
            </w:rPr>
            <w:t>第七章 附件</w:t>
          </w:r>
          <w:r>
            <w:rPr>
              <w:sz w:val="28"/>
              <w:szCs w:val="28"/>
              <w:highlight w:val="none"/>
            </w:rPr>
            <w:tab/>
          </w:r>
          <w:r>
            <w:rPr>
              <w:sz w:val="28"/>
              <w:szCs w:val="28"/>
              <w:highlight w:val="none"/>
            </w:rPr>
            <w:fldChar w:fldCharType="begin"/>
          </w:r>
          <w:r>
            <w:rPr>
              <w:sz w:val="28"/>
              <w:szCs w:val="28"/>
              <w:highlight w:val="none"/>
            </w:rPr>
            <w:instrText xml:space="preserve"> PAGEREF _Toc17192 \h </w:instrText>
          </w:r>
          <w:r>
            <w:rPr>
              <w:sz w:val="28"/>
              <w:szCs w:val="28"/>
              <w:highlight w:val="none"/>
            </w:rPr>
            <w:fldChar w:fldCharType="separate"/>
          </w:r>
          <w:r>
            <w:rPr>
              <w:sz w:val="28"/>
              <w:szCs w:val="28"/>
              <w:highlight w:val="none"/>
            </w:rPr>
            <w:t>76</w:t>
          </w:r>
          <w:r>
            <w:rPr>
              <w:sz w:val="28"/>
              <w:szCs w:val="28"/>
              <w:highlight w:val="none"/>
            </w:rPr>
            <w:fldChar w:fldCharType="end"/>
          </w:r>
          <w:r>
            <w:rPr>
              <w:rFonts w:ascii="宋体" w:hAnsi="宋体" w:eastAsia="宋体" w:cs="宋体"/>
              <w:kern w:val="2"/>
              <w:sz w:val="28"/>
              <w:szCs w:val="48"/>
              <w:highlight w:val="none"/>
              <w:lang w:val="en-US" w:eastAsia="zh-CN" w:bidi="ar-SA"/>
            </w:rPr>
            <w:fldChar w:fldCharType="end"/>
          </w:r>
        </w:p>
        <w:p w14:paraId="615A2688">
          <w:pPr>
            <w:pStyle w:val="12"/>
            <w:tabs>
              <w:tab w:val="right" w:leader="dot" w:pos="9780"/>
            </w:tabs>
            <w:rPr>
              <w:sz w:val="28"/>
              <w:szCs w:val="28"/>
              <w:highlight w:val="none"/>
            </w:rPr>
          </w:pPr>
        </w:p>
        <w:p w14:paraId="7C14440D">
          <w:pPr>
            <w:jc w:val="center"/>
            <w:rPr>
              <w:rFonts w:ascii="宋体" w:hAnsi="宋体" w:eastAsia="宋体" w:cs="宋体"/>
              <w:kern w:val="2"/>
              <w:sz w:val="21"/>
              <w:szCs w:val="32"/>
              <w:highlight w:val="none"/>
              <w:lang w:val="en-US" w:eastAsia="zh-CN" w:bidi="ar-SA"/>
            </w:rPr>
          </w:pPr>
          <w:r>
            <w:rPr>
              <w:rFonts w:ascii="宋体" w:hAnsi="宋体" w:eastAsia="宋体" w:cs="宋体"/>
              <w:kern w:val="2"/>
              <w:sz w:val="32"/>
              <w:szCs w:val="48"/>
              <w:highlight w:val="none"/>
              <w:lang w:val="en-US" w:eastAsia="zh-CN" w:bidi="ar-SA"/>
            </w:rPr>
            <w:fldChar w:fldCharType="end"/>
          </w:r>
        </w:p>
      </w:sdtContent>
    </w:sdt>
    <w:p w14:paraId="6113956F">
      <w:pPr>
        <w:jc w:val="center"/>
        <w:rPr>
          <w:rFonts w:ascii="宋体" w:hAnsi="宋体" w:eastAsia="宋体" w:cs="宋体"/>
          <w:kern w:val="2"/>
          <w:sz w:val="21"/>
          <w:szCs w:val="32"/>
          <w:highlight w:val="none"/>
          <w:lang w:val="en-US" w:eastAsia="zh-CN" w:bidi="ar-SA"/>
        </w:rPr>
      </w:pPr>
    </w:p>
    <w:p w14:paraId="519E3E99">
      <w:pPr>
        <w:pStyle w:val="6"/>
        <w:rPr>
          <w:rFonts w:ascii="宋体" w:hAnsi="宋体" w:cs="宋体"/>
          <w:b/>
          <w:sz w:val="32"/>
          <w:szCs w:val="32"/>
          <w:highlight w:val="none"/>
        </w:rPr>
      </w:pPr>
    </w:p>
    <w:p w14:paraId="7EC80ABE">
      <w:pPr>
        <w:pStyle w:val="16"/>
        <w:rPr>
          <w:rFonts w:ascii="宋体" w:cs="宋体"/>
          <w:b/>
          <w:sz w:val="32"/>
          <w:szCs w:val="32"/>
          <w:highlight w:val="none"/>
        </w:rPr>
      </w:pPr>
    </w:p>
    <w:p w14:paraId="6F78AAC7">
      <w:pPr>
        <w:pStyle w:val="16"/>
        <w:rPr>
          <w:rFonts w:ascii="宋体" w:cs="宋体"/>
          <w:b/>
          <w:sz w:val="32"/>
          <w:szCs w:val="32"/>
          <w:highlight w:val="none"/>
        </w:rPr>
      </w:pPr>
    </w:p>
    <w:p w14:paraId="6F4BC781">
      <w:pPr>
        <w:pStyle w:val="16"/>
        <w:rPr>
          <w:rFonts w:ascii="宋体" w:cs="宋体"/>
          <w:b/>
          <w:sz w:val="32"/>
          <w:szCs w:val="32"/>
          <w:highlight w:val="none"/>
        </w:rPr>
      </w:pPr>
    </w:p>
    <w:p w14:paraId="1E6BA9BB">
      <w:pPr>
        <w:pStyle w:val="16"/>
        <w:rPr>
          <w:rFonts w:ascii="宋体" w:cs="宋体"/>
          <w:b/>
          <w:sz w:val="32"/>
          <w:szCs w:val="32"/>
          <w:highlight w:val="none"/>
        </w:rPr>
      </w:pPr>
    </w:p>
    <w:p w14:paraId="11A54B44">
      <w:pPr>
        <w:pStyle w:val="16"/>
        <w:rPr>
          <w:rFonts w:ascii="宋体" w:cs="宋体"/>
          <w:b/>
          <w:sz w:val="32"/>
          <w:szCs w:val="32"/>
          <w:highlight w:val="none"/>
        </w:rPr>
      </w:pPr>
    </w:p>
    <w:p w14:paraId="635A40AD">
      <w:pPr>
        <w:pStyle w:val="16"/>
        <w:rPr>
          <w:rFonts w:ascii="宋体" w:cs="宋体"/>
          <w:b/>
          <w:sz w:val="32"/>
          <w:szCs w:val="32"/>
          <w:highlight w:val="none"/>
        </w:rPr>
      </w:pPr>
    </w:p>
    <w:p w14:paraId="0EC9022F">
      <w:pPr>
        <w:pStyle w:val="16"/>
        <w:rPr>
          <w:rFonts w:ascii="宋体" w:cs="宋体"/>
          <w:b/>
          <w:sz w:val="32"/>
          <w:szCs w:val="32"/>
          <w:highlight w:val="none"/>
        </w:rPr>
      </w:pPr>
    </w:p>
    <w:p w14:paraId="15F7B5A5">
      <w:pPr>
        <w:pStyle w:val="16"/>
        <w:rPr>
          <w:rFonts w:ascii="宋体" w:cs="宋体"/>
          <w:b/>
          <w:sz w:val="32"/>
          <w:szCs w:val="32"/>
          <w:highlight w:val="none"/>
        </w:rPr>
      </w:pPr>
    </w:p>
    <w:p w14:paraId="2491B3F4">
      <w:pPr>
        <w:pStyle w:val="16"/>
        <w:rPr>
          <w:rFonts w:ascii="宋体" w:cs="宋体"/>
          <w:b/>
          <w:sz w:val="32"/>
          <w:szCs w:val="32"/>
          <w:highlight w:val="none"/>
        </w:rPr>
      </w:pPr>
    </w:p>
    <w:p w14:paraId="7BAC68C6">
      <w:pPr>
        <w:pStyle w:val="16"/>
        <w:rPr>
          <w:rFonts w:ascii="宋体" w:cs="宋体"/>
          <w:b/>
          <w:sz w:val="32"/>
          <w:szCs w:val="32"/>
          <w:highlight w:val="none"/>
        </w:rPr>
      </w:pPr>
    </w:p>
    <w:p w14:paraId="4D794396">
      <w:pPr>
        <w:pStyle w:val="16"/>
        <w:rPr>
          <w:rFonts w:ascii="宋体" w:cs="宋体"/>
          <w:b/>
          <w:sz w:val="32"/>
          <w:szCs w:val="32"/>
          <w:highlight w:val="none"/>
        </w:rPr>
      </w:pPr>
    </w:p>
    <w:p w14:paraId="1D2604D2">
      <w:pPr>
        <w:pStyle w:val="16"/>
        <w:rPr>
          <w:rFonts w:ascii="宋体" w:cs="宋体"/>
          <w:b/>
          <w:sz w:val="32"/>
          <w:szCs w:val="32"/>
          <w:highlight w:val="none"/>
        </w:rPr>
      </w:pPr>
    </w:p>
    <w:p w14:paraId="1BA0E818">
      <w:pPr>
        <w:pStyle w:val="16"/>
        <w:rPr>
          <w:rFonts w:ascii="宋体" w:cs="宋体"/>
          <w:b/>
          <w:sz w:val="32"/>
          <w:szCs w:val="32"/>
          <w:highlight w:val="none"/>
        </w:rPr>
      </w:pPr>
    </w:p>
    <w:p w14:paraId="6197BA9B">
      <w:pPr>
        <w:pStyle w:val="16"/>
        <w:rPr>
          <w:rFonts w:ascii="宋体" w:cs="宋体"/>
          <w:b/>
          <w:sz w:val="32"/>
          <w:szCs w:val="32"/>
          <w:highlight w:val="none"/>
        </w:rPr>
      </w:pPr>
    </w:p>
    <w:p w14:paraId="11D1A95B">
      <w:pPr>
        <w:jc w:val="center"/>
        <w:rPr>
          <w:rFonts w:ascii="宋体" w:hAnsi="宋体" w:cs="宋体"/>
          <w:b/>
          <w:sz w:val="32"/>
          <w:szCs w:val="32"/>
          <w:highlight w:val="none"/>
        </w:rPr>
        <w:sectPr>
          <w:headerReference r:id="rId6" w:type="default"/>
          <w:footerReference r:id="rId7" w:type="default"/>
          <w:pgSz w:w="11906" w:h="16838"/>
          <w:pgMar w:top="1134" w:right="992" w:bottom="1134" w:left="1134" w:header="851" w:footer="992" w:gutter="0"/>
          <w:pgNumType w:start="1"/>
          <w:cols w:space="720" w:num="1"/>
          <w:docGrid w:linePitch="312" w:charSpace="0"/>
        </w:sectPr>
      </w:pPr>
    </w:p>
    <w:p w14:paraId="03F60F61">
      <w:pPr>
        <w:pStyle w:val="2"/>
        <w:bidi w:val="0"/>
        <w:spacing w:line="240" w:lineRule="auto"/>
        <w:jc w:val="center"/>
        <w:rPr>
          <w:sz w:val="36"/>
          <w:szCs w:val="36"/>
          <w:highlight w:val="none"/>
        </w:rPr>
      </w:pPr>
      <w:bookmarkStart w:id="0" w:name="_Toc4175"/>
      <w:r>
        <w:rPr>
          <w:rFonts w:hint="eastAsia"/>
          <w:sz w:val="36"/>
          <w:szCs w:val="36"/>
          <w:highlight w:val="none"/>
        </w:rPr>
        <w:t>第一章  竞争性谈判公告</w:t>
      </w:r>
      <w:bookmarkEnd w:id="0"/>
    </w:p>
    <w:tbl>
      <w:tblPr>
        <w:tblStyle w:val="18"/>
        <w:tblpPr w:leftFromText="180" w:rightFromText="180" w:vertAnchor="text" w:tblpXSpec="center" w:tblpY="1"/>
        <w:tblOverlap w:val="never"/>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2"/>
      </w:tblGrid>
      <w:tr w14:paraId="6813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9332" w:type="dxa"/>
            <w:noWrap w:val="0"/>
            <w:vAlign w:val="top"/>
          </w:tcPr>
          <w:p w14:paraId="421D984D">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right="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项目概况：</w:t>
            </w:r>
          </w:p>
          <w:p w14:paraId="3374C19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rPr>
            </w:pPr>
            <w:r>
              <w:rPr>
                <w:rFonts w:hint="eastAsia" w:ascii="宋体" w:hAnsi="宋体" w:cs="宋体"/>
                <w:i w:val="0"/>
                <w:iCs w:val="0"/>
                <w:sz w:val="24"/>
                <w:szCs w:val="24"/>
                <w:highlight w:val="none"/>
                <w:lang w:val="en-US" w:eastAsia="zh-CN"/>
              </w:rPr>
              <w:t>吉林司法警官职业学院常态化智慧教室建设项目（二次）</w:t>
            </w:r>
            <w:r>
              <w:rPr>
                <w:rFonts w:hint="eastAsia" w:ascii="宋体" w:hAnsi="宋体" w:eastAsia="宋体" w:cs="宋体"/>
                <w:i w:val="0"/>
                <w:iCs w:val="0"/>
                <w:sz w:val="24"/>
                <w:szCs w:val="24"/>
                <w:highlight w:val="none"/>
                <w:lang w:val="en-US" w:eastAsia="zh-CN"/>
              </w:rPr>
              <w:t>的潜在供应商应在“政采云”平台（https://www.zcygov.cn/）获取谈判文件，并于2025年</w:t>
            </w:r>
            <w:r>
              <w:rPr>
                <w:rFonts w:hint="eastAsia" w:ascii="宋体" w:hAnsi="宋体" w:cs="宋体"/>
                <w:i w:val="0"/>
                <w:iCs w:val="0"/>
                <w:sz w:val="24"/>
                <w:szCs w:val="24"/>
                <w:highlight w:val="none"/>
                <w:lang w:val="en-US" w:eastAsia="zh-CN"/>
              </w:rPr>
              <w:t>07</w:t>
            </w:r>
            <w:r>
              <w:rPr>
                <w:rFonts w:hint="eastAsia" w:ascii="宋体" w:hAnsi="宋体" w:eastAsia="宋体" w:cs="宋体"/>
                <w:i w:val="0"/>
                <w:iCs w:val="0"/>
                <w:sz w:val="24"/>
                <w:szCs w:val="24"/>
                <w:highlight w:val="none"/>
                <w:lang w:val="en-US" w:eastAsia="zh-CN"/>
              </w:rPr>
              <w:t>月</w:t>
            </w:r>
            <w:r>
              <w:rPr>
                <w:rFonts w:hint="eastAsia" w:ascii="宋体" w:hAnsi="宋体" w:cs="宋体"/>
                <w:i w:val="0"/>
                <w:iCs w:val="0"/>
                <w:sz w:val="24"/>
                <w:szCs w:val="24"/>
                <w:highlight w:val="none"/>
                <w:lang w:val="en-US" w:eastAsia="zh-CN"/>
              </w:rPr>
              <w:t>21</w:t>
            </w:r>
            <w:r>
              <w:rPr>
                <w:rFonts w:hint="eastAsia" w:ascii="宋体" w:hAnsi="宋体" w:eastAsia="宋体" w:cs="宋体"/>
                <w:i w:val="0"/>
                <w:iCs w:val="0"/>
                <w:sz w:val="24"/>
                <w:szCs w:val="24"/>
                <w:highlight w:val="none"/>
                <w:lang w:val="en-US" w:eastAsia="zh-CN"/>
              </w:rPr>
              <w:t>日</w:t>
            </w:r>
            <w:r>
              <w:rPr>
                <w:rFonts w:hint="eastAsia" w:ascii="宋体" w:hAnsi="宋体" w:cs="宋体"/>
                <w:i w:val="0"/>
                <w:iCs w:val="0"/>
                <w:sz w:val="24"/>
                <w:szCs w:val="24"/>
                <w:highlight w:val="none"/>
                <w:lang w:val="en-US" w:eastAsia="zh-CN"/>
              </w:rPr>
              <w:t>09</w:t>
            </w:r>
            <w:r>
              <w:rPr>
                <w:rFonts w:hint="eastAsia" w:ascii="宋体" w:hAnsi="宋体" w:eastAsia="宋体" w:cs="宋体"/>
                <w:i w:val="0"/>
                <w:iCs w:val="0"/>
                <w:sz w:val="24"/>
                <w:szCs w:val="24"/>
                <w:highlight w:val="none"/>
                <w:lang w:val="en-US" w:eastAsia="zh-CN"/>
              </w:rPr>
              <w:t>时</w:t>
            </w:r>
            <w:r>
              <w:rPr>
                <w:rFonts w:hint="eastAsia" w:ascii="宋体" w:hAnsi="宋体" w:cs="宋体"/>
                <w:i w:val="0"/>
                <w:iCs w:val="0"/>
                <w:sz w:val="24"/>
                <w:szCs w:val="24"/>
                <w:highlight w:val="none"/>
                <w:lang w:val="en-US" w:eastAsia="zh-CN"/>
              </w:rPr>
              <w:t>00</w:t>
            </w:r>
            <w:r>
              <w:rPr>
                <w:rFonts w:hint="eastAsia" w:ascii="宋体" w:hAnsi="宋体" w:eastAsia="宋体" w:cs="宋体"/>
                <w:i w:val="0"/>
                <w:iCs w:val="0"/>
                <w:sz w:val="24"/>
                <w:szCs w:val="24"/>
                <w:highlight w:val="none"/>
                <w:lang w:val="en-US" w:eastAsia="zh-CN"/>
              </w:rPr>
              <w:t>分（北京时间）前提交响应文件。</w:t>
            </w:r>
          </w:p>
        </w:tc>
      </w:tr>
    </w:tbl>
    <w:p w14:paraId="546D23F9">
      <w:pPr>
        <w:widowControl/>
        <w:spacing w:line="360" w:lineRule="auto"/>
        <w:rPr>
          <w:rFonts w:ascii="宋体" w:hAnsi="宋体" w:cs="宋体"/>
          <w:b/>
          <w:kern w:val="0"/>
          <w:sz w:val="24"/>
          <w:szCs w:val="24"/>
          <w:highlight w:val="none"/>
        </w:rPr>
      </w:pPr>
      <w:r>
        <w:rPr>
          <w:rFonts w:hint="eastAsia" w:ascii="宋体" w:hAnsi="宋体" w:cs="宋体"/>
          <w:b/>
          <w:kern w:val="0"/>
          <w:sz w:val="24"/>
          <w:szCs w:val="24"/>
          <w:highlight w:val="none"/>
        </w:rPr>
        <w:t>一、项目基本情况：</w:t>
      </w:r>
    </w:p>
    <w:p w14:paraId="123FAE7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1.采购编号：采购计划-[2025]-07114号-JLSB2025-107C-H</w:t>
      </w:r>
      <w:r>
        <w:rPr>
          <w:rFonts w:hint="eastAsia" w:ascii="宋体" w:hAnsi="宋体" w:cs="宋体"/>
          <w:i w:val="0"/>
          <w:iCs w:val="0"/>
          <w:sz w:val="24"/>
          <w:szCs w:val="24"/>
          <w:highlight w:val="none"/>
          <w:lang w:val="en-US" w:eastAsia="zh-CN"/>
        </w:rPr>
        <w:t>-1</w:t>
      </w:r>
      <w:r>
        <w:rPr>
          <w:rFonts w:hint="eastAsia" w:ascii="宋体" w:hAnsi="宋体" w:eastAsia="宋体" w:cs="宋体"/>
          <w:i w:val="0"/>
          <w:iCs w:val="0"/>
          <w:sz w:val="24"/>
          <w:szCs w:val="24"/>
          <w:highlight w:val="none"/>
          <w:lang w:val="en-US" w:eastAsia="zh-CN"/>
        </w:rPr>
        <w:t>；</w:t>
      </w:r>
    </w:p>
    <w:p w14:paraId="25DF72FE">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2.项目名称：</w:t>
      </w:r>
      <w:r>
        <w:rPr>
          <w:rFonts w:hint="eastAsia" w:ascii="宋体" w:hAnsi="宋体" w:cs="宋体"/>
          <w:i w:val="0"/>
          <w:iCs w:val="0"/>
          <w:sz w:val="24"/>
          <w:szCs w:val="24"/>
          <w:highlight w:val="none"/>
          <w:lang w:val="en-US" w:eastAsia="zh-CN"/>
        </w:rPr>
        <w:t>吉林司法警官职业学院常态化智慧教室建设项目（二次）</w:t>
      </w:r>
      <w:r>
        <w:rPr>
          <w:rFonts w:hint="eastAsia" w:ascii="宋体" w:hAnsi="宋体" w:eastAsia="宋体" w:cs="宋体"/>
          <w:i w:val="0"/>
          <w:iCs w:val="0"/>
          <w:sz w:val="24"/>
          <w:szCs w:val="24"/>
          <w:highlight w:val="none"/>
          <w:lang w:val="en-US" w:eastAsia="zh-CN"/>
        </w:rPr>
        <w:t>；</w:t>
      </w:r>
    </w:p>
    <w:p w14:paraId="506CDD05">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3.采购方式：竞争性谈判；</w:t>
      </w:r>
    </w:p>
    <w:p w14:paraId="5D120FD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4.预算金额（最高限价）：1</w:t>
      </w:r>
      <w:r>
        <w:rPr>
          <w:rFonts w:hint="eastAsia" w:ascii="宋体" w:hAnsi="宋体" w:cs="宋体"/>
          <w:i w:val="0"/>
          <w:iCs w:val="0"/>
          <w:sz w:val="24"/>
          <w:szCs w:val="24"/>
          <w:highlight w:val="none"/>
          <w:lang w:val="en-US" w:eastAsia="zh-CN"/>
        </w:rPr>
        <w:t>39</w:t>
      </w:r>
      <w:r>
        <w:rPr>
          <w:rFonts w:hint="eastAsia" w:ascii="宋体" w:hAnsi="宋体" w:eastAsia="宋体" w:cs="宋体"/>
          <w:i w:val="0"/>
          <w:iCs w:val="0"/>
          <w:sz w:val="24"/>
          <w:szCs w:val="24"/>
          <w:highlight w:val="none"/>
          <w:lang w:val="en-US" w:eastAsia="zh-CN"/>
        </w:rPr>
        <w:t>万元；</w:t>
      </w:r>
    </w:p>
    <w:p w14:paraId="645A288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bCs/>
          <w:kern w:val="0"/>
          <w:sz w:val="24"/>
          <w:szCs w:val="24"/>
          <w:highlight w:val="none"/>
        </w:rPr>
      </w:pPr>
      <w:r>
        <w:rPr>
          <w:rFonts w:hint="eastAsia" w:ascii="宋体" w:hAnsi="宋体" w:eastAsia="宋体" w:cs="宋体"/>
          <w:i w:val="0"/>
          <w:iCs w:val="0"/>
          <w:sz w:val="24"/>
          <w:szCs w:val="24"/>
          <w:highlight w:val="none"/>
          <w:lang w:val="en-US" w:eastAsia="zh-CN"/>
        </w:rPr>
        <w:t>5.采购内容：</w:t>
      </w:r>
      <w:r>
        <w:rPr>
          <w:rFonts w:hint="eastAsia" w:ascii="宋体" w:hAnsi="宋体" w:cs="宋体"/>
          <w:i w:val="0"/>
          <w:iCs w:val="0"/>
          <w:sz w:val="24"/>
          <w:szCs w:val="24"/>
          <w:highlight w:val="none"/>
          <w:lang w:val="en-US" w:eastAsia="zh-CN"/>
        </w:rPr>
        <w:t>吉林司法警官职业学院常态化智慧教室建设项目</w:t>
      </w:r>
      <w:r>
        <w:rPr>
          <w:rFonts w:hint="eastAsia" w:ascii="宋体" w:hAnsi="宋体" w:eastAsia="宋体" w:cs="宋体"/>
          <w:i w:val="0"/>
          <w:iCs w:val="0"/>
          <w:sz w:val="24"/>
          <w:szCs w:val="24"/>
          <w:highlight w:val="none"/>
          <w:lang w:val="en-US" w:eastAsia="zh-CN"/>
        </w:rPr>
        <w:t>(详见第三章采购需求）；</w:t>
      </w:r>
    </w:p>
    <w:p w14:paraId="4AACF4CD">
      <w:pPr>
        <w:spacing w:line="360" w:lineRule="auto"/>
        <w:ind w:firstLine="480" w:firstLineChars="20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6.</w:t>
      </w:r>
      <w:bookmarkStart w:id="1" w:name="获取委托代理协议相应内容"/>
      <w:bookmarkEnd w:id="1"/>
      <w:r>
        <w:rPr>
          <w:rFonts w:hint="eastAsia" w:ascii="宋体" w:hAnsi="宋体" w:eastAsia="宋体" w:cs="宋体"/>
          <w:bCs/>
          <w:kern w:val="0"/>
          <w:sz w:val="24"/>
          <w:szCs w:val="24"/>
          <w:highlight w:val="none"/>
          <w:lang w:val="en-US" w:eastAsia="zh-CN"/>
        </w:rPr>
        <w:t>合同履行期限(交货期限）</w:t>
      </w:r>
      <w:r>
        <w:rPr>
          <w:rFonts w:hint="eastAsia" w:ascii="宋体" w:hAnsi="宋体" w:cs="宋体"/>
          <w:bCs/>
          <w:kern w:val="0"/>
          <w:sz w:val="24"/>
          <w:szCs w:val="24"/>
          <w:highlight w:val="none"/>
          <w:lang w:val="en-US" w:eastAsia="zh-CN"/>
        </w:rPr>
        <w:t>：</w:t>
      </w:r>
      <w:r>
        <w:rPr>
          <w:rFonts w:hint="eastAsia" w:ascii="宋体" w:hAnsi="宋体" w:eastAsia="宋体" w:cs="宋体"/>
          <w:bCs/>
          <w:kern w:val="0"/>
          <w:sz w:val="24"/>
          <w:szCs w:val="24"/>
          <w:highlight w:val="none"/>
        </w:rPr>
        <w:t>自合同签订之日起</w:t>
      </w:r>
      <w:r>
        <w:rPr>
          <w:rFonts w:hint="eastAsia" w:ascii="宋体" w:hAnsi="宋体" w:cs="宋体"/>
          <w:bCs/>
          <w:kern w:val="0"/>
          <w:sz w:val="24"/>
          <w:szCs w:val="24"/>
          <w:highlight w:val="none"/>
          <w:lang w:val="en-US" w:eastAsia="zh-CN"/>
        </w:rPr>
        <w:t>30</w:t>
      </w:r>
      <w:r>
        <w:rPr>
          <w:rFonts w:hint="eastAsia" w:ascii="宋体" w:hAnsi="宋体" w:eastAsia="宋体" w:cs="宋体"/>
          <w:bCs/>
          <w:kern w:val="0"/>
          <w:sz w:val="24"/>
          <w:szCs w:val="24"/>
          <w:highlight w:val="none"/>
          <w:lang w:val="zh-CN"/>
        </w:rPr>
        <w:t>天内完成</w:t>
      </w:r>
      <w:r>
        <w:rPr>
          <w:rFonts w:hint="eastAsia" w:ascii="宋体" w:hAnsi="宋体" w:cs="宋体"/>
          <w:bCs/>
          <w:kern w:val="0"/>
          <w:sz w:val="24"/>
          <w:szCs w:val="24"/>
          <w:highlight w:val="none"/>
          <w:lang w:val="zh-CN"/>
        </w:rPr>
        <w:t>；</w:t>
      </w:r>
    </w:p>
    <w:p w14:paraId="22C97579">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val="en-US" w:eastAsia="zh-CN"/>
        </w:rPr>
        <w:t>7.</w:t>
      </w:r>
      <w:r>
        <w:rPr>
          <w:rFonts w:hint="eastAsia" w:ascii="宋体" w:hAnsi="宋体" w:eastAsia="宋体" w:cs="宋体"/>
          <w:i w:val="0"/>
          <w:iCs w:val="0"/>
          <w:sz w:val="24"/>
          <w:szCs w:val="24"/>
          <w:highlight w:val="none"/>
        </w:rPr>
        <w:t>供货地点：吉林司法警官职业学院</w:t>
      </w:r>
      <w:r>
        <w:rPr>
          <w:rFonts w:hint="eastAsia" w:ascii="宋体" w:hAnsi="宋体" w:eastAsia="宋体" w:cs="宋体"/>
          <w:i w:val="0"/>
          <w:iCs w:val="0"/>
          <w:sz w:val="24"/>
          <w:szCs w:val="24"/>
          <w:highlight w:val="none"/>
          <w:lang w:eastAsia="zh-CN"/>
        </w:rPr>
        <w:t>；</w:t>
      </w:r>
    </w:p>
    <w:p w14:paraId="2BEC183C">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val="en-US" w:eastAsia="zh-CN"/>
        </w:rPr>
        <w:t>8.</w:t>
      </w:r>
      <w:r>
        <w:rPr>
          <w:rFonts w:hint="eastAsia" w:ascii="宋体" w:hAnsi="宋体" w:eastAsia="宋体" w:cs="宋体"/>
          <w:i w:val="0"/>
          <w:iCs w:val="0"/>
          <w:sz w:val="24"/>
          <w:szCs w:val="24"/>
          <w:highlight w:val="none"/>
        </w:rPr>
        <w:t>质量要求：符合国家及相关行业合格标准</w:t>
      </w:r>
      <w:r>
        <w:rPr>
          <w:rFonts w:hint="eastAsia" w:ascii="宋体" w:hAnsi="宋体" w:eastAsia="宋体" w:cs="宋体"/>
          <w:i w:val="0"/>
          <w:iCs w:val="0"/>
          <w:sz w:val="24"/>
          <w:szCs w:val="24"/>
          <w:highlight w:val="none"/>
          <w:lang w:eastAsia="zh-CN"/>
        </w:rPr>
        <w:t>；</w:t>
      </w:r>
    </w:p>
    <w:p w14:paraId="4C9C2DDE">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9.本项目不接受联合体投标。</w:t>
      </w:r>
    </w:p>
    <w:p w14:paraId="35C3EB52">
      <w:pPr>
        <w:spacing w:line="360" w:lineRule="auto"/>
        <w:rPr>
          <w:rFonts w:ascii="宋体" w:hAnsi="宋体" w:cs="宋体"/>
          <w:b/>
          <w:sz w:val="24"/>
          <w:szCs w:val="24"/>
          <w:highlight w:val="none"/>
        </w:rPr>
      </w:pPr>
      <w:r>
        <w:rPr>
          <w:rFonts w:hint="eastAsia" w:ascii="宋体" w:hAnsi="宋体" w:cs="宋体"/>
          <w:b/>
          <w:kern w:val="0"/>
          <w:sz w:val="24"/>
          <w:szCs w:val="24"/>
          <w:highlight w:val="none"/>
        </w:rPr>
        <w:t>二、申请人的资格要求：</w:t>
      </w:r>
    </w:p>
    <w:p w14:paraId="43CCD568">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ascii="Times New Roman" w:hAnsi="Times New Roman" w:eastAsia="宋体" w:cs="Times New Roman"/>
          <w:szCs w:val="20"/>
          <w:highlight w:val="none"/>
        </w:rPr>
      </w:pPr>
      <w:bookmarkStart w:id="2" w:name="_bookmark3"/>
      <w:bookmarkEnd w:id="2"/>
      <w:r>
        <w:rPr>
          <w:rFonts w:hint="eastAsia" w:ascii="宋体" w:hAnsi="宋体" w:eastAsia="宋体" w:cs="宋体"/>
          <w:color w:val="000000"/>
          <w:kern w:val="0"/>
          <w:sz w:val="24"/>
          <w:szCs w:val="24"/>
          <w:highlight w:val="none"/>
          <w:lang w:val="en-US" w:eastAsia="zh-CN" w:bidi="ar"/>
        </w:rPr>
        <w:t>1.满足《中华人民共和国政府采购法》第二十二条规定；</w:t>
      </w:r>
    </w:p>
    <w:p w14:paraId="78CD2DF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ascii="Times New Roman" w:hAnsi="Times New Roman" w:eastAsia="宋体" w:cs="Times New Roman"/>
          <w:szCs w:val="20"/>
          <w:highlight w:val="none"/>
        </w:rPr>
      </w:pP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i w:val="0"/>
          <w:iCs w:val="0"/>
          <w:sz w:val="24"/>
          <w:szCs w:val="24"/>
          <w:highlight w:val="none"/>
        </w:rPr>
        <w:t>落实政府采购政策需满足的资格要求：本项目非专门面向中小企业</w:t>
      </w:r>
      <w:r>
        <w:rPr>
          <w:rFonts w:hint="eastAsia" w:ascii="宋体" w:hAnsi="宋体" w:eastAsia="宋体" w:cs="宋体"/>
          <w:i w:val="0"/>
          <w:iCs w:val="0"/>
          <w:sz w:val="24"/>
          <w:szCs w:val="24"/>
          <w:highlight w:val="none"/>
          <w:lang w:val="en-US" w:eastAsia="zh-CN"/>
        </w:rPr>
        <w:t xml:space="preserve">采购； </w:t>
      </w:r>
    </w:p>
    <w:p w14:paraId="2F35A908">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left"/>
        <w:rPr>
          <w:rFonts w:hint="eastAsia" w:ascii="宋体" w:hAnsi="宋体" w:eastAsia="宋体" w:cs="宋体"/>
          <w:i w:val="0"/>
          <w:iCs w:val="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i w:val="0"/>
          <w:iCs w:val="0"/>
          <w:sz w:val="24"/>
          <w:szCs w:val="24"/>
          <w:highlight w:val="none"/>
          <w:lang w:val="en-US" w:eastAsia="zh-CN"/>
        </w:rPr>
        <w:t>本项目的特定资格要求：</w:t>
      </w:r>
    </w:p>
    <w:p w14:paraId="6B3849D5">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left"/>
        <w:rPr>
          <w:highlight w:val="none"/>
        </w:rPr>
      </w:pPr>
      <w:r>
        <w:rPr>
          <w:rFonts w:hint="eastAsia" w:ascii="宋体" w:hAnsi="宋体" w:cs="宋体"/>
          <w:i w:val="0"/>
          <w:iCs w:val="0"/>
          <w:sz w:val="24"/>
          <w:szCs w:val="24"/>
          <w:highlight w:val="none"/>
          <w:lang w:val="en-US" w:eastAsia="zh-CN"/>
        </w:rPr>
        <w:t>3.1</w:t>
      </w:r>
      <w:r>
        <w:rPr>
          <w:rFonts w:hint="eastAsia" w:ascii="宋体" w:hAnsi="宋体" w:eastAsia="宋体" w:cs="宋体"/>
          <w:i w:val="0"/>
          <w:iCs w:val="0"/>
          <w:sz w:val="24"/>
          <w:szCs w:val="24"/>
          <w:highlight w:val="none"/>
          <w:lang w:val="en-US" w:eastAsia="zh-CN"/>
        </w:rPr>
        <w:t>供应商在中华人民共和国境内注册，能够独立承担民事责任的法人或其他组织形式，具备有效的营业执照；并在人员、设备、资金等方面具有承担本项目的能力。</w:t>
      </w:r>
    </w:p>
    <w:p w14:paraId="3A67F5B3">
      <w:pPr>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i w:val="0"/>
          <w:iCs w:val="0"/>
          <w:sz w:val="24"/>
          <w:szCs w:val="24"/>
          <w:highlight w:val="none"/>
          <w:lang w:val="en-US" w:eastAsia="zh-CN"/>
        </w:rPr>
      </w:pPr>
      <w:r>
        <w:rPr>
          <w:rFonts w:hint="eastAsia" w:ascii="宋体" w:hAnsi="宋体" w:cs="宋体"/>
          <w:i w:val="0"/>
          <w:iCs w:val="0"/>
          <w:sz w:val="24"/>
          <w:szCs w:val="24"/>
          <w:highlight w:val="none"/>
          <w:lang w:val="en-US" w:eastAsia="zh-CN"/>
        </w:rPr>
        <w:t>3.2</w:t>
      </w:r>
      <w:r>
        <w:rPr>
          <w:rFonts w:hint="eastAsia" w:ascii="宋体" w:hAnsi="宋体" w:eastAsia="宋体" w:cs="宋体"/>
          <w:i w:val="0"/>
          <w:iCs w:val="0"/>
          <w:sz w:val="24"/>
          <w:szCs w:val="24"/>
          <w:highlight w:val="none"/>
          <w:lang w:val="en-US" w:eastAsia="zh-CN"/>
        </w:rPr>
        <w:t>近三年财务状况良好，提供由专业审计机构出具的</w:t>
      </w:r>
      <w:r>
        <w:rPr>
          <w:rFonts w:hint="eastAsia" w:ascii="宋体" w:hAnsi="宋体" w:eastAsia="宋体" w:cs="宋体"/>
          <w:i w:val="0"/>
          <w:iCs w:val="0"/>
          <w:sz w:val="24"/>
          <w:szCs w:val="24"/>
          <w:highlight w:val="none"/>
        </w:rPr>
        <w:t>近三年(20</w:t>
      </w:r>
      <w:r>
        <w:rPr>
          <w:rFonts w:hint="eastAsia" w:ascii="宋体" w:hAnsi="宋体" w:eastAsia="宋体" w:cs="宋体"/>
          <w:i w:val="0"/>
          <w:iCs w:val="0"/>
          <w:sz w:val="24"/>
          <w:szCs w:val="24"/>
          <w:highlight w:val="none"/>
          <w:lang w:val="en-US" w:eastAsia="zh-CN"/>
        </w:rPr>
        <w:t>22</w:t>
      </w:r>
      <w:r>
        <w:rPr>
          <w:rFonts w:hint="eastAsia" w:ascii="宋体" w:hAnsi="宋体" w:eastAsia="宋体" w:cs="宋体"/>
          <w:i w:val="0"/>
          <w:iCs w:val="0"/>
          <w:sz w:val="24"/>
          <w:szCs w:val="24"/>
          <w:highlight w:val="none"/>
        </w:rPr>
        <w:t>-202</w:t>
      </w:r>
      <w:r>
        <w:rPr>
          <w:rFonts w:hint="eastAsia" w:ascii="宋体" w:hAnsi="宋体" w:eastAsia="宋体" w:cs="宋体"/>
          <w:i w:val="0"/>
          <w:iCs w:val="0"/>
          <w:sz w:val="24"/>
          <w:szCs w:val="24"/>
          <w:highlight w:val="none"/>
          <w:lang w:val="en-US" w:eastAsia="zh-CN"/>
        </w:rPr>
        <w:t>4</w:t>
      </w:r>
      <w:r>
        <w:rPr>
          <w:rFonts w:hint="eastAsia" w:ascii="宋体" w:hAnsi="宋体" w:eastAsia="宋体" w:cs="宋体"/>
          <w:i w:val="0"/>
          <w:iCs w:val="0"/>
          <w:sz w:val="24"/>
          <w:szCs w:val="24"/>
          <w:highlight w:val="none"/>
        </w:rPr>
        <w:t>年)的财务审计报告(新成立不足三年的企业提供自成立之日起至202</w:t>
      </w:r>
      <w:r>
        <w:rPr>
          <w:rFonts w:hint="eastAsia" w:ascii="宋体" w:hAnsi="宋体" w:eastAsia="宋体" w:cs="宋体"/>
          <w:i w:val="0"/>
          <w:iCs w:val="0"/>
          <w:sz w:val="24"/>
          <w:szCs w:val="24"/>
          <w:highlight w:val="none"/>
          <w:lang w:val="en-US" w:eastAsia="zh-CN"/>
        </w:rPr>
        <w:t>4</w:t>
      </w:r>
      <w:r>
        <w:rPr>
          <w:rFonts w:hint="eastAsia" w:ascii="宋体" w:hAnsi="宋体" w:eastAsia="宋体" w:cs="宋体"/>
          <w:i w:val="0"/>
          <w:iCs w:val="0"/>
          <w:sz w:val="24"/>
          <w:szCs w:val="24"/>
          <w:highlight w:val="none"/>
        </w:rPr>
        <w:t>年的财务审计报告,若供应商为202</w:t>
      </w:r>
      <w:r>
        <w:rPr>
          <w:rFonts w:hint="eastAsia" w:ascii="宋体" w:hAnsi="宋体" w:eastAsia="宋体" w:cs="宋体"/>
          <w:i w:val="0"/>
          <w:iCs w:val="0"/>
          <w:sz w:val="24"/>
          <w:szCs w:val="24"/>
          <w:highlight w:val="none"/>
          <w:lang w:val="en-US" w:eastAsia="zh-CN"/>
        </w:rPr>
        <w:t>4</w:t>
      </w:r>
      <w:r>
        <w:rPr>
          <w:rFonts w:hint="eastAsia" w:ascii="宋体" w:hAnsi="宋体" w:eastAsia="宋体" w:cs="宋体"/>
          <w:i w:val="0"/>
          <w:iCs w:val="0"/>
          <w:sz w:val="24"/>
          <w:szCs w:val="24"/>
          <w:highlight w:val="none"/>
        </w:rPr>
        <w:t>年</w:t>
      </w:r>
      <w:r>
        <w:rPr>
          <w:rFonts w:hint="eastAsia" w:ascii="宋体" w:hAnsi="宋体" w:eastAsia="宋体" w:cs="宋体"/>
          <w:i w:val="0"/>
          <w:iCs w:val="0"/>
          <w:sz w:val="24"/>
          <w:szCs w:val="24"/>
          <w:highlight w:val="none"/>
          <w:lang w:val="en-US" w:eastAsia="zh-CN"/>
        </w:rPr>
        <w:t>12</w:t>
      </w:r>
      <w:r>
        <w:rPr>
          <w:rFonts w:hint="eastAsia" w:ascii="宋体" w:hAnsi="宋体" w:eastAsia="宋体" w:cs="宋体"/>
          <w:i w:val="0"/>
          <w:iCs w:val="0"/>
          <w:sz w:val="24"/>
          <w:szCs w:val="24"/>
          <w:highlight w:val="none"/>
        </w:rPr>
        <w:t>月</w:t>
      </w:r>
      <w:r>
        <w:rPr>
          <w:rFonts w:hint="eastAsia" w:ascii="宋体" w:hAnsi="宋体" w:eastAsia="宋体" w:cs="宋体"/>
          <w:i w:val="0"/>
          <w:iCs w:val="0"/>
          <w:sz w:val="24"/>
          <w:szCs w:val="24"/>
          <w:highlight w:val="none"/>
          <w:lang w:val="en-US" w:eastAsia="zh-CN"/>
        </w:rPr>
        <w:t>3</w:t>
      </w:r>
      <w:r>
        <w:rPr>
          <w:rFonts w:hint="eastAsia" w:ascii="宋体" w:hAnsi="宋体" w:eastAsia="宋体" w:cs="宋体"/>
          <w:i w:val="0"/>
          <w:iCs w:val="0"/>
          <w:sz w:val="24"/>
          <w:szCs w:val="24"/>
          <w:highlight w:val="none"/>
        </w:rPr>
        <w:t>1日及以后注册成立的公司，</w:t>
      </w:r>
      <w:r>
        <w:rPr>
          <w:rFonts w:hint="eastAsia" w:ascii="宋体" w:hAnsi="宋体" w:eastAsia="宋体" w:cs="宋体"/>
          <w:i w:val="0"/>
          <w:iCs w:val="0"/>
          <w:sz w:val="24"/>
          <w:szCs w:val="24"/>
          <w:highlight w:val="none"/>
          <w:lang w:val="en-US" w:eastAsia="zh-CN"/>
        </w:rPr>
        <w:t>提供</w:t>
      </w:r>
      <w:r>
        <w:rPr>
          <w:rFonts w:hint="eastAsia" w:ascii="宋体" w:hAnsi="宋体" w:eastAsia="宋体" w:cs="宋体"/>
          <w:i w:val="0"/>
          <w:iCs w:val="0"/>
          <w:sz w:val="24"/>
          <w:szCs w:val="24"/>
          <w:highlight w:val="none"/>
        </w:rPr>
        <w:t>财务状况良好承诺书)</w:t>
      </w:r>
      <w:r>
        <w:rPr>
          <w:rFonts w:hint="eastAsia" w:ascii="宋体" w:hAnsi="宋体" w:cs="宋体"/>
          <w:i w:val="0"/>
          <w:iCs w:val="0"/>
          <w:sz w:val="24"/>
          <w:szCs w:val="24"/>
          <w:highlight w:val="none"/>
          <w:lang w:val="en-US" w:eastAsia="zh-CN"/>
        </w:rPr>
        <w:t>。</w:t>
      </w:r>
    </w:p>
    <w:p w14:paraId="348B8B33">
      <w:pPr>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i w:val="0"/>
          <w:iCs w:val="0"/>
          <w:sz w:val="24"/>
          <w:szCs w:val="24"/>
          <w:highlight w:val="none"/>
          <w:lang w:val="en-US" w:eastAsia="zh-CN"/>
        </w:rPr>
      </w:pPr>
      <w:r>
        <w:rPr>
          <w:rFonts w:hint="eastAsia" w:ascii="宋体" w:hAnsi="宋体" w:cs="宋体"/>
          <w:i w:val="0"/>
          <w:iCs w:val="0"/>
          <w:sz w:val="24"/>
          <w:szCs w:val="24"/>
          <w:highlight w:val="none"/>
          <w:lang w:val="en-US" w:eastAsia="zh-CN"/>
        </w:rPr>
        <w:t>3.3</w:t>
      </w:r>
      <w:r>
        <w:rPr>
          <w:rFonts w:hint="eastAsia" w:ascii="宋体" w:hAnsi="宋体" w:eastAsia="宋体" w:cs="宋体"/>
          <w:i w:val="0"/>
          <w:iCs w:val="0"/>
          <w:sz w:val="24"/>
          <w:szCs w:val="24"/>
          <w:highlight w:val="none"/>
          <w:lang w:val="en-US" w:eastAsia="zh-CN"/>
        </w:rPr>
        <w:t>信誉要求</w:t>
      </w:r>
    </w:p>
    <w:p w14:paraId="1F3E3C9D">
      <w:pPr>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（1）不接受列入政府取消投标资格记录期间的企业或个人参加投标；参加政府采购活动前三年内，在经营活动中没有重大违法记录。</w:t>
      </w:r>
    </w:p>
    <w:p w14:paraId="37DA589F">
      <w:pPr>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2）供应商不得为“信用中国”网站（www.creditchina.gov.cn）中列入失信被执行人和重大税收违法失信主体的供应商，不得为中国政府采购网（www.ccgp.gov.cn）政府采购严重违法失信行为记录名单中被财政部门禁止参加政府采购活动的供应商（详见财库【2016】125号文）（需在公告发布之后至投标截止期间在官方网站查询，并将查询截图加盖单位公章附在投标文件中）。</w:t>
      </w:r>
    </w:p>
    <w:p w14:paraId="7EACD57F">
      <w:pPr>
        <w:widowControl/>
        <w:spacing w:line="360" w:lineRule="auto"/>
        <w:ind w:firstLine="480" w:firstLineChars="200"/>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3）与采购人存在利害关系可能影响采购公正性的法人、其它组织或者个人，不得参加投标；单位负责人为同一人或者存在直接控股、管理关系的不同供应商，不得参加同一合同项下的政府采购活动。否则相关投标无效</w:t>
      </w:r>
    </w:p>
    <w:p w14:paraId="6B3FCC7A">
      <w:pPr>
        <w:widowControl/>
        <w:spacing w:line="360" w:lineRule="auto"/>
        <w:rPr>
          <w:rFonts w:ascii="宋体" w:hAnsi="宋体" w:cs="宋体"/>
          <w:bCs/>
          <w:sz w:val="24"/>
          <w:szCs w:val="24"/>
          <w:highlight w:val="none"/>
        </w:rPr>
      </w:pPr>
      <w:r>
        <w:rPr>
          <w:rFonts w:hint="eastAsia" w:ascii="宋体" w:hAnsi="宋体" w:cs="宋体"/>
          <w:b/>
          <w:sz w:val="24"/>
          <w:szCs w:val="24"/>
          <w:highlight w:val="none"/>
        </w:rPr>
        <w:t>三、获取谈判文件:</w:t>
      </w:r>
    </w:p>
    <w:p w14:paraId="1D4F1822">
      <w:pPr>
        <w:pStyle w:val="15"/>
        <w:adjustRightInd w:val="0"/>
        <w:snapToGrid w:val="0"/>
        <w:spacing w:before="15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时间</w:t>
      </w:r>
      <w:r>
        <w:rPr>
          <w:rFonts w:hint="eastAsia" w:ascii="宋体" w:hAnsi="宋体" w:eastAsia="宋体" w:cs="宋体"/>
          <w:color w:val="auto"/>
          <w:highlight w:val="none"/>
          <w:lang w:eastAsia="zh-CN"/>
        </w:rPr>
        <w:t>：202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年</w:t>
      </w:r>
      <w:r>
        <w:rPr>
          <w:rFonts w:hint="eastAsia" w:cs="宋体"/>
          <w:color w:val="auto"/>
          <w:highlight w:val="none"/>
          <w:lang w:val="en-US" w:eastAsia="zh-CN"/>
        </w:rPr>
        <w:t>07</w:t>
      </w:r>
      <w:r>
        <w:rPr>
          <w:rFonts w:hint="eastAsia" w:ascii="宋体" w:hAnsi="宋体" w:eastAsia="宋体" w:cs="宋体"/>
          <w:color w:val="auto"/>
          <w:highlight w:val="none"/>
          <w:lang w:eastAsia="zh-CN"/>
        </w:rPr>
        <w:t>月</w:t>
      </w:r>
      <w:r>
        <w:rPr>
          <w:rFonts w:hint="eastAsia" w:cs="宋体"/>
          <w:color w:val="auto"/>
          <w:highlight w:val="none"/>
          <w:lang w:val="en-US" w:eastAsia="zh-CN"/>
        </w:rPr>
        <w:t>15</w:t>
      </w:r>
      <w:r>
        <w:rPr>
          <w:rFonts w:hint="eastAsia" w:ascii="宋体" w:hAnsi="宋体" w:eastAsia="宋体" w:cs="宋体"/>
          <w:color w:val="auto"/>
          <w:highlight w:val="none"/>
          <w:lang w:eastAsia="zh-CN"/>
        </w:rPr>
        <w:t>至202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年</w:t>
      </w:r>
      <w:r>
        <w:rPr>
          <w:rFonts w:hint="eastAsia" w:cs="宋体"/>
          <w:color w:val="auto"/>
          <w:highlight w:val="none"/>
          <w:lang w:val="en-US" w:eastAsia="zh-CN"/>
        </w:rPr>
        <w:t>07</w:t>
      </w:r>
      <w:r>
        <w:rPr>
          <w:rFonts w:hint="eastAsia" w:ascii="宋体" w:hAnsi="宋体" w:eastAsia="宋体" w:cs="宋体"/>
          <w:color w:val="auto"/>
          <w:highlight w:val="none"/>
          <w:lang w:eastAsia="zh-CN"/>
        </w:rPr>
        <w:t>月</w:t>
      </w:r>
      <w:r>
        <w:rPr>
          <w:rFonts w:hint="eastAsia" w:cs="宋体"/>
          <w:color w:val="auto"/>
          <w:highlight w:val="none"/>
          <w:lang w:val="en-US" w:eastAsia="zh-CN"/>
        </w:rPr>
        <w:t>17</w:t>
      </w:r>
      <w:r>
        <w:rPr>
          <w:rFonts w:hint="eastAsia" w:ascii="宋体" w:hAnsi="宋体" w:eastAsia="宋体" w:cs="宋体"/>
          <w:color w:val="auto"/>
          <w:highlight w:val="none"/>
          <w:lang w:eastAsia="zh-CN"/>
        </w:rPr>
        <w:t>日</w:t>
      </w:r>
    </w:p>
    <w:p w14:paraId="58A36287">
      <w:pPr>
        <w:pStyle w:val="15"/>
        <w:adjustRightInd w:val="0"/>
        <w:snapToGrid w:val="0"/>
        <w:spacing w:before="15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地点</w:t>
      </w:r>
      <w:r>
        <w:rPr>
          <w:rFonts w:hint="eastAsia" w:ascii="宋体" w:hAnsi="宋体" w:eastAsia="宋体" w:cs="宋体"/>
          <w:color w:val="auto"/>
          <w:highlight w:val="none"/>
          <w:lang w:eastAsia="zh-CN"/>
        </w:rPr>
        <w:t>：政采云平台（https://www.zcygov.cn/）线上获取</w:t>
      </w:r>
    </w:p>
    <w:p w14:paraId="49FF3146">
      <w:pPr>
        <w:pStyle w:val="15"/>
        <w:adjustRightInd w:val="0"/>
        <w:snapToGrid w:val="0"/>
        <w:spacing w:before="15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方式：</w:t>
      </w:r>
      <w:r>
        <w:rPr>
          <w:rFonts w:hint="eastAsia" w:ascii="宋体" w:hAnsi="宋体" w:eastAsia="宋体" w:cs="宋体"/>
          <w:color w:val="auto"/>
          <w:highlight w:val="none"/>
          <w:lang w:val="en-US" w:eastAsia="zh-CN"/>
        </w:rPr>
        <w:t>供应商登录政采云平台https://www.zcygov.cn/在线申请获取采购文件（进入“项目采购”应用，在获取采购文件菜单中选择项目，申请获取采购文件）其他途径获取的谈判文件开标时一律按无效投标处理。</w:t>
      </w:r>
    </w:p>
    <w:p w14:paraId="10DECDFF">
      <w:pPr>
        <w:pStyle w:val="15"/>
        <w:adjustRightInd w:val="0"/>
        <w:snapToGrid w:val="0"/>
        <w:spacing w:before="150" w:beforeAutospacing="0" w:after="0" w:afterAutospacing="0" w:line="360" w:lineRule="auto"/>
        <w:ind w:firstLine="480" w:firstLineChars="200"/>
        <w:jc w:val="both"/>
        <w:rPr>
          <w:rFonts w:ascii="宋体" w:hAnsi="宋体" w:cs="宋体"/>
          <w:sz w:val="24"/>
          <w:szCs w:val="24"/>
          <w:highlight w:val="none"/>
        </w:rPr>
      </w:pPr>
      <w:r>
        <w:rPr>
          <w:rFonts w:hint="eastAsia" w:ascii="宋体" w:hAnsi="宋体" w:eastAsia="宋体" w:cs="宋体"/>
          <w:color w:val="auto"/>
          <w:highlight w:val="none"/>
        </w:rPr>
        <w:t>售价：</w:t>
      </w:r>
      <w:r>
        <w:rPr>
          <w:rFonts w:hint="eastAsia" w:ascii="宋体" w:hAnsi="宋体" w:eastAsia="宋体" w:cs="宋体"/>
          <w:color w:val="auto"/>
          <w:spacing w:val="0"/>
          <w:kern w:val="0"/>
          <w:sz w:val="24"/>
          <w:szCs w:val="24"/>
          <w:highlight w:val="none"/>
          <w:lang w:val="en-US" w:eastAsia="zh-CN" w:bidi="ar-SA"/>
        </w:rPr>
        <w:t>¥</w:t>
      </w:r>
      <w:r>
        <w:rPr>
          <w:rFonts w:hint="eastAsia" w:ascii="宋体" w:hAnsi="宋体" w:eastAsia="宋体" w:cs="宋体"/>
          <w:color w:val="auto"/>
          <w:sz w:val="24"/>
          <w:szCs w:val="24"/>
          <w:highlight w:val="none"/>
        </w:rPr>
        <w:t>0.0元</w:t>
      </w:r>
      <w:r>
        <w:rPr>
          <w:rFonts w:hint="eastAsia" w:ascii="宋体" w:hAnsi="宋体" w:cs="宋体"/>
          <w:bCs/>
          <w:snapToGrid w:val="0"/>
          <w:sz w:val="24"/>
          <w:szCs w:val="24"/>
          <w:highlight w:val="none"/>
        </w:rPr>
        <w:tab/>
      </w:r>
    </w:p>
    <w:p w14:paraId="66C2A4EE">
      <w:pPr>
        <w:widowControl/>
        <w:spacing w:line="360" w:lineRule="auto"/>
        <w:rPr>
          <w:rFonts w:ascii="宋体" w:hAnsi="宋体" w:cs="宋体"/>
          <w:b/>
          <w:bCs/>
          <w:sz w:val="24"/>
          <w:szCs w:val="24"/>
          <w:highlight w:val="none"/>
        </w:rPr>
      </w:pPr>
      <w:r>
        <w:rPr>
          <w:rFonts w:hint="eastAsia" w:ascii="宋体" w:hAnsi="宋体" w:cs="宋体"/>
          <w:b/>
          <w:bCs/>
          <w:sz w:val="24"/>
          <w:szCs w:val="24"/>
          <w:highlight w:val="none"/>
        </w:rPr>
        <w:t>四、提交响应文件截止时间、开标时间和地点:</w:t>
      </w:r>
    </w:p>
    <w:p w14:paraId="7C67E365">
      <w:pPr>
        <w:pStyle w:val="15"/>
        <w:adjustRightInd w:val="0"/>
        <w:snapToGrid w:val="0"/>
        <w:spacing w:before="150" w:beforeAutospacing="0" w:after="0" w:afterAutospacing="0" w:line="360" w:lineRule="auto"/>
        <w:ind w:firstLine="480" w:firstLineChars="200"/>
        <w:jc w:val="both"/>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提交响应文件截止时间：2025年</w:t>
      </w:r>
      <w:r>
        <w:rPr>
          <w:rFonts w:hint="eastAsia" w:cs="宋体"/>
          <w:i w:val="0"/>
          <w:iCs w:val="0"/>
          <w:kern w:val="2"/>
          <w:sz w:val="24"/>
          <w:szCs w:val="24"/>
          <w:highlight w:val="none"/>
          <w:lang w:val="en-US" w:eastAsia="zh-CN" w:bidi="ar-SA"/>
        </w:rPr>
        <w:t>07</w:t>
      </w:r>
      <w:r>
        <w:rPr>
          <w:rFonts w:hint="eastAsia" w:ascii="宋体" w:hAnsi="宋体" w:eastAsia="宋体" w:cs="宋体"/>
          <w:i w:val="0"/>
          <w:iCs w:val="0"/>
          <w:kern w:val="2"/>
          <w:sz w:val="24"/>
          <w:szCs w:val="24"/>
          <w:highlight w:val="none"/>
          <w:lang w:val="en-US" w:eastAsia="zh-CN" w:bidi="ar-SA"/>
        </w:rPr>
        <w:t>月</w:t>
      </w:r>
      <w:r>
        <w:rPr>
          <w:rFonts w:hint="eastAsia" w:cs="宋体"/>
          <w:i w:val="0"/>
          <w:iCs w:val="0"/>
          <w:kern w:val="2"/>
          <w:sz w:val="24"/>
          <w:szCs w:val="24"/>
          <w:highlight w:val="none"/>
          <w:lang w:val="en-US" w:eastAsia="zh-CN" w:bidi="ar-SA"/>
        </w:rPr>
        <w:t>21</w:t>
      </w:r>
      <w:r>
        <w:rPr>
          <w:rFonts w:hint="eastAsia" w:ascii="宋体" w:hAnsi="宋体" w:eastAsia="宋体" w:cs="宋体"/>
          <w:i w:val="0"/>
          <w:iCs w:val="0"/>
          <w:kern w:val="2"/>
          <w:sz w:val="24"/>
          <w:szCs w:val="24"/>
          <w:highlight w:val="none"/>
          <w:lang w:val="en-US" w:eastAsia="zh-CN" w:bidi="ar-SA"/>
        </w:rPr>
        <w:t>日</w:t>
      </w:r>
      <w:r>
        <w:rPr>
          <w:rFonts w:hint="eastAsia" w:cs="宋体"/>
          <w:i w:val="0"/>
          <w:iCs w:val="0"/>
          <w:kern w:val="2"/>
          <w:sz w:val="24"/>
          <w:szCs w:val="24"/>
          <w:highlight w:val="none"/>
          <w:lang w:val="en-US" w:eastAsia="zh-CN" w:bidi="ar-SA"/>
        </w:rPr>
        <w:t>09</w:t>
      </w:r>
      <w:r>
        <w:rPr>
          <w:rFonts w:hint="eastAsia" w:ascii="宋体" w:hAnsi="宋体" w:eastAsia="宋体" w:cs="宋体"/>
          <w:i w:val="0"/>
          <w:iCs w:val="0"/>
          <w:kern w:val="2"/>
          <w:sz w:val="24"/>
          <w:szCs w:val="24"/>
          <w:highlight w:val="none"/>
          <w:lang w:val="en-US" w:eastAsia="zh-CN" w:bidi="ar-SA"/>
        </w:rPr>
        <w:t>时</w:t>
      </w:r>
      <w:r>
        <w:rPr>
          <w:rFonts w:hint="eastAsia" w:cs="宋体"/>
          <w:i w:val="0"/>
          <w:iCs w:val="0"/>
          <w:kern w:val="2"/>
          <w:sz w:val="24"/>
          <w:szCs w:val="24"/>
          <w:highlight w:val="none"/>
          <w:lang w:val="en-US" w:eastAsia="zh-CN" w:bidi="ar-SA"/>
        </w:rPr>
        <w:t>00</w:t>
      </w:r>
      <w:r>
        <w:rPr>
          <w:rFonts w:hint="eastAsia" w:ascii="宋体" w:hAnsi="宋体" w:eastAsia="宋体" w:cs="宋体"/>
          <w:i w:val="0"/>
          <w:iCs w:val="0"/>
          <w:kern w:val="2"/>
          <w:sz w:val="24"/>
          <w:szCs w:val="24"/>
          <w:highlight w:val="none"/>
          <w:lang w:val="en-US" w:eastAsia="zh-CN" w:bidi="ar-SA"/>
        </w:rPr>
        <w:t>分（北京时间）</w:t>
      </w:r>
    </w:p>
    <w:p w14:paraId="59888937">
      <w:pPr>
        <w:pStyle w:val="15"/>
        <w:adjustRightInd w:val="0"/>
        <w:snapToGrid w:val="0"/>
        <w:spacing w:before="150" w:beforeAutospacing="0" w:after="0" w:afterAutospacing="0" w:line="360" w:lineRule="auto"/>
        <w:ind w:firstLine="480" w:firstLineChars="200"/>
        <w:jc w:val="both"/>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开标时间：2025年</w:t>
      </w:r>
      <w:r>
        <w:rPr>
          <w:rFonts w:hint="eastAsia" w:cs="宋体"/>
          <w:i w:val="0"/>
          <w:iCs w:val="0"/>
          <w:kern w:val="2"/>
          <w:sz w:val="24"/>
          <w:szCs w:val="24"/>
          <w:highlight w:val="none"/>
          <w:lang w:val="en-US" w:eastAsia="zh-CN" w:bidi="ar-SA"/>
        </w:rPr>
        <w:t>07</w:t>
      </w:r>
      <w:r>
        <w:rPr>
          <w:rFonts w:hint="eastAsia" w:ascii="宋体" w:hAnsi="宋体" w:eastAsia="宋体" w:cs="宋体"/>
          <w:i w:val="0"/>
          <w:iCs w:val="0"/>
          <w:kern w:val="2"/>
          <w:sz w:val="24"/>
          <w:szCs w:val="24"/>
          <w:highlight w:val="none"/>
          <w:lang w:val="en-US" w:eastAsia="zh-CN" w:bidi="ar-SA"/>
        </w:rPr>
        <w:t>月</w:t>
      </w:r>
      <w:r>
        <w:rPr>
          <w:rFonts w:hint="eastAsia" w:cs="宋体"/>
          <w:i w:val="0"/>
          <w:iCs w:val="0"/>
          <w:kern w:val="2"/>
          <w:sz w:val="24"/>
          <w:szCs w:val="24"/>
          <w:highlight w:val="none"/>
          <w:lang w:val="en-US" w:eastAsia="zh-CN" w:bidi="ar-SA"/>
        </w:rPr>
        <w:t>21</w:t>
      </w:r>
      <w:r>
        <w:rPr>
          <w:rFonts w:hint="eastAsia" w:ascii="宋体" w:hAnsi="宋体" w:eastAsia="宋体" w:cs="宋体"/>
          <w:i w:val="0"/>
          <w:iCs w:val="0"/>
          <w:kern w:val="2"/>
          <w:sz w:val="24"/>
          <w:szCs w:val="24"/>
          <w:highlight w:val="none"/>
          <w:lang w:val="en-US" w:eastAsia="zh-CN" w:bidi="ar-SA"/>
        </w:rPr>
        <w:t>日</w:t>
      </w:r>
      <w:r>
        <w:rPr>
          <w:rFonts w:hint="eastAsia" w:cs="宋体"/>
          <w:i w:val="0"/>
          <w:iCs w:val="0"/>
          <w:kern w:val="2"/>
          <w:sz w:val="24"/>
          <w:szCs w:val="24"/>
          <w:highlight w:val="none"/>
          <w:lang w:val="en-US" w:eastAsia="zh-CN" w:bidi="ar-SA"/>
        </w:rPr>
        <w:t>09</w:t>
      </w:r>
      <w:r>
        <w:rPr>
          <w:rFonts w:hint="eastAsia" w:ascii="宋体" w:hAnsi="宋体" w:eastAsia="宋体" w:cs="宋体"/>
          <w:i w:val="0"/>
          <w:iCs w:val="0"/>
          <w:kern w:val="2"/>
          <w:sz w:val="24"/>
          <w:szCs w:val="24"/>
          <w:highlight w:val="none"/>
          <w:lang w:val="en-US" w:eastAsia="zh-CN" w:bidi="ar-SA"/>
        </w:rPr>
        <w:t>时</w:t>
      </w:r>
      <w:r>
        <w:rPr>
          <w:rFonts w:hint="eastAsia" w:cs="宋体"/>
          <w:i w:val="0"/>
          <w:iCs w:val="0"/>
          <w:kern w:val="2"/>
          <w:sz w:val="24"/>
          <w:szCs w:val="24"/>
          <w:highlight w:val="none"/>
          <w:lang w:val="en-US" w:eastAsia="zh-CN" w:bidi="ar-SA"/>
        </w:rPr>
        <w:t>00</w:t>
      </w:r>
      <w:r>
        <w:rPr>
          <w:rFonts w:hint="eastAsia" w:ascii="宋体" w:hAnsi="宋体" w:eastAsia="宋体" w:cs="宋体"/>
          <w:i w:val="0"/>
          <w:iCs w:val="0"/>
          <w:kern w:val="2"/>
          <w:sz w:val="24"/>
          <w:szCs w:val="24"/>
          <w:highlight w:val="none"/>
          <w:lang w:val="en-US" w:eastAsia="zh-CN" w:bidi="ar-SA"/>
        </w:rPr>
        <w:t>分（北京时间）</w:t>
      </w:r>
    </w:p>
    <w:p w14:paraId="31024CFF">
      <w:pPr>
        <w:pStyle w:val="15"/>
        <w:adjustRightInd w:val="0"/>
        <w:snapToGrid w:val="0"/>
        <w:spacing w:before="150" w:beforeAutospacing="0" w:after="0" w:afterAutospacing="0" w:line="360" w:lineRule="auto"/>
        <w:ind w:firstLine="480" w:firstLineChars="200"/>
        <w:jc w:val="both"/>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地点：长春市二道区洋浦大街6999号凯利中心AB栋101开标</w:t>
      </w:r>
      <w:r>
        <w:rPr>
          <w:rFonts w:hint="eastAsia" w:cs="宋体"/>
          <w:i w:val="0"/>
          <w:iCs w:val="0"/>
          <w:kern w:val="2"/>
          <w:sz w:val="24"/>
          <w:szCs w:val="24"/>
          <w:highlight w:val="none"/>
          <w:lang w:val="en-US" w:eastAsia="zh-CN" w:bidi="ar-SA"/>
        </w:rPr>
        <w:t>四</w:t>
      </w:r>
      <w:r>
        <w:rPr>
          <w:rFonts w:hint="eastAsia" w:ascii="宋体" w:hAnsi="宋体" w:eastAsia="宋体" w:cs="宋体"/>
          <w:i w:val="0"/>
          <w:iCs w:val="0"/>
          <w:kern w:val="2"/>
          <w:sz w:val="24"/>
          <w:szCs w:val="24"/>
          <w:highlight w:val="none"/>
          <w:lang w:val="en-US" w:eastAsia="zh-CN" w:bidi="ar-SA"/>
        </w:rPr>
        <w:t>室。（本项目执行电子化招投标，供应商须通过政府采购云平台（https://www.zcygov.cn/）递交电子版投标文件，逾期未上传电子投标文件，将不予受理。）</w:t>
      </w:r>
    </w:p>
    <w:p w14:paraId="567A8F9F">
      <w:pPr>
        <w:pStyle w:val="15"/>
        <w:adjustRightInd w:val="0"/>
        <w:snapToGrid w:val="0"/>
        <w:spacing w:before="15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i w:val="0"/>
          <w:iCs w:val="0"/>
          <w:kern w:val="2"/>
          <w:sz w:val="24"/>
          <w:szCs w:val="24"/>
          <w:highlight w:val="none"/>
          <w:lang w:val="en-US" w:eastAsia="zh-CN" w:bidi="ar-SA"/>
        </w:rPr>
        <w:t>本项目为全流程电子化项目，没有现场递交投标文件及现场开标环节，通过“政采云”平台（http：//www.zcygov.cn）实行在线电子响应，供应商应先安装“政采云响应客户端”（请自行前往“政采云”平台进行下载），并按照“政采云”平台的要求使用CA锁认证编制、加密投标文件后在响应截止时间前上传至“政采云”平台。并于开标时间登录“政采云”平台解密</w:t>
      </w:r>
      <w:r>
        <w:rPr>
          <w:rFonts w:hint="eastAsia" w:ascii="宋体" w:hAnsi="宋体" w:eastAsia="宋体" w:cs="宋体"/>
          <w:color w:val="auto"/>
          <w:highlight w:val="none"/>
          <w:lang w:val="en-US" w:eastAsia="zh-CN"/>
        </w:rPr>
        <w:t>电子投标文件；</w:t>
      </w:r>
    </w:p>
    <w:p w14:paraId="2319EC64">
      <w:pPr>
        <w:pStyle w:val="15"/>
        <w:adjustRightInd w:val="0"/>
        <w:snapToGrid w:val="0"/>
        <w:spacing w:before="150" w:beforeAutospacing="0" w:after="0" w:afterAutospacing="0" w:line="360" w:lineRule="auto"/>
        <w:ind w:firstLine="480" w:firstLineChars="200"/>
        <w:jc w:val="both"/>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color w:val="auto"/>
          <w:highlight w:val="none"/>
          <w:lang w:val="en-US" w:eastAsia="zh-CN"/>
        </w:rPr>
        <w:t>4.投标操作流程：供应商在政府采购云平台网注册入库成为正式供应商后，在平台上按《政</w:t>
      </w:r>
      <w:r>
        <w:rPr>
          <w:rFonts w:hint="eastAsia" w:ascii="宋体" w:hAnsi="宋体" w:eastAsia="宋体" w:cs="宋体"/>
          <w:i w:val="0"/>
          <w:iCs w:val="0"/>
          <w:kern w:val="2"/>
          <w:sz w:val="24"/>
          <w:szCs w:val="24"/>
          <w:highlight w:val="none"/>
          <w:lang w:val="en-US" w:eastAsia="zh-CN" w:bidi="ar-SA"/>
        </w:rPr>
        <w:t>府采购项目电子交易管理操作指南-供应商》进行投标操作。</w:t>
      </w:r>
    </w:p>
    <w:p w14:paraId="621D556E">
      <w:pPr>
        <w:tabs>
          <w:tab w:val="left" w:pos="0"/>
        </w:tabs>
        <w:spacing w:line="360" w:lineRule="auto"/>
        <w:rPr>
          <w:rFonts w:ascii="宋体" w:hAnsi="宋体" w:cs="宋体"/>
          <w:b/>
          <w:snapToGrid w:val="0"/>
          <w:sz w:val="24"/>
          <w:szCs w:val="24"/>
          <w:highlight w:val="none"/>
        </w:rPr>
      </w:pPr>
      <w:r>
        <w:rPr>
          <w:rFonts w:hint="eastAsia" w:ascii="宋体" w:hAnsi="宋体" w:cs="宋体"/>
          <w:b/>
          <w:snapToGrid w:val="0"/>
          <w:sz w:val="24"/>
          <w:szCs w:val="24"/>
          <w:highlight w:val="none"/>
        </w:rPr>
        <w:t>五、公告期限:</w:t>
      </w:r>
    </w:p>
    <w:p w14:paraId="35DF7E34">
      <w:pPr>
        <w:tabs>
          <w:tab w:val="left" w:pos="0"/>
        </w:tabs>
        <w:spacing w:line="360" w:lineRule="auto"/>
        <w:ind w:firstLine="421"/>
        <w:rPr>
          <w:rFonts w:ascii="宋体" w:hAnsi="宋体" w:cs="宋体"/>
          <w:bCs/>
          <w:snapToGrid w:val="0"/>
          <w:sz w:val="24"/>
          <w:szCs w:val="24"/>
          <w:highlight w:val="none"/>
        </w:rPr>
      </w:pPr>
      <w:r>
        <w:rPr>
          <w:rFonts w:hint="eastAsia" w:ascii="宋体" w:hAnsi="宋体" w:cs="宋体"/>
          <w:bCs/>
          <w:snapToGrid w:val="0"/>
          <w:sz w:val="24"/>
          <w:szCs w:val="24"/>
          <w:highlight w:val="none"/>
        </w:rPr>
        <w:t>自本公告发布之日起3个工作日。</w:t>
      </w:r>
    </w:p>
    <w:p w14:paraId="31776878">
      <w:pPr>
        <w:tabs>
          <w:tab w:val="left" w:pos="0"/>
        </w:tabs>
        <w:spacing w:line="360" w:lineRule="auto"/>
        <w:rPr>
          <w:rFonts w:ascii="宋体" w:hAnsi="宋体" w:cs="宋体"/>
          <w:b/>
          <w:snapToGrid w:val="0"/>
          <w:sz w:val="24"/>
          <w:szCs w:val="24"/>
          <w:highlight w:val="none"/>
        </w:rPr>
      </w:pPr>
      <w:r>
        <w:rPr>
          <w:rFonts w:hint="eastAsia" w:ascii="宋体" w:hAnsi="宋体" w:cs="宋体"/>
          <w:b/>
          <w:snapToGrid w:val="0"/>
          <w:sz w:val="24"/>
          <w:szCs w:val="24"/>
          <w:highlight w:val="none"/>
        </w:rPr>
        <w:t>六、其他补充事宜:</w:t>
      </w:r>
    </w:p>
    <w:p w14:paraId="5A76D0FC">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本次公告在政采云平台（https://www.zcygov.cn/）（同步推送至吉林省公共资源交易公共服务平台、吉林省政府采购网、中国政府采购网）、</w:t>
      </w:r>
      <w:r>
        <w:rPr>
          <w:rFonts w:hint="eastAsia" w:ascii="宋体" w:hAnsi="宋体" w:eastAsia="宋体" w:cs="宋体"/>
          <w:i w:val="0"/>
          <w:iCs w:val="0"/>
          <w:kern w:val="2"/>
          <w:sz w:val="24"/>
          <w:szCs w:val="24"/>
          <w:highlight w:val="none"/>
          <w:lang w:val="zh-CN" w:eastAsia="zh-CN" w:bidi="ar-SA"/>
        </w:rPr>
        <w:t>吉林司法警官职业学院官网</w:t>
      </w:r>
      <w:r>
        <w:rPr>
          <w:rFonts w:hint="eastAsia" w:ascii="宋体" w:hAnsi="宋体" w:eastAsia="宋体" w:cs="宋体"/>
          <w:i w:val="0"/>
          <w:iCs w:val="0"/>
          <w:kern w:val="2"/>
          <w:sz w:val="24"/>
          <w:szCs w:val="24"/>
          <w:highlight w:val="none"/>
          <w:lang w:val="en-US" w:eastAsia="zh-CN" w:bidi="ar-SA"/>
        </w:rPr>
        <w:t>上发布。</w:t>
      </w:r>
    </w:p>
    <w:p w14:paraId="0BBFDEDE">
      <w:pPr>
        <w:spacing w:line="360" w:lineRule="auto"/>
        <w:rPr>
          <w:rFonts w:ascii="宋体" w:hAnsi="宋体" w:cs="宋体"/>
          <w:b/>
          <w:sz w:val="24"/>
          <w:szCs w:val="24"/>
          <w:highlight w:val="none"/>
        </w:rPr>
      </w:pPr>
      <w:r>
        <w:rPr>
          <w:rFonts w:hint="eastAsia" w:ascii="宋体" w:hAnsi="宋体" w:cs="宋体"/>
          <w:b/>
          <w:sz w:val="24"/>
          <w:szCs w:val="24"/>
          <w:highlight w:val="none"/>
        </w:rPr>
        <w:t>七、对本次招标提出询问，请按以下方式联系：</w:t>
      </w:r>
    </w:p>
    <w:p w14:paraId="67729D27">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1.采购人信息</w:t>
      </w:r>
    </w:p>
    <w:p w14:paraId="417D5B46">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采购人：吉林司法警官职业学院</w:t>
      </w:r>
    </w:p>
    <w:p w14:paraId="664FC38F">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地  址：长春市合隆经济开发区景苑路1号</w:t>
      </w:r>
    </w:p>
    <w:p w14:paraId="56A59777">
      <w:pPr>
        <w:spacing w:line="360" w:lineRule="auto"/>
        <w:ind w:firstLine="480" w:firstLineChars="200"/>
        <w:rPr>
          <w:rFonts w:hint="default"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联系人：</w:t>
      </w:r>
      <w:r>
        <w:rPr>
          <w:rFonts w:hint="eastAsia" w:ascii="宋体" w:hAnsi="宋体" w:cs="宋体"/>
          <w:i w:val="0"/>
          <w:iCs w:val="0"/>
          <w:kern w:val="2"/>
          <w:sz w:val="24"/>
          <w:szCs w:val="24"/>
          <w:highlight w:val="none"/>
          <w:lang w:val="en-US" w:eastAsia="zh-CN" w:bidi="ar-SA"/>
        </w:rPr>
        <w:t>朱老师</w:t>
      </w:r>
    </w:p>
    <w:p w14:paraId="27904289">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办公电话：</w:t>
      </w:r>
      <w:r>
        <w:rPr>
          <w:rFonts w:hint="eastAsia" w:ascii="宋体" w:hAnsi="宋体" w:cs="宋体"/>
          <w:i w:val="0"/>
          <w:iCs w:val="0"/>
          <w:kern w:val="2"/>
          <w:sz w:val="24"/>
          <w:szCs w:val="24"/>
          <w:highlight w:val="none"/>
          <w:lang w:val="en-US" w:eastAsia="zh-CN" w:bidi="ar-SA"/>
        </w:rPr>
        <w:t>0431-83311029</w:t>
      </w:r>
    </w:p>
    <w:p w14:paraId="1E212AB2">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2.采购代理机构信息</w:t>
      </w:r>
    </w:p>
    <w:p w14:paraId="14866310">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采购代理机构：吉林省世博项目管理有限公司</w:t>
      </w:r>
    </w:p>
    <w:p w14:paraId="49A5C3A3">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地址：长春市二道区通安小区1号楼103室-04</w:t>
      </w:r>
    </w:p>
    <w:p w14:paraId="5C634F47">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联系人：魏中华</w:t>
      </w:r>
    </w:p>
    <w:p w14:paraId="3DE95E56">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电话：13364300502（办公电话）</w:t>
      </w:r>
    </w:p>
    <w:p w14:paraId="1457712C">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3.项目联系方式</w:t>
      </w:r>
    </w:p>
    <w:p w14:paraId="3B56716F">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项目联系人：魏中华</w:t>
      </w:r>
    </w:p>
    <w:p w14:paraId="37043357">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办公电话：13364300502(办公电话）</w:t>
      </w:r>
    </w:p>
    <w:p w14:paraId="1DF4FAF6">
      <w:pPr>
        <w:spacing w:line="360" w:lineRule="auto"/>
        <w:ind w:left="6468" w:leftChars="200" w:hanging="6048" w:hangingChars="2400"/>
        <w:jc w:val="left"/>
        <w:rPr>
          <w:rFonts w:ascii="宋体" w:hAnsi="宋体" w:cs="宋体"/>
          <w:spacing w:val="6"/>
          <w:sz w:val="24"/>
          <w:szCs w:val="24"/>
          <w:highlight w:val="none"/>
        </w:rPr>
      </w:pPr>
      <w:r>
        <w:rPr>
          <w:rFonts w:hint="eastAsia" w:ascii="宋体" w:hAnsi="宋体" w:cs="宋体"/>
          <w:spacing w:val="6"/>
          <w:sz w:val="24"/>
          <w:szCs w:val="24"/>
          <w:highlight w:val="none"/>
        </w:rPr>
        <w:t xml:space="preserve">                                                                                             </w:t>
      </w:r>
    </w:p>
    <w:p w14:paraId="3C0240B6">
      <w:pPr>
        <w:pStyle w:val="32"/>
        <w:rPr>
          <w:rFonts w:ascii="宋体" w:hAnsi="宋体" w:cs="宋体"/>
          <w:sz w:val="24"/>
          <w:szCs w:val="24"/>
          <w:highlight w:val="none"/>
        </w:rPr>
      </w:pPr>
      <w:bookmarkStart w:id="3" w:name="_Toc432264366"/>
      <w:bookmarkStart w:id="4" w:name="_Toc455565642"/>
      <w:bookmarkStart w:id="5" w:name="_Toc432277438"/>
      <w:r>
        <w:rPr>
          <w:rFonts w:hint="eastAsia" w:ascii="宋体" w:hAnsi="宋体" w:cs="宋体"/>
          <w:sz w:val="24"/>
          <w:szCs w:val="24"/>
          <w:highlight w:val="none"/>
        </w:rPr>
        <w:t xml:space="preserve">                              </w:t>
      </w:r>
    </w:p>
    <w:p w14:paraId="0192F18C">
      <w:pPr>
        <w:pStyle w:val="2"/>
        <w:spacing w:before="0" w:after="0" w:line="360" w:lineRule="auto"/>
        <w:jc w:val="center"/>
        <w:rPr>
          <w:rFonts w:ascii="宋体" w:hAnsi="宋体" w:cs="宋体"/>
          <w:sz w:val="28"/>
          <w:szCs w:val="28"/>
          <w:highlight w:val="none"/>
        </w:rPr>
      </w:pPr>
      <w:r>
        <w:rPr>
          <w:rFonts w:hint="eastAsia" w:ascii="宋体" w:hAnsi="宋体" w:cs="宋体"/>
          <w:sz w:val="24"/>
          <w:szCs w:val="24"/>
          <w:highlight w:val="none"/>
        </w:rPr>
        <w:br w:type="page"/>
      </w:r>
      <w:bookmarkEnd w:id="3"/>
      <w:bookmarkEnd w:id="4"/>
      <w:bookmarkEnd w:id="5"/>
      <w:bookmarkStart w:id="6" w:name="_Toc10155"/>
      <w:r>
        <w:rPr>
          <w:rFonts w:hint="eastAsia" w:ascii="宋体" w:hAnsi="宋体" w:cs="宋体"/>
          <w:sz w:val="28"/>
          <w:szCs w:val="28"/>
          <w:highlight w:val="none"/>
        </w:rPr>
        <w:t>第二章  供应商须知</w:t>
      </w:r>
      <w:bookmarkEnd w:id="6"/>
    </w:p>
    <w:p w14:paraId="5D520151">
      <w:pPr>
        <w:tabs>
          <w:tab w:val="left" w:pos="2190"/>
        </w:tabs>
        <w:spacing w:line="380" w:lineRule="exact"/>
        <w:ind w:firstLine="435"/>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t>一、</w:t>
      </w:r>
      <w:r>
        <w:rPr>
          <w:rFonts w:hint="eastAsia" w:ascii="宋体" w:hAnsi="宋体" w:eastAsia="宋体" w:cs="宋体"/>
          <w:b/>
          <w:sz w:val="28"/>
          <w:szCs w:val="28"/>
          <w:highlight w:val="none"/>
        </w:rPr>
        <w:t>供 应 商  须 知 前 附 表</w:t>
      </w:r>
    </w:p>
    <w:tbl>
      <w:tblPr>
        <w:tblStyle w:val="18"/>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924"/>
        <w:gridCol w:w="6810"/>
      </w:tblGrid>
      <w:tr w14:paraId="31BE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13" w:type="dxa"/>
            <w:vAlign w:val="center"/>
          </w:tcPr>
          <w:p w14:paraId="67996467">
            <w:pPr>
              <w:spacing w:line="360" w:lineRule="auto"/>
              <w:jc w:val="center"/>
              <w:rPr>
                <w:rFonts w:hint="eastAsia" w:ascii="宋体" w:hAnsi="宋体" w:eastAsia="宋体" w:cs="宋体"/>
                <w:b w:val="0"/>
                <w:color w:val="auto"/>
                <w:sz w:val="24"/>
                <w:szCs w:val="24"/>
                <w:highlight w:val="none"/>
                <w:lang w:val="zh-CN"/>
              </w:rPr>
            </w:pPr>
            <w:r>
              <w:rPr>
                <w:rFonts w:hint="eastAsia" w:ascii="宋体" w:hAnsi="宋体" w:eastAsia="宋体" w:cs="宋体"/>
                <w:b w:val="0"/>
                <w:color w:val="auto"/>
                <w:sz w:val="24"/>
                <w:szCs w:val="24"/>
                <w:highlight w:val="none"/>
                <w:lang w:val="zh-CN"/>
              </w:rPr>
              <w:t>序号</w:t>
            </w:r>
          </w:p>
        </w:tc>
        <w:tc>
          <w:tcPr>
            <w:tcW w:w="1924" w:type="dxa"/>
            <w:vAlign w:val="center"/>
          </w:tcPr>
          <w:p w14:paraId="79BB2FD9">
            <w:pPr>
              <w:spacing w:line="360" w:lineRule="auto"/>
              <w:jc w:val="center"/>
              <w:rPr>
                <w:rFonts w:hint="eastAsia" w:ascii="宋体" w:hAnsi="宋体" w:eastAsia="宋体" w:cs="宋体"/>
                <w:b w:val="0"/>
                <w:color w:val="auto"/>
                <w:sz w:val="24"/>
                <w:szCs w:val="24"/>
                <w:highlight w:val="none"/>
                <w:lang w:val="zh-CN"/>
              </w:rPr>
            </w:pPr>
            <w:r>
              <w:rPr>
                <w:rFonts w:hint="eastAsia" w:ascii="宋体" w:hAnsi="宋体" w:eastAsia="宋体" w:cs="宋体"/>
                <w:b w:val="0"/>
                <w:color w:val="auto"/>
                <w:sz w:val="24"/>
                <w:szCs w:val="24"/>
                <w:highlight w:val="none"/>
                <w:lang w:val="zh-CN"/>
              </w:rPr>
              <w:t>条款名称</w:t>
            </w:r>
          </w:p>
        </w:tc>
        <w:tc>
          <w:tcPr>
            <w:tcW w:w="6810" w:type="dxa"/>
            <w:vAlign w:val="center"/>
          </w:tcPr>
          <w:p w14:paraId="0A2EBB9B">
            <w:pPr>
              <w:spacing w:line="360" w:lineRule="auto"/>
              <w:jc w:val="center"/>
              <w:rPr>
                <w:rFonts w:ascii="宋体" w:hAnsi="宋体" w:cs="宋体"/>
                <w:szCs w:val="21"/>
                <w:highlight w:val="none"/>
              </w:rPr>
            </w:pPr>
            <w:r>
              <w:rPr>
                <w:rFonts w:hint="eastAsia" w:ascii="宋体" w:hAnsi="宋体" w:cs="宋体"/>
                <w:b w:val="0"/>
                <w:color w:val="auto"/>
                <w:sz w:val="24"/>
                <w:szCs w:val="24"/>
                <w:highlight w:val="none"/>
                <w:lang w:val="zh-CN"/>
              </w:rPr>
              <w:t>编 列 内 容</w:t>
            </w:r>
          </w:p>
        </w:tc>
      </w:tr>
      <w:tr w14:paraId="6AC1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13" w:type="dxa"/>
            <w:vAlign w:val="center"/>
          </w:tcPr>
          <w:p w14:paraId="7613BAA3">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sz w:val="24"/>
                <w:szCs w:val="24"/>
                <w:highlight w:val="none"/>
              </w:rPr>
            </w:pPr>
            <w:r>
              <w:rPr>
                <w:rFonts w:hint="eastAsia" w:ascii="宋体" w:hAnsi="宋体" w:cs="宋体"/>
                <w:bCs/>
                <w:color w:val="auto"/>
                <w:sz w:val="24"/>
                <w:szCs w:val="24"/>
                <w:highlight w:val="none"/>
                <w:lang w:val="zh-CN"/>
              </w:rPr>
              <w:t>1</w:t>
            </w:r>
          </w:p>
        </w:tc>
        <w:tc>
          <w:tcPr>
            <w:tcW w:w="1924" w:type="dxa"/>
            <w:vAlign w:val="center"/>
          </w:tcPr>
          <w:p w14:paraId="77DBADE9">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sz w:val="24"/>
                <w:szCs w:val="24"/>
                <w:highlight w:val="none"/>
              </w:rPr>
            </w:pPr>
            <w:r>
              <w:rPr>
                <w:rFonts w:hint="eastAsia" w:ascii="宋体" w:hAnsi="宋体" w:cs="宋体"/>
                <w:bCs/>
                <w:color w:val="auto"/>
                <w:sz w:val="24"/>
                <w:szCs w:val="24"/>
                <w:highlight w:val="none"/>
                <w:lang w:val="zh-CN"/>
              </w:rPr>
              <w:t>采购人</w:t>
            </w:r>
          </w:p>
        </w:tc>
        <w:tc>
          <w:tcPr>
            <w:tcW w:w="6810" w:type="dxa"/>
            <w:vAlign w:val="center"/>
          </w:tcPr>
          <w:p w14:paraId="4F487F31">
            <w:pPr>
              <w:pageBreakBefore w:val="0"/>
              <w:widowControl w:val="0"/>
              <w:kinsoku/>
              <w:wordWrap w:val="0"/>
              <w:overflowPunct/>
              <w:topLinePunct w:val="0"/>
              <w:bidi w:val="0"/>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采购人：吉林司法警官职业学院</w:t>
            </w:r>
          </w:p>
          <w:p w14:paraId="1CA85CEB">
            <w:pPr>
              <w:pageBreakBefore w:val="0"/>
              <w:widowControl w:val="0"/>
              <w:kinsoku/>
              <w:wordWrap w:val="0"/>
              <w:overflowPunct/>
              <w:topLinePunct w:val="0"/>
              <w:bidi w:val="0"/>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地  址：长春市合隆经济开发区景苑路1号</w:t>
            </w:r>
          </w:p>
          <w:p w14:paraId="6E689759">
            <w:pPr>
              <w:pageBreakBefore w:val="0"/>
              <w:widowControl w:val="0"/>
              <w:kinsoku/>
              <w:wordWrap w:val="0"/>
              <w:overflowPunct/>
              <w:topLinePunct w:val="0"/>
              <w:bidi w:val="0"/>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联系人：朱老师</w:t>
            </w:r>
          </w:p>
          <w:p w14:paraId="1366C00B">
            <w:pPr>
              <w:pageBreakBefore w:val="0"/>
              <w:widowControl w:val="0"/>
              <w:kinsoku/>
              <w:wordWrap w:val="0"/>
              <w:overflowPunct/>
              <w:topLinePunct w:val="0"/>
              <w:bidi w:val="0"/>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办公电话：0431-83311029</w:t>
            </w:r>
          </w:p>
        </w:tc>
      </w:tr>
      <w:tr w14:paraId="3DDF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13" w:type="dxa"/>
            <w:vAlign w:val="center"/>
          </w:tcPr>
          <w:p w14:paraId="0D51B29C">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sz w:val="24"/>
                <w:szCs w:val="24"/>
                <w:highlight w:val="none"/>
              </w:rPr>
            </w:pPr>
            <w:r>
              <w:rPr>
                <w:rFonts w:hint="eastAsia" w:ascii="宋体" w:hAnsi="宋体" w:cs="宋体"/>
                <w:bCs/>
                <w:color w:val="auto"/>
                <w:sz w:val="24"/>
                <w:szCs w:val="24"/>
                <w:highlight w:val="none"/>
                <w:lang w:val="zh-CN"/>
              </w:rPr>
              <w:t>2</w:t>
            </w:r>
          </w:p>
        </w:tc>
        <w:tc>
          <w:tcPr>
            <w:tcW w:w="1924" w:type="dxa"/>
            <w:vAlign w:val="center"/>
          </w:tcPr>
          <w:p w14:paraId="1FC0DB0D">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sz w:val="24"/>
                <w:szCs w:val="24"/>
                <w:highlight w:val="none"/>
              </w:rPr>
            </w:pPr>
            <w:r>
              <w:rPr>
                <w:rFonts w:hint="eastAsia" w:ascii="宋体" w:hAnsi="宋体" w:cs="宋体"/>
                <w:bCs/>
                <w:color w:val="auto"/>
                <w:sz w:val="24"/>
                <w:szCs w:val="24"/>
                <w:highlight w:val="none"/>
                <w:lang w:val="zh-CN"/>
              </w:rPr>
              <w:t>采购代理机构</w:t>
            </w:r>
          </w:p>
        </w:tc>
        <w:tc>
          <w:tcPr>
            <w:tcW w:w="6810" w:type="dxa"/>
            <w:vAlign w:val="center"/>
          </w:tcPr>
          <w:p w14:paraId="293999F3">
            <w:pPr>
              <w:keepNext w:val="0"/>
              <w:keepLines w:val="0"/>
              <w:pageBreakBefore w:val="0"/>
              <w:widowControl w:val="0"/>
              <w:kinsoku/>
              <w:wordWrap/>
              <w:overflowPunct/>
              <w:topLinePunct w:val="0"/>
              <w:autoSpaceDE/>
              <w:autoSpaceDN/>
              <w:bidi w:val="0"/>
              <w:snapToGrid/>
              <w:spacing w:line="360" w:lineRule="auto"/>
              <w:jc w:val="both"/>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名称： 吉林省世博项目管理有限公司</w:t>
            </w:r>
          </w:p>
          <w:p w14:paraId="4AEEB916">
            <w:pPr>
              <w:keepNext w:val="0"/>
              <w:keepLines w:val="0"/>
              <w:pageBreakBefore w:val="0"/>
              <w:widowControl w:val="0"/>
              <w:kinsoku/>
              <w:wordWrap/>
              <w:overflowPunct/>
              <w:topLinePunct w:val="0"/>
              <w:autoSpaceDE/>
              <w:autoSpaceDN/>
              <w:bidi w:val="0"/>
              <w:snapToGrid/>
              <w:spacing w:line="360" w:lineRule="auto"/>
              <w:jc w:val="both"/>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地址：长春市二道区通安小区1号楼103室-04</w:t>
            </w:r>
          </w:p>
          <w:p w14:paraId="2892E2F3">
            <w:pPr>
              <w:keepNext w:val="0"/>
              <w:keepLines w:val="0"/>
              <w:pageBreakBefore w:val="0"/>
              <w:widowControl w:val="0"/>
              <w:kinsoku/>
              <w:wordWrap/>
              <w:overflowPunct/>
              <w:topLinePunct w:val="0"/>
              <w:autoSpaceDE/>
              <w:autoSpaceDN/>
              <w:bidi w:val="0"/>
              <w:snapToGrid/>
              <w:spacing w:line="360" w:lineRule="auto"/>
              <w:jc w:val="both"/>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电话：13364300502（办公电话）</w:t>
            </w:r>
          </w:p>
          <w:p w14:paraId="7B4C97EB">
            <w:pPr>
              <w:keepNext w:val="0"/>
              <w:keepLines w:val="0"/>
              <w:pageBreakBefore w:val="0"/>
              <w:widowControl w:val="0"/>
              <w:kinsoku/>
              <w:wordWrap/>
              <w:overflowPunct/>
              <w:topLinePunct w:val="0"/>
              <w:autoSpaceDE/>
              <w:autoSpaceDN/>
              <w:bidi w:val="0"/>
              <w:snapToGrid/>
              <w:spacing w:line="360" w:lineRule="auto"/>
              <w:jc w:val="both"/>
              <w:textAlignment w:val="auto"/>
              <w:outlineLvl w:val="9"/>
              <w:rPr>
                <w:rFonts w:hint="eastAsia" w:ascii="宋体" w:hAnsi="宋体" w:cs="宋体"/>
                <w:kern w:val="0"/>
                <w:sz w:val="24"/>
                <w:szCs w:val="24"/>
                <w:highlight w:val="none"/>
              </w:rPr>
            </w:pPr>
            <w:r>
              <w:rPr>
                <w:rFonts w:hint="eastAsia" w:ascii="宋体" w:hAnsi="宋体" w:eastAsia="宋体" w:cs="宋体"/>
                <w:color w:val="000000"/>
                <w:sz w:val="24"/>
                <w:szCs w:val="24"/>
                <w:highlight w:val="none"/>
                <w:lang w:val="en-US" w:eastAsia="zh-CN"/>
              </w:rPr>
              <w:t>项目联系人:</w:t>
            </w:r>
            <w:r>
              <w:rPr>
                <w:rFonts w:hint="eastAsia" w:ascii="宋体" w:hAnsi="宋体" w:eastAsia="宋体" w:cs="宋体"/>
                <w:sz w:val="24"/>
                <w:szCs w:val="24"/>
                <w:highlight w:val="none"/>
                <w:lang w:val="en-US" w:eastAsia="zh-CN"/>
              </w:rPr>
              <w:t>魏中华</w:t>
            </w:r>
          </w:p>
        </w:tc>
      </w:tr>
      <w:tr w14:paraId="3027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13" w:type="dxa"/>
            <w:vAlign w:val="center"/>
          </w:tcPr>
          <w:p w14:paraId="68B2D6A3">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3</w:t>
            </w:r>
          </w:p>
        </w:tc>
        <w:tc>
          <w:tcPr>
            <w:tcW w:w="1924" w:type="dxa"/>
            <w:vAlign w:val="center"/>
          </w:tcPr>
          <w:p w14:paraId="43E5EE5F">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项目名称及项目编号</w:t>
            </w:r>
          </w:p>
        </w:tc>
        <w:tc>
          <w:tcPr>
            <w:tcW w:w="6810" w:type="dxa"/>
            <w:vAlign w:val="center"/>
          </w:tcPr>
          <w:p w14:paraId="2F9044D7">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项目名称：</w:t>
            </w:r>
            <w:r>
              <w:rPr>
                <w:rFonts w:hint="eastAsia" w:ascii="宋体" w:hAnsi="宋体" w:cs="宋体"/>
                <w:bCs/>
                <w:color w:val="auto"/>
                <w:sz w:val="24"/>
                <w:szCs w:val="24"/>
                <w:highlight w:val="none"/>
                <w:lang w:val="zh-CN" w:eastAsia="zh-CN"/>
              </w:rPr>
              <w:t>吉林司法警官职业学院常态化智慧教室建设项目（</w:t>
            </w:r>
            <w:r>
              <w:rPr>
                <w:rFonts w:hint="eastAsia" w:ascii="宋体" w:hAnsi="宋体" w:cs="宋体"/>
                <w:bCs/>
                <w:color w:val="auto"/>
                <w:sz w:val="24"/>
                <w:szCs w:val="24"/>
                <w:highlight w:val="none"/>
                <w:lang w:val="en-US" w:eastAsia="zh-CN"/>
              </w:rPr>
              <w:t>二次</w:t>
            </w:r>
            <w:r>
              <w:rPr>
                <w:rFonts w:hint="eastAsia" w:ascii="宋体" w:hAnsi="宋体" w:cs="宋体"/>
                <w:bCs/>
                <w:color w:val="auto"/>
                <w:sz w:val="24"/>
                <w:szCs w:val="24"/>
                <w:highlight w:val="none"/>
                <w:lang w:val="zh-CN" w:eastAsia="zh-CN"/>
              </w:rPr>
              <w:t>）</w:t>
            </w:r>
          </w:p>
          <w:p w14:paraId="788DDB5B">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项目编号：采购计划-[2025]-07114号-JLSB2025-107C-H</w:t>
            </w:r>
            <w:r>
              <w:rPr>
                <w:rFonts w:hint="eastAsia" w:ascii="宋体" w:hAnsi="宋体" w:cs="宋体"/>
                <w:bCs/>
                <w:color w:val="auto"/>
                <w:sz w:val="24"/>
                <w:szCs w:val="24"/>
                <w:highlight w:val="none"/>
                <w:lang w:val="en-US" w:eastAsia="zh-CN"/>
              </w:rPr>
              <w:t>-1</w:t>
            </w:r>
          </w:p>
        </w:tc>
      </w:tr>
      <w:tr w14:paraId="1BA5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713" w:type="dxa"/>
            <w:vAlign w:val="center"/>
          </w:tcPr>
          <w:p w14:paraId="211C6313">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1924" w:type="dxa"/>
            <w:vAlign w:val="center"/>
          </w:tcPr>
          <w:p w14:paraId="0CBF7146">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预算金额</w:t>
            </w:r>
          </w:p>
          <w:p w14:paraId="2C6F2E0A">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（最高限价）</w:t>
            </w:r>
          </w:p>
        </w:tc>
        <w:tc>
          <w:tcPr>
            <w:tcW w:w="6810" w:type="dxa"/>
            <w:vAlign w:val="center"/>
          </w:tcPr>
          <w:p w14:paraId="221C96B8">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人民币</w:t>
            </w:r>
            <w:r>
              <w:rPr>
                <w:rFonts w:hint="eastAsia" w:ascii="宋体" w:hAnsi="宋体" w:cs="宋体"/>
                <w:bCs/>
                <w:color w:val="auto"/>
                <w:sz w:val="24"/>
                <w:szCs w:val="24"/>
                <w:highlight w:val="none"/>
                <w:lang w:val="en-US" w:eastAsia="zh-CN"/>
              </w:rPr>
              <w:t>139万</w:t>
            </w:r>
            <w:r>
              <w:rPr>
                <w:rFonts w:hint="eastAsia" w:ascii="宋体" w:hAnsi="宋体" w:eastAsia="宋体" w:cs="宋体"/>
                <w:bCs/>
                <w:color w:val="auto"/>
                <w:sz w:val="24"/>
                <w:szCs w:val="24"/>
                <w:highlight w:val="none"/>
                <w:lang w:val="en-US" w:eastAsia="zh-CN"/>
              </w:rPr>
              <w:t>元</w:t>
            </w:r>
          </w:p>
          <w:p w14:paraId="2EA2EC99">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注：供应商所报价格不得超过</w:t>
            </w:r>
            <w:r>
              <w:rPr>
                <w:rFonts w:hint="eastAsia" w:ascii="宋体" w:hAnsi="宋体" w:eastAsia="宋体" w:cs="宋体"/>
                <w:bCs/>
                <w:color w:val="auto"/>
                <w:sz w:val="24"/>
                <w:szCs w:val="24"/>
                <w:highlight w:val="none"/>
                <w:lang w:val="zh-CN" w:eastAsia="zh-CN"/>
              </w:rPr>
              <w:t>预算金额（</w:t>
            </w:r>
            <w:r>
              <w:rPr>
                <w:rFonts w:hint="eastAsia" w:ascii="宋体" w:hAnsi="宋体" w:eastAsia="宋体" w:cs="宋体"/>
                <w:bCs/>
                <w:color w:val="auto"/>
                <w:sz w:val="24"/>
                <w:szCs w:val="24"/>
                <w:highlight w:val="none"/>
                <w:lang w:val="en-US" w:eastAsia="zh-CN"/>
              </w:rPr>
              <w:t>最高限价</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，否则按废标处理。</w:t>
            </w:r>
          </w:p>
        </w:tc>
      </w:tr>
      <w:tr w14:paraId="3324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3" w:type="dxa"/>
            <w:vAlign w:val="center"/>
          </w:tcPr>
          <w:p w14:paraId="6236C311">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w:t>
            </w:r>
          </w:p>
        </w:tc>
        <w:tc>
          <w:tcPr>
            <w:tcW w:w="1924" w:type="dxa"/>
            <w:vAlign w:val="center"/>
          </w:tcPr>
          <w:p w14:paraId="1B170981">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谈判采购内容</w:t>
            </w:r>
          </w:p>
        </w:tc>
        <w:tc>
          <w:tcPr>
            <w:tcW w:w="6810" w:type="dxa"/>
            <w:vAlign w:val="center"/>
          </w:tcPr>
          <w:p w14:paraId="2EC0EEE7">
            <w:pPr>
              <w:tabs>
                <w:tab w:val="left" w:pos="5100"/>
              </w:tabs>
              <w:snapToGrid w:val="0"/>
              <w:spacing w:line="360" w:lineRule="auto"/>
              <w:jc w:val="left"/>
              <w:rPr>
                <w:rFonts w:hint="eastAsia" w:ascii="宋体" w:hAnsi="宋体" w:eastAsia="宋体" w:cs="宋体"/>
                <w:bCs/>
                <w:kern w:val="0"/>
                <w:sz w:val="24"/>
                <w:szCs w:val="24"/>
                <w:highlight w:val="none"/>
              </w:rPr>
            </w:pPr>
            <w:r>
              <w:rPr>
                <w:rFonts w:hint="eastAsia" w:ascii="宋体" w:hAnsi="宋体" w:cs="宋体"/>
                <w:i w:val="0"/>
                <w:iCs w:val="0"/>
                <w:sz w:val="24"/>
                <w:szCs w:val="24"/>
                <w:highlight w:val="none"/>
                <w:lang w:val="en-US" w:eastAsia="zh-CN"/>
              </w:rPr>
              <w:t>吉林司法警官职业学院常态化智慧教室建设项目</w:t>
            </w:r>
            <w:r>
              <w:rPr>
                <w:rFonts w:hint="eastAsia" w:ascii="宋体" w:hAnsi="宋体" w:eastAsia="宋体" w:cs="宋体"/>
                <w:i w:val="0"/>
                <w:iCs w:val="0"/>
                <w:sz w:val="24"/>
                <w:szCs w:val="24"/>
                <w:highlight w:val="none"/>
                <w:lang w:val="en-US" w:eastAsia="zh-CN"/>
              </w:rPr>
              <w:t>(详见第三章采购需求）</w:t>
            </w:r>
          </w:p>
        </w:tc>
      </w:tr>
      <w:tr w14:paraId="3808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3" w:type="dxa"/>
            <w:vAlign w:val="center"/>
          </w:tcPr>
          <w:p w14:paraId="6C797C62">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1924" w:type="dxa"/>
            <w:vAlign w:val="center"/>
          </w:tcPr>
          <w:p w14:paraId="5393ADA1">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供货期</w:t>
            </w:r>
          </w:p>
        </w:tc>
        <w:tc>
          <w:tcPr>
            <w:tcW w:w="6810" w:type="dxa"/>
            <w:vAlign w:val="center"/>
          </w:tcPr>
          <w:p w14:paraId="29B8DFAF">
            <w:pPr>
              <w:spacing w:line="360" w:lineRule="auto"/>
              <w:rPr>
                <w:rFonts w:hint="eastAsia" w:ascii="宋体" w:hAnsi="宋体" w:cs="宋体"/>
                <w:bCs/>
                <w:snapToGrid w:val="0"/>
                <w:sz w:val="24"/>
                <w:szCs w:val="24"/>
                <w:highlight w:val="none"/>
              </w:rPr>
            </w:pPr>
            <w:r>
              <w:rPr>
                <w:rFonts w:hint="eastAsia" w:ascii="宋体" w:hAnsi="宋体" w:cs="宋体"/>
                <w:bCs/>
                <w:snapToGrid w:val="0"/>
                <w:sz w:val="24"/>
                <w:szCs w:val="24"/>
                <w:highlight w:val="none"/>
              </w:rPr>
              <w:t>自合同签订之日起</w:t>
            </w:r>
            <w:r>
              <w:rPr>
                <w:rFonts w:hint="eastAsia" w:ascii="宋体" w:hAnsi="宋体" w:cs="宋体"/>
                <w:bCs/>
                <w:snapToGrid w:val="0"/>
                <w:sz w:val="24"/>
                <w:szCs w:val="24"/>
                <w:highlight w:val="none"/>
                <w:lang w:val="en-US" w:eastAsia="zh-CN"/>
              </w:rPr>
              <w:t>30</w:t>
            </w:r>
            <w:r>
              <w:rPr>
                <w:rFonts w:hint="eastAsia" w:ascii="宋体" w:hAnsi="宋体" w:cs="宋体"/>
                <w:bCs/>
                <w:snapToGrid w:val="0"/>
                <w:sz w:val="24"/>
                <w:szCs w:val="24"/>
                <w:highlight w:val="none"/>
                <w:lang w:val="zh-CN"/>
              </w:rPr>
              <w:t>天内完成。</w:t>
            </w:r>
          </w:p>
        </w:tc>
      </w:tr>
      <w:tr w14:paraId="774D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13" w:type="dxa"/>
            <w:vAlign w:val="center"/>
          </w:tcPr>
          <w:p w14:paraId="0D95DAF3">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p>
        </w:tc>
        <w:tc>
          <w:tcPr>
            <w:tcW w:w="1924" w:type="dxa"/>
            <w:vAlign w:val="center"/>
          </w:tcPr>
          <w:p w14:paraId="3ACF5F46">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供货地点</w:t>
            </w:r>
          </w:p>
        </w:tc>
        <w:tc>
          <w:tcPr>
            <w:tcW w:w="6810" w:type="dxa"/>
            <w:vAlign w:val="center"/>
          </w:tcPr>
          <w:p w14:paraId="30CF1B09">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i w:val="0"/>
                <w:iCs w:val="0"/>
                <w:sz w:val="24"/>
                <w:szCs w:val="24"/>
                <w:highlight w:val="none"/>
              </w:rPr>
              <w:t>吉林司法警官职业学院</w:t>
            </w:r>
          </w:p>
        </w:tc>
      </w:tr>
      <w:tr w14:paraId="5C62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3" w:type="dxa"/>
            <w:vAlign w:val="center"/>
          </w:tcPr>
          <w:p w14:paraId="792F465F">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c>
          <w:tcPr>
            <w:tcW w:w="1924" w:type="dxa"/>
            <w:vAlign w:val="center"/>
          </w:tcPr>
          <w:p w14:paraId="005F2975">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质量要求</w:t>
            </w:r>
          </w:p>
        </w:tc>
        <w:tc>
          <w:tcPr>
            <w:tcW w:w="6810" w:type="dxa"/>
            <w:vAlign w:val="center"/>
          </w:tcPr>
          <w:p w14:paraId="793DF9BE">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i w:val="0"/>
                <w:iCs w:val="0"/>
                <w:sz w:val="24"/>
                <w:szCs w:val="24"/>
                <w:highlight w:val="none"/>
              </w:rPr>
              <w:t>符合国家及相关行业合格标准</w:t>
            </w:r>
          </w:p>
        </w:tc>
      </w:tr>
      <w:tr w14:paraId="7CFB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3" w:type="dxa"/>
            <w:vAlign w:val="center"/>
          </w:tcPr>
          <w:p w14:paraId="45DD998E">
            <w:pPr>
              <w:spacing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9</w:t>
            </w:r>
          </w:p>
        </w:tc>
        <w:tc>
          <w:tcPr>
            <w:tcW w:w="1924" w:type="dxa"/>
            <w:shd w:val="clear" w:color="auto" w:fill="auto"/>
            <w:vAlign w:val="center"/>
          </w:tcPr>
          <w:p w14:paraId="2D4721D6">
            <w:pPr>
              <w:spacing w:line="360" w:lineRule="auto"/>
              <w:jc w:val="center"/>
              <w:rPr>
                <w:rFonts w:hint="eastAsia" w:ascii="Times New Roman" w:hAnsi="Times New Roman" w:eastAsia="宋体" w:cs="Times New Roman"/>
                <w:color w:val="auto"/>
                <w:kern w:val="2"/>
                <w:sz w:val="24"/>
                <w:szCs w:val="24"/>
                <w:highlight w:val="none"/>
                <w:lang w:val="zh-CN" w:eastAsia="zh-CN" w:bidi="ar-SA"/>
              </w:rPr>
            </w:pPr>
            <w:r>
              <w:rPr>
                <w:rFonts w:hint="eastAsia"/>
                <w:color w:val="auto"/>
                <w:sz w:val="24"/>
                <w:szCs w:val="24"/>
                <w:highlight w:val="none"/>
              </w:rPr>
              <w:t>资金来源</w:t>
            </w:r>
            <w:r>
              <w:rPr>
                <w:rFonts w:hint="eastAsia"/>
                <w:color w:val="auto"/>
                <w:sz w:val="24"/>
                <w:szCs w:val="24"/>
                <w:highlight w:val="none"/>
                <w:lang w:eastAsia="zh-CN"/>
              </w:rPr>
              <w:t>及落实情况</w:t>
            </w:r>
          </w:p>
        </w:tc>
        <w:tc>
          <w:tcPr>
            <w:tcW w:w="6810" w:type="dxa"/>
            <w:shd w:val="clear" w:color="auto" w:fill="auto"/>
            <w:vAlign w:val="center"/>
          </w:tcPr>
          <w:p w14:paraId="34B12AA1">
            <w:pPr>
              <w:spacing w:line="360" w:lineRule="auto"/>
              <w:jc w:val="both"/>
              <w:rPr>
                <w:rFonts w:hint="eastAsia"/>
                <w:bCs/>
                <w:color w:val="auto"/>
                <w:sz w:val="24"/>
                <w:szCs w:val="24"/>
                <w:highlight w:val="none"/>
                <w:lang w:val="zh-CN" w:eastAsia="zh-CN"/>
              </w:rPr>
            </w:pPr>
            <w:r>
              <w:rPr>
                <w:rFonts w:hint="eastAsia"/>
                <w:bCs/>
                <w:color w:val="auto"/>
                <w:sz w:val="24"/>
                <w:szCs w:val="24"/>
                <w:highlight w:val="none"/>
                <w:lang w:eastAsia="zh-CN"/>
              </w:rPr>
              <w:t>财政资金，已落实</w:t>
            </w:r>
          </w:p>
        </w:tc>
      </w:tr>
      <w:tr w14:paraId="59E18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3" w:type="dxa"/>
            <w:vAlign w:val="center"/>
          </w:tcPr>
          <w:p w14:paraId="0934B41A">
            <w:pPr>
              <w:spacing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10</w:t>
            </w:r>
          </w:p>
        </w:tc>
        <w:tc>
          <w:tcPr>
            <w:tcW w:w="1924" w:type="dxa"/>
            <w:vAlign w:val="center"/>
          </w:tcPr>
          <w:p w14:paraId="71BDAB4C">
            <w:pPr>
              <w:keepNext w:val="0"/>
              <w:keepLines w:val="0"/>
              <w:pageBreakBefore w:val="0"/>
              <w:widowControl w:val="0"/>
              <w:kinsoku/>
              <w:wordWrap/>
              <w:overflowPunct/>
              <w:topLinePunct w:val="0"/>
              <w:bidi w:val="0"/>
              <w:adjustRightInd w:val="0"/>
              <w:snapToGrid w:val="0"/>
              <w:spacing w:line="360" w:lineRule="auto"/>
              <w:ind w:firstLine="10" w:firstLineChars="0"/>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cs="宋体"/>
                <w:color w:val="auto"/>
                <w:sz w:val="24"/>
                <w:szCs w:val="24"/>
                <w:highlight w:val="none"/>
              </w:rPr>
              <w:t>采购方式</w:t>
            </w:r>
          </w:p>
        </w:tc>
        <w:tc>
          <w:tcPr>
            <w:tcW w:w="6810" w:type="dxa"/>
            <w:vAlign w:val="center"/>
          </w:tcPr>
          <w:p w14:paraId="00A18339">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color w:val="auto"/>
                <w:sz w:val="24"/>
                <w:szCs w:val="24"/>
                <w:highlight w:val="none"/>
              </w:rPr>
              <w:t>竞争性</w:t>
            </w:r>
            <w:r>
              <w:rPr>
                <w:rFonts w:hint="eastAsia" w:ascii="宋体" w:hAnsi="宋体" w:eastAsia="宋体" w:cs="宋体"/>
                <w:color w:val="auto"/>
                <w:sz w:val="24"/>
                <w:szCs w:val="24"/>
                <w:highlight w:val="none"/>
                <w:lang w:eastAsia="zh-CN"/>
              </w:rPr>
              <w:t>谈判</w:t>
            </w:r>
          </w:p>
        </w:tc>
      </w:tr>
      <w:tr w14:paraId="0792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13" w:type="dxa"/>
            <w:vAlign w:val="center"/>
          </w:tcPr>
          <w:p w14:paraId="09073D1F">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1924" w:type="dxa"/>
            <w:shd w:val="clear" w:color="auto" w:fill="auto"/>
            <w:vAlign w:val="center"/>
          </w:tcPr>
          <w:p w14:paraId="1D7EBF6D">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资质条件、能力和信誉</w:t>
            </w:r>
          </w:p>
        </w:tc>
        <w:tc>
          <w:tcPr>
            <w:tcW w:w="6810" w:type="dxa"/>
            <w:shd w:val="clear" w:color="auto" w:fill="auto"/>
            <w:vAlign w:val="top"/>
          </w:tcPr>
          <w:p w14:paraId="2AB0A4FA">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14:paraId="2457E4CA">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2.落实政府采购政策需满足的资格要求：本项目非专门面向中小企业采购； </w:t>
            </w:r>
          </w:p>
          <w:p w14:paraId="7BF61583">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666B6C1B">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3.1供应商在中华人民共和国境内注册，能够独立承担民事责任的法人或其他组织形式，具备有效的营业执照；并在人员、设备、资金等方面具有承担本项目的能力。</w:t>
            </w:r>
          </w:p>
          <w:p w14:paraId="2B677A03">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近三年财务状况良好，提供由专业审计机构出具的近三年(2022-2024年)的财务审计报告(新成立不足三年的企业提供自成立之日起至2024年的财务审计报告,若供应商为2024年12月31日及以后注册成立的公司，提供财务状况良好承诺书)。</w:t>
            </w:r>
          </w:p>
          <w:p w14:paraId="1116A42A">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3.3信誉要求</w:t>
            </w:r>
          </w:p>
          <w:p w14:paraId="5932AD2D">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（1）不接受列入政府取消投标资格记录期间的企业或个人参加投标；参加政府采购活动前三年内，在经营活动中没有重大违法记录。</w:t>
            </w:r>
          </w:p>
          <w:p w14:paraId="5CA14AEC">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不得为“信用中国”网站（www.creditchina.gov.cn）中列入失信被执行人和重大税收违法失信主体的供应商，不得为中国政府采购网（www.ccgp.gov.cn）政府采购严重违法失信行为记录名单中被财政部门禁止参加政府采购活动的供应商（详见财库【2016】125号文）（需在公告发布之后至投标截止期间在官方网站查询，并将查询截图加盖单位公章附在投标文件中）。</w:t>
            </w:r>
          </w:p>
          <w:p w14:paraId="3D92BCB6">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与采购人存在利害关系可能影响采购公正性的法人、其它组织或者个人，不得参加投标；单位负责人为同一人或者存在直接控股、管理关系的不同供应商，不得参加同一合同项下的政府采购活动。否则相关投标无效</w:t>
            </w:r>
          </w:p>
        </w:tc>
      </w:tr>
      <w:tr w14:paraId="7FCB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13" w:type="dxa"/>
            <w:vAlign w:val="center"/>
          </w:tcPr>
          <w:p w14:paraId="2FC34BFB">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1924" w:type="dxa"/>
            <w:vAlign w:val="center"/>
          </w:tcPr>
          <w:p w14:paraId="5F7C5AFD">
            <w:pPr>
              <w:spacing w:line="360" w:lineRule="auto"/>
              <w:jc w:val="center"/>
              <w:rPr>
                <w:rFonts w:ascii="宋体" w:hAnsi="宋体" w:cs="宋体"/>
                <w:sz w:val="24"/>
                <w:szCs w:val="24"/>
                <w:highlight w:val="none"/>
              </w:rPr>
            </w:pPr>
            <w:r>
              <w:rPr>
                <w:rFonts w:hint="eastAsia"/>
                <w:color w:val="auto"/>
                <w:sz w:val="24"/>
                <w:szCs w:val="24"/>
                <w:highlight w:val="none"/>
              </w:rPr>
              <w:t>谈判有效期</w:t>
            </w:r>
          </w:p>
        </w:tc>
        <w:tc>
          <w:tcPr>
            <w:tcW w:w="6810" w:type="dxa"/>
            <w:vAlign w:val="center"/>
          </w:tcPr>
          <w:p w14:paraId="0702C51B">
            <w:pPr>
              <w:spacing w:line="360" w:lineRule="auto"/>
              <w:ind w:left="-8" w:leftChars="0" w:hanging="166" w:firstLineChars="0"/>
              <w:rPr>
                <w:sz w:val="24"/>
                <w:szCs w:val="24"/>
                <w:highlight w:val="none"/>
              </w:rPr>
            </w:pPr>
            <w:r>
              <w:rPr>
                <w:rFonts w:hint="eastAsia"/>
                <w:color w:val="auto"/>
                <w:sz w:val="24"/>
                <w:szCs w:val="24"/>
                <w:highlight w:val="none"/>
                <w:lang w:eastAsia="zh-CN"/>
              </w:rPr>
              <w:t xml:space="preserve"> </w:t>
            </w:r>
            <w:r>
              <w:rPr>
                <w:rFonts w:hint="eastAsia" w:ascii="宋体" w:hAnsi="宋体" w:cs="宋体"/>
                <w:bCs/>
                <w:color w:val="auto"/>
                <w:kern w:val="15"/>
                <w:sz w:val="24"/>
                <w:szCs w:val="24"/>
                <w:highlight w:val="none"/>
              </w:rPr>
              <w:t>响应文件截止之日后</w:t>
            </w:r>
            <w:r>
              <w:rPr>
                <w:rFonts w:hint="eastAsia" w:ascii="宋体" w:hAnsi="宋体" w:cs="宋体"/>
                <w:bCs/>
                <w:color w:val="auto"/>
                <w:kern w:val="15"/>
                <w:sz w:val="24"/>
                <w:szCs w:val="24"/>
                <w:highlight w:val="none"/>
                <w:u w:val="single"/>
                <w:lang w:val="en-US" w:eastAsia="zh-CN"/>
              </w:rPr>
              <w:t>90</w:t>
            </w:r>
            <w:r>
              <w:rPr>
                <w:rFonts w:hint="eastAsia" w:ascii="宋体" w:hAnsi="宋体" w:cs="宋体"/>
                <w:bCs/>
                <w:color w:val="auto"/>
                <w:sz w:val="24"/>
                <w:szCs w:val="24"/>
                <w:highlight w:val="none"/>
                <w:u w:val="none"/>
                <w:lang w:val="zh-CN"/>
              </w:rPr>
              <w:t>天</w:t>
            </w:r>
            <w:r>
              <w:rPr>
                <w:rFonts w:hint="eastAsia" w:ascii="宋体" w:hAnsi="宋体" w:cs="宋体"/>
                <w:bCs/>
                <w:color w:val="auto"/>
                <w:sz w:val="24"/>
                <w:szCs w:val="24"/>
                <w:highlight w:val="none"/>
                <w:lang w:val="zh-CN"/>
              </w:rPr>
              <w:t>（日历天）</w:t>
            </w:r>
            <w:r>
              <w:rPr>
                <w:rFonts w:hint="eastAsia" w:ascii="Times New Roman" w:hAnsi="Times New Roman" w:eastAsia="宋体" w:cs="Times New Roman"/>
                <w:color w:val="auto"/>
                <w:sz w:val="24"/>
                <w:szCs w:val="24"/>
                <w:highlight w:val="none"/>
              </w:rPr>
              <w:t>有效期不足的响应文件将被拒绝。</w:t>
            </w:r>
          </w:p>
        </w:tc>
      </w:tr>
      <w:tr w14:paraId="3A35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13" w:type="dxa"/>
            <w:vAlign w:val="center"/>
          </w:tcPr>
          <w:p w14:paraId="3DAD8BEC">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1924" w:type="dxa"/>
            <w:vAlign w:val="center"/>
          </w:tcPr>
          <w:p w14:paraId="2D40016E">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sz w:val="24"/>
                <w:szCs w:val="24"/>
                <w:highlight w:val="none"/>
              </w:rPr>
            </w:pPr>
            <w:r>
              <w:rPr>
                <w:rFonts w:hint="eastAsia" w:ascii="宋体" w:hAnsi="宋体" w:cs="宋体"/>
                <w:bCs/>
                <w:color w:val="auto"/>
                <w:sz w:val="24"/>
                <w:szCs w:val="24"/>
                <w:highlight w:val="none"/>
                <w:lang w:val="zh-CN"/>
              </w:rPr>
              <w:t>谈判保证金</w:t>
            </w:r>
          </w:p>
        </w:tc>
        <w:tc>
          <w:tcPr>
            <w:tcW w:w="6810" w:type="dxa"/>
            <w:vAlign w:val="center"/>
          </w:tcPr>
          <w:p w14:paraId="22EF7A69">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en-US" w:eastAsia="zh-CN"/>
                <w14:textFill>
                  <w14:solidFill>
                    <w14:schemeClr w14:val="tx1"/>
                  </w14:solidFill>
                </w14:textFill>
              </w:rPr>
              <w:t>谈判</w:t>
            </w:r>
            <w:r>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t>保证金形式：包括转账、电汇、现金，银行出具的现金支票、保兑支票、银行汇票，银行、专业担保公司、保险公司出具的保函。以现金、支票形式、转账或电汇形式提交的投标保证金应当从投标单位的基本账户转出。</w:t>
            </w:r>
          </w:p>
          <w:p w14:paraId="7EEE5FF6">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谈判</w:t>
            </w:r>
            <w:r>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t>保证金的金额：</w:t>
            </w:r>
            <w:r>
              <w:rPr>
                <w:rFonts w:hint="eastAsia" w:ascii="宋体" w:hAnsi="宋体" w:eastAsia="宋体" w:cs="宋体"/>
                <w:b w:val="0"/>
                <w:bCs/>
                <w:caps w:val="0"/>
                <w:color w:val="000000" w:themeColor="text1"/>
                <w:kern w:val="2"/>
                <w:sz w:val="24"/>
                <w:szCs w:val="24"/>
                <w:highlight w:val="none"/>
                <w:lang w:val="en-US" w:eastAsia="zh-CN"/>
                <w14:textFill>
                  <w14:solidFill>
                    <w14:schemeClr w14:val="tx1"/>
                  </w14:solidFill>
                </w14:textFill>
              </w:rPr>
              <w:t>1</w:t>
            </w:r>
            <w:r>
              <w:rPr>
                <w:rFonts w:hint="eastAsia" w:ascii="宋体" w:hAnsi="宋体" w:cs="宋体"/>
                <w:b w:val="0"/>
                <w:bCs/>
                <w:caps w:val="0"/>
                <w:color w:val="000000" w:themeColor="text1"/>
                <w:kern w:val="2"/>
                <w:sz w:val="24"/>
                <w:szCs w:val="24"/>
                <w:highlight w:val="none"/>
                <w:lang w:val="en-US" w:eastAsia="zh-CN"/>
                <w14:textFill>
                  <w14:solidFill>
                    <w14:schemeClr w14:val="tx1"/>
                  </w14:solidFill>
                </w14:textFill>
              </w:rPr>
              <w:t>3</w:t>
            </w:r>
            <w:r>
              <w:rPr>
                <w:rFonts w:hint="eastAsia" w:ascii="宋体" w:hAnsi="宋体" w:eastAsia="宋体" w:cs="宋体"/>
                <w:b w:val="0"/>
                <w:bCs/>
                <w:caps w:val="0"/>
                <w:color w:val="000000" w:themeColor="text1"/>
                <w:kern w:val="2"/>
                <w:sz w:val="24"/>
                <w:szCs w:val="24"/>
                <w:highlight w:val="none"/>
                <w:lang w:val="en-US" w:eastAsia="zh-CN"/>
                <w14:textFill>
                  <w14:solidFill>
                    <w14:schemeClr w14:val="tx1"/>
                  </w14:solidFill>
                </w14:textFill>
              </w:rPr>
              <w:t>000</w:t>
            </w:r>
            <w:r>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t>元</w:t>
            </w:r>
          </w:p>
          <w:p w14:paraId="63EE5034">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t>户名：吉林省世博项目管理有限公司</w:t>
            </w:r>
          </w:p>
          <w:p w14:paraId="21013D6A">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t>账号：8916534542000002</w:t>
            </w:r>
          </w:p>
          <w:p w14:paraId="073C6BCA">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t>开户行：吉林银行长春皓月大路支行</w:t>
            </w:r>
          </w:p>
          <w:p w14:paraId="5E9ABCFB">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注：</w:t>
            </w:r>
          </w:p>
          <w:p w14:paraId="6F704DE5">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1、投标人办理转账或汇款时应写明“项目名称投标保证金”，以便核对查实；</w:t>
            </w:r>
          </w:p>
          <w:p w14:paraId="6A4F30A6">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2、以保函方式递交的投标保证金应在投标截止时间前</w:t>
            </w:r>
            <w:r>
              <w:rPr>
                <w:rFonts w:hint="eastAsia" w:ascii="宋体" w:hAnsi="宋体" w:eastAsia="宋体" w:cs="宋体"/>
                <w:b w:val="0"/>
                <w:bCs/>
                <w:caps w:val="0"/>
                <w:color w:val="000000" w:themeColor="text1"/>
                <w:kern w:val="2"/>
                <w:sz w:val="24"/>
                <w:szCs w:val="24"/>
                <w:highlight w:val="none"/>
                <w:lang w:val="en-US" w:eastAsia="zh-CN"/>
                <w14:textFill>
                  <w14:solidFill>
                    <w14:schemeClr w14:val="tx1"/>
                  </w14:solidFill>
                </w14:textFill>
              </w:rPr>
              <w:t>1个工作日</w:t>
            </w: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将保函扫描件递交吉林省世博项目管理有限公司Shibo23456@sina.com邮箱，以便核实，否则后果自负；</w:t>
            </w:r>
          </w:p>
          <w:p w14:paraId="216EEAA6">
            <w:pPr>
              <w:keepLines/>
              <w:pageBreakBefore w:val="0"/>
              <w:widowControl/>
              <w:kinsoku/>
              <w:autoSpaceDE w:val="0"/>
              <w:autoSpaceDN w:val="0"/>
              <w:bidi w:val="0"/>
              <w:adjustRightInd w:val="0"/>
              <w:spacing w:line="360" w:lineRule="auto"/>
              <w:jc w:val="both"/>
              <w:rPr>
                <w:rFonts w:ascii="宋体" w:hAnsi="宋体" w:cs="宋体"/>
                <w:sz w:val="24"/>
                <w:szCs w:val="24"/>
                <w:highlight w:val="none"/>
              </w:rPr>
            </w:pP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3、投标人应在汇款时认真核对收款单位、开户行名称、账号准确无误，确保保证金按时到账，否则后果自负。</w:t>
            </w:r>
          </w:p>
        </w:tc>
      </w:tr>
      <w:tr w14:paraId="4882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1F9F0592">
            <w:pPr>
              <w:spacing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14</w:t>
            </w:r>
          </w:p>
        </w:tc>
        <w:tc>
          <w:tcPr>
            <w:tcW w:w="1924" w:type="dxa"/>
            <w:vAlign w:val="center"/>
          </w:tcPr>
          <w:p w14:paraId="21BA35A5">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cs="宋体"/>
                <w:color w:val="auto"/>
                <w:kern w:val="15"/>
                <w:sz w:val="24"/>
                <w:szCs w:val="24"/>
                <w:highlight w:val="none"/>
                <w:lang w:eastAsia="zh-CN"/>
              </w:rPr>
              <w:t>响应</w:t>
            </w:r>
            <w:r>
              <w:rPr>
                <w:rFonts w:hint="eastAsia" w:ascii="宋体" w:hAnsi="宋体" w:eastAsia="宋体" w:cs="宋体"/>
                <w:color w:val="auto"/>
                <w:kern w:val="15"/>
                <w:sz w:val="24"/>
                <w:szCs w:val="24"/>
                <w:highlight w:val="none"/>
              </w:rPr>
              <w:t>人提出问题</w:t>
            </w:r>
            <w:r>
              <w:rPr>
                <w:rFonts w:hint="eastAsia" w:ascii="宋体" w:hAnsi="宋体" w:cs="宋体"/>
                <w:color w:val="auto"/>
                <w:kern w:val="15"/>
                <w:sz w:val="24"/>
                <w:szCs w:val="24"/>
                <w:highlight w:val="none"/>
                <w:lang w:eastAsia="zh-CN"/>
              </w:rPr>
              <w:t>的截止时间</w:t>
            </w:r>
          </w:p>
        </w:tc>
        <w:tc>
          <w:tcPr>
            <w:tcW w:w="6810" w:type="dxa"/>
            <w:vAlign w:val="center"/>
          </w:tcPr>
          <w:p w14:paraId="432EDA72">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highlight w:val="none"/>
              </w:rPr>
            </w:pPr>
            <w:r>
              <w:rPr>
                <w:rFonts w:hint="eastAsia" w:ascii="宋体" w:hAnsi="宋体" w:eastAsia="宋体" w:cs="宋体"/>
                <w:color w:val="auto"/>
                <w:kern w:val="15"/>
                <w:sz w:val="24"/>
                <w:szCs w:val="24"/>
                <w:highlight w:val="none"/>
                <w:lang w:eastAsia="zh-CN"/>
              </w:rPr>
              <w:t>提交首次响应文件</w:t>
            </w:r>
            <w:r>
              <w:rPr>
                <w:rFonts w:hint="eastAsia" w:ascii="宋体" w:hAnsi="宋体" w:eastAsia="宋体" w:cs="宋体"/>
                <w:color w:val="auto"/>
                <w:kern w:val="15"/>
                <w:sz w:val="24"/>
                <w:szCs w:val="24"/>
                <w:highlight w:val="none"/>
              </w:rPr>
              <w:t>截止时间</w:t>
            </w:r>
            <w:r>
              <w:rPr>
                <w:rFonts w:hint="eastAsia" w:ascii="宋体" w:hAnsi="宋体" w:eastAsia="宋体" w:cs="宋体"/>
                <w:color w:val="auto"/>
                <w:kern w:val="15"/>
                <w:sz w:val="24"/>
                <w:szCs w:val="24"/>
                <w:highlight w:val="none"/>
                <w:lang w:val="en-US" w:eastAsia="zh-CN"/>
              </w:rPr>
              <w:t>3个工作日</w:t>
            </w:r>
            <w:r>
              <w:rPr>
                <w:rFonts w:hint="eastAsia" w:ascii="宋体" w:hAnsi="宋体" w:eastAsia="宋体" w:cs="宋体"/>
                <w:color w:val="auto"/>
                <w:kern w:val="15"/>
                <w:sz w:val="24"/>
                <w:szCs w:val="24"/>
                <w:highlight w:val="none"/>
              </w:rPr>
              <w:t>前</w:t>
            </w:r>
          </w:p>
          <w:p w14:paraId="3B69EFB4">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highlight w:val="none"/>
                <w:lang w:eastAsia="zh-CN"/>
              </w:rPr>
            </w:pPr>
            <w:r>
              <w:rPr>
                <w:rFonts w:hint="eastAsia" w:ascii="宋体" w:hAnsi="宋体" w:eastAsia="宋体" w:cs="宋体"/>
                <w:color w:val="auto"/>
                <w:kern w:val="15"/>
                <w:sz w:val="24"/>
                <w:szCs w:val="24"/>
                <w:highlight w:val="none"/>
              </w:rPr>
              <w:t>提问方式：在“政采云”平台-项目采购-询问质疑投诉</w:t>
            </w:r>
            <w:r>
              <w:rPr>
                <w:rFonts w:hint="eastAsia" w:ascii="宋体" w:hAnsi="宋体" w:eastAsia="宋体" w:cs="宋体"/>
                <w:color w:val="auto"/>
                <w:kern w:val="15"/>
                <w:sz w:val="24"/>
                <w:szCs w:val="24"/>
                <w:highlight w:val="none"/>
                <w:lang w:val="en-US" w:eastAsia="zh-CN"/>
              </w:rPr>
              <w:t>栏提问</w:t>
            </w:r>
            <w:r>
              <w:rPr>
                <w:rFonts w:hint="eastAsia" w:ascii="宋体" w:hAnsi="宋体" w:eastAsia="宋体" w:cs="宋体"/>
                <w:color w:val="auto"/>
                <w:kern w:val="15"/>
                <w:sz w:val="24"/>
                <w:szCs w:val="24"/>
                <w:highlight w:val="none"/>
              </w:rPr>
              <w:t>，并以书面形式递交</w:t>
            </w:r>
            <w:r>
              <w:rPr>
                <w:rFonts w:hint="eastAsia" w:ascii="宋体" w:hAnsi="宋体" w:eastAsia="宋体" w:cs="宋体"/>
                <w:color w:val="auto"/>
                <w:kern w:val="15"/>
                <w:sz w:val="24"/>
                <w:szCs w:val="24"/>
                <w:highlight w:val="none"/>
                <w:lang w:val="en-US" w:eastAsia="zh-CN"/>
              </w:rPr>
              <w:t>至</w:t>
            </w:r>
            <w:r>
              <w:rPr>
                <w:rFonts w:hint="eastAsia" w:ascii="宋体" w:hAnsi="宋体" w:eastAsia="宋体" w:cs="宋体"/>
                <w:color w:val="auto"/>
                <w:kern w:val="15"/>
                <w:sz w:val="24"/>
                <w:szCs w:val="24"/>
                <w:highlight w:val="none"/>
              </w:rPr>
              <w:t>采购代理机构。</w:t>
            </w:r>
          </w:p>
        </w:tc>
      </w:tr>
      <w:tr w14:paraId="2A5E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2E57230E">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w:t>
            </w:r>
          </w:p>
        </w:tc>
        <w:tc>
          <w:tcPr>
            <w:tcW w:w="1924" w:type="dxa"/>
            <w:vAlign w:val="center"/>
          </w:tcPr>
          <w:p w14:paraId="69B37DFB">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sz w:val="24"/>
                <w:szCs w:val="24"/>
                <w:highlight w:val="none"/>
              </w:rPr>
            </w:pPr>
            <w:r>
              <w:rPr>
                <w:rFonts w:hint="eastAsia" w:ascii="宋体" w:hAnsi="宋体" w:cs="宋体"/>
                <w:bCs/>
                <w:color w:val="auto"/>
                <w:sz w:val="24"/>
                <w:szCs w:val="24"/>
                <w:highlight w:val="none"/>
                <w:lang w:val="zh-CN"/>
              </w:rPr>
              <w:t>谈判文件</w:t>
            </w:r>
            <w:r>
              <w:rPr>
                <w:rFonts w:hint="eastAsia" w:ascii="宋体" w:hAnsi="宋体" w:cs="宋体"/>
                <w:bCs/>
                <w:color w:val="auto"/>
                <w:sz w:val="24"/>
                <w:szCs w:val="24"/>
                <w:highlight w:val="none"/>
              </w:rPr>
              <w:t>澄清或者修改</w:t>
            </w:r>
            <w:r>
              <w:rPr>
                <w:rFonts w:hint="eastAsia" w:ascii="宋体" w:hAnsi="宋体" w:cs="宋体"/>
                <w:bCs/>
                <w:color w:val="auto"/>
                <w:sz w:val="24"/>
                <w:szCs w:val="24"/>
                <w:highlight w:val="none"/>
                <w:lang w:val="zh-CN"/>
              </w:rPr>
              <w:t>的时间</w:t>
            </w:r>
          </w:p>
        </w:tc>
        <w:tc>
          <w:tcPr>
            <w:tcW w:w="6810" w:type="dxa"/>
            <w:vAlign w:val="center"/>
          </w:tcPr>
          <w:p w14:paraId="533AD93B">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cs="宋体"/>
                <w:sz w:val="24"/>
                <w:szCs w:val="24"/>
                <w:highlight w:val="none"/>
              </w:rPr>
            </w:pPr>
            <w:r>
              <w:rPr>
                <w:rFonts w:hint="eastAsia" w:ascii="宋体" w:hAnsi="宋体" w:eastAsia="宋体" w:cs="宋体"/>
                <w:color w:val="auto"/>
                <w:kern w:val="15"/>
                <w:sz w:val="24"/>
                <w:szCs w:val="24"/>
                <w:highlight w:val="none"/>
                <w:lang w:eastAsia="zh-CN"/>
              </w:rPr>
              <w:t>提交首次响应文件</w:t>
            </w:r>
            <w:r>
              <w:rPr>
                <w:rFonts w:hint="eastAsia" w:ascii="宋体" w:hAnsi="宋体" w:eastAsia="宋体" w:cs="宋体"/>
                <w:color w:val="auto"/>
                <w:kern w:val="15"/>
                <w:sz w:val="24"/>
                <w:szCs w:val="24"/>
                <w:highlight w:val="none"/>
              </w:rPr>
              <w:t>截止时间</w:t>
            </w:r>
            <w:r>
              <w:rPr>
                <w:rFonts w:hint="eastAsia" w:ascii="宋体" w:hAnsi="宋体" w:eastAsia="宋体" w:cs="宋体"/>
                <w:color w:val="auto"/>
                <w:kern w:val="15"/>
                <w:sz w:val="24"/>
                <w:szCs w:val="24"/>
                <w:highlight w:val="none"/>
                <w:lang w:val="en-US" w:eastAsia="zh-CN"/>
              </w:rPr>
              <w:t>3个工作日</w:t>
            </w:r>
            <w:r>
              <w:rPr>
                <w:rFonts w:hint="eastAsia" w:ascii="宋体" w:hAnsi="宋体" w:eastAsia="宋体" w:cs="宋体"/>
                <w:color w:val="auto"/>
                <w:kern w:val="15"/>
                <w:sz w:val="24"/>
                <w:szCs w:val="24"/>
                <w:highlight w:val="none"/>
              </w:rPr>
              <w:t>前，</w:t>
            </w:r>
            <w:r>
              <w:rPr>
                <w:rFonts w:hint="eastAsia" w:ascii="宋体" w:hAnsi="宋体" w:cs="宋体"/>
                <w:bCs/>
                <w:color w:val="auto"/>
                <w:sz w:val="24"/>
                <w:szCs w:val="24"/>
                <w:highlight w:val="none"/>
                <w:lang w:val="zh-CN"/>
              </w:rPr>
              <w:t>谈判</w:t>
            </w:r>
            <w:r>
              <w:rPr>
                <w:rFonts w:hint="eastAsia" w:ascii="宋体" w:hAnsi="宋体" w:eastAsia="宋体" w:cs="宋体"/>
                <w:color w:val="auto"/>
                <w:kern w:val="15"/>
                <w:sz w:val="24"/>
                <w:szCs w:val="24"/>
                <w:highlight w:val="none"/>
              </w:rPr>
              <w:t>文件的澄清或者修改将在</w:t>
            </w:r>
            <w:r>
              <w:rPr>
                <w:rFonts w:hint="eastAsia" w:ascii="宋体" w:hAnsi="宋体" w:eastAsia="宋体" w:cs="宋体"/>
                <w:color w:val="auto"/>
                <w:kern w:val="15"/>
                <w:sz w:val="24"/>
                <w:szCs w:val="24"/>
                <w:highlight w:val="none"/>
                <w:lang w:eastAsia="zh-CN"/>
              </w:rPr>
              <w:t>“政采云”平台（https://www.zcygov.cn/）</w:t>
            </w:r>
            <w:r>
              <w:rPr>
                <w:rFonts w:hint="eastAsia" w:ascii="宋体" w:hAnsi="宋体" w:eastAsia="宋体" w:cs="宋体"/>
                <w:color w:val="auto"/>
                <w:kern w:val="15"/>
                <w:sz w:val="24"/>
                <w:szCs w:val="24"/>
                <w:highlight w:val="none"/>
              </w:rPr>
              <w:t>上发布，所有报名并下载</w:t>
            </w:r>
            <w:r>
              <w:rPr>
                <w:rFonts w:hint="eastAsia" w:ascii="宋体" w:hAnsi="宋体" w:cs="宋体"/>
                <w:color w:val="auto"/>
                <w:kern w:val="15"/>
                <w:sz w:val="24"/>
                <w:szCs w:val="24"/>
                <w:highlight w:val="none"/>
                <w:lang w:eastAsia="zh-CN"/>
              </w:rPr>
              <w:t>谈判</w:t>
            </w:r>
            <w:r>
              <w:rPr>
                <w:rFonts w:hint="eastAsia" w:ascii="宋体" w:hAnsi="宋体" w:eastAsia="宋体" w:cs="宋体"/>
                <w:color w:val="auto"/>
                <w:kern w:val="15"/>
                <w:sz w:val="24"/>
                <w:szCs w:val="24"/>
                <w:highlight w:val="none"/>
              </w:rPr>
              <w:t>文件的</w:t>
            </w:r>
            <w:r>
              <w:rPr>
                <w:rFonts w:hint="eastAsia" w:ascii="宋体" w:hAnsi="宋体" w:cs="宋体"/>
                <w:color w:val="auto"/>
                <w:kern w:val="15"/>
                <w:sz w:val="24"/>
                <w:szCs w:val="24"/>
                <w:highlight w:val="none"/>
                <w:lang w:eastAsia="zh-CN"/>
              </w:rPr>
              <w:t>供应商</w:t>
            </w:r>
            <w:r>
              <w:rPr>
                <w:rFonts w:hint="eastAsia" w:ascii="宋体" w:hAnsi="宋体" w:eastAsia="宋体" w:cs="宋体"/>
                <w:color w:val="auto"/>
                <w:kern w:val="15"/>
                <w:sz w:val="24"/>
                <w:szCs w:val="24"/>
                <w:highlight w:val="none"/>
              </w:rPr>
              <w:t>自行网上查询，否则后果自负。</w:t>
            </w:r>
          </w:p>
        </w:tc>
      </w:tr>
      <w:tr w14:paraId="39E0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2667D908">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16</w:t>
            </w:r>
          </w:p>
        </w:tc>
        <w:tc>
          <w:tcPr>
            <w:tcW w:w="1924" w:type="dxa"/>
            <w:vAlign w:val="center"/>
          </w:tcPr>
          <w:p w14:paraId="371CAA63">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kern w:val="15"/>
                <w:sz w:val="24"/>
                <w:szCs w:val="24"/>
                <w:highlight w:val="none"/>
              </w:rPr>
            </w:pPr>
            <w:r>
              <w:rPr>
                <w:rFonts w:hint="eastAsia" w:ascii="宋体" w:hAnsi="宋体" w:cs="宋体"/>
                <w:color w:val="auto"/>
                <w:kern w:val="15"/>
                <w:sz w:val="24"/>
                <w:szCs w:val="24"/>
                <w:highlight w:val="none"/>
                <w:lang w:eastAsia="zh-CN"/>
              </w:rPr>
              <w:t>响应</w:t>
            </w:r>
            <w:r>
              <w:rPr>
                <w:rFonts w:hint="eastAsia" w:ascii="宋体" w:hAnsi="宋体" w:eastAsia="宋体" w:cs="宋体"/>
                <w:color w:val="auto"/>
                <w:kern w:val="15"/>
                <w:sz w:val="24"/>
                <w:szCs w:val="24"/>
                <w:highlight w:val="none"/>
              </w:rPr>
              <w:t>人提出质疑的方式和截止时间</w:t>
            </w:r>
          </w:p>
        </w:tc>
        <w:tc>
          <w:tcPr>
            <w:tcW w:w="6810" w:type="dxa"/>
            <w:vAlign w:val="center"/>
          </w:tcPr>
          <w:p w14:paraId="7A607D0E">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highlight w:val="none"/>
                <w:lang w:eastAsia="zh-CN"/>
              </w:rPr>
            </w:pPr>
            <w:r>
              <w:rPr>
                <w:rFonts w:hint="eastAsia" w:ascii="宋体" w:hAnsi="宋体" w:eastAsia="宋体" w:cs="宋体"/>
                <w:color w:val="auto"/>
                <w:kern w:val="15"/>
                <w:sz w:val="24"/>
                <w:szCs w:val="24"/>
                <w:highlight w:val="none"/>
              </w:rPr>
              <w:t>截止时间：</w:t>
            </w:r>
            <w:r>
              <w:rPr>
                <w:rFonts w:hint="eastAsia" w:ascii="宋体" w:hAnsi="宋体" w:eastAsia="宋体" w:cs="宋体"/>
                <w:color w:val="auto"/>
                <w:kern w:val="15"/>
                <w:sz w:val="24"/>
                <w:szCs w:val="24"/>
                <w:highlight w:val="none"/>
                <w:lang w:val="en-US" w:eastAsia="zh-CN"/>
              </w:rPr>
              <w:t>供应商</w:t>
            </w:r>
            <w:r>
              <w:rPr>
                <w:rFonts w:hint="eastAsia" w:ascii="宋体" w:hAnsi="宋体" w:eastAsia="宋体" w:cs="宋体"/>
                <w:color w:val="auto"/>
                <w:kern w:val="15"/>
                <w:sz w:val="24"/>
                <w:szCs w:val="24"/>
                <w:highlight w:val="none"/>
              </w:rPr>
              <w:t>可以在知道或者应知其权益受到损害之日起七个工作日内</w:t>
            </w:r>
            <w:r>
              <w:rPr>
                <w:rFonts w:hint="eastAsia" w:ascii="宋体" w:hAnsi="宋体" w:eastAsia="宋体" w:cs="宋体"/>
                <w:color w:val="auto"/>
                <w:kern w:val="15"/>
                <w:sz w:val="24"/>
                <w:szCs w:val="24"/>
                <w:highlight w:val="none"/>
                <w:lang w:eastAsia="zh-CN"/>
              </w:rPr>
              <w:t>。</w:t>
            </w:r>
          </w:p>
          <w:p w14:paraId="4E3FCA4D">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highlight w:val="none"/>
              </w:rPr>
            </w:pPr>
            <w:r>
              <w:rPr>
                <w:rFonts w:hint="eastAsia" w:ascii="宋体" w:hAnsi="宋体" w:eastAsia="宋体" w:cs="宋体"/>
                <w:color w:val="auto"/>
                <w:kern w:val="15"/>
                <w:sz w:val="24"/>
                <w:szCs w:val="24"/>
                <w:highlight w:val="none"/>
              </w:rPr>
              <w:t>提问方式：在“政采云”平台-项目采购-询问质疑投诉</w:t>
            </w:r>
            <w:r>
              <w:rPr>
                <w:rFonts w:hint="eastAsia" w:ascii="宋体" w:hAnsi="宋体" w:eastAsia="宋体" w:cs="宋体"/>
                <w:color w:val="auto"/>
                <w:kern w:val="15"/>
                <w:sz w:val="24"/>
                <w:szCs w:val="24"/>
                <w:highlight w:val="none"/>
                <w:lang w:val="en-US" w:eastAsia="zh-CN"/>
              </w:rPr>
              <w:t>栏提问</w:t>
            </w:r>
            <w:r>
              <w:rPr>
                <w:rFonts w:hint="eastAsia" w:ascii="宋体" w:hAnsi="宋体" w:eastAsia="宋体" w:cs="宋体"/>
                <w:color w:val="auto"/>
                <w:kern w:val="15"/>
                <w:sz w:val="24"/>
                <w:szCs w:val="24"/>
                <w:highlight w:val="none"/>
              </w:rPr>
              <w:t>，并以书面形式递交</w:t>
            </w:r>
            <w:r>
              <w:rPr>
                <w:rFonts w:hint="eastAsia" w:ascii="宋体" w:hAnsi="宋体" w:eastAsia="宋体" w:cs="宋体"/>
                <w:color w:val="auto"/>
                <w:kern w:val="15"/>
                <w:sz w:val="24"/>
                <w:szCs w:val="24"/>
                <w:highlight w:val="none"/>
                <w:lang w:val="en-US" w:eastAsia="zh-CN"/>
              </w:rPr>
              <w:t>至</w:t>
            </w:r>
            <w:r>
              <w:rPr>
                <w:rFonts w:hint="eastAsia" w:ascii="宋体" w:hAnsi="宋体" w:eastAsia="宋体" w:cs="宋体"/>
                <w:color w:val="auto"/>
                <w:kern w:val="15"/>
                <w:sz w:val="24"/>
                <w:szCs w:val="24"/>
                <w:highlight w:val="none"/>
              </w:rPr>
              <w:t>采购代理机构。</w:t>
            </w:r>
          </w:p>
          <w:p w14:paraId="5EA6C5B9">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highlight w:val="none"/>
              </w:rPr>
            </w:pPr>
            <w:r>
              <w:rPr>
                <w:rFonts w:hint="eastAsia" w:ascii="宋体" w:hAnsi="宋体" w:eastAsia="宋体" w:cs="宋体"/>
                <w:color w:val="auto"/>
                <w:kern w:val="15"/>
                <w:sz w:val="24"/>
                <w:szCs w:val="24"/>
                <w:highlight w:val="none"/>
              </w:rPr>
              <w:t>提出质疑方式：1、</w:t>
            </w:r>
            <w:r>
              <w:rPr>
                <w:rFonts w:hint="eastAsia" w:ascii="宋体" w:hAnsi="宋体" w:cs="宋体"/>
                <w:color w:val="auto"/>
                <w:kern w:val="15"/>
                <w:sz w:val="24"/>
                <w:szCs w:val="24"/>
                <w:highlight w:val="none"/>
                <w:lang w:eastAsia="zh-CN"/>
              </w:rPr>
              <w:t>响应</w:t>
            </w:r>
            <w:r>
              <w:rPr>
                <w:rFonts w:hint="eastAsia" w:ascii="宋体" w:hAnsi="宋体" w:eastAsia="宋体" w:cs="宋体"/>
                <w:color w:val="auto"/>
                <w:kern w:val="15"/>
                <w:sz w:val="24"/>
                <w:szCs w:val="24"/>
                <w:highlight w:val="none"/>
              </w:rPr>
              <w:t>人认为</w:t>
            </w:r>
            <w:r>
              <w:rPr>
                <w:rFonts w:hint="eastAsia" w:ascii="宋体" w:hAnsi="宋体" w:cs="宋体"/>
                <w:color w:val="auto"/>
                <w:kern w:val="15"/>
                <w:sz w:val="24"/>
                <w:szCs w:val="24"/>
                <w:highlight w:val="none"/>
                <w:lang w:eastAsia="zh-CN"/>
              </w:rPr>
              <w:t>谈判</w:t>
            </w:r>
            <w:r>
              <w:rPr>
                <w:rFonts w:hint="eastAsia" w:ascii="宋体" w:hAnsi="宋体" w:eastAsia="宋体" w:cs="宋体"/>
                <w:color w:val="auto"/>
                <w:kern w:val="15"/>
                <w:sz w:val="24"/>
                <w:szCs w:val="24"/>
                <w:highlight w:val="none"/>
              </w:rPr>
              <w:t>文件、</w:t>
            </w:r>
            <w:r>
              <w:rPr>
                <w:rFonts w:hint="eastAsia" w:ascii="宋体" w:hAnsi="宋体" w:cs="宋体"/>
                <w:color w:val="auto"/>
                <w:kern w:val="15"/>
                <w:sz w:val="24"/>
                <w:szCs w:val="24"/>
                <w:highlight w:val="none"/>
                <w:lang w:eastAsia="zh-CN"/>
              </w:rPr>
              <w:t>谈判</w:t>
            </w:r>
            <w:r>
              <w:rPr>
                <w:rFonts w:hint="eastAsia" w:ascii="宋体" w:hAnsi="宋体" w:eastAsia="宋体" w:cs="宋体"/>
                <w:color w:val="auto"/>
                <w:kern w:val="15"/>
                <w:sz w:val="24"/>
                <w:szCs w:val="24"/>
                <w:highlight w:val="none"/>
              </w:rPr>
              <w:t>过程和中标结果使自己的权益受到损害的，可以在知道或者应知其权益受到损害之日起七个工作日内，以“政采云”平台提问的形式向采购人或采购代理机构提出质疑，并在法定质疑期内一次性提出针对同一采购程序环节的质疑，同时将书面质疑送至采购人或采购代理机构。网站质疑和书面质疑均应在质疑期内送至采购人或采购代理机构，否则采购人或采购代理机构视其质疑为无效。</w:t>
            </w:r>
          </w:p>
          <w:p w14:paraId="224FDF71">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highlight w:val="none"/>
              </w:rPr>
            </w:pPr>
            <w:r>
              <w:rPr>
                <w:rFonts w:hint="eastAsia" w:ascii="宋体" w:hAnsi="宋体" w:eastAsia="宋体" w:cs="宋体"/>
                <w:color w:val="auto"/>
                <w:kern w:val="15"/>
                <w:sz w:val="24"/>
                <w:szCs w:val="24"/>
                <w:highlight w:val="none"/>
              </w:rPr>
              <w:t>2、对采购代理机构提出质疑的，若质疑内容超出</w:t>
            </w:r>
            <w:r>
              <w:rPr>
                <w:rFonts w:hint="eastAsia" w:ascii="宋体" w:hAnsi="宋体" w:cs="宋体"/>
                <w:color w:val="auto"/>
                <w:kern w:val="15"/>
                <w:sz w:val="24"/>
                <w:szCs w:val="24"/>
                <w:highlight w:val="none"/>
                <w:lang w:eastAsia="zh-CN"/>
              </w:rPr>
              <w:t>采购</w:t>
            </w:r>
            <w:r>
              <w:rPr>
                <w:rFonts w:hint="eastAsia" w:ascii="宋体" w:hAnsi="宋体" w:eastAsia="宋体" w:cs="宋体"/>
                <w:color w:val="auto"/>
                <w:kern w:val="15"/>
                <w:sz w:val="24"/>
                <w:szCs w:val="24"/>
                <w:highlight w:val="none"/>
              </w:rPr>
              <w:t>代理范围的，应明确告知质疑</w:t>
            </w:r>
            <w:r>
              <w:rPr>
                <w:rFonts w:hint="eastAsia" w:ascii="宋体" w:hAnsi="宋体" w:cs="宋体"/>
                <w:color w:val="auto"/>
                <w:kern w:val="15"/>
                <w:sz w:val="24"/>
                <w:szCs w:val="24"/>
                <w:highlight w:val="none"/>
                <w:lang w:eastAsia="zh-CN"/>
              </w:rPr>
              <w:t>供应商</w:t>
            </w:r>
            <w:r>
              <w:rPr>
                <w:rFonts w:hint="eastAsia" w:ascii="宋体" w:hAnsi="宋体" w:eastAsia="宋体" w:cs="宋体"/>
                <w:color w:val="auto"/>
                <w:kern w:val="15"/>
                <w:sz w:val="24"/>
                <w:szCs w:val="24"/>
                <w:highlight w:val="none"/>
              </w:rPr>
              <w:t>向采购人提出质疑或协调采购人答复质疑</w:t>
            </w:r>
            <w:r>
              <w:rPr>
                <w:rFonts w:hint="eastAsia" w:ascii="宋体" w:hAnsi="宋体" w:cs="宋体"/>
                <w:color w:val="auto"/>
                <w:kern w:val="15"/>
                <w:sz w:val="24"/>
                <w:szCs w:val="24"/>
                <w:highlight w:val="none"/>
                <w:lang w:eastAsia="zh-CN"/>
              </w:rPr>
              <w:t>供应商</w:t>
            </w:r>
            <w:r>
              <w:rPr>
                <w:rFonts w:hint="eastAsia" w:ascii="宋体" w:hAnsi="宋体" w:eastAsia="宋体" w:cs="宋体"/>
                <w:color w:val="auto"/>
                <w:kern w:val="15"/>
                <w:sz w:val="24"/>
                <w:szCs w:val="24"/>
                <w:highlight w:val="none"/>
              </w:rPr>
              <w:t>。</w:t>
            </w:r>
          </w:p>
          <w:p w14:paraId="1555BC08">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highlight w:val="none"/>
              </w:rPr>
            </w:pPr>
            <w:r>
              <w:rPr>
                <w:rFonts w:hint="eastAsia" w:ascii="宋体" w:hAnsi="宋体" w:eastAsia="宋体" w:cs="宋体"/>
                <w:color w:val="auto"/>
                <w:kern w:val="15"/>
                <w:sz w:val="24"/>
                <w:szCs w:val="24"/>
                <w:highlight w:val="none"/>
              </w:rPr>
              <w:t>3、质疑应当有明确的请求和必要的证明材料。否则采购人或采购代理机构有权拒绝。</w:t>
            </w:r>
          </w:p>
        </w:tc>
      </w:tr>
      <w:tr w14:paraId="00D7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56317619">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17</w:t>
            </w:r>
          </w:p>
        </w:tc>
        <w:tc>
          <w:tcPr>
            <w:tcW w:w="1924" w:type="dxa"/>
            <w:vAlign w:val="center"/>
          </w:tcPr>
          <w:p w14:paraId="434DE964">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sz w:val="24"/>
                <w:szCs w:val="24"/>
                <w:highlight w:val="none"/>
              </w:rPr>
            </w:pPr>
            <w:r>
              <w:rPr>
                <w:rFonts w:hint="eastAsia" w:ascii="宋体" w:hAnsi="宋体" w:eastAsia="宋体" w:cs="宋体"/>
                <w:bCs/>
                <w:color w:val="auto"/>
                <w:sz w:val="24"/>
                <w:szCs w:val="24"/>
                <w:highlight w:val="none"/>
                <w:lang w:val="zh-CN"/>
              </w:rPr>
              <w:t>提交响应文件截止时间</w:t>
            </w:r>
          </w:p>
        </w:tc>
        <w:tc>
          <w:tcPr>
            <w:tcW w:w="6810" w:type="dxa"/>
            <w:vAlign w:val="center"/>
          </w:tcPr>
          <w:p w14:paraId="12915D96">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2025年</w:t>
            </w:r>
            <w:r>
              <w:rPr>
                <w:rFonts w:hint="eastAsia" w:ascii="宋体" w:hAnsi="宋体" w:cs="宋体"/>
                <w:bCs/>
                <w:color w:val="auto"/>
                <w:sz w:val="24"/>
                <w:szCs w:val="24"/>
                <w:highlight w:val="none"/>
                <w:lang w:val="en-US" w:eastAsia="zh-CN"/>
              </w:rPr>
              <w:t>07</w:t>
            </w:r>
            <w:r>
              <w:rPr>
                <w:rFonts w:hint="eastAsia" w:ascii="宋体" w:hAnsi="宋体" w:eastAsia="宋体" w:cs="宋体"/>
                <w:bCs/>
                <w:color w:val="auto"/>
                <w:sz w:val="24"/>
                <w:szCs w:val="24"/>
                <w:highlight w:val="none"/>
                <w:lang w:val="zh-CN" w:eastAsia="zh-CN"/>
              </w:rPr>
              <w:t>月2</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eastAsia="zh-CN"/>
              </w:rPr>
              <w:t>日</w:t>
            </w:r>
            <w:r>
              <w:rPr>
                <w:rFonts w:hint="eastAsia" w:ascii="宋体" w:hAnsi="宋体" w:cs="宋体"/>
                <w:bCs/>
                <w:color w:val="auto"/>
                <w:sz w:val="24"/>
                <w:szCs w:val="24"/>
                <w:highlight w:val="none"/>
                <w:lang w:val="en-US" w:eastAsia="zh-CN"/>
              </w:rPr>
              <w:t>09</w:t>
            </w:r>
            <w:r>
              <w:rPr>
                <w:rFonts w:hint="eastAsia" w:ascii="宋体" w:hAnsi="宋体" w:eastAsia="宋体" w:cs="宋体"/>
                <w:bCs/>
                <w:color w:val="auto"/>
                <w:sz w:val="24"/>
                <w:szCs w:val="24"/>
                <w:highlight w:val="none"/>
                <w:lang w:val="zh-CN" w:eastAsia="zh-CN"/>
              </w:rPr>
              <w:t>时</w:t>
            </w:r>
            <w:r>
              <w:rPr>
                <w:rFonts w:hint="eastAsia" w:ascii="宋体" w:hAnsi="宋体" w:cs="宋体"/>
                <w:bCs/>
                <w:color w:val="auto"/>
                <w:sz w:val="24"/>
                <w:szCs w:val="24"/>
                <w:highlight w:val="none"/>
                <w:lang w:val="en-US" w:eastAsia="zh-CN"/>
              </w:rPr>
              <w:t>0</w:t>
            </w:r>
            <w:r>
              <w:rPr>
                <w:rFonts w:hint="eastAsia" w:ascii="宋体" w:hAnsi="宋体" w:eastAsia="宋体" w:cs="宋体"/>
                <w:bCs/>
                <w:color w:val="auto"/>
                <w:sz w:val="24"/>
                <w:szCs w:val="24"/>
                <w:highlight w:val="none"/>
                <w:lang w:val="zh-CN" w:eastAsia="zh-CN"/>
              </w:rPr>
              <w:t>0分</w:t>
            </w:r>
          </w:p>
          <w:p w14:paraId="7E01699D">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cs="宋体"/>
                <w:sz w:val="24"/>
                <w:szCs w:val="24"/>
                <w:highlight w:val="none"/>
              </w:rPr>
            </w:pPr>
            <w:r>
              <w:rPr>
                <w:rFonts w:hint="eastAsia" w:ascii="宋体" w:hAnsi="宋体" w:eastAsia="宋体" w:cs="宋体"/>
                <w:bCs/>
                <w:color w:val="auto"/>
                <w:sz w:val="24"/>
                <w:szCs w:val="24"/>
                <w:highlight w:val="none"/>
                <w:lang w:val="zh-CN" w:eastAsia="zh-CN"/>
              </w:rPr>
              <w:t>本项目执行电子化招投标，</w:t>
            </w:r>
            <w:r>
              <w:rPr>
                <w:rFonts w:hint="eastAsia" w:ascii="宋体" w:hAnsi="宋体" w:cs="宋体"/>
                <w:bCs/>
                <w:color w:val="auto"/>
                <w:sz w:val="24"/>
                <w:szCs w:val="24"/>
                <w:highlight w:val="none"/>
                <w:lang w:val="zh-CN" w:eastAsia="zh-CN"/>
              </w:rPr>
              <w:t>响应</w:t>
            </w:r>
            <w:r>
              <w:rPr>
                <w:rFonts w:hint="eastAsia" w:ascii="宋体" w:hAnsi="宋体" w:eastAsia="宋体" w:cs="宋体"/>
                <w:bCs/>
                <w:color w:val="auto"/>
                <w:sz w:val="24"/>
                <w:szCs w:val="24"/>
                <w:highlight w:val="none"/>
                <w:lang w:val="zh-CN" w:eastAsia="zh-CN"/>
              </w:rPr>
              <w:t>人须通过政府采购云平台（https://www.zcygov.cn/）递交电子版投标文件，逾期未上传电子</w:t>
            </w:r>
            <w:r>
              <w:rPr>
                <w:rFonts w:hint="eastAsia" w:ascii="宋体" w:hAnsi="宋体" w:cs="宋体"/>
                <w:bCs/>
                <w:color w:val="auto"/>
                <w:sz w:val="24"/>
                <w:szCs w:val="24"/>
                <w:highlight w:val="none"/>
                <w:lang w:val="zh-CN" w:eastAsia="zh-CN"/>
              </w:rPr>
              <w:t>谈判</w:t>
            </w:r>
            <w:r>
              <w:rPr>
                <w:rFonts w:hint="eastAsia" w:ascii="宋体" w:hAnsi="宋体" w:eastAsia="宋体" w:cs="宋体"/>
                <w:bCs/>
                <w:color w:val="auto"/>
                <w:sz w:val="24"/>
                <w:szCs w:val="24"/>
                <w:highlight w:val="none"/>
                <w:lang w:val="zh-CN" w:eastAsia="zh-CN"/>
              </w:rPr>
              <w:t>文件，将不予受理。</w:t>
            </w:r>
          </w:p>
        </w:tc>
      </w:tr>
      <w:tr w14:paraId="48FE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63818411">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18</w:t>
            </w:r>
          </w:p>
        </w:tc>
        <w:tc>
          <w:tcPr>
            <w:tcW w:w="1924" w:type="dxa"/>
            <w:vAlign w:val="center"/>
          </w:tcPr>
          <w:p w14:paraId="591DE6FD">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zh-CN"/>
              </w:rPr>
              <w:t>收到谈判文件澄清</w:t>
            </w:r>
            <w:r>
              <w:rPr>
                <w:rFonts w:hint="eastAsia" w:ascii="宋体" w:hAnsi="宋体" w:eastAsia="宋体" w:cs="宋体"/>
                <w:bCs/>
                <w:color w:val="auto"/>
                <w:sz w:val="24"/>
                <w:szCs w:val="24"/>
                <w:highlight w:val="none"/>
                <w:lang w:val="en-US" w:eastAsia="zh-CN"/>
              </w:rPr>
              <w:t>的形式</w:t>
            </w:r>
          </w:p>
        </w:tc>
        <w:tc>
          <w:tcPr>
            <w:tcW w:w="6810" w:type="dxa"/>
            <w:vAlign w:val="center"/>
          </w:tcPr>
          <w:p w14:paraId="051DC7F6">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谈判文件澄清发出的同时，“政采云”平台（https://www.zcygov.cn/）以手机短信方式提醒响应人登录平台查看。响应人应注意及时浏览网上发出的澄清，无需书面回复。因响应人自身原因未及时获知澄清内容而导致的任何后果将由</w:t>
            </w: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自行承担。</w:t>
            </w:r>
          </w:p>
        </w:tc>
      </w:tr>
      <w:tr w14:paraId="5161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06B45F73">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19</w:t>
            </w:r>
          </w:p>
        </w:tc>
        <w:tc>
          <w:tcPr>
            <w:tcW w:w="1924" w:type="dxa"/>
            <w:vAlign w:val="center"/>
          </w:tcPr>
          <w:p w14:paraId="75A1A2B8">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rPr>
              <w:t>供应商收到谈判文件修改</w:t>
            </w:r>
            <w:r>
              <w:rPr>
                <w:rFonts w:hint="eastAsia" w:ascii="宋体" w:hAnsi="宋体" w:eastAsia="宋体" w:cs="宋体"/>
                <w:bCs/>
                <w:color w:val="auto"/>
                <w:sz w:val="24"/>
                <w:szCs w:val="24"/>
                <w:highlight w:val="none"/>
                <w:lang w:val="en-US" w:eastAsia="zh-CN"/>
              </w:rPr>
              <w:t>的形式</w:t>
            </w:r>
          </w:p>
        </w:tc>
        <w:tc>
          <w:tcPr>
            <w:tcW w:w="6810" w:type="dxa"/>
            <w:vAlign w:val="center"/>
          </w:tcPr>
          <w:p w14:paraId="5BFA5640">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谈判文件</w:t>
            </w:r>
            <w:r>
              <w:rPr>
                <w:rFonts w:hint="eastAsia" w:ascii="宋体" w:hAnsi="宋体" w:eastAsia="宋体" w:cs="宋体"/>
                <w:bCs/>
                <w:color w:val="auto"/>
                <w:sz w:val="24"/>
                <w:szCs w:val="24"/>
                <w:highlight w:val="none"/>
                <w:lang w:val="en-US" w:eastAsia="zh-CN"/>
              </w:rPr>
              <w:t>修改</w:t>
            </w:r>
            <w:r>
              <w:rPr>
                <w:rFonts w:hint="eastAsia" w:ascii="宋体" w:hAnsi="宋体" w:eastAsia="宋体" w:cs="宋体"/>
                <w:bCs/>
                <w:color w:val="auto"/>
                <w:sz w:val="24"/>
                <w:szCs w:val="24"/>
                <w:highlight w:val="none"/>
                <w:lang w:val="zh-CN"/>
              </w:rPr>
              <w:t>发出的同时，“政采云”平台（https://www.zcygov.cn/）以手机短信方式提醒响应人登录平台查看。响应人应注意及时浏览网上发出的</w:t>
            </w:r>
            <w:r>
              <w:rPr>
                <w:rFonts w:hint="eastAsia" w:ascii="宋体" w:hAnsi="宋体" w:eastAsia="宋体" w:cs="宋体"/>
                <w:bCs/>
                <w:color w:val="auto"/>
                <w:sz w:val="24"/>
                <w:szCs w:val="24"/>
                <w:highlight w:val="none"/>
                <w:lang w:val="en-US" w:eastAsia="zh-CN"/>
              </w:rPr>
              <w:t>修改</w:t>
            </w:r>
            <w:r>
              <w:rPr>
                <w:rFonts w:hint="eastAsia" w:ascii="宋体" w:hAnsi="宋体" w:eastAsia="宋体" w:cs="宋体"/>
                <w:bCs/>
                <w:color w:val="auto"/>
                <w:sz w:val="24"/>
                <w:szCs w:val="24"/>
                <w:highlight w:val="none"/>
                <w:lang w:val="zh-CN"/>
              </w:rPr>
              <w:t>，无需书面回复。因</w:t>
            </w: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自身原因未及时获知</w:t>
            </w:r>
            <w:r>
              <w:rPr>
                <w:rFonts w:hint="eastAsia" w:ascii="宋体" w:hAnsi="宋体" w:eastAsia="宋体" w:cs="宋体"/>
                <w:bCs/>
                <w:color w:val="auto"/>
                <w:sz w:val="24"/>
                <w:szCs w:val="24"/>
                <w:highlight w:val="none"/>
                <w:lang w:val="en-US" w:eastAsia="zh-CN"/>
              </w:rPr>
              <w:t>修改</w:t>
            </w:r>
            <w:r>
              <w:rPr>
                <w:rFonts w:hint="eastAsia" w:ascii="宋体" w:hAnsi="宋体" w:eastAsia="宋体" w:cs="宋体"/>
                <w:bCs/>
                <w:color w:val="auto"/>
                <w:sz w:val="24"/>
                <w:szCs w:val="24"/>
                <w:highlight w:val="none"/>
                <w:lang w:val="zh-CN"/>
              </w:rPr>
              <w:t>内容而导致的任何后果将由</w:t>
            </w: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自行承担。</w:t>
            </w:r>
          </w:p>
        </w:tc>
      </w:tr>
      <w:tr w14:paraId="5FCD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6029C42E">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1924" w:type="dxa"/>
            <w:vAlign w:val="center"/>
          </w:tcPr>
          <w:p w14:paraId="57C4589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zh-CN"/>
              </w:rPr>
              <w:t>构成谈判文件的其他材料</w:t>
            </w:r>
          </w:p>
        </w:tc>
        <w:tc>
          <w:tcPr>
            <w:tcW w:w="6810" w:type="dxa"/>
            <w:vAlign w:val="center"/>
          </w:tcPr>
          <w:p w14:paraId="03CB7CA5">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14:paraId="6A0F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7F236179">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p>
        </w:tc>
        <w:tc>
          <w:tcPr>
            <w:tcW w:w="1924" w:type="dxa"/>
            <w:vAlign w:val="center"/>
          </w:tcPr>
          <w:p w14:paraId="5CB87C50">
            <w:pPr>
              <w:tabs>
                <w:tab w:val="left" w:pos="760"/>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Cs/>
                <w:sz w:val="24"/>
                <w:szCs w:val="24"/>
                <w:highlight w:val="none"/>
                <w:lang w:val="zh-CN"/>
              </w:rPr>
              <w:t>是否接受联合体投标</w:t>
            </w:r>
          </w:p>
        </w:tc>
        <w:tc>
          <w:tcPr>
            <w:tcW w:w="6810" w:type="dxa"/>
            <w:vAlign w:val="center"/>
          </w:tcPr>
          <w:p w14:paraId="0293FFEB">
            <w:pPr>
              <w:tabs>
                <w:tab w:val="left" w:pos="76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bCs/>
                <w:sz w:val="24"/>
                <w:szCs w:val="24"/>
                <w:highlight w:val="none"/>
                <w:lang w:val="zh-CN"/>
              </w:rPr>
              <w:t>不接受</w:t>
            </w:r>
          </w:p>
        </w:tc>
      </w:tr>
      <w:tr w14:paraId="2B77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0A62C806">
            <w:pPr>
              <w:spacing w:line="360" w:lineRule="auto"/>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22</w:t>
            </w:r>
          </w:p>
        </w:tc>
        <w:tc>
          <w:tcPr>
            <w:tcW w:w="1924" w:type="dxa"/>
            <w:vAlign w:val="center"/>
          </w:tcPr>
          <w:p w14:paraId="75A561B5">
            <w:pPr>
              <w:tabs>
                <w:tab w:val="left" w:pos="760"/>
              </w:tabs>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sz w:val="24"/>
                <w:szCs w:val="24"/>
                <w:highlight w:val="none"/>
                <w:lang w:val="zh-CN"/>
              </w:rPr>
              <w:t>踏勘现场</w:t>
            </w:r>
          </w:p>
        </w:tc>
        <w:tc>
          <w:tcPr>
            <w:tcW w:w="6810" w:type="dxa"/>
            <w:vAlign w:val="center"/>
          </w:tcPr>
          <w:p w14:paraId="485035E1">
            <w:pPr>
              <w:tabs>
                <w:tab w:val="left" w:pos="760"/>
              </w:tabs>
              <w:spacing w:line="360" w:lineRule="auto"/>
              <w:jc w:val="left"/>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时间：2025年7月18日9时00分</w:t>
            </w:r>
          </w:p>
          <w:p w14:paraId="38CB0A1A">
            <w:pPr>
              <w:tabs>
                <w:tab w:val="left" w:pos="760"/>
              </w:tabs>
              <w:spacing w:line="360" w:lineRule="auto"/>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地点：长春市合隆经济开发区景苑路1号</w:t>
            </w:r>
          </w:p>
          <w:p w14:paraId="010D7A3D">
            <w:pPr>
              <w:tabs>
                <w:tab w:val="left" w:pos="760"/>
              </w:tabs>
              <w:spacing w:line="360" w:lineRule="auto"/>
              <w:jc w:val="left"/>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联系人：张老师</w:t>
            </w:r>
          </w:p>
          <w:p w14:paraId="4339549C">
            <w:pPr>
              <w:tabs>
                <w:tab w:val="left" w:pos="760"/>
              </w:tabs>
              <w:spacing w:line="360" w:lineRule="auto"/>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联系电话：13756481347</w:t>
            </w:r>
          </w:p>
          <w:p w14:paraId="0263C851">
            <w:pPr>
              <w:tabs>
                <w:tab w:val="left" w:pos="760"/>
              </w:tabs>
              <w:spacing w:line="360" w:lineRule="auto"/>
              <w:jc w:val="left"/>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投标供应商报价应包含完成整个项目的全部费用，因未参加现场踏勘导致对项目实</w:t>
            </w:r>
            <w:bookmarkStart w:id="92" w:name="_GoBack"/>
            <w:bookmarkEnd w:id="92"/>
            <w:r>
              <w:rPr>
                <w:rFonts w:hint="eastAsia" w:ascii="宋体" w:hAnsi="宋体" w:cs="宋体"/>
                <w:b/>
                <w:bCs/>
                <w:color w:val="auto"/>
                <w:sz w:val="24"/>
                <w:szCs w:val="24"/>
                <w:highlight w:val="none"/>
                <w:lang w:val="en-US" w:eastAsia="zh-CN"/>
              </w:rPr>
              <w:t>际情况不了解而影响投标文件编制或导致的其他后果，由投标供应商自行承担。</w:t>
            </w:r>
          </w:p>
        </w:tc>
      </w:tr>
      <w:tr w14:paraId="4E54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46B0D769">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23</w:t>
            </w:r>
          </w:p>
        </w:tc>
        <w:tc>
          <w:tcPr>
            <w:tcW w:w="1924" w:type="dxa"/>
            <w:vAlign w:val="center"/>
          </w:tcPr>
          <w:p w14:paraId="3BAFC3CC">
            <w:pPr>
              <w:tabs>
                <w:tab w:val="left" w:pos="760"/>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Cs/>
                <w:sz w:val="24"/>
                <w:szCs w:val="24"/>
                <w:highlight w:val="none"/>
                <w:lang w:val="zh-CN"/>
              </w:rPr>
              <w:t>投标预备会</w:t>
            </w:r>
          </w:p>
        </w:tc>
        <w:tc>
          <w:tcPr>
            <w:tcW w:w="6810" w:type="dxa"/>
            <w:vAlign w:val="center"/>
          </w:tcPr>
          <w:p w14:paraId="1785DB11">
            <w:pPr>
              <w:tabs>
                <w:tab w:val="left" w:pos="76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bCs/>
                <w:sz w:val="24"/>
                <w:szCs w:val="24"/>
                <w:highlight w:val="none"/>
                <w:lang w:val="zh-CN"/>
              </w:rPr>
              <w:t>不召开</w:t>
            </w:r>
          </w:p>
        </w:tc>
      </w:tr>
      <w:tr w14:paraId="61D1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337D925C">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24</w:t>
            </w:r>
          </w:p>
        </w:tc>
        <w:tc>
          <w:tcPr>
            <w:tcW w:w="1924" w:type="dxa"/>
            <w:vAlign w:val="center"/>
          </w:tcPr>
          <w:p w14:paraId="00317749">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sz w:val="24"/>
                <w:szCs w:val="24"/>
                <w:highlight w:val="none"/>
              </w:rPr>
            </w:pP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文件份数</w:t>
            </w:r>
          </w:p>
        </w:tc>
        <w:tc>
          <w:tcPr>
            <w:tcW w:w="6810" w:type="dxa"/>
            <w:vAlign w:val="center"/>
          </w:tcPr>
          <w:p w14:paraId="464EB1F3">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无</w:t>
            </w:r>
          </w:p>
        </w:tc>
      </w:tr>
      <w:tr w14:paraId="0EF3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13" w:type="dxa"/>
            <w:shd w:val="clear" w:color="auto" w:fill="auto"/>
            <w:vAlign w:val="center"/>
          </w:tcPr>
          <w:p w14:paraId="6AE6926A">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25</w:t>
            </w:r>
          </w:p>
        </w:tc>
        <w:tc>
          <w:tcPr>
            <w:tcW w:w="1924" w:type="dxa"/>
            <w:shd w:val="clear" w:color="auto" w:fill="auto"/>
            <w:vAlign w:val="center"/>
          </w:tcPr>
          <w:p w14:paraId="2E496EB9">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装订要求</w:t>
            </w:r>
          </w:p>
        </w:tc>
        <w:tc>
          <w:tcPr>
            <w:tcW w:w="6810" w:type="dxa"/>
            <w:shd w:val="clear" w:color="auto" w:fill="auto"/>
            <w:vAlign w:val="center"/>
          </w:tcPr>
          <w:p w14:paraId="0FA68CF7">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14:paraId="7CFB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13" w:type="dxa"/>
            <w:vAlign w:val="center"/>
          </w:tcPr>
          <w:p w14:paraId="3909A723">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26</w:t>
            </w:r>
          </w:p>
        </w:tc>
        <w:tc>
          <w:tcPr>
            <w:tcW w:w="1924" w:type="dxa"/>
            <w:vAlign w:val="center"/>
          </w:tcPr>
          <w:p w14:paraId="65B27FBB">
            <w:pPr>
              <w:spacing w:line="360" w:lineRule="auto"/>
              <w:jc w:val="center"/>
              <w:rPr>
                <w:rFonts w:ascii="宋体" w:hAnsi="宋体" w:cs="宋体"/>
                <w:sz w:val="24"/>
                <w:szCs w:val="24"/>
                <w:highlight w:val="none"/>
              </w:rPr>
            </w:pPr>
            <w:r>
              <w:rPr>
                <w:rFonts w:hint="eastAsia" w:ascii="宋体" w:hAnsi="宋体" w:eastAsia="宋体" w:cs="宋体"/>
                <w:bCs/>
                <w:color w:val="auto"/>
                <w:sz w:val="24"/>
                <w:szCs w:val="24"/>
                <w:highlight w:val="none"/>
                <w:lang w:val="en-US" w:eastAsia="zh-CN"/>
              </w:rPr>
              <w:t>谈判报价</w:t>
            </w:r>
          </w:p>
        </w:tc>
        <w:tc>
          <w:tcPr>
            <w:tcW w:w="6810" w:type="dxa"/>
            <w:vAlign w:val="center"/>
          </w:tcPr>
          <w:p w14:paraId="75B70B68">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供应商必须就“货物采购需求”中公布的采购内容作完整唯一报价，否则，其响应文件无效。响应文件只允许有一个报价，有选择的或有条件的报价将不予接受。</w:t>
            </w:r>
          </w:p>
          <w:p w14:paraId="65343750">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未退出谈判的供应商在规定时间内单独依次线上进行二次报价，其二次报价超出采购预算导致已通过评审的响应文件无效的，按供应商在提交响应文件截止时间后撤回响应文件处理。</w:t>
            </w:r>
          </w:p>
          <w:p w14:paraId="6A50973D">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lang w:val="en-US" w:eastAsia="zh-CN"/>
              </w:rPr>
              <w:t>:本项目需要进行</w:t>
            </w:r>
            <w:r>
              <w:rPr>
                <w:rFonts w:hint="eastAsia" w:ascii="宋体" w:hAnsi="宋体" w:cs="宋体"/>
                <w:b/>
                <w:bCs/>
                <w:color w:val="auto"/>
                <w:sz w:val="24"/>
                <w:szCs w:val="24"/>
                <w:highlight w:val="none"/>
                <w:lang w:val="en-US" w:eastAsia="zh-CN"/>
              </w:rPr>
              <w:t>网上</w:t>
            </w:r>
            <w:r>
              <w:rPr>
                <w:rFonts w:hint="eastAsia" w:ascii="宋体" w:hAnsi="宋体" w:eastAsia="宋体" w:cs="宋体"/>
                <w:b/>
                <w:bCs/>
                <w:color w:val="auto"/>
                <w:sz w:val="24"/>
                <w:szCs w:val="24"/>
                <w:highlight w:val="none"/>
                <w:lang w:val="en-US" w:eastAsia="zh-CN"/>
              </w:rPr>
              <w:t>二次报价，投标单位</w:t>
            </w:r>
            <w:r>
              <w:rPr>
                <w:rFonts w:hint="eastAsia" w:ascii="宋体" w:hAnsi="宋体" w:cs="宋体"/>
                <w:b/>
                <w:bCs/>
                <w:color w:val="auto"/>
                <w:sz w:val="24"/>
                <w:szCs w:val="24"/>
                <w:highlight w:val="none"/>
                <w:lang w:val="en-US" w:eastAsia="zh-CN"/>
              </w:rPr>
              <w:t>须时刻关注系统二次报价发起并及时报价</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逾期后果自负。</w:t>
            </w:r>
          </w:p>
        </w:tc>
      </w:tr>
      <w:tr w14:paraId="3C33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13" w:type="dxa"/>
            <w:vAlign w:val="center"/>
          </w:tcPr>
          <w:p w14:paraId="0A2F4CDE">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27</w:t>
            </w:r>
          </w:p>
        </w:tc>
        <w:tc>
          <w:tcPr>
            <w:tcW w:w="1924" w:type="dxa"/>
            <w:vAlign w:val="center"/>
          </w:tcPr>
          <w:p w14:paraId="4C5D7591">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谈判小组组成</w:t>
            </w:r>
          </w:p>
        </w:tc>
        <w:tc>
          <w:tcPr>
            <w:tcW w:w="6810" w:type="dxa"/>
            <w:vAlign w:val="center"/>
          </w:tcPr>
          <w:p w14:paraId="3C30C02B">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谈判及评审工作由采购代理机构负责组织，具体谈判、评审工作由依法组建的谈判小组负责，谈判小组由采购人代表和有关方面的专家组成。</w:t>
            </w:r>
          </w:p>
          <w:p w14:paraId="3C407142">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谈判小组的构成：3人，其中采购人代表 0 人， 专家 </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 xml:space="preserve"> 人。</w:t>
            </w:r>
          </w:p>
          <w:p w14:paraId="2DC88D6D">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专家确定方式：</w:t>
            </w:r>
            <w:r>
              <w:rPr>
                <w:rFonts w:hint="eastAsia" w:ascii="宋体" w:hAnsi="宋体" w:eastAsia="宋体" w:cs="宋体"/>
                <w:bCs/>
                <w:color w:val="auto"/>
                <w:sz w:val="24"/>
                <w:szCs w:val="24"/>
                <w:highlight w:val="none"/>
                <w:lang w:val="zh-CN" w:eastAsia="zh-CN"/>
              </w:rPr>
              <w:t>从吉林省</w:t>
            </w:r>
            <w:r>
              <w:rPr>
                <w:rFonts w:hint="eastAsia" w:ascii="宋体" w:hAnsi="宋体" w:eastAsia="宋体" w:cs="宋体"/>
                <w:bCs/>
                <w:color w:val="auto"/>
                <w:sz w:val="24"/>
                <w:szCs w:val="24"/>
                <w:highlight w:val="none"/>
                <w:lang w:val="en-US" w:eastAsia="zh-CN"/>
              </w:rPr>
              <w:t>政府采购云平台</w:t>
            </w:r>
            <w:r>
              <w:rPr>
                <w:rFonts w:hint="eastAsia" w:ascii="宋体" w:hAnsi="宋体" w:eastAsia="宋体" w:cs="宋体"/>
                <w:bCs/>
                <w:color w:val="auto"/>
                <w:sz w:val="24"/>
                <w:szCs w:val="24"/>
                <w:highlight w:val="none"/>
                <w:lang w:val="zh-CN" w:eastAsia="zh-CN"/>
              </w:rPr>
              <w:t>专家库中随机抽取</w:t>
            </w:r>
            <w:r>
              <w:rPr>
                <w:rFonts w:hint="eastAsia" w:ascii="宋体" w:hAnsi="宋体" w:eastAsia="宋体" w:cs="宋体"/>
                <w:bCs/>
                <w:color w:val="auto"/>
                <w:sz w:val="24"/>
                <w:szCs w:val="24"/>
                <w:highlight w:val="none"/>
                <w:lang w:val="en-US" w:eastAsia="zh-CN"/>
              </w:rPr>
              <w:t xml:space="preserve"> 。</w:t>
            </w:r>
          </w:p>
        </w:tc>
      </w:tr>
      <w:tr w14:paraId="7966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Align w:val="center"/>
          </w:tcPr>
          <w:p w14:paraId="6E1421C8">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28</w:t>
            </w:r>
          </w:p>
        </w:tc>
        <w:tc>
          <w:tcPr>
            <w:tcW w:w="1924" w:type="dxa"/>
            <w:vAlign w:val="center"/>
          </w:tcPr>
          <w:p w14:paraId="4926403D">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评标方法及标准</w:t>
            </w:r>
          </w:p>
        </w:tc>
        <w:tc>
          <w:tcPr>
            <w:tcW w:w="6810" w:type="dxa"/>
            <w:vAlign w:val="center"/>
          </w:tcPr>
          <w:p w14:paraId="27541ED9">
            <w:pPr>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最低评标价法</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具体详见第四章评审办法。</w:t>
            </w:r>
          </w:p>
        </w:tc>
      </w:tr>
      <w:tr w14:paraId="63B9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Align w:val="center"/>
          </w:tcPr>
          <w:p w14:paraId="3C531092">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w:t>
            </w:r>
          </w:p>
        </w:tc>
        <w:tc>
          <w:tcPr>
            <w:tcW w:w="1924" w:type="dxa"/>
            <w:vAlign w:val="center"/>
          </w:tcPr>
          <w:p w14:paraId="04EC65F5">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成交人信用信息查询</w:t>
            </w:r>
          </w:p>
          <w:p w14:paraId="19585D2E">
            <w:pPr>
              <w:spacing w:line="360" w:lineRule="auto"/>
              <w:jc w:val="center"/>
              <w:rPr>
                <w:rFonts w:hint="eastAsia" w:ascii="宋体" w:hAnsi="宋体" w:eastAsia="宋体" w:cs="宋体"/>
                <w:bCs/>
                <w:color w:val="auto"/>
                <w:sz w:val="24"/>
                <w:szCs w:val="24"/>
                <w:highlight w:val="none"/>
                <w:lang w:val="en-US" w:eastAsia="zh-CN"/>
              </w:rPr>
            </w:pPr>
          </w:p>
        </w:tc>
        <w:tc>
          <w:tcPr>
            <w:tcW w:w="6810" w:type="dxa"/>
            <w:vAlign w:val="center"/>
          </w:tcPr>
          <w:p w14:paraId="5FC2414E">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根据《关于做好政府采购有关信用主体标识码登记及在政府采购活动中查询使用信用记录有关问题的通知》财库〔2016〕125号的通知，采购代理机构在对成交人的成交资格进行信用查询：</w:t>
            </w:r>
          </w:p>
          <w:p w14:paraId="2B13ECED">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（1）查询渠道：“信用中国”网站(www.creditchina.gov.cn)、中国政府采购网(www.ccgp.gov.cn)等；</w:t>
            </w:r>
          </w:p>
          <w:p w14:paraId="64BA4C25">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（2）查询截止时点：成交通知书发出前；</w:t>
            </w:r>
          </w:p>
          <w:p w14:paraId="5D4D6784">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（3）信用信息查询记录和证据留存方式：在查询网站中直接打印查询记录，打印材料作为采购活动资料保存。</w:t>
            </w:r>
          </w:p>
          <w:p w14:paraId="6D0C542A">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tc>
      </w:tr>
      <w:tr w14:paraId="30E9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13" w:type="dxa"/>
            <w:vAlign w:val="center"/>
          </w:tcPr>
          <w:p w14:paraId="1A99E540">
            <w:pPr>
              <w:spacing w:line="360" w:lineRule="auto"/>
              <w:jc w:val="center"/>
              <w:rPr>
                <w:rFonts w:hint="default" w:ascii="宋体" w:hAnsi="宋体" w:eastAsia="宋体" w:cs="宋体"/>
                <w:position w:val="-2"/>
                <w:sz w:val="24"/>
                <w:szCs w:val="24"/>
                <w:highlight w:val="none"/>
                <w:lang w:val="en-US" w:eastAsia="zh-CN"/>
              </w:rPr>
            </w:pPr>
            <w:r>
              <w:rPr>
                <w:rFonts w:hint="eastAsia" w:ascii="宋体" w:hAnsi="宋体" w:cs="宋体"/>
                <w:position w:val="-2"/>
                <w:sz w:val="24"/>
                <w:szCs w:val="24"/>
                <w:highlight w:val="none"/>
                <w:lang w:val="en-US" w:eastAsia="zh-CN"/>
              </w:rPr>
              <w:t>30</w:t>
            </w:r>
          </w:p>
        </w:tc>
        <w:tc>
          <w:tcPr>
            <w:tcW w:w="1924" w:type="dxa"/>
            <w:vAlign w:val="center"/>
          </w:tcPr>
          <w:p w14:paraId="6979FCCF">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成交结果公告</w:t>
            </w:r>
          </w:p>
          <w:p w14:paraId="6007F13B">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及成交通知书</w:t>
            </w:r>
          </w:p>
        </w:tc>
        <w:tc>
          <w:tcPr>
            <w:tcW w:w="6810" w:type="dxa"/>
            <w:vAlign w:val="center"/>
          </w:tcPr>
          <w:p w14:paraId="285808AF">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1C5B9A50">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2、在发布成交结果公告的同时，采购代理机构向成交供应商发出成交通知书。</w:t>
            </w:r>
          </w:p>
        </w:tc>
      </w:tr>
      <w:tr w14:paraId="58FF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3" w:type="dxa"/>
            <w:vAlign w:val="center"/>
          </w:tcPr>
          <w:p w14:paraId="0BD1035D">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31</w:t>
            </w:r>
          </w:p>
        </w:tc>
        <w:tc>
          <w:tcPr>
            <w:tcW w:w="1924" w:type="dxa"/>
            <w:vAlign w:val="center"/>
          </w:tcPr>
          <w:p w14:paraId="4DC0B71E">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履约保证金</w:t>
            </w:r>
          </w:p>
        </w:tc>
        <w:tc>
          <w:tcPr>
            <w:tcW w:w="6810" w:type="dxa"/>
            <w:shd w:val="clear" w:color="auto" w:fill="auto"/>
            <w:vAlign w:val="center"/>
          </w:tcPr>
          <w:p w14:paraId="3ED049FF">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成交供应商应在收到成交通知书后7天内向采购人提交成交金额5%的履约保证金。</w:t>
            </w:r>
          </w:p>
        </w:tc>
      </w:tr>
      <w:tr w14:paraId="186D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3" w:type="dxa"/>
            <w:vAlign w:val="center"/>
          </w:tcPr>
          <w:p w14:paraId="469510AB">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32</w:t>
            </w:r>
          </w:p>
        </w:tc>
        <w:tc>
          <w:tcPr>
            <w:tcW w:w="1924" w:type="dxa"/>
            <w:vAlign w:val="center"/>
          </w:tcPr>
          <w:p w14:paraId="76EA718A">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近年发生诉讼及仲裁情况</w:t>
            </w:r>
          </w:p>
        </w:tc>
        <w:tc>
          <w:tcPr>
            <w:tcW w:w="6810" w:type="dxa"/>
            <w:vAlign w:val="center"/>
          </w:tcPr>
          <w:p w14:paraId="4CA9CFF9">
            <w:pPr>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2022年至今</w:t>
            </w:r>
          </w:p>
        </w:tc>
      </w:tr>
      <w:tr w14:paraId="4E39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13" w:type="dxa"/>
            <w:vAlign w:val="center"/>
          </w:tcPr>
          <w:p w14:paraId="2ABFE0AD">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33</w:t>
            </w:r>
          </w:p>
        </w:tc>
        <w:tc>
          <w:tcPr>
            <w:tcW w:w="1924" w:type="dxa"/>
            <w:vAlign w:val="center"/>
          </w:tcPr>
          <w:p w14:paraId="45EB737A">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签订合同时间</w:t>
            </w:r>
          </w:p>
        </w:tc>
        <w:tc>
          <w:tcPr>
            <w:tcW w:w="6810" w:type="dxa"/>
            <w:vAlign w:val="center"/>
          </w:tcPr>
          <w:p w14:paraId="30ED79BB">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成交通知书发出之日起三十日内。</w:t>
            </w:r>
          </w:p>
        </w:tc>
      </w:tr>
      <w:tr w14:paraId="2F05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13" w:type="dxa"/>
            <w:vAlign w:val="center"/>
          </w:tcPr>
          <w:p w14:paraId="7C32374C">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34</w:t>
            </w:r>
          </w:p>
        </w:tc>
        <w:tc>
          <w:tcPr>
            <w:tcW w:w="1924" w:type="dxa"/>
            <w:vAlign w:val="center"/>
          </w:tcPr>
          <w:p w14:paraId="7F2FF83C">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合同备案存档</w:t>
            </w:r>
          </w:p>
        </w:tc>
        <w:tc>
          <w:tcPr>
            <w:tcW w:w="6810" w:type="dxa"/>
            <w:vAlign w:val="center"/>
          </w:tcPr>
          <w:p w14:paraId="5BEB5EB7">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政府采购合同双方自签订之日起1个工作日内将合同原件</w:t>
            </w:r>
            <w:r>
              <w:rPr>
                <w:rFonts w:hint="eastAsia" w:ascii="宋体" w:hAnsi="宋体" w:cs="宋体"/>
                <w:bCs/>
                <w:color w:val="auto"/>
                <w:sz w:val="24"/>
                <w:szCs w:val="24"/>
                <w:highlight w:val="none"/>
                <w:lang w:val="en-US" w:eastAsia="zh-CN"/>
              </w:rPr>
              <w:t>或复印件</w:t>
            </w:r>
            <w:r>
              <w:rPr>
                <w:rFonts w:hint="eastAsia" w:ascii="宋体" w:hAnsi="宋体" w:eastAsia="宋体" w:cs="宋体"/>
                <w:bCs/>
                <w:color w:val="auto"/>
                <w:sz w:val="24"/>
                <w:szCs w:val="24"/>
                <w:highlight w:val="none"/>
                <w:lang w:val="en-US" w:eastAsia="zh-CN"/>
              </w:rPr>
              <w:t>一份交采购代理机构。</w:t>
            </w:r>
          </w:p>
        </w:tc>
      </w:tr>
      <w:tr w14:paraId="28BD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13" w:type="dxa"/>
            <w:vAlign w:val="center"/>
          </w:tcPr>
          <w:p w14:paraId="23CE8A43">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35</w:t>
            </w:r>
          </w:p>
        </w:tc>
        <w:tc>
          <w:tcPr>
            <w:tcW w:w="1924" w:type="dxa"/>
          </w:tcPr>
          <w:p w14:paraId="59923ECB">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质 保 金</w:t>
            </w:r>
          </w:p>
        </w:tc>
        <w:tc>
          <w:tcPr>
            <w:tcW w:w="6810" w:type="dxa"/>
          </w:tcPr>
          <w:p w14:paraId="587398E4">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以实际签订合同为准</w:t>
            </w:r>
          </w:p>
        </w:tc>
      </w:tr>
      <w:tr w14:paraId="466B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13" w:type="dxa"/>
            <w:vAlign w:val="center"/>
          </w:tcPr>
          <w:p w14:paraId="477E9997">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36</w:t>
            </w:r>
          </w:p>
        </w:tc>
        <w:tc>
          <w:tcPr>
            <w:tcW w:w="1924" w:type="dxa"/>
            <w:vAlign w:val="center"/>
          </w:tcPr>
          <w:p w14:paraId="2F6704DF">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是否为专门面向中小企业采购</w:t>
            </w:r>
          </w:p>
        </w:tc>
        <w:tc>
          <w:tcPr>
            <w:tcW w:w="6810" w:type="dxa"/>
            <w:vAlign w:val="center"/>
          </w:tcPr>
          <w:p w14:paraId="133CA80F">
            <w:pPr>
              <w:spacing w:line="360" w:lineRule="auto"/>
              <w:jc w:val="lef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一、是否为专门面向中小企业采购：</w:t>
            </w:r>
            <w:r>
              <w:rPr>
                <w:rFonts w:hint="eastAsia" w:ascii="宋体" w:hAnsi="宋体" w:cs="宋体"/>
                <w:bCs/>
                <w:color w:val="auto"/>
                <w:sz w:val="24"/>
                <w:szCs w:val="24"/>
                <w:highlight w:val="none"/>
                <w:lang w:val="en-US" w:eastAsia="zh-CN"/>
              </w:rPr>
              <w:t>否</w:t>
            </w:r>
          </w:p>
          <w:p w14:paraId="1CA001D6">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二、采购标的对应的中小企业划分标准所属行业：软件和信息技术服务业</w:t>
            </w:r>
          </w:p>
        </w:tc>
      </w:tr>
      <w:tr w14:paraId="66C5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13" w:type="dxa"/>
            <w:vAlign w:val="center"/>
          </w:tcPr>
          <w:p w14:paraId="04A32167">
            <w:pPr>
              <w:spacing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37</w:t>
            </w:r>
          </w:p>
        </w:tc>
        <w:tc>
          <w:tcPr>
            <w:tcW w:w="1924" w:type="dxa"/>
            <w:vAlign w:val="center"/>
          </w:tcPr>
          <w:p w14:paraId="63C17DE2">
            <w:pPr>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中小企业</w:t>
            </w:r>
            <w:r>
              <w:rPr>
                <w:rFonts w:hint="eastAsia" w:ascii="宋体" w:hAnsi="宋体" w:eastAsia="宋体" w:cs="宋体"/>
                <w:bCs/>
                <w:color w:val="auto"/>
                <w:sz w:val="24"/>
                <w:szCs w:val="24"/>
                <w:highlight w:val="none"/>
                <w:lang w:val="en-US" w:eastAsia="zh-CN"/>
              </w:rPr>
              <w:t>报价扣除</w:t>
            </w:r>
          </w:p>
        </w:tc>
        <w:tc>
          <w:tcPr>
            <w:tcW w:w="6810" w:type="dxa"/>
            <w:vAlign w:val="center"/>
          </w:tcPr>
          <w:p w14:paraId="74BF9073">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（1）小型和微型企业价格扣除：10%。 </w:t>
            </w:r>
          </w:p>
          <w:p w14:paraId="68C221E4">
            <w:pPr>
              <w:keepNext w:val="0"/>
              <w:keepLines w:val="0"/>
              <w:widowControl/>
              <w:suppressLineNumbers w:val="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（2）监狱企业价格扣除：同小型和微型企业</w:t>
            </w:r>
          </w:p>
        </w:tc>
      </w:tr>
      <w:tr w14:paraId="5A12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63C70493">
            <w:pPr>
              <w:spacing w:line="360" w:lineRule="auto"/>
              <w:jc w:val="left"/>
              <w:rPr>
                <w:rFonts w:hint="eastAsia" w:ascii="宋体" w:hAnsi="宋体" w:eastAsia="宋体" w:cs="宋体"/>
                <w:bCs/>
                <w:color w:val="auto"/>
                <w:sz w:val="24"/>
                <w:szCs w:val="24"/>
                <w:highlight w:val="none"/>
                <w:lang w:val="zh-CN" w:eastAsia="zh-CN"/>
              </w:rPr>
            </w:pPr>
          </w:p>
        </w:tc>
        <w:tc>
          <w:tcPr>
            <w:tcW w:w="8734" w:type="dxa"/>
            <w:gridSpan w:val="2"/>
            <w:vAlign w:val="center"/>
          </w:tcPr>
          <w:p w14:paraId="0B97BD1C">
            <w:pPr>
              <w:spacing w:line="360" w:lineRule="auto"/>
              <w:jc w:val="center"/>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需要补充的其他内容</w:t>
            </w:r>
          </w:p>
        </w:tc>
      </w:tr>
      <w:tr w14:paraId="0F73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303A49DC">
            <w:pPr>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zh-CN"/>
              </w:rPr>
              <w:t>低于成本报价</w:t>
            </w:r>
          </w:p>
        </w:tc>
        <w:tc>
          <w:tcPr>
            <w:tcW w:w="8734" w:type="dxa"/>
            <w:gridSpan w:val="2"/>
            <w:vAlign w:val="center"/>
          </w:tcPr>
          <w:p w14:paraId="56892AE5">
            <w:pPr>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zh-CN"/>
              </w:rPr>
              <w:t>依据财政部第</w:t>
            </w:r>
            <w:r>
              <w:rPr>
                <w:rFonts w:hint="eastAsia" w:ascii="宋体" w:hAnsi="宋体" w:cs="宋体"/>
                <w:color w:val="auto"/>
                <w:kern w:val="0"/>
                <w:sz w:val="24"/>
                <w:szCs w:val="24"/>
                <w:highlight w:val="none"/>
              </w:rPr>
              <w:t>87号令第60条：</w:t>
            </w:r>
            <w:r>
              <w:rPr>
                <w:rFonts w:hint="eastAsia" w:ascii="宋体" w:hAnsi="宋体" w:cs="宋体"/>
                <w:color w:val="auto"/>
                <w:kern w:val="0"/>
                <w:sz w:val="24"/>
                <w:szCs w:val="24"/>
                <w:highlight w:val="none"/>
                <w:lang w:val="zh-CN"/>
              </w:rPr>
              <w:t>评标委员会发现供应商的报价明显低于其他通过符合性审查供应商的报价，有可能影响产品质量或者不能诚信履约的，应当要求该供应商在评标现场合理时间内作出书面说明并提供相应的证明材料。供应商不能合理说明或者不能提供相应证明材料的，由评标委员会认定该供应商以低于成本报价竞标，其投标将被否决。</w:t>
            </w:r>
          </w:p>
        </w:tc>
      </w:tr>
      <w:tr w14:paraId="7796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5562E9CB">
            <w:pPr>
              <w:spacing w:line="360" w:lineRule="auto"/>
              <w:rPr>
                <w:rFonts w:hint="eastAsia" w:ascii="宋体" w:hAnsi="宋体" w:cs="宋体"/>
                <w:sz w:val="24"/>
                <w:szCs w:val="24"/>
                <w:highlight w:val="none"/>
              </w:rPr>
            </w:pPr>
            <w:r>
              <w:rPr>
                <w:rFonts w:hint="eastAsia" w:ascii="宋体" w:hAnsi="宋体" w:cs="宋体"/>
                <w:color w:val="auto"/>
                <w:sz w:val="24"/>
                <w:szCs w:val="24"/>
                <w:highlight w:val="none"/>
              </w:rPr>
              <w:t>招标代理服务费</w:t>
            </w:r>
          </w:p>
        </w:tc>
        <w:tc>
          <w:tcPr>
            <w:tcW w:w="8734" w:type="dxa"/>
            <w:gridSpan w:val="2"/>
            <w:vAlign w:val="center"/>
          </w:tcPr>
          <w:p w14:paraId="651C3ACF">
            <w:pPr>
              <w:spacing w:line="360" w:lineRule="auto"/>
              <w:jc w:val="left"/>
              <w:rPr>
                <w:rFonts w:hint="eastAsia" w:ascii="宋体" w:hAnsi="宋体" w:cs="宋体"/>
                <w:sz w:val="24"/>
                <w:szCs w:val="24"/>
                <w:highlight w:val="none"/>
              </w:rPr>
            </w:pPr>
            <w:r>
              <w:rPr>
                <w:rFonts w:hint="eastAsia" w:ascii="宋体" w:hAnsi="宋体" w:cs="宋体"/>
                <w:sz w:val="24"/>
                <w:szCs w:val="24"/>
                <w:highlight w:val="none"/>
                <w:lang w:val="en-US" w:eastAsia="zh-CN"/>
              </w:rPr>
              <w:t>参照国家发展改革委发改价格【2015】299号文件的取费标准，按中标金额1.5%收取招标代理服务费，由中标人支付。</w:t>
            </w:r>
          </w:p>
        </w:tc>
      </w:tr>
      <w:tr w14:paraId="31A1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48A091F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解释权</w:t>
            </w:r>
          </w:p>
        </w:tc>
        <w:tc>
          <w:tcPr>
            <w:tcW w:w="8734" w:type="dxa"/>
            <w:gridSpan w:val="2"/>
            <w:vAlign w:val="center"/>
          </w:tcPr>
          <w:p w14:paraId="44459A0F">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合同最终拟定、解释权归采购人所有。</w:t>
            </w:r>
          </w:p>
        </w:tc>
      </w:tr>
      <w:tr w14:paraId="25A7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2D26810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其他要求</w:t>
            </w:r>
          </w:p>
        </w:tc>
        <w:tc>
          <w:tcPr>
            <w:tcW w:w="8734" w:type="dxa"/>
            <w:gridSpan w:val="2"/>
            <w:vAlign w:val="center"/>
          </w:tcPr>
          <w:p w14:paraId="6D0B72A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供应商必须保证投标时所报资料真实有效，采购人保留对资料的核查权力，一旦发现资料有虚假现象将没收供应商全部投标保证金，并移交有关部门处理。</w:t>
            </w:r>
          </w:p>
          <w:p w14:paraId="4B57C8C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踏勘</w:t>
            </w:r>
            <w:r>
              <w:rPr>
                <w:rFonts w:hint="eastAsia" w:ascii="宋体" w:hAnsi="宋体" w:cs="宋体"/>
                <w:color w:val="auto"/>
                <w:sz w:val="24"/>
                <w:szCs w:val="24"/>
                <w:highlight w:val="none"/>
                <w:lang w:val="en-US" w:eastAsia="zh-CN"/>
              </w:rPr>
              <w:t>后</w:t>
            </w:r>
            <w:r>
              <w:rPr>
                <w:rFonts w:hint="eastAsia" w:ascii="宋体" w:hAnsi="宋体" w:eastAsia="宋体" w:cs="宋体"/>
                <w:color w:val="auto"/>
                <w:sz w:val="24"/>
                <w:szCs w:val="24"/>
                <w:highlight w:val="none"/>
              </w:rPr>
              <w:t>，须结合现场踏勘的情况及招标文件要求，将本项目所涉及的所有风险及费用全部含在投标报价中。</w:t>
            </w:r>
          </w:p>
          <w:p w14:paraId="23F965AF">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、本次投标报价应包含现场踏勘费及相关配套编制的人工、材料及完成本项目所涉及的一切等费用。</w:t>
            </w:r>
          </w:p>
        </w:tc>
      </w:tr>
      <w:tr w14:paraId="31F8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1EFA67EF">
            <w:pPr>
              <w:spacing w:line="360" w:lineRule="auto"/>
              <w:jc w:val="center"/>
              <w:rPr>
                <w:rFonts w:hint="eastAsia" w:ascii="宋体" w:hAnsi="宋体" w:cs="宋体"/>
                <w:color w:val="auto"/>
                <w:sz w:val="24"/>
                <w:szCs w:val="24"/>
                <w:highlight w:val="none"/>
              </w:rPr>
            </w:pPr>
          </w:p>
        </w:tc>
        <w:tc>
          <w:tcPr>
            <w:tcW w:w="8734" w:type="dxa"/>
            <w:gridSpan w:val="2"/>
            <w:vAlign w:val="center"/>
          </w:tcPr>
          <w:p w14:paraId="2E4CAF2A">
            <w:pPr>
              <w:spacing w:line="360" w:lineRule="auto"/>
              <w:jc w:val="center"/>
              <w:rPr>
                <w:rFonts w:hint="eastAsia" w:ascii="宋体" w:hAnsi="宋体" w:cs="宋体"/>
                <w:color w:val="auto"/>
                <w:sz w:val="24"/>
                <w:szCs w:val="24"/>
                <w:highlight w:val="none"/>
              </w:rPr>
            </w:pPr>
            <w:r>
              <w:rPr>
                <w:rFonts w:hint="eastAsia" w:ascii="宋体" w:hAnsi="宋体" w:cs="宋体"/>
                <w:b/>
                <w:bCs/>
                <w:color w:val="auto"/>
                <w:sz w:val="24"/>
                <w:szCs w:val="24"/>
                <w:highlight w:val="none"/>
              </w:rPr>
              <w:t>如</w:t>
            </w:r>
            <w:r>
              <w:rPr>
                <w:rFonts w:hint="eastAsia" w:ascii="宋体" w:hAnsi="宋体" w:cs="宋体"/>
                <w:b/>
                <w:bCs/>
                <w:color w:val="auto"/>
                <w:sz w:val="24"/>
                <w:szCs w:val="24"/>
                <w:highlight w:val="none"/>
                <w:lang w:eastAsia="zh-CN"/>
              </w:rPr>
              <w:t>谈判</w:t>
            </w:r>
            <w:r>
              <w:rPr>
                <w:rFonts w:hint="eastAsia" w:ascii="宋体" w:hAnsi="宋体" w:cs="宋体"/>
                <w:b/>
                <w:bCs/>
                <w:color w:val="auto"/>
                <w:sz w:val="24"/>
                <w:szCs w:val="24"/>
                <w:highlight w:val="none"/>
              </w:rPr>
              <w:t>公告与</w:t>
            </w:r>
            <w:r>
              <w:rPr>
                <w:rFonts w:hint="eastAsia" w:ascii="宋体" w:hAnsi="宋体" w:cs="宋体"/>
                <w:b/>
                <w:bCs/>
                <w:color w:val="auto"/>
                <w:sz w:val="24"/>
                <w:szCs w:val="24"/>
                <w:highlight w:val="none"/>
                <w:lang w:eastAsia="zh-CN"/>
              </w:rPr>
              <w:t>谈判</w:t>
            </w:r>
            <w:r>
              <w:rPr>
                <w:rFonts w:hint="eastAsia" w:ascii="宋体" w:hAnsi="宋体" w:cs="宋体"/>
                <w:b/>
                <w:bCs/>
                <w:color w:val="auto"/>
                <w:sz w:val="24"/>
                <w:szCs w:val="24"/>
                <w:highlight w:val="none"/>
              </w:rPr>
              <w:t>文件不符，按</w:t>
            </w:r>
            <w:r>
              <w:rPr>
                <w:rFonts w:hint="eastAsia" w:ascii="宋体" w:hAnsi="宋体" w:cs="宋体"/>
                <w:b/>
                <w:bCs/>
                <w:color w:val="auto"/>
                <w:sz w:val="24"/>
                <w:szCs w:val="24"/>
                <w:highlight w:val="none"/>
                <w:lang w:eastAsia="zh-CN"/>
              </w:rPr>
              <w:t>谈判</w:t>
            </w:r>
            <w:r>
              <w:rPr>
                <w:rFonts w:hint="eastAsia" w:ascii="宋体" w:hAnsi="宋体" w:cs="宋体"/>
                <w:b/>
                <w:bCs/>
                <w:color w:val="auto"/>
                <w:sz w:val="24"/>
                <w:szCs w:val="24"/>
                <w:highlight w:val="none"/>
              </w:rPr>
              <w:t>文件为准。</w:t>
            </w:r>
          </w:p>
        </w:tc>
      </w:tr>
      <w:tr w14:paraId="01A5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33BEFD24">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电子招投标相关说明</w:t>
            </w:r>
          </w:p>
        </w:tc>
        <w:tc>
          <w:tcPr>
            <w:tcW w:w="8734" w:type="dxa"/>
            <w:gridSpan w:val="2"/>
            <w:vAlign w:val="center"/>
          </w:tcPr>
          <w:p w14:paraId="2EC19167">
            <w:pPr>
              <w:spacing w:line="360" w:lineRule="auto"/>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远程不见面开标具体要求：</w:t>
            </w:r>
          </w:p>
          <w:p w14:paraId="13DCB533">
            <w:pPr>
              <w:spacing w:line="360" w:lineRule="auto"/>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Hans"/>
              </w:rPr>
              <w:t>开标项目的时间均以国家授时中心发布的时间为准。</w:t>
            </w:r>
          </w:p>
          <w:p w14:paraId="2D28C2A0">
            <w:pPr>
              <w:spacing w:line="360" w:lineRule="auto"/>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Hans"/>
              </w:rPr>
              <w:t>潜在供应商应当在投标截止时间前，完成电子交易平台上的 CA 数字证书办理及投标文件的提交。</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Hans"/>
              </w:rPr>
              <w:t>只需办理其中一家CA数字证书及签章，建议各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Hans"/>
              </w:rPr>
              <w:t>抓紧时间办理。</w:t>
            </w:r>
          </w:p>
          <w:p w14:paraId="5465BC46">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Hans"/>
              </w:rPr>
              <w:t>依照</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Hans"/>
              </w:rPr>
              <w:t>的规定完成电子</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lang w:val="en-US" w:eastAsia="zh-Hans"/>
              </w:rPr>
              <w:t>的编制和提交。如未按</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Hans"/>
              </w:rPr>
              <w:t>要求编制、提交电子</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lang w:val="en-US" w:eastAsia="zh-Hans"/>
              </w:rPr>
              <w:t>，将可能导致否决投标，其后果由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Hans"/>
              </w:rPr>
              <w:t>自负。</w:t>
            </w:r>
          </w:p>
          <w:p w14:paraId="058DC51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应充分考虑到网络及系统平台可能存在的突发状况，在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编制完成后尽早完成上传。</w:t>
            </w:r>
          </w:p>
          <w:p w14:paraId="642B16B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开标当日，供应商不必抵达开标现场，须于投标文件提交截止时间前登录“政采云”平台电子开标大厅，进入所参与项目。投标文件提交截止时间后，通过系统开启投标文件解密的指令，供应商可在任意地点按规定时间自行实施远程解密，解密限定在规定时间内完成，未能按要求进行解密的，由此产生的后果由供应商自行承担。</w:t>
            </w:r>
          </w:p>
          <w:p w14:paraId="6AAAF653">
            <w:pPr>
              <w:spacing w:line="360" w:lineRule="auto"/>
              <w:jc w:val="left"/>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必须使用能正确解密</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的CA在规定的时间内完成远程解密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Hans"/>
              </w:rPr>
              <w:t>如遇见</w:t>
            </w:r>
            <w:r>
              <w:rPr>
                <w:rFonts w:hint="eastAsia" w:ascii="宋体" w:hAnsi="宋体" w:eastAsia="宋体" w:cs="宋体"/>
                <w:color w:val="auto"/>
                <w:sz w:val="24"/>
                <w:szCs w:val="24"/>
                <w:highlight w:val="none"/>
                <w:lang w:eastAsia="zh-Hans"/>
              </w:rPr>
              <w:t>CA</w:t>
            </w:r>
            <w:r>
              <w:rPr>
                <w:rFonts w:hint="eastAsia" w:ascii="宋体" w:hAnsi="宋体" w:eastAsia="宋体" w:cs="宋体"/>
                <w:color w:val="auto"/>
                <w:sz w:val="24"/>
                <w:szCs w:val="24"/>
                <w:highlight w:val="none"/>
                <w:lang w:val="en-US" w:eastAsia="zh-Hans"/>
              </w:rPr>
              <w:t>故障无法解密可联系</w:t>
            </w:r>
            <w:r>
              <w:rPr>
                <w:rFonts w:hint="eastAsia" w:ascii="宋体" w:hAnsi="宋体" w:eastAsia="宋体" w:cs="宋体"/>
                <w:color w:val="auto"/>
                <w:sz w:val="24"/>
                <w:szCs w:val="24"/>
                <w:highlight w:val="none"/>
                <w:lang w:val="en-US" w:eastAsia="zh-CN"/>
              </w:rPr>
              <w:t>客服。</w:t>
            </w:r>
            <w:r>
              <w:rPr>
                <w:rFonts w:hint="eastAsia" w:ascii="宋体" w:hAnsi="宋体" w:eastAsia="宋体" w:cs="宋体"/>
                <w:color w:val="auto"/>
                <w:sz w:val="24"/>
                <w:szCs w:val="24"/>
                <w:highlight w:val="none"/>
                <w:lang w:val="en-US" w:eastAsia="zh-Hans"/>
              </w:rPr>
              <w:t>政</w:t>
            </w:r>
            <w:r>
              <w:rPr>
                <w:rFonts w:hint="eastAsia" w:ascii="宋体" w:hAnsi="宋体" w:eastAsia="宋体" w:cs="宋体"/>
                <w:color w:val="auto"/>
                <w:sz w:val="24"/>
                <w:szCs w:val="24"/>
                <w:highlight w:val="none"/>
                <w:lang w:val="en-US" w:eastAsia="zh-CN"/>
              </w:rPr>
              <w:t>采</w:t>
            </w:r>
            <w:r>
              <w:rPr>
                <w:rFonts w:hint="eastAsia" w:ascii="宋体" w:hAnsi="宋体" w:eastAsia="宋体" w:cs="宋体"/>
                <w:color w:val="auto"/>
                <w:sz w:val="24"/>
                <w:szCs w:val="24"/>
                <w:highlight w:val="none"/>
                <w:lang w:val="en-US" w:eastAsia="zh-Hans"/>
              </w:rPr>
              <w:t>云客服</w:t>
            </w:r>
            <w:r>
              <w:rPr>
                <w:rFonts w:hint="eastAsia" w:ascii="宋体" w:hAnsi="宋体" w:eastAsia="宋体" w:cs="宋体"/>
                <w:color w:val="auto"/>
                <w:sz w:val="24"/>
                <w:szCs w:val="24"/>
                <w:highlight w:val="none"/>
                <w:lang w:eastAsia="zh-Hans"/>
              </w:rPr>
              <w:t>：95763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原因未能解密、解密失败或解密超时，视为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撤销其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；因</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或系统原因，导致无法按时完成</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解密或开标、评标工作无法进行的，可根据实际情况相应延迟解密时间或调整开标、评标时间。</w:t>
            </w:r>
          </w:p>
        </w:tc>
      </w:tr>
    </w:tbl>
    <w:p w14:paraId="75B7CD7F">
      <w:pPr>
        <w:jc w:val="center"/>
        <w:outlineLvl w:val="1"/>
        <w:rPr>
          <w:rFonts w:ascii="宋体"/>
          <w:b/>
          <w:bCs/>
          <w:color w:val="auto"/>
          <w:sz w:val="28"/>
          <w:highlight w:val="none"/>
        </w:rPr>
      </w:pPr>
      <w:r>
        <w:rPr>
          <w:rFonts w:hint="eastAsia" w:ascii="宋体" w:hAnsi="宋体" w:cs="宋体"/>
          <w:b/>
          <w:szCs w:val="21"/>
          <w:highlight w:val="none"/>
        </w:rPr>
        <w:br w:type="page"/>
      </w:r>
      <w:bookmarkStart w:id="7" w:name="_Toc22899"/>
      <w:bookmarkStart w:id="8" w:name="_Toc103723518"/>
      <w:r>
        <w:rPr>
          <w:rFonts w:hint="eastAsia" w:ascii="宋体"/>
          <w:b/>
          <w:bCs/>
          <w:color w:val="auto"/>
          <w:sz w:val="28"/>
          <w:highlight w:val="none"/>
        </w:rPr>
        <w:t>二、总则</w:t>
      </w:r>
      <w:bookmarkEnd w:id="7"/>
      <w:bookmarkEnd w:id="8"/>
    </w:p>
    <w:p w14:paraId="490F2602">
      <w:pPr>
        <w:spacing w:line="360" w:lineRule="auto"/>
        <w:rPr>
          <w:rFonts w:ascii="宋体" w:hAnsi="宋体"/>
          <w:color w:val="auto"/>
          <w:sz w:val="24"/>
          <w:highlight w:val="none"/>
        </w:rPr>
      </w:pPr>
      <w:r>
        <w:rPr>
          <w:rFonts w:hint="eastAsia" w:ascii="宋体" w:hAnsi="宋体"/>
          <w:b/>
          <w:color w:val="auto"/>
          <w:sz w:val="24"/>
          <w:highlight w:val="none"/>
        </w:rPr>
        <w:t>1.项目概况</w:t>
      </w:r>
    </w:p>
    <w:p w14:paraId="49632114">
      <w:pPr>
        <w:spacing w:line="360" w:lineRule="auto"/>
        <w:rPr>
          <w:rFonts w:ascii="宋体" w:hAnsi="宋体"/>
          <w:color w:val="auto"/>
          <w:sz w:val="24"/>
          <w:highlight w:val="none"/>
        </w:rPr>
      </w:pPr>
      <w:r>
        <w:rPr>
          <w:rFonts w:hint="eastAsia" w:ascii="宋体" w:hAnsi="宋体"/>
          <w:color w:val="auto"/>
          <w:sz w:val="24"/>
          <w:highlight w:val="none"/>
        </w:rPr>
        <w:t>1.1根据《中华人民共和国政府采购法》、《中华人民共和国政府采购法实施条例》等有关法律、法规和规章的规定，本采购项目已经具备招标条件，现对项目进行采购。</w:t>
      </w:r>
    </w:p>
    <w:p w14:paraId="5198D2B1">
      <w:pPr>
        <w:spacing w:line="360" w:lineRule="auto"/>
        <w:rPr>
          <w:rFonts w:ascii="宋体" w:hAnsi="宋体"/>
          <w:color w:val="auto"/>
          <w:sz w:val="24"/>
          <w:highlight w:val="none"/>
        </w:rPr>
      </w:pPr>
      <w:r>
        <w:rPr>
          <w:rFonts w:hint="eastAsia" w:ascii="宋体" w:hAnsi="宋体"/>
          <w:color w:val="auto"/>
          <w:sz w:val="24"/>
          <w:highlight w:val="none"/>
        </w:rPr>
        <w:t>1.2本采购项目采购人：见本须知前附表。</w:t>
      </w:r>
    </w:p>
    <w:p w14:paraId="2929C406">
      <w:pPr>
        <w:spacing w:line="360" w:lineRule="auto"/>
        <w:rPr>
          <w:rFonts w:ascii="宋体" w:hAnsi="宋体"/>
          <w:color w:val="auto"/>
          <w:sz w:val="24"/>
          <w:highlight w:val="none"/>
        </w:rPr>
      </w:pPr>
      <w:r>
        <w:rPr>
          <w:rFonts w:hint="eastAsia" w:ascii="宋体" w:hAnsi="宋体"/>
          <w:color w:val="auto"/>
          <w:sz w:val="24"/>
          <w:highlight w:val="none"/>
        </w:rPr>
        <w:t>1.3本采购项目采购代理机构：见本须知前附表。</w:t>
      </w:r>
    </w:p>
    <w:p w14:paraId="12F73ADB">
      <w:pPr>
        <w:spacing w:line="360" w:lineRule="auto"/>
        <w:rPr>
          <w:rFonts w:ascii="宋体" w:hAnsi="宋体"/>
          <w:color w:val="auto"/>
          <w:sz w:val="24"/>
          <w:highlight w:val="none"/>
        </w:rPr>
      </w:pPr>
      <w:r>
        <w:rPr>
          <w:rFonts w:hint="eastAsia" w:ascii="宋体" w:hAnsi="宋体"/>
          <w:color w:val="auto"/>
          <w:sz w:val="24"/>
          <w:highlight w:val="none"/>
        </w:rPr>
        <w:t>1.4本采购项目名称及项目编号：见本须知前附表。</w:t>
      </w:r>
    </w:p>
    <w:p w14:paraId="5DBC62AA">
      <w:pPr>
        <w:spacing w:line="360" w:lineRule="auto"/>
        <w:rPr>
          <w:rFonts w:ascii="宋体" w:hAnsi="宋体"/>
          <w:color w:val="auto"/>
          <w:sz w:val="24"/>
          <w:highlight w:val="none"/>
        </w:rPr>
      </w:pPr>
      <w:r>
        <w:rPr>
          <w:rFonts w:hint="eastAsia" w:ascii="宋体" w:hAnsi="宋体"/>
          <w:color w:val="auto"/>
          <w:sz w:val="24"/>
          <w:highlight w:val="none"/>
        </w:rPr>
        <w:t>1.5本项目实施地点：见本须知前附表。</w:t>
      </w:r>
    </w:p>
    <w:p w14:paraId="20CDD317">
      <w:pPr>
        <w:spacing w:line="360" w:lineRule="auto"/>
        <w:rPr>
          <w:rFonts w:ascii="宋体" w:hAnsi="宋体"/>
          <w:color w:val="auto"/>
          <w:sz w:val="24"/>
          <w:highlight w:val="none"/>
        </w:rPr>
      </w:pPr>
      <w:r>
        <w:rPr>
          <w:rFonts w:hint="eastAsia" w:ascii="宋体" w:hAnsi="宋体"/>
          <w:b/>
          <w:color w:val="auto"/>
          <w:sz w:val="24"/>
          <w:highlight w:val="none"/>
        </w:rPr>
        <w:t>2.资金来源和落实情况</w:t>
      </w:r>
    </w:p>
    <w:p w14:paraId="55C42185">
      <w:pPr>
        <w:spacing w:line="360" w:lineRule="auto"/>
        <w:rPr>
          <w:rFonts w:ascii="宋体" w:hAnsi="宋体"/>
          <w:color w:val="auto"/>
          <w:sz w:val="24"/>
          <w:highlight w:val="none"/>
        </w:rPr>
      </w:pPr>
      <w:r>
        <w:rPr>
          <w:rFonts w:hint="eastAsia" w:ascii="宋体" w:hAnsi="宋体"/>
          <w:color w:val="auto"/>
          <w:sz w:val="24"/>
          <w:highlight w:val="none"/>
        </w:rPr>
        <w:t>2.1本次采购项目的资金来源：见本须知前附表。</w:t>
      </w:r>
    </w:p>
    <w:p w14:paraId="3B474E31">
      <w:pPr>
        <w:spacing w:line="360" w:lineRule="auto"/>
        <w:rPr>
          <w:rFonts w:ascii="宋体" w:hAnsi="宋体"/>
          <w:color w:val="auto"/>
          <w:sz w:val="24"/>
          <w:highlight w:val="none"/>
        </w:rPr>
      </w:pPr>
      <w:r>
        <w:rPr>
          <w:rFonts w:hint="eastAsia" w:ascii="宋体" w:hAnsi="宋体"/>
          <w:color w:val="auto"/>
          <w:sz w:val="24"/>
          <w:highlight w:val="none"/>
        </w:rPr>
        <w:t>2.2本次采购项目的资金落实情况：见本须知前附表。</w:t>
      </w:r>
    </w:p>
    <w:p w14:paraId="6F883B5C">
      <w:pPr>
        <w:spacing w:line="360" w:lineRule="auto"/>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w:t>
      </w:r>
      <w:r>
        <w:rPr>
          <w:rFonts w:hint="eastAsia" w:ascii="宋体" w:hAnsi="宋体"/>
          <w:b/>
          <w:color w:val="auto"/>
          <w:sz w:val="24"/>
          <w:highlight w:val="none"/>
        </w:rPr>
        <w:t>谈判采购内容、服务期和质量要求</w:t>
      </w:r>
    </w:p>
    <w:p w14:paraId="7BA0E8DC">
      <w:pPr>
        <w:spacing w:line="360" w:lineRule="auto"/>
        <w:rPr>
          <w:rFonts w:ascii="宋体" w:hAnsi="宋体"/>
          <w:color w:val="auto"/>
          <w:sz w:val="24"/>
          <w:highlight w:val="none"/>
        </w:rPr>
      </w:pPr>
      <w:r>
        <w:rPr>
          <w:rFonts w:hint="eastAsia" w:ascii="宋体" w:hAnsi="宋体"/>
          <w:color w:val="auto"/>
          <w:sz w:val="24"/>
          <w:highlight w:val="none"/>
        </w:rPr>
        <w:t>3.1本次谈判采购内容：见本须知前附表。</w:t>
      </w:r>
    </w:p>
    <w:p w14:paraId="4F809D2A">
      <w:pPr>
        <w:spacing w:line="360" w:lineRule="auto"/>
        <w:rPr>
          <w:rFonts w:ascii="宋体" w:hAnsi="宋体"/>
          <w:color w:val="auto"/>
          <w:sz w:val="24"/>
          <w:highlight w:val="none"/>
        </w:rPr>
      </w:pPr>
      <w:r>
        <w:rPr>
          <w:rFonts w:hint="eastAsia" w:ascii="宋体" w:hAnsi="宋体"/>
          <w:color w:val="auto"/>
          <w:sz w:val="24"/>
          <w:highlight w:val="none"/>
        </w:rPr>
        <w:t>3.2本次采购的供货期：见本须知前附表。</w:t>
      </w:r>
    </w:p>
    <w:p w14:paraId="03E815D0">
      <w:pPr>
        <w:spacing w:line="360" w:lineRule="auto"/>
        <w:rPr>
          <w:rFonts w:ascii="宋体" w:hAnsi="宋体"/>
          <w:color w:val="auto"/>
          <w:sz w:val="24"/>
          <w:highlight w:val="none"/>
        </w:rPr>
      </w:pPr>
      <w:r>
        <w:rPr>
          <w:rFonts w:hint="eastAsia" w:ascii="宋体" w:hAnsi="宋体"/>
          <w:color w:val="auto"/>
          <w:sz w:val="24"/>
          <w:highlight w:val="none"/>
        </w:rPr>
        <w:t>3.3本项目的质量要求：见本须知前附表。</w:t>
      </w:r>
    </w:p>
    <w:p w14:paraId="74B5267F">
      <w:pPr>
        <w:spacing w:line="360" w:lineRule="auto"/>
        <w:rPr>
          <w:rFonts w:ascii="宋体" w:hAnsi="宋体"/>
          <w:b/>
          <w:color w:val="auto"/>
          <w:sz w:val="24"/>
          <w:highlight w:val="none"/>
        </w:rPr>
      </w:pPr>
      <w:r>
        <w:rPr>
          <w:rFonts w:hint="eastAsia" w:ascii="宋体" w:hAnsi="宋体"/>
          <w:b/>
          <w:color w:val="auto"/>
          <w:sz w:val="24"/>
          <w:highlight w:val="none"/>
        </w:rPr>
        <w:t>4.谈判供应商的资格标准与合格条件</w:t>
      </w:r>
    </w:p>
    <w:p w14:paraId="7414D971">
      <w:pPr>
        <w:spacing w:line="360" w:lineRule="auto"/>
        <w:rPr>
          <w:rFonts w:ascii="宋体" w:hAnsi="宋体"/>
          <w:color w:val="auto"/>
          <w:sz w:val="24"/>
          <w:highlight w:val="none"/>
        </w:rPr>
      </w:pPr>
      <w:r>
        <w:rPr>
          <w:rFonts w:hint="eastAsia" w:ascii="宋体" w:hAnsi="宋体"/>
          <w:color w:val="auto"/>
          <w:sz w:val="24"/>
          <w:highlight w:val="none"/>
        </w:rPr>
        <w:t>4.1谈判供应商应具备承担本项目的资质条件：见本须知前附表。</w:t>
      </w:r>
    </w:p>
    <w:p w14:paraId="0D406A1F">
      <w:pPr>
        <w:spacing w:line="360" w:lineRule="auto"/>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.2本项目是否接授联合体响应：见本须知前附表。</w:t>
      </w:r>
    </w:p>
    <w:p w14:paraId="20A4A1BA">
      <w:pPr>
        <w:spacing w:line="360" w:lineRule="auto"/>
        <w:rPr>
          <w:rFonts w:ascii="宋体" w:hAnsi="宋体"/>
          <w:color w:val="auto"/>
          <w:sz w:val="24"/>
          <w:highlight w:val="none"/>
        </w:rPr>
      </w:pPr>
      <w:r>
        <w:rPr>
          <w:rFonts w:hint="eastAsia" w:ascii="宋体" w:hAnsi="宋体"/>
          <w:color w:val="auto"/>
          <w:sz w:val="24"/>
          <w:highlight w:val="none"/>
        </w:rPr>
        <w:t>4.3谈判供应商不得存在下列情形之一：</w:t>
      </w:r>
    </w:p>
    <w:p w14:paraId="5F00ABC1">
      <w:pPr>
        <w:spacing w:line="360" w:lineRule="auto"/>
        <w:rPr>
          <w:rFonts w:ascii="宋体" w:hAnsi="宋体"/>
          <w:color w:val="auto"/>
          <w:sz w:val="24"/>
          <w:highlight w:val="none"/>
        </w:rPr>
      </w:pPr>
      <w:r>
        <w:rPr>
          <w:rFonts w:hint="eastAsia" w:ascii="宋体" w:hAnsi="宋体"/>
          <w:color w:val="auto"/>
          <w:sz w:val="24"/>
          <w:highlight w:val="none"/>
        </w:rPr>
        <w:t>4.3.1为采购人的不具有独立法人资格的附属机构（单位）；</w:t>
      </w:r>
    </w:p>
    <w:p w14:paraId="6B7C1A90">
      <w:pPr>
        <w:spacing w:line="360" w:lineRule="auto"/>
        <w:rPr>
          <w:rFonts w:ascii="宋体" w:hAnsi="宋体"/>
          <w:color w:val="auto"/>
          <w:sz w:val="24"/>
          <w:highlight w:val="none"/>
        </w:rPr>
      </w:pPr>
      <w:r>
        <w:rPr>
          <w:rFonts w:ascii="宋体" w:hAnsi="宋体"/>
          <w:color w:val="auto"/>
          <w:sz w:val="24"/>
          <w:highlight w:val="none"/>
        </w:rPr>
        <w:t>4.3.2</w:t>
      </w:r>
      <w:r>
        <w:rPr>
          <w:rFonts w:hint="eastAsia" w:ascii="宋体" w:hAnsi="宋体"/>
          <w:color w:val="auto"/>
          <w:sz w:val="24"/>
          <w:highlight w:val="none"/>
        </w:rPr>
        <w:t>与</w:t>
      </w:r>
      <w:r>
        <w:rPr>
          <w:rFonts w:ascii="宋体" w:hAnsi="宋体"/>
          <w:color w:val="auto"/>
          <w:sz w:val="24"/>
          <w:highlight w:val="none"/>
        </w:rPr>
        <w:t>本项目其他谈判供应商</w:t>
      </w:r>
      <w:r>
        <w:rPr>
          <w:rFonts w:hint="eastAsia" w:ascii="宋体" w:hAnsi="宋体"/>
          <w:color w:val="auto"/>
          <w:sz w:val="24"/>
          <w:highlight w:val="none"/>
        </w:rPr>
        <w:t>单位</w:t>
      </w:r>
      <w:r>
        <w:rPr>
          <w:rFonts w:ascii="宋体" w:hAnsi="宋体"/>
          <w:color w:val="auto"/>
          <w:sz w:val="24"/>
          <w:highlight w:val="none"/>
        </w:rPr>
        <w:t>负责人为同一人</w:t>
      </w:r>
      <w:r>
        <w:rPr>
          <w:rFonts w:hint="eastAsia" w:ascii="宋体" w:hAnsi="宋体"/>
          <w:color w:val="auto"/>
          <w:sz w:val="24"/>
          <w:highlight w:val="none"/>
        </w:rPr>
        <w:t>或</w:t>
      </w:r>
      <w:r>
        <w:rPr>
          <w:rFonts w:ascii="宋体" w:hAnsi="宋体"/>
          <w:color w:val="auto"/>
          <w:sz w:val="24"/>
          <w:highlight w:val="none"/>
        </w:rPr>
        <w:t>存在控股</w:t>
      </w:r>
      <w:r>
        <w:rPr>
          <w:rFonts w:hint="eastAsia" w:ascii="宋体" w:hAnsi="宋体"/>
          <w:color w:val="auto"/>
          <w:sz w:val="24"/>
          <w:highlight w:val="none"/>
        </w:rPr>
        <w:t>、</w:t>
      </w:r>
      <w:r>
        <w:rPr>
          <w:rFonts w:ascii="宋体" w:hAnsi="宋体"/>
          <w:color w:val="auto"/>
          <w:sz w:val="24"/>
          <w:highlight w:val="none"/>
        </w:rPr>
        <w:t>管理关系的；</w:t>
      </w:r>
    </w:p>
    <w:p w14:paraId="5CEA3E87">
      <w:pPr>
        <w:spacing w:line="360" w:lineRule="auto"/>
        <w:rPr>
          <w:rFonts w:ascii="宋体" w:hAnsi="宋体"/>
          <w:color w:val="auto"/>
          <w:sz w:val="24"/>
          <w:highlight w:val="none"/>
        </w:rPr>
      </w:pPr>
      <w:r>
        <w:rPr>
          <w:rFonts w:hint="eastAsia" w:ascii="宋体" w:hAnsi="宋体"/>
          <w:color w:val="auto"/>
          <w:sz w:val="24"/>
          <w:highlight w:val="none"/>
        </w:rPr>
        <w:t>4.3.</w:t>
      </w:r>
      <w:r>
        <w:rPr>
          <w:rFonts w:ascii="宋体" w:hAnsi="宋体"/>
          <w:color w:val="auto"/>
          <w:sz w:val="24"/>
          <w:highlight w:val="none"/>
        </w:rPr>
        <w:t>3</w:t>
      </w:r>
      <w:r>
        <w:rPr>
          <w:rFonts w:hint="eastAsia" w:ascii="宋体" w:hAnsi="宋体"/>
          <w:color w:val="auto"/>
          <w:sz w:val="24"/>
          <w:highlight w:val="none"/>
        </w:rPr>
        <w:t>为本项目前期准备提供设计或咨询服务的；</w:t>
      </w:r>
    </w:p>
    <w:p w14:paraId="12EB1E78">
      <w:pPr>
        <w:spacing w:line="360" w:lineRule="auto"/>
        <w:rPr>
          <w:rFonts w:ascii="宋体" w:hAnsi="宋体"/>
          <w:color w:val="auto"/>
          <w:sz w:val="24"/>
          <w:highlight w:val="none"/>
        </w:rPr>
      </w:pPr>
      <w:r>
        <w:rPr>
          <w:rFonts w:hint="eastAsia" w:ascii="宋体" w:hAnsi="宋体"/>
          <w:color w:val="auto"/>
          <w:sz w:val="24"/>
          <w:highlight w:val="none"/>
        </w:rPr>
        <w:t>4.3.</w:t>
      </w:r>
      <w:r>
        <w:rPr>
          <w:rFonts w:ascii="宋体" w:hAnsi="宋体"/>
          <w:color w:val="auto"/>
          <w:sz w:val="24"/>
          <w:highlight w:val="none"/>
        </w:rPr>
        <w:t>4</w:t>
      </w:r>
      <w:r>
        <w:rPr>
          <w:rFonts w:hint="eastAsia" w:ascii="宋体" w:hAnsi="宋体"/>
          <w:color w:val="auto"/>
          <w:sz w:val="24"/>
          <w:highlight w:val="none"/>
        </w:rPr>
        <w:t>被责令停业的；</w:t>
      </w:r>
    </w:p>
    <w:p w14:paraId="149DE2BD">
      <w:pPr>
        <w:spacing w:line="360" w:lineRule="auto"/>
        <w:rPr>
          <w:rFonts w:ascii="宋体" w:hAnsi="宋体"/>
          <w:color w:val="auto"/>
          <w:sz w:val="24"/>
          <w:highlight w:val="none"/>
        </w:rPr>
      </w:pPr>
      <w:r>
        <w:rPr>
          <w:rFonts w:hint="eastAsia" w:ascii="宋体" w:hAnsi="宋体"/>
          <w:color w:val="auto"/>
          <w:sz w:val="24"/>
          <w:highlight w:val="none"/>
        </w:rPr>
        <w:t>4.3.5被暂停或取消谈判资格的；</w:t>
      </w:r>
    </w:p>
    <w:p w14:paraId="5596A842">
      <w:pPr>
        <w:spacing w:line="360" w:lineRule="auto"/>
        <w:rPr>
          <w:rFonts w:ascii="宋体" w:hAnsi="宋体"/>
          <w:color w:val="auto"/>
          <w:sz w:val="24"/>
          <w:highlight w:val="none"/>
        </w:rPr>
      </w:pPr>
      <w:r>
        <w:rPr>
          <w:rFonts w:hint="eastAsia" w:ascii="宋体" w:hAnsi="宋体"/>
          <w:color w:val="auto"/>
          <w:sz w:val="24"/>
          <w:highlight w:val="none"/>
        </w:rPr>
        <w:t>4.3.6财产被接管或冻结的；</w:t>
      </w:r>
    </w:p>
    <w:p w14:paraId="11D806DF">
      <w:pPr>
        <w:spacing w:line="360" w:lineRule="auto"/>
        <w:rPr>
          <w:rFonts w:ascii="宋体" w:hAnsi="宋体"/>
          <w:color w:val="auto"/>
          <w:sz w:val="24"/>
          <w:highlight w:val="none"/>
        </w:rPr>
      </w:pPr>
      <w:r>
        <w:rPr>
          <w:rFonts w:hint="eastAsia" w:ascii="宋体" w:hAnsi="宋体"/>
          <w:color w:val="auto"/>
          <w:sz w:val="24"/>
          <w:highlight w:val="none"/>
        </w:rPr>
        <w:t>4.3.7在最近三年内有骗取中标或严重违约或重大质量问题的；</w:t>
      </w:r>
    </w:p>
    <w:p w14:paraId="54A2A01C">
      <w:pPr>
        <w:spacing w:line="360" w:lineRule="auto"/>
        <w:rPr>
          <w:rFonts w:ascii="宋体" w:hAnsi="宋体"/>
          <w:color w:val="auto"/>
          <w:sz w:val="24"/>
          <w:highlight w:val="none"/>
        </w:rPr>
      </w:pPr>
      <w:r>
        <w:rPr>
          <w:rFonts w:hint="eastAsia" w:ascii="宋体" w:hAnsi="宋体"/>
          <w:b/>
          <w:color w:val="auto"/>
          <w:sz w:val="24"/>
          <w:highlight w:val="none"/>
        </w:rPr>
        <w:t>5.谈判响应费用</w:t>
      </w:r>
    </w:p>
    <w:p w14:paraId="2A4480D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谈判供应商应承担其从谈判报名直至谈判响应文件提交的谈判全过程所涉及的一切费用。在任何情况下采购人对上述费用均不负任何责任。</w:t>
      </w:r>
    </w:p>
    <w:p w14:paraId="687193DD">
      <w:pPr>
        <w:spacing w:line="360" w:lineRule="auto"/>
        <w:rPr>
          <w:rFonts w:ascii="宋体" w:hAnsi="宋体"/>
          <w:b/>
          <w:color w:val="auto"/>
          <w:sz w:val="24"/>
          <w:highlight w:val="none"/>
        </w:rPr>
      </w:pPr>
      <w:r>
        <w:rPr>
          <w:rFonts w:hint="eastAsia" w:ascii="宋体" w:hAnsi="宋体"/>
          <w:b/>
          <w:color w:val="auto"/>
          <w:sz w:val="24"/>
          <w:highlight w:val="none"/>
        </w:rPr>
        <w:t>6.语言文字</w:t>
      </w:r>
    </w:p>
    <w:p w14:paraId="6B343284">
      <w:pPr>
        <w:spacing w:line="360" w:lineRule="auto"/>
        <w:ind w:firstLine="480"/>
        <w:rPr>
          <w:rFonts w:ascii="宋体" w:hAnsi="宋体"/>
          <w:color w:val="auto"/>
          <w:sz w:val="24"/>
          <w:highlight w:val="none"/>
        </w:rPr>
      </w:pPr>
      <w:r>
        <w:rPr>
          <w:rFonts w:hint="eastAsia" w:ascii="宋体" w:hAnsi="宋体"/>
          <w:color w:val="auto"/>
          <w:sz w:val="24"/>
          <w:highlight w:val="none"/>
        </w:rPr>
        <w:t>除专用术语外，与招标投标有关的语言均使用中文。必要时专用术语应附有中文注释。</w:t>
      </w:r>
    </w:p>
    <w:p w14:paraId="6D066DAA">
      <w:pPr>
        <w:spacing w:line="360" w:lineRule="auto"/>
        <w:rPr>
          <w:rFonts w:ascii="宋体" w:hAnsi="宋体"/>
          <w:b/>
          <w:color w:val="auto"/>
          <w:sz w:val="24"/>
          <w:highlight w:val="none"/>
        </w:rPr>
      </w:pPr>
      <w:r>
        <w:rPr>
          <w:rFonts w:hint="eastAsia" w:ascii="宋体" w:hAnsi="宋体"/>
          <w:b/>
          <w:color w:val="auto"/>
          <w:sz w:val="24"/>
          <w:highlight w:val="none"/>
        </w:rPr>
        <w:t>7.计量单位</w:t>
      </w:r>
    </w:p>
    <w:p w14:paraId="275F517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所有的计量均采用中华人民共和国法定计量单位。</w:t>
      </w:r>
    </w:p>
    <w:p w14:paraId="7F6DC831">
      <w:pPr>
        <w:spacing w:line="360" w:lineRule="auto"/>
        <w:rPr>
          <w:rFonts w:ascii="宋体" w:hAnsi="宋体"/>
          <w:b/>
          <w:color w:val="auto"/>
          <w:sz w:val="24"/>
          <w:highlight w:val="none"/>
        </w:rPr>
      </w:pPr>
      <w:r>
        <w:rPr>
          <w:rFonts w:hint="eastAsia" w:ascii="宋体" w:hAnsi="宋体"/>
          <w:b/>
          <w:color w:val="auto"/>
          <w:sz w:val="24"/>
          <w:highlight w:val="none"/>
        </w:rPr>
        <w:t>8.现场踏勘</w:t>
      </w:r>
    </w:p>
    <w:p w14:paraId="5A384F0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见本须知前附表。</w:t>
      </w:r>
    </w:p>
    <w:p w14:paraId="03AA9EDB">
      <w:pPr>
        <w:spacing w:line="360" w:lineRule="auto"/>
        <w:rPr>
          <w:rFonts w:ascii="宋体" w:hAnsi="宋体"/>
          <w:b/>
          <w:color w:val="auto"/>
          <w:sz w:val="24"/>
          <w:highlight w:val="none"/>
        </w:rPr>
      </w:pPr>
      <w:r>
        <w:rPr>
          <w:rFonts w:hint="eastAsia" w:ascii="宋体" w:hAnsi="宋体"/>
          <w:b/>
          <w:color w:val="auto"/>
          <w:sz w:val="24"/>
          <w:highlight w:val="none"/>
        </w:rPr>
        <w:t>9.答疑会</w:t>
      </w:r>
    </w:p>
    <w:p w14:paraId="13F73F3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见本须知前附表。</w:t>
      </w:r>
    </w:p>
    <w:p w14:paraId="770C384A">
      <w:pPr>
        <w:spacing w:line="360" w:lineRule="auto"/>
        <w:rPr>
          <w:rFonts w:ascii="宋体" w:hAnsi="宋体"/>
          <w:b/>
          <w:color w:val="auto"/>
          <w:sz w:val="24"/>
          <w:highlight w:val="none"/>
        </w:rPr>
      </w:pPr>
      <w:r>
        <w:rPr>
          <w:rFonts w:hint="eastAsia" w:ascii="宋体" w:hAnsi="宋体"/>
          <w:b/>
          <w:color w:val="auto"/>
          <w:sz w:val="24"/>
          <w:highlight w:val="none"/>
        </w:rPr>
        <w:t>10.分包</w:t>
      </w:r>
    </w:p>
    <w:p w14:paraId="59C6DED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见本须知前附表。</w:t>
      </w:r>
    </w:p>
    <w:p w14:paraId="5EE09F96">
      <w:pPr>
        <w:spacing w:line="360" w:lineRule="auto"/>
        <w:rPr>
          <w:rFonts w:ascii="宋体" w:hAnsi="宋体"/>
          <w:b/>
          <w:color w:val="auto"/>
          <w:sz w:val="24"/>
          <w:highlight w:val="none"/>
        </w:rPr>
      </w:pPr>
      <w:r>
        <w:rPr>
          <w:rFonts w:hint="eastAsia" w:ascii="宋体" w:hAnsi="宋体"/>
          <w:b/>
          <w:color w:val="auto"/>
          <w:sz w:val="24"/>
          <w:highlight w:val="none"/>
        </w:rPr>
        <w:t>11.偏离</w:t>
      </w:r>
    </w:p>
    <w:p w14:paraId="613AE68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见本须知前附表。</w:t>
      </w:r>
    </w:p>
    <w:p w14:paraId="5BCD66FA">
      <w:pPr>
        <w:spacing w:line="360" w:lineRule="auto"/>
        <w:rPr>
          <w:rFonts w:ascii="宋体" w:hAnsi="宋体"/>
          <w:color w:val="auto"/>
          <w:sz w:val="24"/>
          <w:highlight w:val="none"/>
        </w:rPr>
      </w:pPr>
    </w:p>
    <w:p w14:paraId="0B5DF614">
      <w:pPr>
        <w:spacing w:line="360" w:lineRule="auto"/>
        <w:jc w:val="center"/>
        <w:outlineLvl w:val="1"/>
        <w:rPr>
          <w:rFonts w:ascii="宋体" w:hAnsi="宋体"/>
          <w:b/>
          <w:color w:val="auto"/>
          <w:sz w:val="24"/>
          <w:highlight w:val="none"/>
        </w:rPr>
      </w:pPr>
      <w:bookmarkStart w:id="9" w:name="_Toc103723519"/>
      <w:bookmarkStart w:id="10" w:name="_Toc18737"/>
      <w:r>
        <w:rPr>
          <w:rFonts w:hint="eastAsia" w:ascii="宋体" w:hAnsi="宋体"/>
          <w:b/>
          <w:color w:val="auto"/>
          <w:sz w:val="28"/>
          <w:highlight w:val="none"/>
        </w:rPr>
        <w:t>三、谈判文件</w:t>
      </w:r>
      <w:bookmarkEnd w:id="9"/>
      <w:bookmarkEnd w:id="10"/>
    </w:p>
    <w:p w14:paraId="1B193D5A">
      <w:pPr>
        <w:spacing w:line="360" w:lineRule="auto"/>
        <w:rPr>
          <w:rFonts w:ascii="宋体" w:hAnsi="宋体"/>
          <w:color w:val="auto"/>
          <w:sz w:val="24"/>
          <w:highlight w:val="none"/>
        </w:rPr>
      </w:pPr>
      <w:r>
        <w:rPr>
          <w:rFonts w:hint="eastAsia" w:ascii="宋体" w:hAnsi="宋体"/>
          <w:b/>
          <w:color w:val="auto"/>
          <w:sz w:val="24"/>
          <w:highlight w:val="none"/>
        </w:rPr>
        <w:t>12.谈判文件的组成</w:t>
      </w:r>
    </w:p>
    <w:p w14:paraId="6FEEE28A">
      <w:pPr>
        <w:spacing w:line="360" w:lineRule="auto"/>
        <w:rPr>
          <w:rFonts w:ascii="宋体" w:hAnsi="宋体"/>
          <w:color w:val="auto"/>
          <w:sz w:val="24"/>
          <w:highlight w:val="none"/>
        </w:rPr>
      </w:pPr>
      <w:r>
        <w:rPr>
          <w:rFonts w:hint="eastAsia" w:ascii="宋体" w:hAnsi="宋体"/>
          <w:color w:val="auto"/>
          <w:sz w:val="24"/>
          <w:highlight w:val="none"/>
        </w:rPr>
        <w:t>12.1本谈判文件包括下列文件及按本须知第</w:t>
      </w:r>
      <w:r>
        <w:rPr>
          <w:rFonts w:hint="eastAsia" w:ascii="宋体" w:hAnsi="宋体"/>
          <w:color w:val="auto"/>
          <w:sz w:val="24"/>
          <w:highlight w:val="none"/>
          <w:lang w:val="en-US" w:eastAsia="zh-CN"/>
        </w:rPr>
        <w:t>15</w:t>
      </w:r>
      <w:r>
        <w:rPr>
          <w:rFonts w:hint="eastAsia" w:ascii="宋体" w:hAnsi="宋体"/>
          <w:color w:val="auto"/>
          <w:sz w:val="24"/>
          <w:highlight w:val="none"/>
        </w:rPr>
        <w:t>条所述的答疑文件、发出的补充文件。</w:t>
      </w:r>
    </w:p>
    <w:p w14:paraId="182114B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第一章  竞争性谈判公告</w:t>
      </w:r>
    </w:p>
    <w:p w14:paraId="5E39783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第二章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供应商须知</w:t>
      </w:r>
    </w:p>
    <w:p w14:paraId="27A3EBCB">
      <w:pPr>
        <w:spacing w:line="360" w:lineRule="auto"/>
        <w:ind w:firstLine="480" w:firstLineChars="200"/>
        <w:rPr>
          <w:rFonts w:hint="eastAsia" w:ascii="宋体" w:hAnsi="宋体" w:eastAsia="宋体" w:cs="Times New Roman"/>
          <w:color w:val="auto"/>
          <w:sz w:val="24"/>
          <w:highlight w:val="none"/>
        </w:rPr>
      </w:pPr>
      <w:r>
        <w:rPr>
          <w:rFonts w:hint="eastAsia" w:ascii="宋体" w:hAnsi="宋体"/>
          <w:color w:val="auto"/>
          <w:sz w:val="24"/>
          <w:highlight w:val="none"/>
        </w:rPr>
        <w:t xml:space="preserve">第三章 </w:t>
      </w:r>
      <w:r>
        <w:rPr>
          <w:rFonts w:hint="eastAsia" w:ascii="宋体" w:hAnsi="宋体" w:eastAsia="宋体" w:cs="Times New Roman"/>
          <w:color w:val="auto"/>
          <w:sz w:val="24"/>
          <w:highlight w:val="none"/>
        </w:rPr>
        <w:t xml:space="preserve"> 采购需求（“采购需求”中的所有条款要求均为实质性要求）；</w:t>
      </w:r>
    </w:p>
    <w:p w14:paraId="64ED3EC0">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第四章  评审</w:t>
      </w:r>
      <w:r>
        <w:rPr>
          <w:rFonts w:hint="eastAsia" w:ascii="宋体" w:hAnsi="宋体" w:cs="Times New Roman"/>
          <w:color w:val="auto"/>
          <w:sz w:val="24"/>
          <w:highlight w:val="none"/>
          <w:lang w:eastAsia="zh-CN"/>
        </w:rPr>
        <w:t>办法</w:t>
      </w:r>
    </w:p>
    <w:p w14:paraId="21BA6C5F">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 xml:space="preserve">第五章  </w:t>
      </w:r>
      <w:r>
        <w:rPr>
          <w:rFonts w:hint="eastAsia" w:ascii="宋体" w:hAnsi="宋体" w:cs="Times New Roman"/>
          <w:color w:val="auto"/>
          <w:sz w:val="24"/>
          <w:highlight w:val="none"/>
          <w:lang w:eastAsia="zh-CN"/>
        </w:rPr>
        <w:t>合同主要条款及格式</w:t>
      </w:r>
    </w:p>
    <w:p w14:paraId="0CA78B79">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第六章  响应文件格式</w:t>
      </w:r>
    </w:p>
    <w:p w14:paraId="6F6E485A">
      <w:pPr>
        <w:spacing w:line="360" w:lineRule="auto"/>
        <w:ind w:firstLine="480" w:firstLineChars="200"/>
        <w:rPr>
          <w:rFonts w:hint="default" w:ascii="宋体" w:hAnsi="宋体" w:eastAsia="宋体" w:cs="Times New Roman"/>
          <w:color w:val="auto"/>
          <w:sz w:val="24"/>
          <w:highlight w:val="none"/>
          <w:lang w:val="en-US" w:eastAsia="zh-CN"/>
        </w:rPr>
      </w:pPr>
      <w:r>
        <w:rPr>
          <w:rFonts w:hint="eastAsia" w:ascii="宋体" w:hAnsi="宋体" w:cs="Times New Roman"/>
          <w:color w:val="auto"/>
          <w:sz w:val="24"/>
          <w:highlight w:val="none"/>
          <w:lang w:eastAsia="zh-CN"/>
        </w:rPr>
        <w:t>第七章</w:t>
      </w:r>
      <w:r>
        <w:rPr>
          <w:rFonts w:hint="eastAsia" w:ascii="宋体" w:hAnsi="宋体" w:cs="Times New Roman"/>
          <w:color w:val="auto"/>
          <w:sz w:val="24"/>
          <w:highlight w:val="none"/>
          <w:lang w:val="en-US" w:eastAsia="zh-CN"/>
        </w:rPr>
        <w:t xml:space="preserve">  附件</w:t>
      </w:r>
    </w:p>
    <w:p w14:paraId="124D417A">
      <w:pPr>
        <w:autoSpaceDE w:val="0"/>
        <w:autoSpaceDN w:val="0"/>
        <w:adjustRightInd w:val="0"/>
        <w:spacing w:line="360" w:lineRule="auto"/>
        <w:rPr>
          <w:rFonts w:hint="eastAsia" w:ascii="宋体" w:hAnsi="宋体" w:cs="宋体"/>
          <w:color w:val="auto"/>
          <w:sz w:val="24"/>
          <w:highlight w:val="none"/>
          <w:lang w:val="zh-CN"/>
        </w:rPr>
      </w:pPr>
      <w:r>
        <w:rPr>
          <w:rFonts w:hint="eastAsia" w:ascii="宋体" w:hAnsi="宋体"/>
          <w:color w:val="auto"/>
          <w:sz w:val="24"/>
          <w:highlight w:val="none"/>
        </w:rPr>
        <w:t>12.2</w:t>
      </w:r>
      <w:r>
        <w:rPr>
          <w:rFonts w:hint="eastAsia" w:ascii="宋体" w:hAnsi="宋体" w:cs="宋体"/>
          <w:color w:val="auto"/>
          <w:sz w:val="24"/>
          <w:highlight w:val="none"/>
          <w:lang w:val="zh-CN"/>
        </w:rPr>
        <w:t>任何要求对谈判文件进行澄清的供应商，均应执行《中华人民共和国政府采购法实施条例》第五十三条规定，在“政采云”平台（https://www.zcygov.cn/）上提问的形式向采购人提出澄清要求。无论是采购人根据需要主动对采购文件进行必要的澄清，还是根据供应商的要求对谈判文件做出澄清，采购人都将于投标截止时间前</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个工作日在“政采云”平台（https://www.zcygov.cn/）上公布予以澄清。供应商应自主在网上查看，该澄清作为谈判文件的组成部分，具有约束作用。</w:t>
      </w:r>
    </w:p>
    <w:p w14:paraId="566EF878">
      <w:pPr>
        <w:spacing w:line="360" w:lineRule="auto"/>
        <w:rPr>
          <w:rFonts w:ascii="宋体" w:hAnsi="宋体"/>
          <w:b/>
          <w:color w:val="auto"/>
          <w:sz w:val="24"/>
          <w:highlight w:val="none"/>
        </w:rPr>
      </w:pPr>
      <w:r>
        <w:rPr>
          <w:rFonts w:hint="eastAsia" w:ascii="宋体" w:hAnsi="宋体"/>
          <w:b/>
          <w:bCs/>
          <w:color w:val="auto"/>
          <w:sz w:val="24"/>
          <w:highlight w:val="none"/>
        </w:rPr>
        <w:t>13.</w:t>
      </w:r>
      <w:r>
        <w:rPr>
          <w:rFonts w:hint="eastAsia" w:ascii="宋体" w:hAnsi="宋体"/>
          <w:b/>
          <w:color w:val="auto"/>
          <w:sz w:val="24"/>
          <w:highlight w:val="none"/>
        </w:rPr>
        <w:t>谈判文件的澄清</w:t>
      </w:r>
    </w:p>
    <w:p w14:paraId="31AD786C">
      <w:pPr>
        <w:spacing w:line="360" w:lineRule="auto"/>
        <w:rPr>
          <w:rFonts w:hint="eastAsia" w:ascii="宋体" w:hAnsi="宋体" w:eastAsia="宋体" w:cs="宋体"/>
          <w:spacing w:val="10"/>
          <w:kern w:val="2"/>
          <w:sz w:val="24"/>
          <w:szCs w:val="24"/>
          <w:highlight w:val="none"/>
        </w:rPr>
      </w:pPr>
      <w:r>
        <w:rPr>
          <w:rFonts w:hint="eastAsia" w:ascii="宋体" w:hAnsi="宋体"/>
          <w:color w:val="auto"/>
          <w:sz w:val="24"/>
          <w:highlight w:val="none"/>
        </w:rPr>
        <w:t>13.1谈判供应商获取谈判文件后，应仔细检查谈判文件的所有内容，</w:t>
      </w:r>
      <w:r>
        <w:rPr>
          <w:rFonts w:hint="eastAsia" w:ascii="宋体" w:hAnsi="宋体" w:eastAsia="宋体" w:cs="宋体"/>
          <w:spacing w:val="10"/>
          <w:kern w:val="2"/>
          <w:sz w:val="24"/>
          <w:szCs w:val="24"/>
          <w:highlight w:val="none"/>
        </w:rPr>
        <w:t>如发现缺页或附件不全，应及时向</w:t>
      </w:r>
      <w:r>
        <w:rPr>
          <w:rFonts w:hint="eastAsia" w:ascii="宋体" w:hAnsi="宋体" w:cs="宋体"/>
          <w:spacing w:val="10"/>
          <w:kern w:val="2"/>
          <w:sz w:val="24"/>
          <w:szCs w:val="24"/>
          <w:highlight w:val="none"/>
          <w:lang w:eastAsia="zh-CN"/>
        </w:rPr>
        <w:t>采</w:t>
      </w:r>
      <w:r>
        <w:rPr>
          <w:rFonts w:hint="eastAsia" w:ascii="宋体" w:hAnsi="宋体" w:cs="宋体"/>
          <w:color w:val="auto"/>
          <w:spacing w:val="10"/>
          <w:kern w:val="2"/>
          <w:sz w:val="24"/>
          <w:szCs w:val="24"/>
          <w:highlight w:val="none"/>
          <w:lang w:eastAsia="zh-CN"/>
        </w:rPr>
        <w:t>购</w:t>
      </w:r>
      <w:r>
        <w:rPr>
          <w:rFonts w:hint="eastAsia" w:ascii="宋体" w:hAnsi="宋体" w:eastAsia="宋体" w:cs="宋体"/>
          <w:color w:val="auto"/>
          <w:spacing w:val="10"/>
          <w:kern w:val="2"/>
          <w:sz w:val="24"/>
          <w:szCs w:val="24"/>
          <w:highlight w:val="none"/>
        </w:rPr>
        <w:t>人提出，以便补齐。如有疑问，应在开标前</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个工作日前（含）</w:t>
      </w:r>
      <w:r>
        <w:rPr>
          <w:rFonts w:hint="eastAsia" w:ascii="宋体" w:hAnsi="宋体" w:eastAsia="宋体" w:cs="宋体"/>
          <w:color w:val="auto"/>
          <w:spacing w:val="10"/>
          <w:kern w:val="2"/>
          <w:sz w:val="24"/>
          <w:szCs w:val="24"/>
          <w:highlight w:val="none"/>
        </w:rPr>
        <w:t>在</w:t>
      </w:r>
      <w:r>
        <w:rPr>
          <w:rFonts w:hint="eastAsia" w:ascii="宋体" w:hAnsi="宋体" w:eastAsia="宋体" w:cs="宋体"/>
          <w:color w:val="auto"/>
          <w:spacing w:val="10"/>
          <w:kern w:val="2"/>
          <w:sz w:val="24"/>
          <w:szCs w:val="24"/>
          <w:highlight w:val="none"/>
          <w:lang w:val="en-US" w:eastAsia="zh-CN"/>
        </w:rPr>
        <w:t>政采云</w:t>
      </w:r>
      <w:r>
        <w:rPr>
          <w:rFonts w:hint="eastAsia" w:ascii="宋体" w:hAnsi="宋体" w:eastAsia="宋体" w:cs="宋体"/>
          <w:color w:val="auto"/>
          <w:spacing w:val="10"/>
          <w:kern w:val="2"/>
          <w:sz w:val="24"/>
          <w:szCs w:val="24"/>
          <w:highlight w:val="none"/>
        </w:rPr>
        <w:t>上提出</w:t>
      </w:r>
      <w:r>
        <w:rPr>
          <w:rFonts w:hint="eastAsia" w:ascii="宋体" w:hAnsi="宋体" w:eastAsia="宋体" w:cs="宋体"/>
          <w:color w:val="auto"/>
          <w:spacing w:val="10"/>
          <w:kern w:val="2"/>
          <w:sz w:val="24"/>
          <w:szCs w:val="24"/>
          <w:highlight w:val="none"/>
          <w:lang w:eastAsia="zh-CN"/>
        </w:rPr>
        <w:t>并</w:t>
      </w:r>
      <w:r>
        <w:rPr>
          <w:rFonts w:hint="eastAsia" w:ascii="宋体" w:hAnsi="宋体"/>
          <w:color w:val="auto"/>
          <w:sz w:val="24"/>
          <w:highlight w:val="none"/>
        </w:rPr>
        <w:t>书面形式（一式两份）递交给采购</w:t>
      </w:r>
      <w:r>
        <w:rPr>
          <w:rFonts w:hint="eastAsia" w:ascii="宋体" w:hAnsi="宋体"/>
          <w:color w:val="auto"/>
          <w:sz w:val="24"/>
          <w:highlight w:val="none"/>
          <w:lang w:eastAsia="zh-CN"/>
        </w:rPr>
        <w:t>代理</w:t>
      </w:r>
      <w:r>
        <w:rPr>
          <w:rFonts w:hint="eastAsia" w:ascii="宋体" w:hAnsi="宋体"/>
          <w:color w:val="auto"/>
          <w:sz w:val="24"/>
          <w:highlight w:val="none"/>
        </w:rPr>
        <w:t>机构</w:t>
      </w:r>
      <w:r>
        <w:rPr>
          <w:rFonts w:hint="eastAsia" w:ascii="宋体" w:hAnsi="宋体" w:eastAsia="宋体" w:cs="宋体"/>
          <w:spacing w:val="10"/>
          <w:kern w:val="2"/>
          <w:sz w:val="24"/>
          <w:szCs w:val="24"/>
          <w:highlight w:val="none"/>
        </w:rPr>
        <w:t>，要求</w:t>
      </w:r>
      <w:r>
        <w:rPr>
          <w:rFonts w:hint="eastAsia" w:ascii="宋体" w:hAnsi="宋体" w:cs="宋体"/>
          <w:spacing w:val="10"/>
          <w:kern w:val="2"/>
          <w:sz w:val="24"/>
          <w:szCs w:val="24"/>
          <w:highlight w:val="none"/>
          <w:lang w:eastAsia="zh-CN"/>
        </w:rPr>
        <w:t>采购</w:t>
      </w:r>
      <w:r>
        <w:rPr>
          <w:rFonts w:hint="eastAsia" w:ascii="宋体" w:hAnsi="宋体" w:eastAsia="宋体" w:cs="宋体"/>
          <w:spacing w:val="10"/>
          <w:kern w:val="2"/>
          <w:sz w:val="24"/>
          <w:szCs w:val="24"/>
          <w:highlight w:val="none"/>
        </w:rPr>
        <w:t>人对</w:t>
      </w:r>
      <w:r>
        <w:rPr>
          <w:rFonts w:hint="eastAsia" w:ascii="宋体" w:hAnsi="宋体" w:cs="宋体"/>
          <w:spacing w:val="10"/>
          <w:kern w:val="2"/>
          <w:sz w:val="24"/>
          <w:szCs w:val="24"/>
          <w:highlight w:val="none"/>
          <w:lang w:eastAsia="zh-CN"/>
        </w:rPr>
        <w:t>谈判</w:t>
      </w:r>
      <w:r>
        <w:rPr>
          <w:rFonts w:hint="eastAsia" w:ascii="宋体" w:hAnsi="宋体" w:eastAsia="宋体" w:cs="宋体"/>
          <w:spacing w:val="10"/>
          <w:kern w:val="2"/>
          <w:sz w:val="24"/>
          <w:szCs w:val="24"/>
          <w:highlight w:val="none"/>
        </w:rPr>
        <w:t>文件予以澄清。</w:t>
      </w:r>
    </w:p>
    <w:p w14:paraId="21C2F769">
      <w:pPr>
        <w:autoSpaceDE w:val="0"/>
        <w:autoSpaceDN w:val="0"/>
        <w:adjustRightInd w:val="0"/>
        <w:spacing w:line="360" w:lineRule="auto"/>
        <w:rPr>
          <w:rFonts w:hint="eastAsia" w:ascii="宋体" w:hAnsi="宋体" w:cs="宋体"/>
          <w:bCs/>
          <w:color w:val="auto"/>
          <w:sz w:val="24"/>
          <w:highlight w:val="none"/>
          <w:lang w:val="zh-CN"/>
        </w:rPr>
      </w:pPr>
      <w:r>
        <w:rPr>
          <w:rFonts w:hint="eastAsia" w:ascii="宋体" w:hAnsi="宋体"/>
          <w:color w:val="auto"/>
          <w:sz w:val="24"/>
          <w:highlight w:val="none"/>
        </w:rPr>
        <w:t>13.2</w:t>
      </w:r>
      <w:r>
        <w:rPr>
          <w:rFonts w:hint="eastAsia" w:ascii="宋体" w:hAnsi="宋体" w:cs="宋体"/>
          <w:color w:val="auto"/>
          <w:sz w:val="24"/>
          <w:highlight w:val="none"/>
          <w:lang w:val="zh-CN"/>
        </w:rPr>
        <w:t xml:space="preserve"> 采购人可在谈判截止时间</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个工作日前（含）对谈判文件进行修改、补充。谈判文件的修改、补充文件将“政采云”平台（https://www.zcygov.cn/）</w:t>
      </w:r>
      <w:r>
        <w:rPr>
          <w:rFonts w:hint="eastAsia" w:ascii="宋体" w:hAnsi="宋体" w:cs="宋体"/>
          <w:color w:val="auto"/>
          <w:sz w:val="24"/>
          <w:highlight w:val="none"/>
        </w:rPr>
        <w:t>发布</w:t>
      </w:r>
      <w:r>
        <w:rPr>
          <w:rFonts w:hint="eastAsia" w:ascii="宋体" w:hAnsi="宋体" w:cs="宋体"/>
          <w:color w:val="auto"/>
          <w:sz w:val="24"/>
          <w:highlight w:val="none"/>
          <w:lang w:val="zh-CN"/>
        </w:rPr>
        <w:t>向潜在供应商发出，供应商自行在“政采云”平台（https://www.zcygov.cn/）</w:t>
      </w:r>
      <w:r>
        <w:rPr>
          <w:rFonts w:hint="eastAsia" w:ascii="宋体" w:hAnsi="宋体" w:cs="宋体"/>
          <w:color w:val="auto"/>
          <w:sz w:val="24"/>
          <w:highlight w:val="none"/>
        </w:rPr>
        <w:t>下载。</w:t>
      </w:r>
      <w:r>
        <w:rPr>
          <w:rFonts w:hint="eastAsia" w:ascii="宋体" w:hAnsi="宋体" w:cs="宋体"/>
          <w:bCs/>
          <w:color w:val="auto"/>
          <w:sz w:val="24"/>
          <w:highlight w:val="none"/>
          <w:lang w:val="zh-CN"/>
        </w:rPr>
        <w:t>并在发布谈判公告的媒体上公告。</w:t>
      </w:r>
    </w:p>
    <w:p w14:paraId="0CD3A410">
      <w:pPr>
        <w:autoSpaceDE w:val="0"/>
        <w:autoSpaceDN w:val="0"/>
        <w:adjustRightInd w:val="0"/>
        <w:spacing w:line="360" w:lineRule="auto"/>
        <w:jc w:val="left"/>
        <w:rPr>
          <w:rFonts w:hint="eastAsia" w:ascii="宋体" w:hAnsi="宋体" w:cs="宋体"/>
          <w:color w:val="auto"/>
          <w:sz w:val="24"/>
          <w:highlight w:val="none"/>
          <w:lang w:val="zh-CN"/>
        </w:rPr>
      </w:pPr>
      <w:r>
        <w:rPr>
          <w:rFonts w:ascii="宋体" w:hAnsi="宋体"/>
          <w:color w:val="auto"/>
          <w:sz w:val="24"/>
          <w:highlight w:val="none"/>
        </w:rPr>
        <w:t>13.3</w:t>
      </w:r>
      <w:r>
        <w:rPr>
          <w:rFonts w:hint="eastAsia" w:ascii="宋体" w:hAnsi="宋体" w:cs="宋体"/>
          <w:color w:val="auto"/>
          <w:sz w:val="24"/>
          <w:highlight w:val="none"/>
          <w:lang w:val="zh-CN"/>
        </w:rPr>
        <w:t>谈判文件的澄清、修改、补充文件均构成谈判文件的组成部分，对所有供应商具有约束力，供应商未在“政采云”平台（https://www.zcygov.cn/）</w:t>
      </w:r>
      <w:r>
        <w:rPr>
          <w:rFonts w:hint="eastAsia" w:ascii="宋体" w:hAnsi="宋体" w:cs="宋体"/>
          <w:color w:val="auto"/>
          <w:sz w:val="24"/>
          <w:highlight w:val="none"/>
        </w:rPr>
        <w:t>自行下载</w:t>
      </w:r>
      <w:r>
        <w:rPr>
          <w:rFonts w:hint="eastAsia" w:ascii="宋体" w:hAnsi="宋体" w:cs="宋体"/>
          <w:color w:val="auto"/>
          <w:sz w:val="24"/>
          <w:highlight w:val="none"/>
          <w:lang w:val="zh-CN"/>
        </w:rPr>
        <w:t>澄清、修改、补充文件，后果自负。</w:t>
      </w:r>
    </w:p>
    <w:p w14:paraId="07A3C248">
      <w:pPr>
        <w:tabs>
          <w:tab w:val="left" w:pos="4214"/>
        </w:tabs>
        <w:spacing w:line="360" w:lineRule="auto"/>
        <w:rPr>
          <w:rFonts w:ascii="宋体" w:hAnsi="宋体"/>
          <w:color w:val="auto"/>
          <w:sz w:val="24"/>
          <w:highlight w:val="none"/>
        </w:rPr>
      </w:pPr>
      <w:r>
        <w:rPr>
          <w:rFonts w:hint="eastAsia" w:ascii="宋体" w:hAnsi="宋体"/>
          <w:color w:val="auto"/>
          <w:sz w:val="24"/>
          <w:highlight w:val="none"/>
        </w:rPr>
        <w:t>13.4澄清发出的时间距谈判文件</w:t>
      </w:r>
      <w:r>
        <w:rPr>
          <w:rFonts w:ascii="宋体" w:hAnsi="宋体"/>
          <w:color w:val="auto"/>
          <w:sz w:val="24"/>
          <w:highlight w:val="none"/>
        </w:rPr>
        <w:t>规定的</w:t>
      </w:r>
      <w:r>
        <w:rPr>
          <w:rFonts w:hint="eastAsia" w:ascii="宋体" w:hAnsi="宋体"/>
          <w:color w:val="auto"/>
          <w:sz w:val="24"/>
          <w:highlight w:val="none"/>
        </w:rPr>
        <w:t>谈判截止时间不足</w:t>
      </w:r>
      <w:r>
        <w:rPr>
          <w:rFonts w:ascii="宋体" w:hAnsi="宋体"/>
          <w:color w:val="auto"/>
          <w:sz w:val="24"/>
          <w:highlight w:val="none"/>
        </w:rPr>
        <w:t>3</w:t>
      </w:r>
      <w:r>
        <w:rPr>
          <w:rFonts w:hint="eastAsia" w:ascii="宋体" w:hAnsi="宋体"/>
          <w:color w:val="auto"/>
          <w:sz w:val="24"/>
          <w:highlight w:val="none"/>
        </w:rPr>
        <w:t>个</w:t>
      </w:r>
      <w:r>
        <w:rPr>
          <w:rFonts w:ascii="宋体" w:hAnsi="宋体"/>
          <w:color w:val="auto"/>
          <w:sz w:val="24"/>
          <w:highlight w:val="none"/>
        </w:rPr>
        <w:t>工作</w:t>
      </w:r>
      <w:r>
        <w:rPr>
          <w:rFonts w:hint="eastAsia" w:ascii="宋体" w:hAnsi="宋体"/>
          <w:color w:val="auto"/>
          <w:sz w:val="24"/>
          <w:highlight w:val="none"/>
        </w:rPr>
        <w:t>日的，并且澄清内容可能影响谈判响应文件编制的，将相应延长谈判截止时间。</w:t>
      </w:r>
    </w:p>
    <w:p w14:paraId="6446D4A2">
      <w:pPr>
        <w:spacing w:line="360" w:lineRule="auto"/>
        <w:rPr>
          <w:rFonts w:ascii="宋体" w:hAnsi="宋体"/>
          <w:b/>
          <w:color w:val="auto"/>
          <w:sz w:val="24"/>
          <w:highlight w:val="none"/>
        </w:rPr>
      </w:pPr>
      <w:r>
        <w:rPr>
          <w:rFonts w:hint="eastAsia" w:ascii="宋体" w:hAnsi="宋体"/>
          <w:b/>
          <w:color w:val="auto"/>
          <w:sz w:val="24"/>
          <w:highlight w:val="none"/>
        </w:rPr>
        <w:t>14.谈判文件的修改</w:t>
      </w:r>
    </w:p>
    <w:p w14:paraId="1F3C580C">
      <w:pPr>
        <w:spacing w:line="360" w:lineRule="auto"/>
        <w:rPr>
          <w:rFonts w:ascii="宋体" w:hAnsi="宋体"/>
          <w:color w:val="auto"/>
          <w:sz w:val="24"/>
          <w:highlight w:val="none"/>
        </w:rPr>
      </w:pPr>
      <w:r>
        <w:rPr>
          <w:rFonts w:hint="eastAsia" w:ascii="宋体" w:hAnsi="宋体"/>
          <w:color w:val="auto"/>
          <w:sz w:val="24"/>
          <w:highlight w:val="none"/>
        </w:rPr>
        <w:t>14.1谈判文件发出以后，在上传谈判响应文件截止时间之前，应谈判供应商的疑问和采购人的要求，</w:t>
      </w:r>
      <w:r>
        <w:rPr>
          <w:rFonts w:hint="eastAsia" w:ascii="宋体" w:hAnsi="宋体"/>
          <w:color w:val="auto"/>
          <w:sz w:val="24"/>
          <w:highlight w:val="none"/>
          <w:lang w:eastAsia="zh-CN"/>
        </w:rPr>
        <w:t>采购代理机构</w:t>
      </w:r>
      <w:r>
        <w:rPr>
          <w:rFonts w:hint="eastAsia" w:ascii="宋体" w:hAnsi="宋体"/>
          <w:color w:val="auto"/>
          <w:sz w:val="24"/>
          <w:highlight w:val="none"/>
        </w:rPr>
        <w:t>可以对谈判文件进行必要的修改和补充。</w:t>
      </w:r>
    </w:p>
    <w:p w14:paraId="0F33C5F9">
      <w:pPr>
        <w:spacing w:line="360" w:lineRule="auto"/>
        <w:rPr>
          <w:rFonts w:ascii="宋体" w:hAnsi="宋体"/>
          <w:color w:val="auto"/>
          <w:sz w:val="24"/>
          <w:highlight w:val="none"/>
        </w:rPr>
      </w:pPr>
      <w:r>
        <w:rPr>
          <w:rFonts w:hint="eastAsia" w:ascii="宋体" w:hAnsi="宋体"/>
          <w:color w:val="auto"/>
          <w:sz w:val="24"/>
          <w:highlight w:val="none"/>
        </w:rPr>
        <w:t>14.2采购</w:t>
      </w:r>
      <w:r>
        <w:rPr>
          <w:rFonts w:hint="eastAsia" w:ascii="宋体" w:hAnsi="宋体"/>
          <w:color w:val="auto"/>
          <w:sz w:val="24"/>
          <w:highlight w:val="none"/>
          <w:lang w:eastAsia="zh-CN"/>
        </w:rPr>
        <w:t>代理</w:t>
      </w:r>
      <w:r>
        <w:rPr>
          <w:rFonts w:hint="eastAsia" w:ascii="宋体" w:hAnsi="宋体"/>
          <w:color w:val="auto"/>
          <w:sz w:val="24"/>
          <w:highlight w:val="none"/>
        </w:rPr>
        <w:t>机构对谈判文件的修改和补充将形成变更文件上传至“政采云”平台，同时在发布公告媒介上</w:t>
      </w:r>
      <w:r>
        <w:rPr>
          <w:rFonts w:ascii="宋体" w:hAnsi="宋体"/>
          <w:color w:val="auto"/>
          <w:sz w:val="24"/>
          <w:highlight w:val="none"/>
        </w:rPr>
        <w:t>发布公告，</w:t>
      </w:r>
      <w:r>
        <w:rPr>
          <w:rFonts w:hint="eastAsia" w:ascii="宋体" w:hAnsi="宋体"/>
          <w:color w:val="auto"/>
          <w:sz w:val="24"/>
          <w:highlight w:val="none"/>
        </w:rPr>
        <w:t>以供所有报名参加谈判的谈判供应商下载。</w:t>
      </w:r>
    </w:p>
    <w:p w14:paraId="6DC8E581">
      <w:pPr>
        <w:tabs>
          <w:tab w:val="left" w:pos="4214"/>
        </w:tabs>
        <w:spacing w:line="360" w:lineRule="auto"/>
        <w:rPr>
          <w:rFonts w:ascii="宋体" w:hAnsi="宋体"/>
          <w:color w:val="auto"/>
          <w:sz w:val="24"/>
          <w:highlight w:val="none"/>
        </w:rPr>
      </w:pPr>
      <w:r>
        <w:rPr>
          <w:rFonts w:hint="eastAsia" w:ascii="宋体" w:hAnsi="宋体"/>
          <w:color w:val="auto"/>
          <w:sz w:val="24"/>
          <w:highlight w:val="none"/>
        </w:rPr>
        <w:t>14.3该变更文件作为谈判文件的组成部分，具有约束作用。</w:t>
      </w:r>
    </w:p>
    <w:p w14:paraId="143B7C6B">
      <w:pPr>
        <w:tabs>
          <w:tab w:val="left" w:pos="4214"/>
        </w:tabs>
        <w:spacing w:line="360" w:lineRule="auto"/>
        <w:rPr>
          <w:rFonts w:ascii="宋体" w:hAnsi="宋体"/>
          <w:b/>
          <w:color w:val="auto"/>
          <w:sz w:val="24"/>
          <w:highlight w:val="none"/>
        </w:rPr>
      </w:pPr>
      <w:r>
        <w:rPr>
          <w:rFonts w:ascii="宋体" w:hAnsi="宋体"/>
          <w:color w:val="auto"/>
          <w:sz w:val="24"/>
          <w:highlight w:val="none"/>
        </w:rPr>
        <w:t>14.4</w:t>
      </w:r>
      <w:r>
        <w:rPr>
          <w:rFonts w:hint="eastAsia" w:ascii="宋体" w:hAnsi="宋体"/>
          <w:color w:val="auto"/>
          <w:sz w:val="24"/>
          <w:highlight w:val="none"/>
        </w:rPr>
        <w:t>变更发出的时间距谈判文件规定的谈判截止时间不足</w:t>
      </w:r>
      <w:r>
        <w:rPr>
          <w:rFonts w:ascii="宋体" w:hAnsi="宋体"/>
          <w:color w:val="auto"/>
          <w:sz w:val="24"/>
          <w:highlight w:val="none"/>
        </w:rPr>
        <w:t>3</w:t>
      </w:r>
      <w:r>
        <w:rPr>
          <w:rFonts w:hint="eastAsia" w:ascii="宋体" w:hAnsi="宋体"/>
          <w:color w:val="auto"/>
          <w:sz w:val="24"/>
          <w:highlight w:val="none"/>
        </w:rPr>
        <w:t>个</w:t>
      </w:r>
      <w:r>
        <w:rPr>
          <w:rFonts w:ascii="宋体" w:hAnsi="宋体"/>
          <w:color w:val="auto"/>
          <w:sz w:val="24"/>
          <w:highlight w:val="none"/>
        </w:rPr>
        <w:t>工作</w:t>
      </w:r>
      <w:r>
        <w:rPr>
          <w:rFonts w:hint="eastAsia" w:ascii="宋体" w:hAnsi="宋体"/>
          <w:color w:val="auto"/>
          <w:sz w:val="24"/>
          <w:highlight w:val="none"/>
        </w:rPr>
        <w:t>日的，并且变更内容可能影响谈判响应文件编制的，为使响应谈判供应商在编制谈判响应文件时有充分的时间对谈判文件的修改、补充等内容进行研究，</w:t>
      </w:r>
      <w:r>
        <w:rPr>
          <w:rFonts w:hint="eastAsia" w:ascii="宋体" w:hAnsi="宋体"/>
          <w:color w:val="auto"/>
          <w:sz w:val="24"/>
          <w:highlight w:val="none"/>
          <w:lang w:eastAsia="zh-CN"/>
        </w:rPr>
        <w:t>采购代理机构</w:t>
      </w:r>
      <w:r>
        <w:rPr>
          <w:rFonts w:hint="eastAsia" w:ascii="宋体" w:hAnsi="宋体"/>
          <w:color w:val="auto"/>
          <w:sz w:val="24"/>
          <w:highlight w:val="none"/>
        </w:rPr>
        <w:t>将相应延长谈判截止时间，具体时间将在谈判文件的变更公告中予以明确。</w:t>
      </w:r>
    </w:p>
    <w:p w14:paraId="69291B72">
      <w:pPr>
        <w:spacing w:line="360" w:lineRule="auto"/>
        <w:jc w:val="center"/>
        <w:outlineLvl w:val="1"/>
        <w:rPr>
          <w:rFonts w:ascii="宋体" w:hAnsi="宋体"/>
          <w:color w:val="auto"/>
          <w:sz w:val="24"/>
          <w:highlight w:val="none"/>
        </w:rPr>
      </w:pPr>
      <w:bookmarkStart w:id="11" w:name="_Toc103723520"/>
      <w:bookmarkStart w:id="12" w:name="_Toc31928"/>
      <w:r>
        <w:rPr>
          <w:rFonts w:hint="eastAsia" w:ascii="宋体" w:hAnsi="宋体"/>
          <w:b/>
          <w:color w:val="auto"/>
          <w:sz w:val="28"/>
          <w:highlight w:val="none"/>
        </w:rPr>
        <w:t>四、谈判响应文件</w:t>
      </w:r>
      <w:bookmarkEnd w:id="11"/>
      <w:bookmarkEnd w:id="12"/>
    </w:p>
    <w:p w14:paraId="7F6E23C1">
      <w:pPr>
        <w:spacing w:line="360" w:lineRule="auto"/>
        <w:rPr>
          <w:rFonts w:ascii="宋体" w:hAnsi="宋体"/>
          <w:b/>
          <w:color w:val="auto"/>
          <w:sz w:val="24"/>
          <w:highlight w:val="none"/>
        </w:rPr>
      </w:pPr>
      <w:r>
        <w:rPr>
          <w:rFonts w:hint="eastAsia" w:ascii="宋体" w:hAnsi="宋体"/>
          <w:b/>
          <w:color w:val="auto"/>
          <w:sz w:val="24"/>
          <w:highlight w:val="none"/>
        </w:rPr>
        <w:t>15.谈判响应文件的组成</w:t>
      </w:r>
    </w:p>
    <w:p w14:paraId="6B4AD8C1">
      <w:pPr>
        <w:spacing w:line="360" w:lineRule="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一、</w:t>
      </w:r>
      <w:r>
        <w:rPr>
          <w:rFonts w:hint="eastAsia" w:ascii="宋体" w:hAnsi="宋体" w:eastAsia="宋体" w:cs="Times New Roman"/>
          <w:color w:val="auto"/>
          <w:sz w:val="24"/>
          <w:highlight w:val="none"/>
        </w:rPr>
        <w:t>响应函</w:t>
      </w:r>
      <w:r>
        <w:rPr>
          <w:rFonts w:hint="eastAsia" w:ascii="宋体" w:hAnsi="宋体" w:eastAsia="宋体" w:cs="Times New Roman"/>
          <w:color w:val="auto"/>
          <w:sz w:val="24"/>
          <w:highlight w:val="none"/>
          <w:lang w:eastAsia="zh-CN"/>
        </w:rPr>
        <w:t>及响应函附表</w:t>
      </w:r>
    </w:p>
    <w:p w14:paraId="42DA7E8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二、</w:t>
      </w:r>
      <w:r>
        <w:rPr>
          <w:rFonts w:hint="eastAsia" w:ascii="宋体" w:hAnsi="宋体" w:eastAsia="宋体" w:cs="Times New Roman"/>
          <w:color w:val="auto"/>
          <w:sz w:val="24"/>
          <w:highlight w:val="none"/>
        </w:rPr>
        <w:t>法定代表人身份证明</w:t>
      </w:r>
    </w:p>
    <w:p w14:paraId="1F7CADC9">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三、授权委托书</w:t>
      </w:r>
    </w:p>
    <w:p w14:paraId="171BBA92">
      <w:pPr>
        <w:spacing w:line="360" w:lineRule="auto"/>
        <w:rPr>
          <w:rFonts w:hint="eastAsia" w:ascii="宋体" w:hAnsi="宋体" w:eastAsia="宋体" w:cs="Times New Roman"/>
          <w:color w:val="auto"/>
          <w:sz w:val="24"/>
          <w:highlight w:val="none"/>
          <w:lang w:eastAsia="en-US"/>
        </w:rPr>
      </w:pPr>
      <w:r>
        <w:rPr>
          <w:rFonts w:hint="eastAsia" w:ascii="宋体" w:hAnsi="宋体" w:eastAsia="宋体" w:cs="Times New Roman"/>
          <w:color w:val="auto"/>
          <w:sz w:val="24"/>
          <w:highlight w:val="none"/>
          <w:lang w:val="en-US" w:eastAsia="zh-CN"/>
        </w:rPr>
        <w:t>四、首次报价一览表、</w:t>
      </w:r>
      <w:r>
        <w:rPr>
          <w:rFonts w:hint="eastAsia" w:ascii="宋体" w:hAnsi="宋体" w:eastAsia="宋体" w:cs="Times New Roman"/>
          <w:color w:val="auto"/>
          <w:sz w:val="24"/>
          <w:highlight w:val="none"/>
        </w:rPr>
        <w:t>报价明细表</w:t>
      </w:r>
    </w:p>
    <w:p w14:paraId="0352BB32">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五、</w:t>
      </w:r>
      <w:r>
        <w:rPr>
          <w:rFonts w:hint="eastAsia" w:ascii="宋体" w:hAnsi="宋体" w:eastAsia="宋体" w:cs="Times New Roman"/>
          <w:color w:val="auto"/>
          <w:sz w:val="24"/>
          <w:highlight w:val="none"/>
        </w:rPr>
        <w:t>投标保证金</w:t>
      </w:r>
    </w:p>
    <w:p w14:paraId="07B66D72">
      <w:pPr>
        <w:spacing w:line="360" w:lineRule="auto"/>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eastAsia="zh-CN"/>
        </w:rPr>
        <w:t>六、商务条款偏离表</w:t>
      </w:r>
    </w:p>
    <w:p w14:paraId="0A40AECD">
      <w:pPr>
        <w:spacing w:line="360" w:lineRule="auto"/>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eastAsia="zh-CN"/>
        </w:rPr>
        <w:t>七、技术规格偏离表</w:t>
      </w:r>
    </w:p>
    <w:p w14:paraId="7AA2C1AE">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八、投标人资格声明</w:t>
      </w:r>
    </w:p>
    <w:p w14:paraId="6D5AED58">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九、投标人基本情况</w:t>
      </w:r>
    </w:p>
    <w:p w14:paraId="0A17A74D">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十、财务状况报告</w:t>
      </w:r>
    </w:p>
    <w:p w14:paraId="5F16FB41">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十一、依法缴纳税收证明材料</w:t>
      </w:r>
    </w:p>
    <w:p w14:paraId="62467136">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十二、依法缴纳社会保障资金证明材料</w:t>
      </w:r>
    </w:p>
    <w:p w14:paraId="6740127E">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十三、具备履行合同所必需设备和专业技术能力的声明函（若有）</w:t>
      </w:r>
    </w:p>
    <w:p w14:paraId="4BCFC852">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十四、参加采购活动前三年内在经营活动中没有重大违法记录书面声明</w:t>
      </w:r>
    </w:p>
    <w:p w14:paraId="1B9ECBEB">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十五、信用记录查询截图</w:t>
      </w:r>
    </w:p>
    <w:p w14:paraId="04EF0228">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十六、类似项目经验（如有）</w:t>
      </w:r>
    </w:p>
    <w:p w14:paraId="18606F8D">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十七、服务承诺</w:t>
      </w:r>
    </w:p>
    <w:p w14:paraId="67D6906B">
      <w:pPr>
        <w:spacing w:line="360" w:lineRule="auto"/>
        <w:rPr>
          <w:rFonts w:hint="eastAsia" w:ascii="宋体" w:hAnsi="宋体" w:eastAsia="宋体" w:cs="Times New Roman"/>
          <w:color w:val="auto"/>
          <w:sz w:val="24"/>
          <w:highlight w:val="none"/>
          <w:lang w:val="en-US" w:eastAsia="en-US"/>
        </w:rPr>
      </w:pPr>
      <w:r>
        <w:rPr>
          <w:rFonts w:hint="eastAsia" w:ascii="宋体" w:hAnsi="宋体" w:eastAsia="宋体" w:cs="Times New Roman"/>
          <w:color w:val="auto"/>
          <w:sz w:val="24"/>
          <w:highlight w:val="none"/>
          <w:lang w:val="en-US" w:eastAsia="zh-CN"/>
        </w:rPr>
        <w:t>十八、</w:t>
      </w:r>
      <w:r>
        <w:rPr>
          <w:rFonts w:hint="eastAsia" w:ascii="宋体" w:hAnsi="宋体" w:eastAsia="宋体" w:cs="Times New Roman"/>
          <w:color w:val="auto"/>
          <w:sz w:val="24"/>
          <w:highlight w:val="none"/>
          <w:lang w:val="en-US" w:eastAsia="en-US"/>
        </w:rPr>
        <w:t>实施方案</w:t>
      </w:r>
    </w:p>
    <w:p w14:paraId="2FD5B57F">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十九、供应商可结合本项目自身情况自行提交其它相关证明材料</w:t>
      </w:r>
    </w:p>
    <w:p w14:paraId="62053964">
      <w:pPr>
        <w:spacing w:line="360" w:lineRule="auto"/>
        <w:rPr>
          <w:rFonts w:hint="eastAsia" w:ascii="宋体" w:hAnsi="宋体" w:eastAsia="宋体" w:cs="Times New Roman"/>
          <w:color w:val="auto"/>
          <w:sz w:val="24"/>
          <w:highlight w:val="none"/>
          <w:lang w:val="en-US" w:eastAsia="zh-CN"/>
        </w:rPr>
      </w:pPr>
    </w:p>
    <w:p w14:paraId="3A14FE1B">
      <w:pPr>
        <w:spacing w:line="360" w:lineRule="auto"/>
        <w:rPr>
          <w:rFonts w:ascii="宋体" w:hAnsi="宋体"/>
          <w:b/>
          <w:color w:val="auto"/>
          <w:sz w:val="24"/>
          <w:highlight w:val="none"/>
        </w:rPr>
      </w:pPr>
      <w:r>
        <w:rPr>
          <w:rFonts w:hint="eastAsia" w:ascii="宋体" w:hAnsi="宋体"/>
          <w:b/>
          <w:color w:val="auto"/>
          <w:sz w:val="24"/>
          <w:highlight w:val="none"/>
        </w:rPr>
        <w:t>16.谈判</w:t>
      </w:r>
      <w:r>
        <w:rPr>
          <w:rFonts w:ascii="宋体" w:hAnsi="宋体"/>
          <w:b/>
          <w:color w:val="auto"/>
          <w:sz w:val="24"/>
          <w:highlight w:val="none"/>
        </w:rPr>
        <w:t>响应</w:t>
      </w:r>
      <w:r>
        <w:rPr>
          <w:rFonts w:hint="eastAsia" w:ascii="宋体" w:hAnsi="宋体"/>
          <w:b/>
          <w:color w:val="auto"/>
          <w:sz w:val="24"/>
          <w:highlight w:val="none"/>
        </w:rPr>
        <w:t>报价</w:t>
      </w:r>
    </w:p>
    <w:p w14:paraId="4FF258E3">
      <w:pPr>
        <w:spacing w:line="360" w:lineRule="auto"/>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6</w:t>
      </w:r>
      <w:r>
        <w:rPr>
          <w:rFonts w:hint="eastAsia" w:ascii="宋体" w:hAnsi="宋体"/>
          <w:color w:val="auto"/>
          <w:sz w:val="24"/>
          <w:highlight w:val="none"/>
        </w:rPr>
        <w:t>.1本项目谈判报价采用本须知前附表中所规定的方式，所有谈判响应报价均以人民币元为计算单位。谈判响应报价应当是供应商履行本项目合同的最终价格。响应谈判供应商</w:t>
      </w:r>
      <w:r>
        <w:rPr>
          <w:rFonts w:ascii="宋体" w:hAnsi="宋体"/>
          <w:color w:val="auto"/>
          <w:sz w:val="24"/>
          <w:highlight w:val="none"/>
        </w:rPr>
        <w:t>的</w:t>
      </w:r>
      <w:r>
        <w:rPr>
          <w:rFonts w:hint="eastAsia" w:ascii="宋体" w:hAnsi="宋体"/>
          <w:color w:val="auto"/>
          <w:sz w:val="24"/>
          <w:highlight w:val="none"/>
        </w:rPr>
        <w:t>报</w:t>
      </w:r>
      <w:r>
        <w:rPr>
          <w:rFonts w:ascii="宋体" w:hAnsi="宋体"/>
          <w:color w:val="auto"/>
          <w:sz w:val="24"/>
          <w:highlight w:val="none"/>
        </w:rPr>
        <w:t>价应</w:t>
      </w:r>
      <w:r>
        <w:rPr>
          <w:rFonts w:hint="eastAsia" w:ascii="宋体" w:hAnsi="宋体"/>
          <w:color w:val="auto"/>
          <w:sz w:val="24"/>
          <w:highlight w:val="none"/>
        </w:rPr>
        <w:t>包括货款、标准附件、备品备件、专用工具、包装、运输、装卸、保险、税金、安装到位、调试、培训、保修等一切税金和费用。</w:t>
      </w:r>
    </w:p>
    <w:p w14:paraId="0EE3CA5C">
      <w:pPr>
        <w:spacing w:line="360" w:lineRule="auto"/>
        <w:rPr>
          <w:rFonts w:ascii="宋体" w:hAnsi="宋体"/>
          <w:color w:val="auto"/>
          <w:sz w:val="24"/>
          <w:highlight w:val="none"/>
        </w:rPr>
      </w:pPr>
      <w:r>
        <w:rPr>
          <w:rFonts w:hint="eastAsia" w:ascii="宋体" w:hAnsi="宋体"/>
          <w:color w:val="auto"/>
          <w:sz w:val="24"/>
          <w:highlight w:val="none"/>
        </w:rPr>
        <w:t>16.2响应谈判供应商所报的价格</w:t>
      </w:r>
      <w:r>
        <w:rPr>
          <w:rFonts w:ascii="宋体" w:hAnsi="宋体"/>
          <w:color w:val="auto"/>
          <w:sz w:val="24"/>
          <w:highlight w:val="none"/>
        </w:rPr>
        <w:t>(</w:t>
      </w:r>
      <w:r>
        <w:rPr>
          <w:rFonts w:hint="eastAsia" w:ascii="宋体" w:hAnsi="宋体"/>
          <w:color w:val="auto"/>
          <w:sz w:val="24"/>
          <w:highlight w:val="none"/>
        </w:rPr>
        <w:t>包括成本、利润、税金等因素</w:t>
      </w:r>
      <w:r>
        <w:rPr>
          <w:rFonts w:ascii="宋体" w:hAnsi="宋体"/>
          <w:color w:val="auto"/>
          <w:sz w:val="24"/>
          <w:highlight w:val="none"/>
        </w:rPr>
        <w:t>)</w:t>
      </w:r>
      <w:r>
        <w:rPr>
          <w:rFonts w:hint="eastAsia" w:ascii="宋体" w:hAnsi="宋体"/>
          <w:color w:val="auto"/>
          <w:sz w:val="24"/>
          <w:highlight w:val="none"/>
        </w:rPr>
        <w:t>在合同实施期间保持不变，它不应因劳务、材料、机械等的价格变动而做任何调整。在合同有效期和其必要的延长期内也不因通货膨胀、利率升降、税收变化等因素而作任何调整。</w:t>
      </w:r>
    </w:p>
    <w:p w14:paraId="067EC987">
      <w:pPr>
        <w:spacing w:line="360" w:lineRule="auto"/>
        <w:rPr>
          <w:rFonts w:ascii="宋体" w:hAnsi="宋体"/>
          <w:color w:val="auto"/>
          <w:sz w:val="24"/>
          <w:highlight w:val="none"/>
        </w:rPr>
      </w:pPr>
      <w:r>
        <w:rPr>
          <w:rFonts w:hint="eastAsia" w:ascii="宋体" w:hAnsi="宋体"/>
          <w:color w:val="auto"/>
          <w:sz w:val="24"/>
          <w:highlight w:val="none"/>
        </w:rPr>
        <w:t>16.3</w:t>
      </w:r>
      <w:r>
        <w:rPr>
          <w:rFonts w:hint="eastAsia" w:ascii="宋体" w:hAnsi="宋体"/>
          <w:bCs/>
          <w:color w:val="auto"/>
          <w:sz w:val="24"/>
          <w:highlight w:val="none"/>
        </w:rPr>
        <w:t>响应谈判供应商应按第</w:t>
      </w:r>
      <w:r>
        <w:rPr>
          <w:rFonts w:hint="eastAsia" w:ascii="宋体" w:hAnsi="宋体"/>
          <w:bCs/>
          <w:color w:val="auto"/>
          <w:sz w:val="24"/>
          <w:highlight w:val="none"/>
          <w:lang w:eastAsia="zh-CN"/>
        </w:rPr>
        <w:t>三</w:t>
      </w:r>
      <w:r>
        <w:rPr>
          <w:rFonts w:hint="eastAsia" w:ascii="宋体" w:hAnsi="宋体"/>
          <w:bCs/>
          <w:color w:val="auto"/>
          <w:sz w:val="24"/>
          <w:highlight w:val="none"/>
        </w:rPr>
        <w:t>章货物需求的要求填写货物需求细目的单价和总价。响应谈判供应商没有填入单价或价格的细目在供货时采购人将不予支付，并认为此细目的费用已包括在货物需求明细的其他单价和价格之中。响应谈判供应商应按给定的货物需求明细列项，货物数量错误、计量单位错误、落项或多报项目者将被视为不符合性响应，其响应将被拒绝。</w:t>
      </w:r>
    </w:p>
    <w:p w14:paraId="5E56AD3D">
      <w:pPr>
        <w:spacing w:line="360" w:lineRule="auto"/>
        <w:rPr>
          <w:rFonts w:ascii="宋体" w:hAnsi="宋体"/>
          <w:color w:val="auto"/>
          <w:sz w:val="24"/>
          <w:highlight w:val="none"/>
        </w:rPr>
      </w:pPr>
      <w:r>
        <w:rPr>
          <w:rFonts w:hint="eastAsia" w:ascii="宋体" w:hAnsi="宋体"/>
          <w:color w:val="auto"/>
          <w:sz w:val="24"/>
          <w:highlight w:val="none"/>
        </w:rPr>
        <w:t>16.4各响应供应商不得相互串联哄抬标价或恶意压价，出现此种情况者，将被作为废标处理。</w:t>
      </w:r>
    </w:p>
    <w:p w14:paraId="77AF6D91">
      <w:pPr>
        <w:spacing w:line="360" w:lineRule="auto"/>
        <w:rPr>
          <w:rFonts w:ascii="宋体" w:hAnsi="宋体"/>
          <w:b/>
          <w:color w:val="auto"/>
          <w:sz w:val="24"/>
          <w:highlight w:val="none"/>
        </w:rPr>
      </w:pPr>
      <w:r>
        <w:rPr>
          <w:rFonts w:ascii="宋体" w:hAnsi="宋体"/>
          <w:b/>
          <w:color w:val="auto"/>
          <w:sz w:val="24"/>
          <w:highlight w:val="none"/>
        </w:rPr>
        <w:t>17.</w:t>
      </w:r>
      <w:r>
        <w:rPr>
          <w:rFonts w:hint="eastAsia" w:ascii="宋体" w:hAnsi="宋体"/>
          <w:b/>
          <w:color w:val="auto"/>
          <w:sz w:val="24"/>
          <w:highlight w:val="none"/>
        </w:rPr>
        <w:t>谈判响应</w:t>
      </w:r>
      <w:r>
        <w:rPr>
          <w:rFonts w:ascii="宋体" w:hAnsi="宋体"/>
          <w:b/>
          <w:color w:val="auto"/>
          <w:sz w:val="24"/>
          <w:highlight w:val="none"/>
        </w:rPr>
        <w:t>报价表</w:t>
      </w:r>
    </w:p>
    <w:p w14:paraId="28543847">
      <w:pPr>
        <w:spacing w:line="360" w:lineRule="auto"/>
        <w:rPr>
          <w:rFonts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响应谈判供应商</w:t>
      </w:r>
      <w:r>
        <w:rPr>
          <w:rFonts w:ascii="宋体" w:hAnsi="宋体"/>
          <w:color w:val="auto"/>
          <w:sz w:val="24"/>
          <w:highlight w:val="none"/>
        </w:rPr>
        <w:t>须按照谈判文件</w:t>
      </w:r>
      <w:r>
        <w:rPr>
          <w:rFonts w:hint="eastAsia" w:ascii="宋体" w:hAnsi="宋体"/>
          <w:color w:val="auto"/>
          <w:sz w:val="24"/>
          <w:highlight w:val="none"/>
        </w:rPr>
        <w:t>的</w:t>
      </w:r>
      <w:r>
        <w:rPr>
          <w:rFonts w:ascii="宋体" w:hAnsi="宋体"/>
          <w:color w:val="auto"/>
          <w:sz w:val="24"/>
          <w:highlight w:val="none"/>
        </w:rPr>
        <w:t>要求填写，且在“</w:t>
      </w:r>
      <w:r>
        <w:rPr>
          <w:rFonts w:hint="eastAsia" w:ascii="宋体" w:hAnsi="宋体"/>
          <w:color w:val="auto"/>
          <w:sz w:val="24"/>
          <w:highlight w:val="none"/>
        </w:rPr>
        <w:t>政采云</w:t>
      </w:r>
      <w:r>
        <w:rPr>
          <w:rFonts w:ascii="宋体" w:hAnsi="宋体"/>
          <w:color w:val="auto"/>
          <w:sz w:val="24"/>
          <w:highlight w:val="none"/>
        </w:rPr>
        <w:t>”</w:t>
      </w:r>
      <w:r>
        <w:rPr>
          <w:rFonts w:hint="eastAsia" w:ascii="宋体" w:hAnsi="宋体"/>
          <w:color w:val="auto"/>
          <w:sz w:val="24"/>
          <w:highlight w:val="none"/>
        </w:rPr>
        <w:t>平台</w:t>
      </w:r>
      <w:r>
        <w:rPr>
          <w:rFonts w:ascii="宋体" w:hAnsi="宋体"/>
          <w:color w:val="auto"/>
          <w:sz w:val="24"/>
          <w:highlight w:val="none"/>
        </w:rPr>
        <w:t>提交</w:t>
      </w:r>
      <w:r>
        <w:rPr>
          <w:rFonts w:hint="eastAsia" w:ascii="宋体" w:hAnsi="宋体"/>
          <w:color w:val="auto"/>
          <w:sz w:val="24"/>
          <w:highlight w:val="none"/>
        </w:rPr>
        <w:t>。</w:t>
      </w:r>
    </w:p>
    <w:p w14:paraId="295A2607">
      <w:pPr>
        <w:spacing w:line="360" w:lineRule="auto"/>
        <w:rPr>
          <w:rFonts w:ascii="宋体" w:hAnsi="宋体"/>
          <w:color w:val="auto"/>
          <w:sz w:val="24"/>
          <w:highlight w:val="none"/>
        </w:rPr>
      </w:pPr>
      <w:r>
        <w:rPr>
          <w:rFonts w:ascii="宋体" w:hAnsi="宋体"/>
          <w:color w:val="auto"/>
          <w:sz w:val="24"/>
          <w:highlight w:val="none"/>
        </w:rPr>
        <w:t>17.</w:t>
      </w:r>
      <w:r>
        <w:rPr>
          <w:rFonts w:hint="eastAsia" w:ascii="宋体" w:hAnsi="宋体"/>
          <w:color w:val="auto"/>
          <w:sz w:val="24"/>
          <w:highlight w:val="none"/>
        </w:rPr>
        <w:t>2如谈判响应报价表内容与谈判响应文件中明细表内容不一致，以谈判响应最终报价表为准。</w:t>
      </w:r>
    </w:p>
    <w:p w14:paraId="1F0A28AB">
      <w:pPr>
        <w:spacing w:line="360" w:lineRule="auto"/>
        <w:rPr>
          <w:rFonts w:ascii="宋体" w:hAnsi="宋体"/>
          <w:b/>
          <w:color w:val="auto"/>
          <w:sz w:val="24"/>
          <w:highlight w:val="none"/>
        </w:rPr>
      </w:pPr>
      <w:r>
        <w:rPr>
          <w:rFonts w:ascii="宋体" w:hAnsi="宋体"/>
          <w:b/>
          <w:color w:val="auto"/>
          <w:sz w:val="24"/>
          <w:highlight w:val="none"/>
        </w:rPr>
        <w:t>17.3</w:t>
      </w:r>
      <w:r>
        <w:rPr>
          <w:rFonts w:hint="eastAsia" w:ascii="宋体" w:hAnsi="宋体"/>
          <w:b/>
          <w:color w:val="auto"/>
          <w:sz w:val="24"/>
          <w:highlight w:val="none"/>
        </w:rPr>
        <w:t>谈判</w:t>
      </w:r>
      <w:r>
        <w:rPr>
          <w:rFonts w:ascii="宋体" w:hAnsi="宋体"/>
          <w:b/>
          <w:color w:val="auto"/>
          <w:sz w:val="24"/>
          <w:highlight w:val="none"/>
        </w:rPr>
        <w:t>响应报价</w:t>
      </w:r>
      <w:r>
        <w:rPr>
          <w:rFonts w:hint="eastAsia" w:ascii="宋体" w:hAnsi="宋体"/>
          <w:b/>
          <w:color w:val="auto"/>
          <w:sz w:val="24"/>
          <w:highlight w:val="none"/>
        </w:rPr>
        <w:t>分为</w:t>
      </w:r>
      <w:r>
        <w:rPr>
          <w:rFonts w:ascii="宋体" w:hAnsi="宋体"/>
          <w:b/>
          <w:color w:val="auto"/>
          <w:sz w:val="24"/>
          <w:highlight w:val="none"/>
        </w:rPr>
        <w:t>谈判响应首次报价表、谈判响应</w:t>
      </w:r>
      <w:r>
        <w:rPr>
          <w:rFonts w:hint="eastAsia" w:ascii="宋体" w:hAnsi="宋体"/>
          <w:b/>
          <w:color w:val="auto"/>
          <w:sz w:val="24"/>
          <w:highlight w:val="none"/>
        </w:rPr>
        <w:t>最终</w:t>
      </w:r>
      <w:r>
        <w:rPr>
          <w:rFonts w:ascii="宋体" w:hAnsi="宋体"/>
          <w:b/>
          <w:color w:val="auto"/>
          <w:sz w:val="24"/>
          <w:highlight w:val="none"/>
        </w:rPr>
        <w:t>报价表。</w:t>
      </w:r>
    </w:p>
    <w:p w14:paraId="7C5CC879">
      <w:pPr>
        <w:spacing w:line="360" w:lineRule="auto"/>
        <w:rPr>
          <w:rFonts w:ascii="宋体" w:hAnsi="宋体"/>
          <w:b/>
          <w:color w:val="auto"/>
          <w:sz w:val="24"/>
          <w:highlight w:val="none"/>
        </w:rPr>
      </w:pPr>
      <w:r>
        <w:rPr>
          <w:rFonts w:hint="eastAsia" w:ascii="宋体" w:hAnsi="宋体"/>
          <w:b/>
          <w:color w:val="auto"/>
          <w:sz w:val="24"/>
          <w:highlight w:val="none"/>
        </w:rPr>
        <w:t>谈判</w:t>
      </w:r>
      <w:r>
        <w:rPr>
          <w:rFonts w:ascii="宋体" w:hAnsi="宋体"/>
          <w:b/>
          <w:color w:val="auto"/>
          <w:sz w:val="24"/>
          <w:highlight w:val="none"/>
        </w:rPr>
        <w:t>响应首次</w:t>
      </w:r>
      <w:r>
        <w:rPr>
          <w:rFonts w:hint="eastAsia" w:ascii="宋体" w:hAnsi="宋体"/>
          <w:b/>
          <w:color w:val="auto"/>
          <w:sz w:val="24"/>
          <w:highlight w:val="none"/>
        </w:rPr>
        <w:t>报价后</w:t>
      </w:r>
      <w:r>
        <w:rPr>
          <w:rFonts w:ascii="宋体" w:hAnsi="宋体"/>
          <w:b/>
          <w:color w:val="auto"/>
          <w:sz w:val="24"/>
          <w:highlight w:val="none"/>
        </w:rPr>
        <w:t>谈判小组</w:t>
      </w:r>
      <w:r>
        <w:rPr>
          <w:rFonts w:hint="eastAsia" w:ascii="宋体" w:hAnsi="宋体"/>
          <w:b/>
          <w:color w:val="auto"/>
          <w:sz w:val="24"/>
          <w:highlight w:val="none"/>
        </w:rPr>
        <w:t>将在资格</w:t>
      </w:r>
      <w:r>
        <w:rPr>
          <w:rFonts w:ascii="宋体" w:hAnsi="宋体"/>
          <w:b/>
          <w:color w:val="auto"/>
          <w:sz w:val="24"/>
          <w:highlight w:val="none"/>
        </w:rPr>
        <w:t>审</w:t>
      </w:r>
      <w:r>
        <w:rPr>
          <w:rFonts w:hint="eastAsia" w:ascii="宋体" w:hAnsi="宋体"/>
          <w:b/>
          <w:color w:val="auto"/>
          <w:sz w:val="24"/>
          <w:highlight w:val="none"/>
        </w:rPr>
        <w:t>评审</w:t>
      </w:r>
      <w:r>
        <w:rPr>
          <w:rFonts w:ascii="宋体" w:hAnsi="宋体"/>
          <w:b/>
          <w:color w:val="auto"/>
          <w:sz w:val="24"/>
          <w:highlight w:val="none"/>
        </w:rPr>
        <w:t>、符合性</w:t>
      </w:r>
      <w:r>
        <w:rPr>
          <w:rFonts w:hint="eastAsia" w:ascii="宋体" w:hAnsi="宋体"/>
          <w:b/>
          <w:color w:val="auto"/>
          <w:sz w:val="24"/>
          <w:highlight w:val="none"/>
        </w:rPr>
        <w:t>评审通过</w:t>
      </w:r>
      <w:r>
        <w:rPr>
          <w:rFonts w:ascii="宋体" w:hAnsi="宋体"/>
          <w:b/>
          <w:color w:val="auto"/>
          <w:sz w:val="24"/>
          <w:highlight w:val="none"/>
        </w:rPr>
        <w:t>后发起谈判</w:t>
      </w:r>
      <w:r>
        <w:rPr>
          <w:rFonts w:hint="eastAsia" w:ascii="宋体" w:hAnsi="宋体"/>
          <w:b/>
          <w:color w:val="auto"/>
          <w:sz w:val="24"/>
          <w:highlight w:val="none"/>
        </w:rPr>
        <w:t>响应</w:t>
      </w:r>
      <w:r>
        <w:rPr>
          <w:rFonts w:ascii="宋体" w:hAnsi="宋体"/>
          <w:b/>
          <w:color w:val="auto"/>
          <w:sz w:val="24"/>
          <w:highlight w:val="none"/>
        </w:rPr>
        <w:t>最终报价，</w:t>
      </w:r>
      <w:r>
        <w:rPr>
          <w:rFonts w:hint="eastAsia" w:ascii="宋体" w:hAnsi="宋体"/>
          <w:b/>
          <w:color w:val="auto"/>
          <w:sz w:val="24"/>
          <w:highlight w:val="none"/>
        </w:rPr>
        <w:t>响应</w:t>
      </w:r>
      <w:r>
        <w:rPr>
          <w:rFonts w:ascii="宋体" w:hAnsi="宋体"/>
          <w:b/>
          <w:color w:val="auto"/>
          <w:sz w:val="24"/>
          <w:highlight w:val="none"/>
        </w:rPr>
        <w:t>谈判供应商</w:t>
      </w:r>
      <w:r>
        <w:rPr>
          <w:rFonts w:hint="eastAsia" w:ascii="宋体" w:hAnsi="宋体"/>
          <w:b/>
          <w:color w:val="auto"/>
          <w:sz w:val="24"/>
          <w:highlight w:val="none"/>
        </w:rPr>
        <w:t>代表须</w:t>
      </w:r>
      <w:r>
        <w:rPr>
          <w:rFonts w:ascii="宋体" w:hAnsi="宋体"/>
          <w:b/>
          <w:color w:val="auto"/>
          <w:sz w:val="24"/>
          <w:highlight w:val="none"/>
        </w:rPr>
        <w:t>在谈判小组发起的报价</w:t>
      </w:r>
      <w:r>
        <w:rPr>
          <w:rFonts w:hint="eastAsia" w:ascii="宋体" w:hAnsi="宋体"/>
          <w:b/>
          <w:color w:val="auto"/>
          <w:sz w:val="24"/>
          <w:highlight w:val="none"/>
        </w:rPr>
        <w:t>时限</w:t>
      </w:r>
      <w:r>
        <w:rPr>
          <w:rFonts w:ascii="宋体" w:hAnsi="宋体"/>
          <w:b/>
          <w:color w:val="auto"/>
          <w:sz w:val="24"/>
          <w:highlight w:val="none"/>
        </w:rPr>
        <w:t>内提交</w:t>
      </w:r>
      <w:r>
        <w:rPr>
          <w:rFonts w:hint="eastAsia" w:ascii="宋体" w:hAnsi="宋体"/>
          <w:b/>
          <w:color w:val="auto"/>
          <w:sz w:val="24"/>
          <w:highlight w:val="none"/>
        </w:rPr>
        <w:t>谈判</w:t>
      </w:r>
      <w:r>
        <w:rPr>
          <w:rFonts w:ascii="宋体" w:hAnsi="宋体"/>
          <w:b/>
          <w:color w:val="auto"/>
          <w:sz w:val="24"/>
          <w:highlight w:val="none"/>
        </w:rPr>
        <w:t>响应最终报价</w:t>
      </w:r>
      <w:r>
        <w:rPr>
          <w:rFonts w:hint="eastAsia" w:ascii="宋体" w:hAnsi="宋体"/>
          <w:b/>
          <w:color w:val="auto"/>
          <w:sz w:val="24"/>
          <w:highlight w:val="none"/>
        </w:rPr>
        <w:t>。</w:t>
      </w:r>
    </w:p>
    <w:p w14:paraId="77AEFDF2">
      <w:pPr>
        <w:autoSpaceDE w:val="0"/>
        <w:autoSpaceDN w:val="0"/>
        <w:adjustRightInd w:val="0"/>
        <w:spacing w:before="60" w:after="60" w:line="360" w:lineRule="auto"/>
        <w:rPr>
          <w:rFonts w:cs="宋体"/>
          <w:b/>
          <w:color w:val="auto"/>
          <w:sz w:val="24"/>
          <w:highlight w:val="none"/>
        </w:rPr>
      </w:pPr>
      <w:r>
        <w:rPr>
          <w:rFonts w:hint="eastAsia" w:ascii="宋体" w:hAnsi="宋体"/>
          <w:b/>
          <w:color w:val="auto"/>
          <w:sz w:val="24"/>
          <w:highlight w:val="none"/>
        </w:rPr>
        <w:t>17.4</w:t>
      </w:r>
      <w:r>
        <w:rPr>
          <w:rFonts w:hint="eastAsia" w:cs="宋体"/>
          <w:b/>
          <w:color w:val="auto"/>
          <w:sz w:val="24"/>
          <w:highlight w:val="none"/>
        </w:rPr>
        <w:t>在线谈判</w:t>
      </w:r>
      <w:r>
        <w:rPr>
          <w:rFonts w:cs="宋体"/>
          <w:b/>
          <w:color w:val="auto"/>
          <w:sz w:val="24"/>
          <w:highlight w:val="none"/>
        </w:rPr>
        <w:t>时间和提交</w:t>
      </w:r>
      <w:r>
        <w:rPr>
          <w:rFonts w:hint="eastAsia" w:cs="宋体"/>
          <w:b/>
          <w:color w:val="auto"/>
          <w:sz w:val="24"/>
          <w:highlight w:val="none"/>
        </w:rPr>
        <w:t>最终</w:t>
      </w:r>
      <w:r>
        <w:rPr>
          <w:rFonts w:cs="宋体"/>
          <w:b/>
          <w:color w:val="auto"/>
          <w:sz w:val="24"/>
          <w:highlight w:val="none"/>
        </w:rPr>
        <w:t>报价的时间</w:t>
      </w:r>
      <w:r>
        <w:rPr>
          <w:rFonts w:hint="eastAsia" w:cs="宋体"/>
          <w:b/>
          <w:color w:val="auto"/>
          <w:sz w:val="24"/>
          <w:highlight w:val="none"/>
        </w:rPr>
        <w:t>见</w:t>
      </w:r>
      <w:r>
        <w:rPr>
          <w:rFonts w:cs="宋体"/>
          <w:b/>
          <w:color w:val="auto"/>
          <w:sz w:val="24"/>
          <w:highlight w:val="none"/>
        </w:rPr>
        <w:t>本须知前附表。</w:t>
      </w:r>
    </w:p>
    <w:p w14:paraId="3402F2A5">
      <w:pPr>
        <w:spacing w:line="360" w:lineRule="auto"/>
        <w:rPr>
          <w:rFonts w:ascii="宋体" w:hAnsi="宋体"/>
          <w:b/>
          <w:color w:val="auto"/>
          <w:sz w:val="24"/>
          <w:highlight w:val="none"/>
        </w:rPr>
      </w:pPr>
      <w:r>
        <w:rPr>
          <w:rFonts w:hint="eastAsia" w:ascii="宋体" w:hAnsi="宋体"/>
          <w:b/>
          <w:color w:val="auto"/>
          <w:sz w:val="24"/>
          <w:highlight w:val="none"/>
        </w:rPr>
        <w:t>1</w:t>
      </w:r>
      <w:r>
        <w:rPr>
          <w:rFonts w:ascii="宋体" w:hAnsi="宋体"/>
          <w:b/>
          <w:color w:val="auto"/>
          <w:sz w:val="24"/>
          <w:highlight w:val="none"/>
        </w:rPr>
        <w:t>8</w:t>
      </w:r>
      <w:r>
        <w:rPr>
          <w:rFonts w:hint="eastAsia" w:ascii="宋体" w:hAnsi="宋体"/>
          <w:b/>
          <w:color w:val="auto"/>
          <w:sz w:val="24"/>
          <w:highlight w:val="none"/>
        </w:rPr>
        <w:t>.采购</w:t>
      </w:r>
      <w:r>
        <w:rPr>
          <w:rFonts w:ascii="宋体" w:hAnsi="宋体"/>
          <w:b/>
          <w:color w:val="auto"/>
          <w:sz w:val="24"/>
          <w:highlight w:val="none"/>
        </w:rPr>
        <w:t>货物</w:t>
      </w:r>
      <w:r>
        <w:rPr>
          <w:rFonts w:hint="eastAsia" w:ascii="宋体" w:hAnsi="宋体"/>
          <w:b/>
          <w:color w:val="auto"/>
          <w:sz w:val="24"/>
          <w:highlight w:val="none"/>
        </w:rPr>
        <w:t>进口产品规定</w:t>
      </w:r>
    </w:p>
    <w:p w14:paraId="22F6472B">
      <w:pPr>
        <w:spacing w:line="360" w:lineRule="auto"/>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8</w:t>
      </w:r>
      <w:r>
        <w:rPr>
          <w:rFonts w:hint="eastAsia" w:ascii="宋体" w:hAnsi="宋体"/>
          <w:color w:val="auto"/>
          <w:sz w:val="24"/>
          <w:highlight w:val="none"/>
        </w:rPr>
        <w:t>.1政府采购应当采购本国货物。按照财政部《政府采购进口产品管理办法》规定确需采购进口产品的，实行审核管理。经审核允许采购进口产品的，不得排斥符合要求的本国产品。在谈判文件中未标明采购进口产品的，均为采购本国产品。供应商必须响应本国产品，响应进口产品的，磋谈判响应文件无效。进口产品是指通过中国海关报关验放进入中国境内且产自关境外的产品。</w:t>
      </w:r>
    </w:p>
    <w:p w14:paraId="09F0EFDD">
      <w:pPr>
        <w:spacing w:line="360" w:lineRule="auto"/>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8</w:t>
      </w:r>
      <w:r>
        <w:rPr>
          <w:rFonts w:hint="eastAsia" w:ascii="宋体" w:hAnsi="宋体"/>
          <w:color w:val="auto"/>
          <w:sz w:val="24"/>
          <w:highlight w:val="none"/>
        </w:rPr>
        <w:t>.2政府采购进口产品合同应当将维护国家利益和社会公共利益作为必备条款。合同履行过程中出现危害国家利益和社会公共利益问题的，采购人应当立即终止合同。</w:t>
      </w:r>
    </w:p>
    <w:p w14:paraId="55A30BAA">
      <w:pPr>
        <w:spacing w:line="360" w:lineRule="auto"/>
        <w:rPr>
          <w:rFonts w:ascii="宋体" w:hAnsi="宋体"/>
          <w:color w:val="auto"/>
          <w:sz w:val="24"/>
          <w:highlight w:val="none"/>
        </w:rPr>
      </w:pPr>
      <w:r>
        <w:rPr>
          <w:rFonts w:hint="eastAsia" w:ascii="宋体" w:hAnsi="宋体"/>
          <w:b/>
          <w:color w:val="auto"/>
          <w:sz w:val="24"/>
          <w:highlight w:val="none"/>
        </w:rPr>
        <w:t>1</w:t>
      </w:r>
      <w:r>
        <w:rPr>
          <w:rFonts w:ascii="宋体" w:hAnsi="宋体"/>
          <w:b/>
          <w:color w:val="auto"/>
          <w:sz w:val="24"/>
          <w:highlight w:val="none"/>
        </w:rPr>
        <w:t>9</w:t>
      </w:r>
      <w:r>
        <w:rPr>
          <w:rFonts w:hint="eastAsia" w:ascii="宋体" w:hAnsi="宋体"/>
          <w:b/>
          <w:color w:val="auto"/>
          <w:sz w:val="24"/>
          <w:highlight w:val="none"/>
        </w:rPr>
        <w:t>.谈判有效期</w:t>
      </w:r>
    </w:p>
    <w:p w14:paraId="6D98AE47">
      <w:pPr>
        <w:spacing w:line="360" w:lineRule="auto"/>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9</w:t>
      </w:r>
      <w:r>
        <w:rPr>
          <w:rFonts w:hint="eastAsia" w:ascii="宋体" w:hAnsi="宋体"/>
          <w:color w:val="auto"/>
          <w:sz w:val="24"/>
          <w:highlight w:val="none"/>
        </w:rPr>
        <w:t>.1谈判响应文件应在本须知前附表所规定的谈判截止期之后开始生效，响应谈判供应商不得在本须知规定的谈判有效期内要求撤销或修改其谈判响应文件。</w:t>
      </w:r>
    </w:p>
    <w:p w14:paraId="08508334">
      <w:pPr>
        <w:spacing w:line="360" w:lineRule="auto"/>
        <w:rPr>
          <w:rFonts w:ascii="宋体" w:hAnsi="宋体"/>
          <w:b/>
          <w:color w:val="auto"/>
          <w:sz w:val="24"/>
          <w:highlight w:val="none"/>
        </w:rPr>
      </w:pPr>
      <w:r>
        <w:rPr>
          <w:rFonts w:hint="eastAsia" w:ascii="宋体" w:hAnsi="宋体"/>
          <w:color w:val="auto"/>
          <w:sz w:val="24"/>
          <w:highlight w:val="none"/>
        </w:rPr>
        <w:t>1</w:t>
      </w:r>
      <w:r>
        <w:rPr>
          <w:rFonts w:ascii="宋体" w:hAnsi="宋体"/>
          <w:color w:val="auto"/>
          <w:sz w:val="24"/>
          <w:highlight w:val="none"/>
        </w:rPr>
        <w:t>9</w:t>
      </w:r>
      <w:r>
        <w:rPr>
          <w:rFonts w:hint="eastAsia" w:ascii="宋体" w:hAnsi="宋体"/>
          <w:color w:val="auto"/>
          <w:sz w:val="24"/>
          <w:highlight w:val="none"/>
        </w:rPr>
        <w:t>.2出现特殊情况需要延长响应有效期的，</w:t>
      </w:r>
      <w:r>
        <w:rPr>
          <w:rFonts w:hint="eastAsia" w:ascii="宋体" w:hAnsi="宋体"/>
          <w:color w:val="auto"/>
          <w:sz w:val="24"/>
          <w:highlight w:val="none"/>
          <w:lang w:eastAsia="zh-CN"/>
        </w:rPr>
        <w:t>采购代理机构</w:t>
      </w:r>
      <w:r>
        <w:rPr>
          <w:rFonts w:hint="eastAsia" w:ascii="宋体" w:hAnsi="宋体"/>
          <w:color w:val="auto"/>
          <w:sz w:val="24"/>
          <w:highlight w:val="none"/>
        </w:rPr>
        <w:t>以书面形式通知所有响应谈判供应商延长谈判有效期。响应谈判供应商同意延长的，但不得要求或被允许修改或撤销其谈判响应文件。响应谈判供应商拒绝延长的，其谈判响应失效。</w:t>
      </w:r>
      <w:r>
        <w:rPr>
          <w:rFonts w:ascii="宋体" w:hAnsi="宋体"/>
          <w:b/>
          <w:color w:val="auto"/>
          <w:sz w:val="24"/>
          <w:highlight w:val="none"/>
        </w:rPr>
        <w:t xml:space="preserve"> </w:t>
      </w:r>
    </w:p>
    <w:p w14:paraId="42A424C8">
      <w:pPr>
        <w:spacing w:line="360" w:lineRule="auto"/>
        <w:rPr>
          <w:rFonts w:ascii="宋体" w:hAnsi="宋体"/>
          <w:color w:val="auto"/>
          <w:sz w:val="24"/>
          <w:highlight w:val="none"/>
        </w:rPr>
      </w:pPr>
      <w:r>
        <w:rPr>
          <w:rFonts w:hint="eastAsia" w:ascii="宋体" w:hAnsi="宋体"/>
          <w:b/>
          <w:color w:val="auto"/>
          <w:sz w:val="24"/>
          <w:highlight w:val="none"/>
        </w:rPr>
        <w:t>20.谈判供应商的不良行为</w:t>
      </w:r>
    </w:p>
    <w:p w14:paraId="3C776E4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谈判供应商有下列情形之一且情节严重的，由财政部门将其列入不良行为记录名单，在一至三年内禁止参加政府采购活动，并予以通报：</w:t>
      </w:r>
    </w:p>
    <w:p w14:paraId="43D8FB5B">
      <w:pPr>
        <w:spacing w:line="360" w:lineRule="auto"/>
        <w:rPr>
          <w:rFonts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提供虚假材料谋取中标、成交；</w:t>
      </w:r>
    </w:p>
    <w:p w14:paraId="0F8EF064">
      <w:pPr>
        <w:spacing w:line="360" w:lineRule="auto"/>
        <w:rPr>
          <w:rFonts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eastAsia="宋体" w:cs="Times New Roman"/>
          <w:color w:val="auto"/>
          <w:sz w:val="24"/>
          <w:highlight w:val="none"/>
        </w:rPr>
        <w:t>采取不正当手段诋毁、排挤其他供应商；</w:t>
      </w:r>
    </w:p>
    <w:p w14:paraId="7A559B7B">
      <w:pPr>
        <w:spacing w:line="360" w:lineRule="auto"/>
        <w:rPr>
          <w:rFonts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.3与采购人、其他供应商或代理机构恶意串通；</w:t>
      </w:r>
    </w:p>
    <w:p w14:paraId="5E8E211D">
      <w:pPr>
        <w:spacing w:line="360" w:lineRule="auto"/>
        <w:rPr>
          <w:rFonts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.4拒不履行合同义务或实质性变更合同内容；</w:t>
      </w:r>
    </w:p>
    <w:p w14:paraId="2045C14D">
      <w:pPr>
        <w:spacing w:line="360" w:lineRule="auto"/>
        <w:rPr>
          <w:rFonts w:hint="eastAsia"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.5其他严重违法行为</w:t>
      </w:r>
    </w:p>
    <w:p w14:paraId="17D44CE9">
      <w:pPr>
        <w:spacing w:line="360" w:lineRule="auto"/>
        <w:rPr>
          <w:rFonts w:ascii="宋体" w:hAns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.谈判文件的编制</w:t>
      </w:r>
    </w:p>
    <w:p w14:paraId="50CC352A">
      <w:pPr>
        <w:spacing w:line="360" w:lineRule="auto"/>
        <w:rPr>
          <w:rFonts w:ascii="宋体" w:hAns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.1谈判响应文件包括本须知第1</w:t>
      </w:r>
      <w:r>
        <w:rPr>
          <w:rFonts w:ascii="宋体" w:hAnsi="宋体"/>
          <w:bCs/>
          <w:color w:val="auto"/>
          <w:sz w:val="24"/>
          <w:highlight w:val="none"/>
        </w:rPr>
        <w:t>5</w:t>
      </w:r>
      <w:r>
        <w:rPr>
          <w:rFonts w:hint="eastAsia" w:ascii="宋体" w:hAnsi="宋体"/>
          <w:bCs/>
          <w:color w:val="auto"/>
          <w:sz w:val="24"/>
          <w:highlight w:val="none"/>
        </w:rPr>
        <w:t>条规定的内容，响应谈判供应商上传的谈判响应文件应按谈判文件第六章“响应文件格式”进行编写，如有必要，可以增加附页，作为谈判响应文件的组成部分。其中，响应函在满足谈判文件实质性要求的基础上，可以提出比谈判文件更有利于采购人的承诺。</w:t>
      </w:r>
    </w:p>
    <w:p w14:paraId="08C5F9B0">
      <w:pPr>
        <w:spacing w:line="360" w:lineRule="auto"/>
        <w:rPr>
          <w:rFonts w:ascii="宋体" w:hAns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.2谈判响应文件应当对谈判文件有关供货期、谈判有效期、质量要求、谈判内容等实质性内容作出响应。</w:t>
      </w:r>
    </w:p>
    <w:p w14:paraId="4D72802D">
      <w:pPr>
        <w:spacing w:line="360" w:lineRule="auto"/>
        <w:rPr>
          <w:rFonts w:ascii="宋体" w:hAns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.3</w:t>
      </w:r>
      <w:r>
        <w:rPr>
          <w:rFonts w:hint="eastAsia" w:ascii="宋体"/>
          <w:b/>
          <w:bCs/>
          <w:color w:val="auto"/>
          <w:sz w:val="24"/>
          <w:highlight w:val="none"/>
        </w:rPr>
        <w:t>上传</w:t>
      </w:r>
      <w:r>
        <w:rPr>
          <w:rFonts w:ascii="宋体"/>
          <w:b/>
          <w:bCs/>
          <w:color w:val="auto"/>
          <w:sz w:val="24"/>
          <w:highlight w:val="none"/>
        </w:rPr>
        <w:t>的</w:t>
      </w:r>
      <w:r>
        <w:rPr>
          <w:rFonts w:hint="eastAsia" w:ascii="宋体" w:hAnsi="宋体"/>
          <w:b/>
          <w:color w:val="auto"/>
          <w:sz w:val="24"/>
          <w:highlight w:val="none"/>
        </w:rPr>
        <w:t>谈判响应文件应在规定位置处，</w:t>
      </w:r>
      <w:r>
        <w:rPr>
          <w:rFonts w:hint="eastAsia" w:ascii="宋体" w:hAnsi="宋体"/>
          <w:b/>
          <w:color w:val="auto"/>
          <w:sz w:val="24"/>
          <w:highlight w:val="none"/>
          <w:lang w:val="en-US" w:eastAsia="zh-CN"/>
        </w:rPr>
        <w:t>根据文件要求进行签字盖章</w:t>
      </w:r>
      <w:r>
        <w:rPr>
          <w:rFonts w:hint="eastAsia" w:ascii="宋体" w:hAnsi="宋体"/>
          <w:b/>
          <w:color w:val="auto"/>
          <w:sz w:val="24"/>
          <w:highlight w:val="none"/>
        </w:rPr>
        <w:t>，上述盖章为电子章</w:t>
      </w:r>
      <w:r>
        <w:rPr>
          <w:rFonts w:ascii="宋体" w:hAnsi="宋体"/>
          <w:b/>
          <w:color w:val="auto"/>
          <w:sz w:val="24"/>
          <w:highlight w:val="none"/>
        </w:rPr>
        <w:t>或者</w:t>
      </w:r>
      <w:r>
        <w:rPr>
          <w:rFonts w:hint="eastAsia" w:ascii="宋体" w:hAnsi="宋体"/>
          <w:b/>
          <w:color w:val="auto"/>
          <w:sz w:val="24"/>
          <w:highlight w:val="none"/>
        </w:rPr>
        <w:t>鲜章。</w:t>
      </w:r>
    </w:p>
    <w:p w14:paraId="0F6A0E3A">
      <w:pPr>
        <w:spacing w:line="360" w:lineRule="auto"/>
        <w:jc w:val="left"/>
        <w:rPr>
          <w:rFonts w:ascii="宋体" w:hAnsi="宋体"/>
          <w:b/>
          <w:color w:val="auto"/>
          <w:sz w:val="24"/>
          <w:highlight w:val="none"/>
        </w:rPr>
      </w:pPr>
      <w:r>
        <w:rPr>
          <w:rFonts w:ascii="宋体" w:hAnsi="宋体"/>
          <w:b/>
          <w:color w:val="auto"/>
          <w:sz w:val="24"/>
          <w:highlight w:val="none"/>
        </w:rPr>
        <w:t>21</w:t>
      </w:r>
      <w:r>
        <w:rPr>
          <w:rFonts w:hint="eastAsia" w:ascii="宋体" w:hAnsi="宋体"/>
          <w:b/>
          <w:color w:val="auto"/>
          <w:sz w:val="24"/>
          <w:highlight w:val="none"/>
        </w:rPr>
        <w:t>.</w:t>
      </w:r>
      <w:r>
        <w:rPr>
          <w:rFonts w:ascii="宋体" w:hAnsi="宋体"/>
          <w:b/>
          <w:color w:val="auto"/>
          <w:sz w:val="24"/>
          <w:highlight w:val="none"/>
        </w:rPr>
        <w:t>4</w:t>
      </w:r>
      <w:r>
        <w:rPr>
          <w:rFonts w:hint="eastAsia" w:ascii="宋体" w:hAnsi="宋体"/>
          <w:b/>
          <w:color w:val="auto"/>
          <w:sz w:val="24"/>
          <w:highlight w:val="none"/>
        </w:rPr>
        <w:t>谈判响应文件中的内容</w:t>
      </w:r>
      <w:r>
        <w:rPr>
          <w:rFonts w:ascii="宋体" w:hAnsi="宋体"/>
          <w:b/>
          <w:color w:val="auto"/>
          <w:sz w:val="24"/>
          <w:highlight w:val="none"/>
        </w:rPr>
        <w:t>要</w:t>
      </w:r>
      <w:r>
        <w:rPr>
          <w:rFonts w:hint="eastAsia" w:ascii="宋体" w:hAnsi="宋体"/>
          <w:b/>
          <w:color w:val="auto"/>
          <w:sz w:val="24"/>
          <w:highlight w:val="none"/>
        </w:rPr>
        <w:t>清晰，易于辨认，且无篡改</w:t>
      </w:r>
      <w:r>
        <w:rPr>
          <w:rFonts w:ascii="宋体" w:hAnsi="宋体"/>
          <w:b/>
          <w:color w:val="auto"/>
          <w:sz w:val="24"/>
          <w:highlight w:val="none"/>
        </w:rPr>
        <w:t>图片</w:t>
      </w:r>
      <w:r>
        <w:rPr>
          <w:rFonts w:hint="eastAsia" w:ascii="宋体" w:hAnsi="宋体"/>
          <w:b/>
          <w:color w:val="auto"/>
          <w:sz w:val="24"/>
          <w:highlight w:val="none"/>
        </w:rPr>
        <w:t>，除非这些改动是根据</w:t>
      </w:r>
      <w:r>
        <w:rPr>
          <w:rFonts w:hint="eastAsia" w:ascii="宋体" w:hAnsi="宋体"/>
          <w:b/>
          <w:color w:val="auto"/>
          <w:sz w:val="24"/>
          <w:highlight w:val="none"/>
          <w:lang w:eastAsia="zh-CN"/>
        </w:rPr>
        <w:t>采购代理机构</w:t>
      </w:r>
      <w:r>
        <w:rPr>
          <w:rFonts w:hint="eastAsia" w:ascii="宋体" w:hAnsi="宋体"/>
          <w:b/>
          <w:color w:val="auto"/>
          <w:sz w:val="24"/>
          <w:highlight w:val="none"/>
        </w:rPr>
        <w:t>的指示进行的，或者是为改正响应谈判供应商造成的必须修改的错误而进行的。有改动时，修改处应由响应谈判供应商的法定代表人或被授权委托人签字或盖章，并</w:t>
      </w:r>
      <w:r>
        <w:rPr>
          <w:rFonts w:ascii="宋体" w:hAnsi="宋体"/>
          <w:b/>
          <w:color w:val="auto"/>
          <w:sz w:val="24"/>
          <w:highlight w:val="none"/>
        </w:rPr>
        <w:t>加盖公章</w:t>
      </w:r>
      <w:r>
        <w:rPr>
          <w:rFonts w:hint="eastAsia" w:ascii="宋体" w:hAnsi="宋体"/>
          <w:b/>
          <w:color w:val="auto"/>
          <w:sz w:val="24"/>
          <w:highlight w:val="none"/>
        </w:rPr>
        <w:t>；上述盖章为电子章</w:t>
      </w:r>
      <w:r>
        <w:rPr>
          <w:rFonts w:ascii="宋体" w:hAnsi="宋体"/>
          <w:b/>
          <w:color w:val="auto"/>
          <w:sz w:val="24"/>
          <w:highlight w:val="none"/>
        </w:rPr>
        <w:t>或者</w:t>
      </w:r>
      <w:r>
        <w:rPr>
          <w:rFonts w:hint="eastAsia" w:ascii="宋体" w:hAnsi="宋体"/>
          <w:b/>
          <w:color w:val="auto"/>
          <w:sz w:val="24"/>
          <w:highlight w:val="none"/>
        </w:rPr>
        <w:t>鲜章。</w:t>
      </w:r>
    </w:p>
    <w:p w14:paraId="6A47F877">
      <w:pPr>
        <w:spacing w:after="120"/>
        <w:jc w:val="left"/>
        <w:rPr>
          <w:rFonts w:ascii="宋体"/>
          <w:b/>
          <w:color w:val="auto"/>
          <w:sz w:val="24"/>
          <w:highlight w:val="none"/>
        </w:rPr>
      </w:pPr>
      <w:r>
        <w:rPr>
          <w:rFonts w:ascii="宋体"/>
          <w:b/>
          <w:bCs/>
          <w:color w:val="auto"/>
          <w:sz w:val="24"/>
          <w:highlight w:val="none"/>
        </w:rPr>
        <w:t>21.5</w:t>
      </w:r>
      <w:r>
        <w:rPr>
          <w:rFonts w:hint="eastAsia" w:ascii="宋体" w:hAnsi="宋体"/>
          <w:b/>
          <w:color w:val="auto"/>
          <w:sz w:val="24"/>
          <w:highlight w:val="none"/>
        </w:rPr>
        <w:t>如果响应谈判供应商没有按本须知要求制作、签署、盖章，在初步评审时将按照无效响应处理</w:t>
      </w:r>
      <w:r>
        <w:rPr>
          <w:rFonts w:hint="eastAsia" w:ascii="宋体" w:hAnsi="宋体"/>
          <w:color w:val="auto"/>
          <w:sz w:val="24"/>
          <w:highlight w:val="none"/>
        </w:rPr>
        <w:t>。</w:t>
      </w:r>
    </w:p>
    <w:p w14:paraId="0AE72070">
      <w:pPr>
        <w:spacing w:line="360" w:lineRule="auto"/>
        <w:jc w:val="center"/>
        <w:outlineLvl w:val="1"/>
        <w:rPr>
          <w:rFonts w:ascii="宋体" w:hAnsi="宋体"/>
          <w:b/>
          <w:color w:val="auto"/>
          <w:sz w:val="28"/>
          <w:szCs w:val="28"/>
          <w:highlight w:val="none"/>
        </w:rPr>
      </w:pPr>
      <w:bookmarkStart w:id="13" w:name="_Toc103723521"/>
      <w:bookmarkStart w:id="14" w:name="_Toc23696"/>
      <w:r>
        <w:rPr>
          <w:rFonts w:hint="eastAsia" w:ascii="宋体" w:hAnsi="宋体"/>
          <w:b/>
          <w:color w:val="auto"/>
          <w:sz w:val="28"/>
          <w:szCs w:val="28"/>
          <w:highlight w:val="none"/>
        </w:rPr>
        <w:t>五、</w:t>
      </w:r>
      <w:bookmarkEnd w:id="13"/>
      <w:r>
        <w:rPr>
          <w:rFonts w:hint="eastAsia" w:ascii="宋体" w:hAnsi="宋体"/>
          <w:b/>
          <w:color w:val="auto"/>
          <w:sz w:val="28"/>
          <w:szCs w:val="28"/>
          <w:highlight w:val="none"/>
        </w:rPr>
        <w:t>谈判响应</w:t>
      </w:r>
      <w:bookmarkEnd w:id="14"/>
    </w:p>
    <w:p w14:paraId="7EF1033F">
      <w:pPr>
        <w:spacing w:line="360" w:lineRule="auto"/>
        <w:jc w:val="left"/>
        <w:rPr>
          <w:rFonts w:ascii="宋体" w:hAnsi="宋体"/>
          <w:color w:val="auto"/>
          <w:sz w:val="24"/>
          <w:highlight w:val="none"/>
        </w:rPr>
      </w:pPr>
      <w:r>
        <w:rPr>
          <w:rFonts w:hint="eastAsia" w:ascii="宋体" w:hAnsi="宋体"/>
          <w:b/>
          <w:color w:val="auto"/>
          <w:sz w:val="24"/>
          <w:highlight w:val="none"/>
        </w:rPr>
        <w:t>2</w:t>
      </w:r>
      <w:r>
        <w:rPr>
          <w:rFonts w:ascii="宋体" w:hAnsi="宋体"/>
          <w:b/>
          <w:color w:val="auto"/>
          <w:sz w:val="24"/>
          <w:highlight w:val="none"/>
        </w:rPr>
        <w:t>2</w:t>
      </w:r>
      <w:r>
        <w:rPr>
          <w:rFonts w:hint="eastAsia" w:ascii="宋体" w:hAnsi="宋体"/>
          <w:b/>
          <w:color w:val="auto"/>
          <w:sz w:val="24"/>
          <w:highlight w:val="none"/>
        </w:rPr>
        <w:t>.谈判响应文件的上传、解密</w:t>
      </w:r>
    </w:p>
    <w:p w14:paraId="696ACC16">
      <w:pPr>
        <w:spacing w:line="360" w:lineRule="auto"/>
        <w:rPr>
          <w:rFonts w:ascii="宋体" w:hAnsi="宋体"/>
          <w:color w:val="auto"/>
          <w:sz w:val="24"/>
          <w:highlight w:val="none"/>
        </w:rPr>
      </w:pPr>
      <w:r>
        <w:rPr>
          <w:rFonts w:cs="宋体" w:asciiTheme="minorEastAsia" w:hAnsiTheme="minorEastAsia" w:eastAsiaTheme="minorEastAsia"/>
          <w:b/>
          <w:color w:val="auto"/>
          <w:sz w:val="24"/>
          <w:highlight w:val="none"/>
        </w:rPr>
        <w:t>22.1</w:t>
      </w:r>
      <w:r>
        <w:rPr>
          <w:rFonts w:hint="eastAsia" w:ascii="宋体" w:hAnsi="宋体"/>
          <w:b/>
          <w:bCs/>
          <w:color w:val="auto"/>
          <w:sz w:val="24"/>
          <w:highlight w:val="none"/>
        </w:rPr>
        <w:t>响应谈判供应商应在本须知前附表规定的谈判响应截止时间前上传谈判响应文件，</w:t>
      </w:r>
      <w:r>
        <w:rPr>
          <w:rFonts w:ascii="宋体" w:hAnsi="宋体"/>
          <w:b/>
          <w:bCs/>
          <w:color w:val="auto"/>
          <w:sz w:val="24"/>
          <w:highlight w:val="none"/>
        </w:rPr>
        <w:t>在规定的</w:t>
      </w:r>
      <w:r>
        <w:rPr>
          <w:rFonts w:hint="eastAsia" w:ascii="宋体" w:hAnsi="宋体"/>
          <w:b/>
          <w:bCs/>
          <w:color w:val="auto"/>
          <w:sz w:val="24"/>
          <w:highlight w:val="none"/>
        </w:rPr>
        <w:t>解密</w:t>
      </w:r>
      <w:r>
        <w:rPr>
          <w:rFonts w:ascii="宋体" w:hAnsi="宋体"/>
          <w:b/>
          <w:bCs/>
          <w:color w:val="auto"/>
          <w:sz w:val="24"/>
          <w:highlight w:val="none"/>
        </w:rPr>
        <w:t>时间</w:t>
      </w:r>
      <w:r>
        <w:rPr>
          <w:rFonts w:hint="eastAsia" w:ascii="宋体" w:hAnsi="宋体"/>
          <w:b/>
          <w:bCs/>
          <w:color w:val="auto"/>
          <w:sz w:val="24"/>
          <w:highlight w:val="none"/>
        </w:rPr>
        <w:t>内</w:t>
      </w:r>
      <w:r>
        <w:rPr>
          <w:rFonts w:ascii="宋体" w:hAnsi="宋体"/>
          <w:b/>
          <w:bCs/>
          <w:color w:val="auto"/>
          <w:sz w:val="24"/>
          <w:highlight w:val="none"/>
        </w:rPr>
        <w:t>解密谈判响应文件。</w:t>
      </w:r>
    </w:p>
    <w:p w14:paraId="289803CE">
      <w:pPr>
        <w:spacing w:line="360" w:lineRule="auto"/>
        <w:rPr>
          <w:rFonts w:ascii="宋体" w:hAnsi="宋体"/>
          <w:b/>
          <w:color w:val="auto"/>
          <w:sz w:val="24"/>
          <w:highlight w:val="none"/>
        </w:rPr>
      </w:pPr>
      <w:r>
        <w:rPr>
          <w:rFonts w:cs="宋体" w:asciiTheme="minorEastAsia" w:hAnsiTheme="minorEastAsia" w:eastAsiaTheme="minorEastAsia"/>
          <w:b/>
          <w:color w:val="auto"/>
          <w:sz w:val="24"/>
          <w:highlight w:val="none"/>
        </w:rPr>
        <w:t>22.2</w:t>
      </w:r>
      <w:r>
        <w:rPr>
          <w:rFonts w:hint="eastAsia" w:cs="宋体" w:asciiTheme="minorEastAsia" w:hAnsiTheme="minorEastAsia" w:eastAsiaTheme="minorEastAsia"/>
          <w:b/>
          <w:color w:val="auto"/>
          <w:sz w:val="24"/>
          <w:highlight w:val="none"/>
        </w:rPr>
        <w:t>响应谈判供应商须在本须知</w:t>
      </w:r>
      <w:r>
        <w:rPr>
          <w:rFonts w:cs="宋体" w:asciiTheme="minorEastAsia" w:hAnsiTheme="minorEastAsia" w:eastAsiaTheme="minorEastAsia"/>
          <w:b/>
          <w:color w:val="auto"/>
          <w:sz w:val="24"/>
          <w:highlight w:val="none"/>
        </w:rPr>
        <w:t>前附表</w:t>
      </w:r>
      <w:r>
        <w:rPr>
          <w:rFonts w:hint="eastAsia" w:cs="宋体" w:asciiTheme="minorEastAsia" w:hAnsiTheme="minorEastAsia" w:eastAsiaTheme="minorEastAsia"/>
          <w:b/>
          <w:color w:val="auto"/>
          <w:sz w:val="24"/>
          <w:highlight w:val="none"/>
        </w:rPr>
        <w:t>规定</w:t>
      </w:r>
      <w:r>
        <w:rPr>
          <w:rFonts w:cs="宋体" w:asciiTheme="minorEastAsia" w:hAnsiTheme="minorEastAsia" w:eastAsiaTheme="minorEastAsia"/>
          <w:b/>
          <w:color w:val="auto"/>
          <w:sz w:val="24"/>
          <w:highlight w:val="none"/>
        </w:rPr>
        <w:t>的方式上</w:t>
      </w:r>
      <w:r>
        <w:rPr>
          <w:rFonts w:hint="eastAsia" w:cs="宋体" w:asciiTheme="minorEastAsia" w:hAnsiTheme="minorEastAsia" w:eastAsiaTheme="minorEastAsia"/>
          <w:b/>
          <w:color w:val="auto"/>
          <w:sz w:val="24"/>
          <w:highlight w:val="none"/>
        </w:rPr>
        <w:t>传谈判响应文件。谈判响应文件应在制作完成后，在谈判响应截止</w:t>
      </w:r>
      <w:r>
        <w:rPr>
          <w:rFonts w:cs="宋体" w:asciiTheme="minorEastAsia" w:hAnsiTheme="minorEastAsia" w:eastAsiaTheme="minorEastAsia"/>
          <w:b/>
          <w:color w:val="auto"/>
          <w:sz w:val="24"/>
          <w:highlight w:val="none"/>
        </w:rPr>
        <w:t>时间</w:t>
      </w:r>
      <w:r>
        <w:rPr>
          <w:rFonts w:hint="eastAsia" w:cs="宋体" w:asciiTheme="minorEastAsia" w:hAnsiTheme="minorEastAsia" w:eastAsiaTheme="minorEastAsia"/>
          <w:b/>
          <w:color w:val="auto"/>
          <w:sz w:val="24"/>
          <w:highlight w:val="none"/>
        </w:rPr>
        <w:t>前</w:t>
      </w:r>
      <w:r>
        <w:rPr>
          <w:rFonts w:ascii="宋体" w:hAnsi="宋体"/>
          <w:b/>
          <w:color w:val="auto"/>
          <w:sz w:val="24"/>
          <w:highlight w:val="none"/>
        </w:rPr>
        <w:t>提交至“</w:t>
      </w:r>
      <w:r>
        <w:rPr>
          <w:rFonts w:hint="eastAsia" w:ascii="宋体" w:hAnsi="宋体"/>
          <w:b/>
          <w:color w:val="auto"/>
          <w:sz w:val="24"/>
          <w:highlight w:val="none"/>
        </w:rPr>
        <w:t>政采云</w:t>
      </w:r>
      <w:r>
        <w:rPr>
          <w:rFonts w:ascii="宋体" w:hAnsi="宋体"/>
          <w:b/>
          <w:color w:val="auto"/>
          <w:sz w:val="24"/>
          <w:highlight w:val="none"/>
        </w:rPr>
        <w:t>”</w:t>
      </w:r>
      <w:r>
        <w:rPr>
          <w:rFonts w:hint="eastAsia" w:ascii="宋体" w:hAnsi="宋体"/>
          <w:b/>
          <w:color w:val="auto"/>
          <w:sz w:val="24"/>
          <w:highlight w:val="none"/>
        </w:rPr>
        <w:t>平台，</w:t>
      </w:r>
      <w:r>
        <w:rPr>
          <w:rFonts w:ascii="宋体" w:hAnsi="宋体"/>
          <w:b/>
          <w:color w:val="auto"/>
          <w:sz w:val="24"/>
          <w:highlight w:val="none"/>
        </w:rPr>
        <w:t>并</w:t>
      </w:r>
      <w:r>
        <w:rPr>
          <w:rFonts w:hint="eastAsia" w:ascii="宋体" w:hAnsi="宋体" w:cs="宋体"/>
          <w:b/>
          <w:color w:val="auto"/>
          <w:sz w:val="24"/>
          <w:highlight w:val="none"/>
        </w:rPr>
        <w:t>通过数字证书</w:t>
      </w:r>
      <w:r>
        <w:rPr>
          <w:rFonts w:hint="eastAsia" w:ascii="宋体" w:hAnsi="宋体"/>
          <w:b/>
          <w:color w:val="auto"/>
          <w:sz w:val="24"/>
          <w:highlight w:val="none"/>
        </w:rPr>
        <w:t>签章、加密。</w:t>
      </w:r>
      <w:r>
        <w:rPr>
          <w:rFonts w:hint="eastAsia" w:cs="宋体" w:asciiTheme="minorEastAsia" w:hAnsiTheme="minorEastAsia" w:eastAsiaTheme="minorEastAsia"/>
          <w:b/>
          <w:color w:val="auto"/>
          <w:sz w:val="24"/>
          <w:highlight w:val="none"/>
        </w:rPr>
        <w:t xml:space="preserve">  </w:t>
      </w:r>
    </w:p>
    <w:p w14:paraId="41808E8B">
      <w:pPr>
        <w:spacing w:line="360" w:lineRule="auto"/>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2.3</w:t>
      </w:r>
      <w:r>
        <w:rPr>
          <w:rFonts w:hint="eastAsia" w:ascii="宋体" w:hAnsi="宋体"/>
          <w:color w:val="auto"/>
          <w:sz w:val="24"/>
          <w:highlight w:val="none"/>
        </w:rPr>
        <w:t>逾期上传的或者未上传指定</w:t>
      </w:r>
      <w:r>
        <w:rPr>
          <w:rFonts w:ascii="宋体" w:hAnsi="宋体"/>
          <w:color w:val="auto"/>
          <w:sz w:val="24"/>
          <w:highlight w:val="none"/>
        </w:rPr>
        <w:t>“</w:t>
      </w:r>
      <w:r>
        <w:rPr>
          <w:rFonts w:hint="eastAsia" w:ascii="宋体" w:hAnsi="宋体"/>
          <w:color w:val="auto"/>
          <w:sz w:val="24"/>
          <w:highlight w:val="none"/>
        </w:rPr>
        <w:t>政采云</w:t>
      </w:r>
      <w:r>
        <w:rPr>
          <w:rFonts w:ascii="宋体" w:hAnsi="宋体"/>
          <w:color w:val="auto"/>
          <w:sz w:val="24"/>
          <w:highlight w:val="none"/>
        </w:rPr>
        <w:t>”</w:t>
      </w:r>
      <w:r>
        <w:rPr>
          <w:rFonts w:hint="eastAsia" w:ascii="宋体" w:hAnsi="宋体"/>
          <w:color w:val="auto"/>
          <w:sz w:val="24"/>
          <w:highlight w:val="none"/>
        </w:rPr>
        <w:t>平台的谈判响应文件，</w:t>
      </w:r>
      <w:r>
        <w:rPr>
          <w:rFonts w:hint="eastAsia" w:ascii="宋体" w:hAnsi="宋体"/>
          <w:color w:val="auto"/>
          <w:sz w:val="24"/>
          <w:highlight w:val="none"/>
          <w:lang w:eastAsia="zh-CN"/>
        </w:rPr>
        <w:t>采购代理机构</w:t>
      </w:r>
      <w:r>
        <w:rPr>
          <w:rFonts w:hint="eastAsia" w:ascii="宋体" w:hAnsi="宋体"/>
          <w:color w:val="auto"/>
          <w:sz w:val="24"/>
          <w:highlight w:val="none"/>
        </w:rPr>
        <w:t>不予受理。响应谈判供应商上传的电子谈判响应文件因未解密而造成谈判响应文件无法进行评审的，响应谈判供应商自行承担。</w:t>
      </w:r>
    </w:p>
    <w:p w14:paraId="41433130">
      <w:pPr>
        <w:spacing w:line="360" w:lineRule="auto"/>
        <w:rPr>
          <w:rFonts w:ascii="宋体" w:hAnsi="宋体"/>
          <w:color w:val="auto"/>
          <w:sz w:val="24"/>
          <w:highlight w:val="none"/>
        </w:rPr>
      </w:pPr>
      <w:r>
        <w:rPr>
          <w:rFonts w:hint="eastAsia" w:ascii="宋体" w:hAnsi="宋体"/>
          <w:b/>
          <w:color w:val="auto"/>
          <w:sz w:val="24"/>
          <w:highlight w:val="none"/>
        </w:rPr>
        <w:t>2</w:t>
      </w:r>
      <w:r>
        <w:rPr>
          <w:rFonts w:ascii="宋体" w:hAnsi="宋体"/>
          <w:b/>
          <w:color w:val="auto"/>
          <w:sz w:val="24"/>
          <w:highlight w:val="none"/>
        </w:rPr>
        <w:t>3</w:t>
      </w:r>
      <w:r>
        <w:rPr>
          <w:rFonts w:hint="eastAsia" w:ascii="宋体" w:hAnsi="宋体"/>
          <w:b/>
          <w:color w:val="auto"/>
          <w:sz w:val="24"/>
          <w:highlight w:val="none"/>
        </w:rPr>
        <w:t>.谈判</w:t>
      </w:r>
      <w:r>
        <w:rPr>
          <w:rFonts w:ascii="宋体" w:hAnsi="宋体"/>
          <w:b/>
          <w:color w:val="auto"/>
          <w:sz w:val="24"/>
          <w:highlight w:val="none"/>
        </w:rPr>
        <w:t>响应</w:t>
      </w:r>
      <w:r>
        <w:rPr>
          <w:rFonts w:hint="eastAsia" w:ascii="宋体" w:hAnsi="宋体"/>
          <w:b/>
          <w:color w:val="auto"/>
          <w:sz w:val="24"/>
          <w:highlight w:val="none"/>
        </w:rPr>
        <w:t>截止期</w:t>
      </w:r>
    </w:p>
    <w:p w14:paraId="1D29BBC8">
      <w:pPr>
        <w:spacing w:line="360" w:lineRule="auto"/>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3</w:t>
      </w:r>
      <w:r>
        <w:rPr>
          <w:rFonts w:hint="eastAsia" w:ascii="宋体" w:hAnsi="宋体"/>
          <w:color w:val="auto"/>
          <w:sz w:val="24"/>
          <w:highlight w:val="none"/>
        </w:rPr>
        <w:t>.1谈判响应文件的截止时间、开标时间：见本须知前附表。</w:t>
      </w:r>
    </w:p>
    <w:p w14:paraId="5056071C">
      <w:pPr>
        <w:spacing w:line="360" w:lineRule="auto"/>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3</w:t>
      </w:r>
      <w:r>
        <w:rPr>
          <w:rFonts w:hint="eastAsia" w:ascii="宋体" w:hAnsi="宋体"/>
          <w:color w:val="auto"/>
          <w:sz w:val="24"/>
          <w:highlight w:val="none"/>
        </w:rPr>
        <w:t>.2</w:t>
      </w:r>
      <w:r>
        <w:rPr>
          <w:rFonts w:hint="eastAsia" w:ascii="宋体" w:hAnsi="宋体"/>
          <w:color w:val="auto"/>
          <w:sz w:val="24"/>
          <w:highlight w:val="none"/>
          <w:lang w:eastAsia="zh-CN"/>
        </w:rPr>
        <w:t>采购代理机构</w:t>
      </w:r>
      <w:r>
        <w:rPr>
          <w:rFonts w:hint="eastAsia" w:ascii="宋体" w:hAnsi="宋体"/>
          <w:color w:val="auto"/>
          <w:sz w:val="24"/>
          <w:highlight w:val="none"/>
        </w:rPr>
        <w:t>可按本须知第14条的规定以修改补充通知的方式，延长提交谈判响应文件的截止时间。在此情况下，响应谈判供应商的所有权利和义务以及响应谈判供应商的受制约的截止时间，均以延长后新的谈判</w:t>
      </w:r>
      <w:r>
        <w:rPr>
          <w:rFonts w:ascii="宋体" w:hAnsi="宋体"/>
          <w:color w:val="auto"/>
          <w:sz w:val="24"/>
          <w:highlight w:val="none"/>
        </w:rPr>
        <w:t>响应</w:t>
      </w:r>
      <w:r>
        <w:rPr>
          <w:rFonts w:hint="eastAsia" w:ascii="宋体" w:hAnsi="宋体"/>
          <w:color w:val="auto"/>
          <w:sz w:val="24"/>
          <w:highlight w:val="none"/>
        </w:rPr>
        <w:t>截止时间为准。</w:t>
      </w:r>
    </w:p>
    <w:p w14:paraId="17BBD5DF">
      <w:pPr>
        <w:spacing w:line="360" w:lineRule="auto"/>
        <w:rPr>
          <w:rFonts w:ascii="宋体" w:hAnsi="宋体"/>
          <w:b/>
          <w:color w:val="auto"/>
          <w:sz w:val="24"/>
          <w:highlight w:val="none"/>
        </w:rPr>
      </w:pPr>
      <w:r>
        <w:rPr>
          <w:rFonts w:hint="eastAsia" w:ascii="宋体" w:hAnsi="宋体"/>
          <w:b/>
          <w:color w:val="auto"/>
          <w:sz w:val="24"/>
          <w:highlight w:val="none"/>
        </w:rPr>
        <w:t>2</w:t>
      </w:r>
      <w:r>
        <w:rPr>
          <w:rFonts w:ascii="宋体" w:hAnsi="宋体"/>
          <w:b/>
          <w:color w:val="auto"/>
          <w:sz w:val="24"/>
          <w:highlight w:val="none"/>
        </w:rPr>
        <w:t>4</w:t>
      </w:r>
      <w:r>
        <w:rPr>
          <w:rFonts w:hint="eastAsia" w:ascii="宋体" w:hAnsi="宋体"/>
          <w:b/>
          <w:color w:val="auto"/>
          <w:sz w:val="24"/>
          <w:highlight w:val="none"/>
        </w:rPr>
        <w:t>.谈判响应文件的修改与撤回</w:t>
      </w:r>
    </w:p>
    <w:p w14:paraId="1844E298">
      <w:pPr>
        <w:spacing w:line="360" w:lineRule="auto"/>
        <w:rPr>
          <w:rFonts w:ascii="宋体" w:hAnsi="宋体"/>
          <w:color w:val="auto"/>
          <w:sz w:val="24"/>
          <w:highlight w:val="none"/>
        </w:rPr>
      </w:pPr>
      <w:r>
        <w:rPr>
          <w:rFonts w:asciiTheme="minorEastAsia" w:hAnsiTheme="minorEastAsia" w:eastAsiaTheme="minorEastAsia"/>
          <w:color w:val="auto"/>
          <w:sz w:val="24"/>
          <w:highlight w:val="none"/>
        </w:rPr>
        <w:t>24.1</w:t>
      </w:r>
      <w:r>
        <w:rPr>
          <w:rFonts w:hint="eastAsia" w:cs="宋体" w:asciiTheme="minorEastAsia" w:hAnsiTheme="minorEastAsia" w:eastAsiaTheme="minorEastAsia"/>
          <w:color w:val="auto"/>
          <w:sz w:val="24"/>
          <w:highlight w:val="none"/>
        </w:rPr>
        <w:t xml:space="preserve">响应谈判供应商应当在谈判响应截止时间前完成谈判响应文件的提交，并可以补充、修改或者撤回谈判响应文件。补充或者修改谈判响应文件的，应当先行撤回原文件，补充、修改后重新上传提交。谈判响应截止时间前未完成提交的，视为撤回谈判响应文件。响应截止时间后提交的谈判响应文件，“政采云”平台将无法提交。  </w:t>
      </w:r>
    </w:p>
    <w:p w14:paraId="44050FDD">
      <w:pPr>
        <w:autoSpaceDE w:val="0"/>
        <w:autoSpaceDN w:val="0"/>
        <w:adjustRightInd w:val="0"/>
        <w:spacing w:before="60" w:after="60" w:line="360" w:lineRule="auto"/>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24.2</w:t>
      </w:r>
      <w:r>
        <w:rPr>
          <w:rFonts w:hint="eastAsia" w:cs="宋体" w:asciiTheme="minorEastAsia" w:hAnsiTheme="minorEastAsia" w:eastAsiaTheme="minorEastAsia"/>
          <w:color w:val="auto"/>
          <w:sz w:val="24"/>
          <w:highlight w:val="none"/>
        </w:rPr>
        <w:t>在谈判</w:t>
      </w:r>
      <w:r>
        <w:rPr>
          <w:rFonts w:cs="宋体" w:asciiTheme="minorEastAsia" w:hAnsiTheme="minorEastAsia" w:eastAsiaTheme="minorEastAsia"/>
          <w:color w:val="auto"/>
          <w:sz w:val="24"/>
          <w:highlight w:val="none"/>
        </w:rPr>
        <w:t>响应</w:t>
      </w:r>
      <w:r>
        <w:rPr>
          <w:rFonts w:hint="eastAsia" w:cs="宋体" w:asciiTheme="minorEastAsia" w:hAnsiTheme="minorEastAsia" w:eastAsiaTheme="minorEastAsia"/>
          <w:color w:val="auto"/>
          <w:sz w:val="24"/>
          <w:highlight w:val="none"/>
        </w:rPr>
        <w:t>截止时间前，除响应谈判供应商补充、修改或者撤回谈判响应文件外，任何单位和个人不得解密或提取谈判响应文件。</w:t>
      </w:r>
    </w:p>
    <w:p w14:paraId="03CCDDE7">
      <w:pPr>
        <w:autoSpaceDE w:val="0"/>
        <w:autoSpaceDN w:val="0"/>
        <w:adjustRightInd w:val="0"/>
        <w:spacing w:before="60" w:after="60" w:line="360" w:lineRule="auto"/>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24.3</w:t>
      </w:r>
      <w:r>
        <w:rPr>
          <w:rFonts w:hint="eastAsia" w:cs="宋体" w:asciiTheme="minorEastAsia" w:hAnsiTheme="minorEastAsia" w:eastAsiaTheme="minorEastAsia"/>
          <w:color w:val="auto"/>
          <w:sz w:val="24"/>
          <w:highlight w:val="none"/>
        </w:rPr>
        <w:t>在谈判</w:t>
      </w:r>
      <w:r>
        <w:rPr>
          <w:rFonts w:cs="宋体" w:asciiTheme="minorEastAsia" w:hAnsiTheme="minorEastAsia" w:eastAsiaTheme="minorEastAsia"/>
          <w:color w:val="auto"/>
          <w:sz w:val="24"/>
          <w:highlight w:val="none"/>
        </w:rPr>
        <w:t>响应</w:t>
      </w:r>
      <w:r>
        <w:rPr>
          <w:rFonts w:hint="eastAsia" w:cs="宋体" w:asciiTheme="minorEastAsia" w:hAnsiTheme="minorEastAsia" w:eastAsiaTheme="minorEastAsia"/>
          <w:color w:val="auto"/>
          <w:sz w:val="24"/>
          <w:highlight w:val="none"/>
        </w:rPr>
        <w:t>截止时间止提交电子版谈判响应文件的响应谈判供应商不足3家时，电子版谈判响应文件由代理机构在“政采云”平台操作退回，除此之外采购人和采购代理机构对已提交的谈判响应文件概不退回。</w:t>
      </w:r>
    </w:p>
    <w:p w14:paraId="7549FA81">
      <w:pPr>
        <w:spacing w:line="360" w:lineRule="auto"/>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4</w:t>
      </w:r>
      <w:r>
        <w:rPr>
          <w:rFonts w:hint="eastAsia" w:ascii="宋体" w:hAnsi="宋体"/>
          <w:color w:val="auto"/>
          <w:sz w:val="24"/>
          <w:highlight w:val="none"/>
        </w:rPr>
        <w:t>.4在本须知第</w:t>
      </w:r>
      <w:r>
        <w:rPr>
          <w:rFonts w:ascii="宋体" w:hAnsi="宋体"/>
          <w:color w:val="auto"/>
          <w:sz w:val="24"/>
          <w:highlight w:val="none"/>
        </w:rPr>
        <w:t>19</w:t>
      </w:r>
      <w:r>
        <w:rPr>
          <w:rFonts w:hint="eastAsia" w:ascii="宋体" w:hAnsi="宋体"/>
          <w:color w:val="auto"/>
          <w:sz w:val="24"/>
          <w:highlight w:val="none"/>
        </w:rPr>
        <w:t>条规定的谈胖响应截止期至响应有效期终止日之间，响应谈判供应商不能撤回谈判响应文件。</w:t>
      </w:r>
    </w:p>
    <w:p w14:paraId="30DA8C84">
      <w:pPr>
        <w:spacing w:line="360" w:lineRule="auto"/>
        <w:jc w:val="center"/>
        <w:outlineLvl w:val="1"/>
        <w:rPr>
          <w:rFonts w:ascii="宋体" w:hAnsi="宋体"/>
          <w:b/>
          <w:bCs/>
          <w:color w:val="auto"/>
          <w:sz w:val="32"/>
          <w:szCs w:val="32"/>
          <w:highlight w:val="none"/>
        </w:rPr>
      </w:pPr>
      <w:bookmarkStart w:id="15" w:name="_Toc103723522"/>
      <w:bookmarkStart w:id="16" w:name="_Toc1455"/>
      <w:r>
        <w:rPr>
          <w:rFonts w:hint="eastAsia" w:ascii="宋体" w:hAnsi="宋体"/>
          <w:b/>
          <w:bCs/>
          <w:color w:val="auto"/>
          <w:sz w:val="32"/>
          <w:szCs w:val="32"/>
          <w:highlight w:val="none"/>
        </w:rPr>
        <w:t>六、</w:t>
      </w:r>
      <w:bookmarkEnd w:id="15"/>
      <w:r>
        <w:rPr>
          <w:rFonts w:hint="eastAsia" w:ascii="宋体" w:hAnsi="宋体"/>
          <w:b/>
          <w:bCs/>
          <w:color w:val="auto"/>
          <w:sz w:val="32"/>
          <w:szCs w:val="32"/>
          <w:highlight w:val="none"/>
        </w:rPr>
        <w:t>谈判</w:t>
      </w:r>
      <w:bookmarkEnd w:id="16"/>
    </w:p>
    <w:p w14:paraId="436C5000">
      <w:pPr>
        <w:spacing w:line="360" w:lineRule="auto"/>
        <w:rPr>
          <w:rFonts w:ascii="宋体" w:hAns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谈判时间和地点</w:t>
      </w:r>
    </w:p>
    <w:p w14:paraId="2BE784B1">
      <w:pPr>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lang w:eastAsia="zh-CN"/>
        </w:rPr>
        <w:t>采购代理机构</w:t>
      </w:r>
      <w:r>
        <w:rPr>
          <w:rFonts w:hint="eastAsia" w:ascii="宋体" w:hAnsi="宋体"/>
          <w:color w:val="auto"/>
          <w:sz w:val="24"/>
          <w:highlight w:val="none"/>
        </w:rPr>
        <w:t>将于本须知前附表规定的开标时间和地点组织开标，响应</w:t>
      </w:r>
      <w:r>
        <w:rPr>
          <w:rFonts w:ascii="宋体" w:hAnsi="宋体"/>
          <w:color w:val="auto"/>
          <w:sz w:val="24"/>
          <w:highlight w:val="none"/>
        </w:rPr>
        <w:t>谈判供应商</w:t>
      </w:r>
      <w:r>
        <w:rPr>
          <w:rFonts w:hint="eastAsia" w:ascii="宋体" w:hAnsi="宋体"/>
          <w:color w:val="auto"/>
          <w:sz w:val="24"/>
          <w:highlight w:val="none"/>
        </w:rPr>
        <w:t>通过“政采云开标</w:t>
      </w:r>
      <w:r>
        <w:rPr>
          <w:rFonts w:ascii="宋体" w:hAnsi="宋体"/>
          <w:color w:val="auto"/>
          <w:sz w:val="24"/>
          <w:highlight w:val="none"/>
        </w:rPr>
        <w:t>大厅</w:t>
      </w:r>
      <w:r>
        <w:rPr>
          <w:rFonts w:hint="eastAsia" w:ascii="宋体" w:hAnsi="宋体"/>
          <w:color w:val="auto"/>
          <w:sz w:val="24"/>
          <w:highlight w:val="none"/>
        </w:rPr>
        <w:t>”线上参加开标会</w:t>
      </w:r>
      <w:r>
        <w:rPr>
          <w:rFonts w:hint="eastAsia" w:ascii="宋体" w:hAnsi="宋体"/>
          <w:color w:val="auto"/>
          <w:sz w:val="24"/>
          <w:highlight w:val="none"/>
          <w:lang w:eastAsia="zh-CN"/>
        </w:rPr>
        <w:t>，按规定时间对加密的响应文件进行解密</w:t>
      </w:r>
      <w:r>
        <w:rPr>
          <w:rFonts w:hint="eastAsia" w:ascii="宋体" w:hAnsi="宋体"/>
          <w:color w:val="auto"/>
          <w:sz w:val="24"/>
          <w:highlight w:val="none"/>
        </w:rPr>
        <w:t>，</w:t>
      </w:r>
      <w:r>
        <w:rPr>
          <w:rFonts w:hint="eastAsia" w:ascii="宋体" w:hAnsi="宋体"/>
          <w:color w:val="auto"/>
          <w:sz w:val="24"/>
          <w:highlight w:val="none"/>
          <w:lang w:eastAsia="zh-CN"/>
        </w:rPr>
        <w:t>开标方式为远程开标，供应商</w:t>
      </w:r>
      <w:r>
        <w:rPr>
          <w:rFonts w:hint="eastAsia" w:ascii="宋体" w:hAnsi="宋体"/>
          <w:color w:val="auto"/>
          <w:sz w:val="24"/>
          <w:highlight w:val="none"/>
          <w:lang w:val="en-US" w:eastAsia="zh-CN"/>
        </w:rPr>
        <w:t>无需</w:t>
      </w:r>
      <w:r>
        <w:rPr>
          <w:rFonts w:hint="eastAsia" w:ascii="宋体" w:hAnsi="宋体"/>
          <w:color w:val="auto"/>
          <w:sz w:val="24"/>
          <w:highlight w:val="none"/>
          <w:lang w:eastAsia="zh-CN"/>
        </w:rPr>
        <w:t>到现场，</w:t>
      </w:r>
      <w:r>
        <w:rPr>
          <w:rFonts w:hint="eastAsia" w:ascii="宋体" w:hAnsi="宋体"/>
          <w:color w:val="auto"/>
          <w:sz w:val="24"/>
          <w:highlight w:val="none"/>
        </w:rPr>
        <w:t>所有响应谈判</w:t>
      </w:r>
      <w:r>
        <w:rPr>
          <w:rFonts w:ascii="宋体" w:hAnsi="宋体"/>
          <w:color w:val="auto"/>
          <w:sz w:val="24"/>
          <w:highlight w:val="none"/>
        </w:rPr>
        <w:t>供应商</w:t>
      </w:r>
      <w:r>
        <w:rPr>
          <w:rFonts w:hint="eastAsia" w:ascii="宋体" w:hAnsi="宋体"/>
          <w:color w:val="auto"/>
          <w:sz w:val="24"/>
          <w:highlight w:val="none"/>
        </w:rPr>
        <w:t>均应当准时参加</w:t>
      </w:r>
      <w:r>
        <w:rPr>
          <w:rFonts w:hint="eastAsia" w:ascii="宋体" w:hAnsi="宋体"/>
          <w:color w:val="auto"/>
          <w:sz w:val="24"/>
          <w:highlight w:val="none"/>
          <w:lang w:eastAsia="zh-CN"/>
        </w:rPr>
        <w:t>。</w:t>
      </w:r>
    </w:p>
    <w:p w14:paraId="68EB6B1F">
      <w:pPr>
        <w:spacing w:line="360" w:lineRule="auto"/>
        <w:rPr>
          <w:b/>
          <w:color w:val="auto"/>
          <w:sz w:val="24"/>
          <w:highlight w:val="none"/>
        </w:rPr>
      </w:pPr>
      <w:r>
        <w:rPr>
          <w:b/>
          <w:color w:val="auto"/>
          <w:sz w:val="24"/>
          <w:highlight w:val="none"/>
        </w:rPr>
        <w:t>26.</w:t>
      </w:r>
      <w:r>
        <w:rPr>
          <w:rFonts w:hint="eastAsia"/>
          <w:b/>
          <w:color w:val="auto"/>
          <w:sz w:val="24"/>
          <w:highlight w:val="none"/>
        </w:rPr>
        <w:t>谈判程序</w:t>
      </w:r>
    </w:p>
    <w:p w14:paraId="4442BDF3">
      <w:pPr>
        <w:autoSpaceDE w:val="0"/>
        <w:autoSpaceDN w:val="0"/>
        <w:adjustRightInd w:val="0"/>
        <w:spacing w:before="60" w:after="60" w:line="360" w:lineRule="auto"/>
        <w:rPr>
          <w:rFonts w:hint="eastAsia" w:cs="宋体"/>
          <w:color w:val="auto"/>
          <w:sz w:val="24"/>
          <w:highlight w:val="none"/>
        </w:rPr>
      </w:pPr>
      <w:r>
        <w:rPr>
          <w:rFonts w:hint="eastAsia" w:cs="宋体"/>
          <w:color w:val="auto"/>
          <w:sz w:val="24"/>
          <w:highlight w:val="none"/>
        </w:rPr>
        <w:t>2</w:t>
      </w:r>
      <w:r>
        <w:rPr>
          <w:rFonts w:cs="宋体"/>
          <w:color w:val="auto"/>
          <w:sz w:val="24"/>
          <w:highlight w:val="none"/>
        </w:rPr>
        <w:t>6.1.</w:t>
      </w:r>
      <w:r>
        <w:rPr>
          <w:rFonts w:hint="eastAsia" w:cs="宋体"/>
          <w:color w:val="auto"/>
          <w:sz w:val="24"/>
          <w:highlight w:val="none"/>
        </w:rPr>
        <w:t>解密电子谈判响应文件。“政采云”平台在开标时间自动提取所有谈判响应文件。响应谈判供应商须使用数字</w:t>
      </w:r>
      <w:r>
        <w:rPr>
          <w:rFonts w:cs="宋体"/>
          <w:color w:val="auto"/>
          <w:sz w:val="24"/>
          <w:highlight w:val="none"/>
        </w:rPr>
        <w:t>证书</w:t>
      </w:r>
      <w:r>
        <w:rPr>
          <w:rFonts w:hint="eastAsia" w:cs="宋体"/>
          <w:color w:val="auto"/>
          <w:sz w:val="24"/>
          <w:highlight w:val="none"/>
        </w:rPr>
        <w:t>按照前附表</w:t>
      </w:r>
      <w:r>
        <w:rPr>
          <w:rFonts w:cs="宋体"/>
          <w:color w:val="auto"/>
          <w:sz w:val="24"/>
          <w:highlight w:val="none"/>
        </w:rPr>
        <w:t>规定的时间</w:t>
      </w:r>
      <w:r>
        <w:rPr>
          <w:rFonts w:hint="eastAsia" w:cs="宋体"/>
          <w:color w:val="auto"/>
          <w:sz w:val="24"/>
          <w:highlight w:val="none"/>
        </w:rPr>
        <w:t>在</w:t>
      </w:r>
      <w:r>
        <w:rPr>
          <w:rFonts w:cs="宋体"/>
          <w:color w:val="auto"/>
          <w:sz w:val="24"/>
          <w:highlight w:val="none"/>
        </w:rPr>
        <w:t>线上</w:t>
      </w:r>
      <w:r>
        <w:rPr>
          <w:rFonts w:hint="eastAsia" w:cs="宋体"/>
          <w:color w:val="auto"/>
          <w:sz w:val="24"/>
          <w:highlight w:val="none"/>
        </w:rPr>
        <w:t>对谈判响应文件解密并</w:t>
      </w:r>
      <w:r>
        <w:rPr>
          <w:rFonts w:cs="宋体"/>
          <w:color w:val="auto"/>
          <w:sz w:val="24"/>
          <w:highlight w:val="none"/>
        </w:rPr>
        <w:t>确认</w:t>
      </w:r>
      <w:r>
        <w:rPr>
          <w:rFonts w:hint="eastAsia" w:cs="宋体"/>
          <w:color w:val="auto"/>
          <w:sz w:val="24"/>
          <w:highlight w:val="none"/>
        </w:rPr>
        <w:t xml:space="preserve">。   </w:t>
      </w:r>
    </w:p>
    <w:p w14:paraId="2C705C8F">
      <w:pPr>
        <w:autoSpaceDE w:val="0"/>
        <w:autoSpaceDN w:val="0"/>
        <w:adjustRightInd w:val="0"/>
        <w:spacing w:before="60" w:after="60" w:line="360" w:lineRule="auto"/>
        <w:rPr>
          <w:rFonts w:cs="宋体"/>
          <w:color w:val="auto"/>
          <w:sz w:val="24"/>
          <w:highlight w:val="none"/>
        </w:rPr>
      </w:pPr>
      <w:r>
        <w:rPr>
          <w:rFonts w:cs="宋体"/>
          <w:color w:val="auto"/>
          <w:sz w:val="24"/>
          <w:highlight w:val="none"/>
        </w:rPr>
        <w:t>26.2.</w:t>
      </w:r>
      <w:r>
        <w:rPr>
          <w:rFonts w:hint="eastAsia" w:cs="宋体"/>
          <w:color w:val="auto"/>
          <w:sz w:val="24"/>
          <w:highlight w:val="none"/>
        </w:rPr>
        <w:t>响应谈判供应商对谈判过程有异议的，应当在线上提出。采购人、采购代理机构对响应谈判</w:t>
      </w:r>
      <w:r>
        <w:rPr>
          <w:rFonts w:cs="宋体"/>
          <w:color w:val="auto"/>
          <w:sz w:val="24"/>
          <w:highlight w:val="none"/>
        </w:rPr>
        <w:t>供应商</w:t>
      </w:r>
      <w:r>
        <w:rPr>
          <w:rFonts w:hint="eastAsia" w:cs="宋体"/>
          <w:color w:val="auto"/>
          <w:sz w:val="24"/>
          <w:highlight w:val="none"/>
        </w:rPr>
        <w:t>提出的异议应当及时处理。</w:t>
      </w:r>
    </w:p>
    <w:p w14:paraId="6CE10352">
      <w:pPr>
        <w:autoSpaceDE w:val="0"/>
        <w:autoSpaceDN w:val="0"/>
        <w:adjustRightInd w:val="0"/>
        <w:spacing w:before="60" w:after="60" w:line="360" w:lineRule="auto"/>
        <w:rPr>
          <w:rFonts w:cs="宋体"/>
          <w:color w:val="auto"/>
          <w:sz w:val="24"/>
          <w:highlight w:val="none"/>
        </w:rPr>
      </w:pPr>
      <w:r>
        <w:rPr>
          <w:rFonts w:cs="宋体"/>
          <w:color w:val="auto"/>
          <w:sz w:val="24"/>
          <w:highlight w:val="none"/>
        </w:rPr>
        <w:t>26.3.</w:t>
      </w:r>
      <w:r>
        <w:rPr>
          <w:rFonts w:hint="eastAsia" w:cs="宋体"/>
          <w:color w:val="auto"/>
          <w:sz w:val="24"/>
          <w:highlight w:val="none"/>
        </w:rPr>
        <w:t>响应谈判</w:t>
      </w:r>
      <w:r>
        <w:rPr>
          <w:rFonts w:cs="宋体"/>
          <w:color w:val="auto"/>
          <w:sz w:val="24"/>
          <w:highlight w:val="none"/>
        </w:rPr>
        <w:t>供应商</w:t>
      </w:r>
      <w:r>
        <w:rPr>
          <w:rFonts w:hint="eastAsia" w:cs="宋体"/>
          <w:color w:val="auto"/>
          <w:sz w:val="24"/>
          <w:highlight w:val="none"/>
        </w:rPr>
        <w:t>因自身</w:t>
      </w:r>
      <w:r>
        <w:rPr>
          <w:rFonts w:cs="宋体"/>
          <w:color w:val="auto"/>
          <w:sz w:val="24"/>
          <w:highlight w:val="none"/>
        </w:rPr>
        <w:t>原因</w:t>
      </w:r>
      <w:r>
        <w:rPr>
          <w:rFonts w:hint="eastAsia" w:cs="宋体"/>
          <w:color w:val="auto"/>
          <w:sz w:val="24"/>
          <w:highlight w:val="none"/>
        </w:rPr>
        <w:t>未按时解密的一切后果由响应谈判</w:t>
      </w:r>
      <w:r>
        <w:rPr>
          <w:rFonts w:cs="宋体"/>
          <w:color w:val="auto"/>
          <w:sz w:val="24"/>
          <w:highlight w:val="none"/>
        </w:rPr>
        <w:t>供应商自行</w:t>
      </w:r>
      <w:r>
        <w:rPr>
          <w:rFonts w:hint="eastAsia" w:cs="宋体"/>
          <w:color w:val="auto"/>
          <w:sz w:val="24"/>
          <w:highlight w:val="none"/>
        </w:rPr>
        <w:t>承担。如遇“政采云”平台电子化开标或评审程序调整的，按调整后执行</w:t>
      </w:r>
      <w:r>
        <w:rPr>
          <w:rFonts w:hint="eastAsia" w:ascii="宋体" w:hAnsi="宋体"/>
          <w:color w:val="auto"/>
          <w:sz w:val="24"/>
          <w:highlight w:val="none"/>
        </w:rPr>
        <w:t>。</w:t>
      </w:r>
    </w:p>
    <w:p w14:paraId="6DF96893">
      <w:pPr>
        <w:autoSpaceDE w:val="0"/>
        <w:autoSpaceDN w:val="0"/>
        <w:adjustRightInd w:val="0"/>
        <w:spacing w:before="60" w:after="60" w:line="360" w:lineRule="auto"/>
        <w:rPr>
          <w:rFonts w:cs="宋体"/>
          <w:color w:val="auto"/>
          <w:sz w:val="24"/>
          <w:highlight w:val="none"/>
        </w:rPr>
      </w:pPr>
      <w:r>
        <w:rPr>
          <w:rFonts w:cs="宋体"/>
          <w:color w:val="auto"/>
          <w:sz w:val="24"/>
          <w:highlight w:val="none"/>
        </w:rPr>
        <w:t>26.4</w:t>
      </w:r>
      <w:r>
        <w:rPr>
          <w:rFonts w:hint="eastAsia" w:cs="宋体"/>
          <w:color w:val="auto"/>
          <w:sz w:val="24"/>
          <w:highlight w:val="none"/>
        </w:rPr>
        <w:t>采购代理机构将按照谈判文件规定的开标时间和地点组织开标活动、开启谈判响应文件，所有响应谈判供应商均应当准时参加。</w:t>
      </w:r>
    </w:p>
    <w:p w14:paraId="226DA86C">
      <w:pPr>
        <w:autoSpaceDE w:val="0"/>
        <w:autoSpaceDN w:val="0"/>
        <w:adjustRightInd w:val="0"/>
        <w:spacing w:before="60" w:after="60" w:line="360" w:lineRule="auto"/>
        <w:rPr>
          <w:rFonts w:cs="宋体"/>
          <w:color w:val="4874CB" w:themeColor="accent1"/>
          <w:sz w:val="24"/>
          <w:highlight w:val="none"/>
          <w14:textFill>
            <w14:solidFill>
              <w14:schemeClr w14:val="accent1"/>
            </w14:solidFill>
          </w14:textFill>
        </w:rPr>
      </w:pPr>
      <w:r>
        <w:rPr>
          <w:rFonts w:hint="eastAsia" w:cs="宋体"/>
          <w:color w:val="auto"/>
          <w:sz w:val="24"/>
          <w:highlight w:val="none"/>
        </w:rPr>
        <w:t>26.5谈判</w:t>
      </w:r>
      <w:r>
        <w:rPr>
          <w:rFonts w:cs="宋体"/>
          <w:color w:val="auto"/>
          <w:sz w:val="24"/>
          <w:highlight w:val="none"/>
        </w:rPr>
        <w:t>小组将在</w:t>
      </w:r>
      <w:r>
        <w:rPr>
          <w:rFonts w:hint="eastAsia" w:cs="宋体"/>
          <w:color w:val="auto"/>
          <w:sz w:val="24"/>
          <w:highlight w:val="none"/>
        </w:rPr>
        <w:t>符合性评审后，</w:t>
      </w:r>
      <w:r>
        <w:rPr>
          <w:rFonts w:cs="宋体"/>
          <w:color w:val="auto"/>
          <w:sz w:val="24"/>
          <w:highlight w:val="none"/>
        </w:rPr>
        <w:t>通过“</w:t>
      </w:r>
      <w:r>
        <w:rPr>
          <w:rFonts w:hint="eastAsia" w:cs="宋体"/>
          <w:color w:val="auto"/>
          <w:sz w:val="24"/>
          <w:highlight w:val="none"/>
        </w:rPr>
        <w:t>政采云</w:t>
      </w:r>
      <w:r>
        <w:rPr>
          <w:rFonts w:cs="宋体"/>
          <w:color w:val="auto"/>
          <w:sz w:val="24"/>
          <w:highlight w:val="none"/>
        </w:rPr>
        <w:t>”对</w:t>
      </w:r>
      <w:r>
        <w:rPr>
          <w:rFonts w:hint="eastAsia" w:cs="宋体"/>
          <w:color w:val="auto"/>
          <w:sz w:val="24"/>
          <w:highlight w:val="none"/>
        </w:rPr>
        <w:t>合格</w:t>
      </w:r>
      <w:r>
        <w:rPr>
          <w:rFonts w:cs="宋体"/>
          <w:color w:val="auto"/>
          <w:sz w:val="24"/>
          <w:highlight w:val="none"/>
        </w:rPr>
        <w:t>的响应谈判供应商发起谈判邀请，响应谈判供应商</w:t>
      </w:r>
      <w:r>
        <w:rPr>
          <w:rFonts w:hint="eastAsia" w:cs="宋体"/>
          <w:color w:val="auto"/>
          <w:sz w:val="24"/>
          <w:highlight w:val="none"/>
        </w:rPr>
        <w:t>通过</w:t>
      </w:r>
      <w:r>
        <w:rPr>
          <w:rFonts w:cs="宋体"/>
          <w:color w:val="auto"/>
          <w:sz w:val="24"/>
          <w:highlight w:val="none"/>
        </w:rPr>
        <w:t>“</w:t>
      </w:r>
      <w:r>
        <w:rPr>
          <w:rFonts w:hint="eastAsia" w:cs="宋体"/>
          <w:color w:val="auto"/>
          <w:sz w:val="24"/>
          <w:highlight w:val="none"/>
        </w:rPr>
        <w:t>政采</w:t>
      </w:r>
      <w:r>
        <w:rPr>
          <w:rFonts w:cs="宋体"/>
          <w:color w:val="auto"/>
          <w:sz w:val="24"/>
          <w:highlight w:val="none"/>
        </w:rPr>
        <w:t>云”</w:t>
      </w:r>
      <w:r>
        <w:rPr>
          <w:rFonts w:hint="eastAsia" w:cs="宋体"/>
          <w:color w:val="auto"/>
          <w:sz w:val="24"/>
          <w:highlight w:val="none"/>
        </w:rPr>
        <w:t>在</w:t>
      </w:r>
      <w:r>
        <w:rPr>
          <w:rFonts w:cs="宋体"/>
          <w:color w:val="auto"/>
          <w:sz w:val="24"/>
          <w:highlight w:val="none"/>
        </w:rPr>
        <w:t>线与谈判小组进行谈判。</w:t>
      </w:r>
      <w:r>
        <w:rPr>
          <w:rFonts w:hint="eastAsia" w:ascii="宋体" w:hAnsi="宋体"/>
          <w:color w:val="auto"/>
          <w:sz w:val="24"/>
          <w:highlight w:val="none"/>
        </w:rPr>
        <w:t>所有参加谈判的供应商须在规定时间内完成“政采云平台”最终报价。</w:t>
      </w:r>
    </w:p>
    <w:p w14:paraId="63976BBE">
      <w:pPr>
        <w:autoSpaceDE w:val="0"/>
        <w:autoSpaceDN w:val="0"/>
        <w:adjustRightInd w:val="0"/>
        <w:spacing w:before="60" w:after="60" w:line="360" w:lineRule="auto"/>
        <w:rPr>
          <w:rFonts w:ascii="宋体" w:hAnsi="宋体"/>
          <w:color w:val="auto"/>
          <w:sz w:val="24"/>
          <w:highlight w:val="none"/>
        </w:rPr>
      </w:pPr>
      <w:r>
        <w:rPr>
          <w:rFonts w:ascii="宋体" w:hAnsi="宋体"/>
          <w:color w:val="auto"/>
          <w:sz w:val="24"/>
          <w:highlight w:val="none"/>
        </w:rPr>
        <w:t>26.6</w:t>
      </w:r>
      <w:r>
        <w:rPr>
          <w:rFonts w:hint="eastAsia" w:ascii="宋体" w:hAnsi="宋体"/>
          <w:color w:val="auto"/>
          <w:sz w:val="24"/>
          <w:highlight w:val="none"/>
        </w:rPr>
        <w:t>在线</w:t>
      </w:r>
      <w:r>
        <w:rPr>
          <w:rFonts w:hint="eastAsia" w:ascii="宋体" w:hAnsi="宋体"/>
          <w:color w:val="auto"/>
          <w:sz w:val="24"/>
          <w:highlight w:val="none"/>
          <w:lang w:val="en-US" w:eastAsia="zh-CN"/>
        </w:rPr>
        <w:t>响应</w:t>
      </w:r>
      <w:r>
        <w:rPr>
          <w:rFonts w:hint="eastAsia" w:ascii="宋体" w:hAnsi="宋体"/>
          <w:color w:val="auto"/>
          <w:sz w:val="24"/>
          <w:highlight w:val="none"/>
        </w:rPr>
        <w:t>时间和提交最终报价的时间见本须知前附表。</w:t>
      </w:r>
    </w:p>
    <w:p w14:paraId="7A8AB49A">
      <w:pPr>
        <w:autoSpaceDE w:val="0"/>
        <w:autoSpaceDN w:val="0"/>
        <w:adjustRightInd w:val="0"/>
        <w:spacing w:before="60" w:after="60" w:line="360" w:lineRule="auto"/>
        <w:rPr>
          <w:rFonts w:cs="宋体"/>
          <w:color w:val="auto"/>
          <w:sz w:val="24"/>
          <w:highlight w:val="none"/>
        </w:rPr>
      </w:pPr>
    </w:p>
    <w:p w14:paraId="4CA7DD0D">
      <w:pPr>
        <w:spacing w:line="360" w:lineRule="auto"/>
        <w:jc w:val="center"/>
        <w:outlineLvl w:val="1"/>
        <w:rPr>
          <w:b/>
          <w:color w:val="auto"/>
          <w:sz w:val="32"/>
          <w:szCs w:val="32"/>
          <w:highlight w:val="none"/>
        </w:rPr>
      </w:pPr>
      <w:bookmarkStart w:id="17" w:name="_Toc103723523"/>
      <w:bookmarkStart w:id="18" w:name="_Toc18570"/>
      <w:r>
        <w:rPr>
          <w:rFonts w:hint="eastAsia" w:ascii="宋体" w:hAnsi="宋体"/>
          <w:b/>
          <w:color w:val="auto"/>
          <w:sz w:val="32"/>
          <w:szCs w:val="32"/>
          <w:highlight w:val="none"/>
        </w:rPr>
        <w:t>七、评</w:t>
      </w:r>
      <w:bookmarkEnd w:id="17"/>
      <w:r>
        <w:rPr>
          <w:rFonts w:hint="eastAsia" w:ascii="宋体" w:hAnsi="宋体"/>
          <w:b/>
          <w:color w:val="auto"/>
          <w:sz w:val="32"/>
          <w:szCs w:val="32"/>
          <w:highlight w:val="none"/>
        </w:rPr>
        <w:t>审</w:t>
      </w:r>
      <w:bookmarkEnd w:id="18"/>
    </w:p>
    <w:p w14:paraId="5F889003">
      <w:pPr>
        <w:spacing w:line="360" w:lineRule="auto"/>
        <w:rPr>
          <w:rFonts w:ascii="宋体" w:hAnsi="宋体"/>
          <w:b/>
          <w:bCs/>
          <w:color w:val="auto"/>
          <w:sz w:val="24"/>
          <w:highlight w:val="none"/>
        </w:rPr>
      </w:pPr>
      <w:r>
        <w:rPr>
          <w:rFonts w:ascii="宋体" w:hAnsi="宋体"/>
          <w:b/>
          <w:bCs/>
          <w:color w:val="auto"/>
          <w:sz w:val="24"/>
          <w:highlight w:val="none"/>
        </w:rPr>
        <w:t>27.</w:t>
      </w:r>
      <w:r>
        <w:rPr>
          <w:rFonts w:hint="eastAsia" w:ascii="宋体" w:hAnsi="宋体"/>
          <w:b/>
          <w:color w:val="auto"/>
          <w:sz w:val="24"/>
          <w:highlight w:val="none"/>
        </w:rPr>
        <w:t>谈判</w:t>
      </w:r>
      <w:r>
        <w:rPr>
          <w:rFonts w:ascii="宋体" w:hAnsi="宋体"/>
          <w:b/>
          <w:color w:val="auto"/>
          <w:sz w:val="24"/>
          <w:highlight w:val="none"/>
        </w:rPr>
        <w:t>小组</w:t>
      </w:r>
    </w:p>
    <w:p w14:paraId="030E3BBE">
      <w:pPr>
        <w:pStyle w:val="8"/>
        <w:spacing w:line="360" w:lineRule="auto"/>
        <w:rPr>
          <w:rFonts w:hint="default" w:hAnsi="宋体"/>
          <w:color w:val="auto"/>
          <w:sz w:val="24"/>
          <w:szCs w:val="24"/>
          <w:highlight w:val="none"/>
        </w:rPr>
      </w:pPr>
      <w:r>
        <w:rPr>
          <w:rFonts w:hint="default" w:hAnsi="宋体"/>
          <w:color w:val="auto"/>
          <w:sz w:val="24"/>
          <w:szCs w:val="24"/>
          <w:highlight w:val="none"/>
        </w:rPr>
        <w:t>27.</w:t>
      </w:r>
      <w:r>
        <w:rPr>
          <w:rFonts w:hAnsi="宋体"/>
          <w:color w:val="auto"/>
          <w:sz w:val="24"/>
          <w:szCs w:val="24"/>
          <w:highlight w:val="none"/>
        </w:rPr>
        <w:t>1</w:t>
      </w:r>
      <w:r>
        <w:rPr>
          <w:rFonts w:hint="eastAsia" w:hAnsi="宋体"/>
          <w:color w:val="auto"/>
          <w:sz w:val="24"/>
          <w:szCs w:val="24"/>
          <w:highlight w:val="none"/>
          <w:lang w:eastAsia="zh-CN"/>
        </w:rPr>
        <w:t>采购代理机构</w:t>
      </w:r>
      <w:r>
        <w:rPr>
          <w:rFonts w:hAnsi="宋体"/>
          <w:color w:val="auto"/>
          <w:sz w:val="24"/>
          <w:szCs w:val="24"/>
          <w:highlight w:val="none"/>
        </w:rPr>
        <w:t>将依法组建谈判小组。谈判小组成员由具有</w:t>
      </w:r>
      <w:r>
        <w:rPr>
          <w:rFonts w:hint="eastAsia" w:hAnsi="宋体"/>
          <w:color w:val="auto"/>
          <w:sz w:val="24"/>
          <w:szCs w:val="24"/>
          <w:highlight w:val="none"/>
          <w:lang w:val="en-US" w:eastAsia="zh-CN"/>
        </w:rPr>
        <w:t>相关</w:t>
      </w:r>
      <w:r>
        <w:rPr>
          <w:rFonts w:hAnsi="宋体"/>
          <w:color w:val="auto"/>
          <w:sz w:val="24"/>
          <w:szCs w:val="24"/>
          <w:highlight w:val="none"/>
        </w:rPr>
        <w:t>职称或具有同等专业水平的相关领域专家组成。与采购项目有直接利害关系或与响应谈判供应商有任何利害关系的专家，不得进入本项目的谈判小组。谈判小组成员名单在成交结果确定前应当保密。</w:t>
      </w:r>
    </w:p>
    <w:p w14:paraId="5553BC7D">
      <w:pPr>
        <w:pStyle w:val="8"/>
        <w:spacing w:line="360" w:lineRule="auto"/>
        <w:rPr>
          <w:rFonts w:hint="default" w:hAnsi="宋体"/>
          <w:color w:val="auto"/>
          <w:sz w:val="24"/>
          <w:szCs w:val="24"/>
          <w:highlight w:val="none"/>
        </w:rPr>
      </w:pPr>
      <w:r>
        <w:rPr>
          <w:rFonts w:hint="default" w:hAnsi="宋体"/>
          <w:color w:val="auto"/>
          <w:sz w:val="24"/>
          <w:szCs w:val="24"/>
          <w:highlight w:val="none"/>
        </w:rPr>
        <w:t>27.2</w:t>
      </w:r>
      <w:r>
        <w:rPr>
          <w:rFonts w:hAnsi="宋体"/>
          <w:color w:val="auto"/>
          <w:sz w:val="24"/>
          <w:szCs w:val="24"/>
          <w:highlight w:val="none"/>
        </w:rPr>
        <w:t>本项目谈判小组成员人数及确定方式见本须知前附表。</w:t>
      </w:r>
    </w:p>
    <w:p w14:paraId="2A7FB8E5">
      <w:pPr>
        <w:pStyle w:val="8"/>
        <w:spacing w:line="360" w:lineRule="auto"/>
        <w:rPr>
          <w:rFonts w:hint="default" w:hAnsi="宋体"/>
          <w:color w:val="auto"/>
          <w:sz w:val="24"/>
          <w:szCs w:val="24"/>
          <w:highlight w:val="none"/>
        </w:rPr>
      </w:pPr>
      <w:r>
        <w:rPr>
          <w:rFonts w:hint="default" w:hAnsi="宋体"/>
          <w:color w:val="auto"/>
          <w:sz w:val="24"/>
          <w:szCs w:val="24"/>
          <w:highlight w:val="none"/>
        </w:rPr>
        <w:t>27.3</w:t>
      </w:r>
      <w:r>
        <w:rPr>
          <w:rFonts w:hAnsi="宋体"/>
          <w:color w:val="auto"/>
          <w:sz w:val="24"/>
          <w:szCs w:val="24"/>
          <w:highlight w:val="none"/>
        </w:rPr>
        <w:t>谈判小组成员有下列情形之一的，应当回避：</w:t>
      </w:r>
    </w:p>
    <w:p w14:paraId="5383B706">
      <w:pPr>
        <w:pStyle w:val="8"/>
        <w:spacing w:line="360" w:lineRule="auto"/>
        <w:rPr>
          <w:rFonts w:hint="default" w:hAnsi="宋体"/>
          <w:color w:val="auto"/>
          <w:sz w:val="24"/>
          <w:szCs w:val="24"/>
          <w:highlight w:val="none"/>
        </w:rPr>
      </w:pPr>
      <w:r>
        <w:rPr>
          <w:rFonts w:hint="default" w:hAnsi="宋体"/>
          <w:color w:val="auto"/>
          <w:sz w:val="24"/>
          <w:szCs w:val="24"/>
          <w:highlight w:val="none"/>
        </w:rPr>
        <w:t>27</w:t>
      </w:r>
      <w:r>
        <w:rPr>
          <w:rFonts w:hAnsi="宋体"/>
          <w:color w:val="auto"/>
          <w:sz w:val="24"/>
          <w:szCs w:val="24"/>
          <w:highlight w:val="none"/>
        </w:rPr>
        <w:t>.3.1采购人或响应谈判供应商的主要负责人的近亲属；</w:t>
      </w:r>
    </w:p>
    <w:p w14:paraId="3B2FF10A">
      <w:pPr>
        <w:pStyle w:val="8"/>
        <w:spacing w:line="360" w:lineRule="auto"/>
        <w:rPr>
          <w:rFonts w:hint="default" w:hAnsi="宋体"/>
          <w:color w:val="auto"/>
          <w:sz w:val="24"/>
          <w:szCs w:val="24"/>
          <w:highlight w:val="none"/>
        </w:rPr>
      </w:pPr>
      <w:r>
        <w:rPr>
          <w:rFonts w:hint="default" w:hAnsi="宋体"/>
          <w:color w:val="auto"/>
          <w:sz w:val="24"/>
          <w:szCs w:val="24"/>
          <w:highlight w:val="none"/>
        </w:rPr>
        <w:t>27</w:t>
      </w:r>
      <w:r>
        <w:rPr>
          <w:rFonts w:hAnsi="宋体"/>
          <w:color w:val="auto"/>
          <w:sz w:val="24"/>
          <w:szCs w:val="24"/>
          <w:highlight w:val="none"/>
        </w:rPr>
        <w:t>.3.2项目主管部门或者行政监督部门的人员；</w:t>
      </w:r>
    </w:p>
    <w:p w14:paraId="361AF5B5">
      <w:pPr>
        <w:pStyle w:val="8"/>
        <w:spacing w:line="360" w:lineRule="auto"/>
        <w:rPr>
          <w:rFonts w:hint="default" w:hAnsi="宋体"/>
          <w:color w:val="auto"/>
          <w:sz w:val="24"/>
          <w:szCs w:val="24"/>
          <w:highlight w:val="none"/>
        </w:rPr>
      </w:pPr>
      <w:r>
        <w:rPr>
          <w:rFonts w:hint="default" w:hAnsi="宋体"/>
          <w:color w:val="auto"/>
          <w:sz w:val="24"/>
          <w:szCs w:val="24"/>
          <w:highlight w:val="none"/>
        </w:rPr>
        <w:t>27</w:t>
      </w:r>
      <w:r>
        <w:rPr>
          <w:rFonts w:hAnsi="宋体"/>
          <w:color w:val="auto"/>
          <w:sz w:val="24"/>
          <w:szCs w:val="24"/>
          <w:highlight w:val="none"/>
        </w:rPr>
        <w:t>.3.3与响应谈判供应商有经济利益关系，可能影响对谈判公正评审的；</w:t>
      </w:r>
    </w:p>
    <w:p w14:paraId="4EDD5B52">
      <w:pPr>
        <w:pStyle w:val="8"/>
        <w:spacing w:line="360" w:lineRule="auto"/>
        <w:rPr>
          <w:rFonts w:hint="default" w:hAnsi="宋体"/>
          <w:color w:val="auto"/>
          <w:sz w:val="24"/>
          <w:szCs w:val="24"/>
          <w:highlight w:val="none"/>
        </w:rPr>
      </w:pPr>
      <w:r>
        <w:rPr>
          <w:rFonts w:hint="default" w:hAnsi="宋体"/>
          <w:color w:val="auto"/>
          <w:sz w:val="24"/>
          <w:szCs w:val="24"/>
          <w:highlight w:val="none"/>
        </w:rPr>
        <w:t>27</w:t>
      </w:r>
      <w:r>
        <w:rPr>
          <w:rFonts w:hAnsi="宋体"/>
          <w:color w:val="auto"/>
          <w:sz w:val="24"/>
          <w:szCs w:val="24"/>
          <w:highlight w:val="none"/>
        </w:rPr>
        <w:t>.3.4曾因在招标、评审以及其他与招标投标有关活动中从事违法行为而受过行政处罚或刑事处罚的。</w:t>
      </w:r>
    </w:p>
    <w:p w14:paraId="32AE2FDD">
      <w:pPr>
        <w:pStyle w:val="8"/>
        <w:spacing w:line="360" w:lineRule="auto"/>
        <w:rPr>
          <w:rFonts w:hint="default" w:hAnsi="宋体"/>
          <w:b/>
          <w:color w:val="auto"/>
          <w:sz w:val="24"/>
          <w:szCs w:val="24"/>
          <w:highlight w:val="none"/>
        </w:rPr>
      </w:pPr>
      <w:r>
        <w:rPr>
          <w:rFonts w:hint="default" w:hAnsi="宋体"/>
          <w:b/>
          <w:color w:val="auto"/>
          <w:sz w:val="24"/>
          <w:szCs w:val="24"/>
          <w:highlight w:val="none"/>
        </w:rPr>
        <w:t>28</w:t>
      </w:r>
      <w:r>
        <w:rPr>
          <w:rFonts w:hAnsi="宋体"/>
          <w:b/>
          <w:color w:val="auto"/>
          <w:sz w:val="24"/>
          <w:szCs w:val="24"/>
          <w:highlight w:val="none"/>
        </w:rPr>
        <w:t>.谈判原则</w:t>
      </w:r>
    </w:p>
    <w:p w14:paraId="4EFF1B70">
      <w:pPr>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28.1</w:t>
      </w:r>
      <w:r>
        <w:rPr>
          <w:rFonts w:hint="eastAsia" w:cs="宋体" w:asciiTheme="minorEastAsia" w:hAnsiTheme="minorEastAsia" w:eastAsiaTheme="minorEastAsia"/>
          <w:color w:val="auto"/>
          <w:sz w:val="24"/>
          <w:highlight w:val="none"/>
        </w:rPr>
        <w:t>谈判小组评审时必须公平、公正、客观，不带任何倾向性和启发性；不得向外界透露任何与评审有关的内容；任何单位和个人不得干扰、影响评审的正常进行；谈判小组及有关工作人员不得私下与响应谈判供应商接触，不得收受利害关系人的财物或者其他好处。</w:t>
      </w:r>
    </w:p>
    <w:p w14:paraId="24C01A92">
      <w:pPr>
        <w:pStyle w:val="8"/>
        <w:spacing w:line="360" w:lineRule="auto"/>
        <w:rPr>
          <w:rFonts w:hint="default" w:hAnsi="宋体"/>
          <w:b/>
          <w:color w:val="auto"/>
          <w:sz w:val="24"/>
          <w:szCs w:val="24"/>
          <w:highlight w:val="none"/>
        </w:rPr>
      </w:pPr>
      <w:r>
        <w:rPr>
          <w:rFonts w:hint="default" w:hAnsi="宋体"/>
          <w:b/>
          <w:color w:val="auto"/>
          <w:sz w:val="24"/>
          <w:szCs w:val="24"/>
          <w:highlight w:val="none"/>
        </w:rPr>
        <w:t>29.</w:t>
      </w:r>
      <w:r>
        <w:rPr>
          <w:rFonts w:hAnsi="宋体"/>
          <w:b/>
          <w:color w:val="auto"/>
          <w:sz w:val="24"/>
          <w:szCs w:val="24"/>
          <w:highlight w:val="none"/>
        </w:rPr>
        <w:t>谈判</w:t>
      </w:r>
    </w:p>
    <w:p w14:paraId="26FB42C4">
      <w:pPr>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29.1</w:t>
      </w:r>
      <w:r>
        <w:rPr>
          <w:rFonts w:hint="eastAsia" w:cs="宋体" w:asciiTheme="minorEastAsia" w:hAnsiTheme="minorEastAsia" w:eastAsiaTheme="minorEastAsia"/>
          <w:color w:val="auto"/>
          <w:sz w:val="24"/>
          <w:highlight w:val="none"/>
        </w:rPr>
        <w:t>在评审过程中出现法律法规和谈判文件均没有明确规定的情形时，由谈判</w:t>
      </w:r>
      <w:r>
        <w:rPr>
          <w:rFonts w:cs="宋体" w:asciiTheme="minorEastAsia" w:hAnsiTheme="minorEastAsia" w:eastAsiaTheme="minorEastAsia"/>
          <w:color w:val="auto"/>
          <w:sz w:val="24"/>
          <w:highlight w:val="none"/>
        </w:rPr>
        <w:t>小组</w:t>
      </w:r>
      <w:r>
        <w:rPr>
          <w:rFonts w:hint="eastAsia" w:cs="宋体" w:asciiTheme="minorEastAsia" w:hAnsiTheme="minorEastAsia" w:eastAsiaTheme="minorEastAsia"/>
          <w:color w:val="auto"/>
          <w:sz w:val="24"/>
          <w:highlight w:val="none"/>
        </w:rPr>
        <w:t>现场协商解决，协商不一致的，由全体评委投票表决，以得票率二分之一以上专家的意见为准并由采购代理机构作记录。</w:t>
      </w:r>
      <w:bookmarkStart w:id="19" w:name="_28.3评标方法。本项目将按须知前附表规定的评标办法进行评标，具体评标"/>
      <w:bookmarkEnd w:id="19"/>
    </w:p>
    <w:p w14:paraId="4152E1AE">
      <w:pPr>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29.2</w:t>
      </w:r>
      <w:r>
        <w:rPr>
          <w:rFonts w:hint="eastAsia" w:cs="宋体" w:asciiTheme="minorEastAsia" w:hAnsiTheme="minorEastAsia" w:eastAsiaTheme="minorEastAsia"/>
          <w:color w:val="auto"/>
          <w:sz w:val="24"/>
          <w:highlight w:val="none"/>
        </w:rPr>
        <w:t>采购人、采购代理机构应当采取必要措施，保证评审在严格保密（封闭式评审）的情况下进行。除采购代理机构工作人员、评审现场组织人员外，采购人的其他工作人员以及与评审工作无关的人员不得进入评审现场。有关人员对评审情况以及在评审过程中获悉的国家秘密、商业秘密负有保密责任。</w:t>
      </w:r>
    </w:p>
    <w:p w14:paraId="05950A86">
      <w:pPr>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29.3</w:t>
      </w:r>
      <w:r>
        <w:rPr>
          <w:rFonts w:hint="eastAsia" w:cs="宋体" w:asciiTheme="minorEastAsia" w:hAnsiTheme="minorEastAsia" w:eastAsiaTheme="minorEastAsia"/>
          <w:color w:val="auto"/>
          <w:sz w:val="24"/>
          <w:highlight w:val="none"/>
        </w:rPr>
        <w:t>本项目电子评审过程实行网上留痕、全程录音、录像监控，响应谈判供应商在评审过程中所进行的试图影响评审结果的不公正活动，其响应按无效处理。</w:t>
      </w:r>
    </w:p>
    <w:p w14:paraId="1C888964">
      <w:pPr>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29.4</w:t>
      </w:r>
      <w:r>
        <w:rPr>
          <w:rFonts w:hint="eastAsia" w:cs="宋体" w:asciiTheme="minorEastAsia" w:hAnsiTheme="minorEastAsia" w:eastAsiaTheme="minorEastAsia"/>
          <w:color w:val="auto"/>
          <w:sz w:val="24"/>
          <w:highlight w:val="none"/>
        </w:rPr>
        <w:t>采购过程中出现以下情形，导致电子交易平台无法正常运行，或者无法保证电子交易的公平、公正和安全时，</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可中止电子交易活动：</w:t>
      </w:r>
    </w:p>
    <w:p w14:paraId="01350F3B">
      <w:pPr>
        <w:autoSpaceDE w:val="0"/>
        <w:autoSpaceDN w:val="0"/>
        <w:adjustRightInd w:val="0"/>
        <w:spacing w:line="360" w:lineRule="auto"/>
        <w:ind w:firstLine="240" w:firstLineChars="1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（1）电子交易平台发生故障而无法登录访问的； </w:t>
      </w:r>
    </w:p>
    <w:p w14:paraId="43A6A675">
      <w:pPr>
        <w:autoSpaceDE w:val="0"/>
        <w:autoSpaceDN w:val="0"/>
        <w:adjustRightInd w:val="0"/>
        <w:spacing w:line="360" w:lineRule="auto"/>
        <w:ind w:firstLine="240" w:firstLineChars="1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（2）电子交易平台应用或数据库出现错误，不能进行正常操作的；</w:t>
      </w:r>
    </w:p>
    <w:p w14:paraId="72F7A40A">
      <w:pPr>
        <w:autoSpaceDE w:val="0"/>
        <w:autoSpaceDN w:val="0"/>
        <w:adjustRightInd w:val="0"/>
        <w:spacing w:line="360" w:lineRule="auto"/>
        <w:ind w:firstLine="240" w:firstLineChars="1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（3）电子交易平台发现严重安全漏洞，有潜在泄密危险的；</w:t>
      </w:r>
    </w:p>
    <w:p w14:paraId="3CCD971F">
      <w:pPr>
        <w:autoSpaceDE w:val="0"/>
        <w:autoSpaceDN w:val="0"/>
        <w:adjustRightInd w:val="0"/>
        <w:spacing w:line="360" w:lineRule="auto"/>
        <w:ind w:firstLine="240" w:firstLineChars="1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（4）病毒发作导致不能进行正常操作的； </w:t>
      </w:r>
    </w:p>
    <w:p w14:paraId="7AA12087">
      <w:pPr>
        <w:autoSpaceDE w:val="0"/>
        <w:autoSpaceDN w:val="0"/>
        <w:adjustRightInd w:val="0"/>
        <w:spacing w:line="360" w:lineRule="auto"/>
        <w:ind w:firstLine="240" w:firstLineChars="1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）其他无法保证电子交易的公平、公正和安全的情况。</w:t>
      </w:r>
    </w:p>
    <w:p w14:paraId="1DD58C42">
      <w:pPr>
        <w:autoSpaceDE w:val="0"/>
        <w:autoSpaceDN w:val="0"/>
        <w:adjustRightInd w:val="0"/>
        <w:spacing w:line="360" w:lineRule="auto"/>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29.5</w:t>
      </w:r>
      <w:r>
        <w:rPr>
          <w:rFonts w:hint="eastAsia" w:cs="宋体" w:asciiTheme="minorEastAsia" w:hAnsiTheme="minorEastAsia" w:eastAsiaTheme="minorEastAsia"/>
          <w:color w:val="auto"/>
          <w:sz w:val="24"/>
          <w:highlight w:val="none"/>
        </w:rPr>
        <w:t>出现以上情形，不影响采购公平、公正性的，采购组织机构可以待上述情形消除后</w:t>
      </w:r>
      <w:r>
        <w:rPr>
          <w:rFonts w:hint="eastAsia" w:cs="宋体" w:asciiTheme="minorEastAsia" w:hAnsiTheme="minorEastAsia" w:eastAsiaTheme="minorEastAsia"/>
          <w:color w:val="auto"/>
          <w:spacing w:val="3"/>
          <w:kern w:val="0"/>
          <w:sz w:val="24"/>
          <w:highlight w:val="none"/>
          <w:fitText w:val="9120" w:id="1067921589"/>
        </w:rPr>
        <w:t>继续组织电子交易活动；影响或可能影响采购公平、公正性的，经采购代理机构确</w:t>
      </w:r>
      <w:r>
        <w:rPr>
          <w:rFonts w:hint="eastAsia" w:cs="宋体" w:asciiTheme="minorEastAsia" w:hAnsiTheme="minorEastAsia" w:eastAsiaTheme="minorEastAsia"/>
          <w:color w:val="auto"/>
          <w:spacing w:val="12"/>
          <w:kern w:val="0"/>
          <w:sz w:val="24"/>
          <w:highlight w:val="none"/>
          <w:fitText w:val="9120" w:id="1067921589"/>
        </w:rPr>
        <w:t>认</w:t>
      </w:r>
      <w:r>
        <w:rPr>
          <w:rFonts w:hint="eastAsia" w:cs="宋体" w:asciiTheme="minorEastAsia" w:hAnsiTheme="minorEastAsia" w:eastAsiaTheme="minorEastAsia"/>
          <w:color w:val="auto"/>
          <w:sz w:val="24"/>
          <w:highlight w:val="none"/>
        </w:rPr>
        <w:t>后，应当重新采购。采购代理机构必须对原有的资料及信息作出妥善保密处理，并报财政部门备案。</w:t>
      </w:r>
    </w:p>
    <w:p w14:paraId="6EE6B2CB">
      <w:pPr>
        <w:pStyle w:val="8"/>
        <w:spacing w:line="360" w:lineRule="auto"/>
        <w:ind w:left="482" w:hanging="482"/>
        <w:rPr>
          <w:rFonts w:hint="default" w:hAnsi="宋体"/>
          <w:b/>
          <w:color w:val="auto"/>
          <w:sz w:val="24"/>
          <w:szCs w:val="24"/>
          <w:highlight w:val="none"/>
        </w:rPr>
      </w:pPr>
      <w:r>
        <w:rPr>
          <w:rFonts w:hAnsi="宋体"/>
          <w:b/>
          <w:color w:val="auto"/>
          <w:sz w:val="24"/>
          <w:szCs w:val="24"/>
          <w:highlight w:val="none"/>
        </w:rPr>
        <w:t>3</w:t>
      </w:r>
      <w:r>
        <w:rPr>
          <w:rFonts w:hint="default" w:hAnsi="宋体"/>
          <w:b/>
          <w:color w:val="auto"/>
          <w:sz w:val="24"/>
          <w:szCs w:val="24"/>
          <w:highlight w:val="none"/>
        </w:rPr>
        <w:t>0</w:t>
      </w:r>
      <w:r>
        <w:rPr>
          <w:rFonts w:hAnsi="宋体"/>
          <w:b/>
          <w:color w:val="auto"/>
          <w:sz w:val="24"/>
          <w:szCs w:val="24"/>
          <w:highlight w:val="none"/>
        </w:rPr>
        <w:t>.同一品牌产品的认定</w:t>
      </w:r>
    </w:p>
    <w:p w14:paraId="5B7F40B0">
      <w:pPr>
        <w:spacing w:line="340" w:lineRule="exact"/>
        <w:ind w:firstLine="482" w:firstLineChars="200"/>
        <w:rPr>
          <w:rFonts w:hint="eastAsia" w:ascii="宋体" w:hAnsi="宋体" w:eastAsia="宋体" w:cs="宋体"/>
          <w:sz w:val="24"/>
          <w:szCs w:val="24"/>
          <w:highlight w:val="none"/>
        </w:rPr>
      </w:pPr>
      <w:r>
        <w:rPr>
          <w:rFonts w:ascii="宋体" w:hAnsi="宋体" w:eastAsia="宋体" w:cs="Times New Roman"/>
          <w:b/>
          <w:color w:val="auto"/>
          <w:sz w:val="24"/>
          <w:szCs w:val="24"/>
          <w:highlight w:val="none"/>
        </w:rPr>
        <w:t>3</w:t>
      </w:r>
      <w:r>
        <w:rPr>
          <w:rFonts w:hint="default" w:ascii="宋体" w:hAnsi="宋体" w:eastAsia="宋体" w:cs="Times New Roman"/>
          <w:b/>
          <w:color w:val="auto"/>
          <w:sz w:val="24"/>
          <w:szCs w:val="24"/>
          <w:highlight w:val="none"/>
        </w:rPr>
        <w:t>0</w:t>
      </w:r>
      <w:r>
        <w:rPr>
          <w:rFonts w:ascii="宋体" w:hAnsi="宋体" w:eastAsia="宋体" w:cs="Times New Roman"/>
          <w:b/>
          <w:color w:val="auto"/>
          <w:sz w:val="24"/>
          <w:szCs w:val="24"/>
          <w:highlight w:val="none"/>
        </w:rPr>
        <w:t>.1</w:t>
      </w:r>
      <w:r>
        <w:rPr>
          <w:rFonts w:hint="eastAsia" w:ascii="宋体" w:hAnsi="宋体" w:eastAsia="宋体" w:cs="宋体"/>
          <w:b/>
          <w:bCs/>
          <w:sz w:val="24"/>
          <w:szCs w:val="24"/>
          <w:highlight w:val="none"/>
          <w:lang w:val="zh-CN"/>
        </w:rPr>
        <w:t>多家投标（报价）供应商提供的核心产品品牌相同的，以及未明确核心产品、不同供应商提供的相同品牌产品金额超过各自报价50%的，按照1家投标（报价）供应商计算。不同品牌产品达到3家以上的继续评审。应当对同品牌所有供应商进行评分，由得分最高的供应商参加后续排名。同品牌供应商得分或者报价相同的，由评审委员会按照采购文件明确的方式确定1家预中标供应商，采购文件未明确的，采取随机抽取方式确定。</w:t>
      </w:r>
    </w:p>
    <w:p w14:paraId="03C30000">
      <w:pPr>
        <w:spacing w:line="340" w:lineRule="exact"/>
        <w:ind w:firstLine="480" w:firstLineChars="200"/>
        <w:rPr>
          <w:rFonts w:hint="eastAsia" w:ascii="宋体" w:hAnsi="宋体" w:eastAsia="宋体" w:cs="宋体"/>
          <w:sz w:val="24"/>
          <w:szCs w:val="24"/>
          <w:highlight w:val="none"/>
        </w:rPr>
      </w:pPr>
    </w:p>
    <w:p w14:paraId="7F5D9624">
      <w:pPr>
        <w:autoSpaceDE w:val="0"/>
        <w:autoSpaceDN w:val="0"/>
        <w:adjustRightInd w:val="0"/>
        <w:spacing w:line="360" w:lineRule="auto"/>
        <w:rPr>
          <w:rFonts w:cs="宋体" w:asciiTheme="minorEastAsia" w:hAnsiTheme="minorEastAsia" w:eastAsiaTheme="minorEastAsia"/>
          <w:b/>
          <w:bCs/>
          <w:color w:val="auto"/>
          <w:sz w:val="24"/>
          <w:highlight w:val="none"/>
        </w:rPr>
      </w:pPr>
      <w:r>
        <w:rPr>
          <w:rFonts w:cs="宋体" w:asciiTheme="minorEastAsia" w:hAnsiTheme="minorEastAsia" w:eastAsiaTheme="minorEastAsia"/>
          <w:b/>
          <w:bCs/>
          <w:color w:val="auto"/>
          <w:sz w:val="24"/>
          <w:highlight w:val="none"/>
        </w:rPr>
        <w:t>31.</w:t>
      </w:r>
      <w:r>
        <w:rPr>
          <w:rFonts w:hint="eastAsia" w:ascii="宋体" w:hAnsi="宋体"/>
          <w:b/>
          <w:bCs/>
          <w:color w:val="auto"/>
          <w:sz w:val="24"/>
          <w:highlight w:val="none"/>
        </w:rPr>
        <w:t>谈判响应文件的澄清</w:t>
      </w:r>
    </w:p>
    <w:p w14:paraId="6012BB8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为了有助于对谈判响应文件的审查、评价和比较，谈判小组可以根据需要响应谈判供应商澄清其谈判响应文件，但不应寻求提出或允许更改谈判响应文件的实质性内容。</w:t>
      </w:r>
    </w:p>
    <w:p w14:paraId="02B3D5F7">
      <w:pPr>
        <w:spacing w:line="360" w:lineRule="auto"/>
        <w:rPr>
          <w:rFonts w:ascii="宋体" w:hAnsi="宋体"/>
          <w:b/>
          <w:bCs/>
          <w:color w:val="auto"/>
          <w:sz w:val="24"/>
          <w:highlight w:val="none"/>
        </w:rPr>
      </w:pPr>
      <w:r>
        <w:rPr>
          <w:rFonts w:ascii="宋体" w:hAnsi="宋体"/>
          <w:b/>
          <w:bCs/>
          <w:color w:val="auto"/>
          <w:sz w:val="24"/>
          <w:highlight w:val="none"/>
        </w:rPr>
        <w:t>32.</w:t>
      </w:r>
      <w:r>
        <w:rPr>
          <w:rFonts w:hint="eastAsia" w:ascii="宋体" w:hAnsi="宋体"/>
          <w:b/>
          <w:bCs/>
          <w:color w:val="auto"/>
          <w:sz w:val="24"/>
          <w:highlight w:val="none"/>
        </w:rPr>
        <w:t>错误的修正</w:t>
      </w:r>
    </w:p>
    <w:p w14:paraId="1EC3B673">
      <w:pPr>
        <w:spacing w:line="360" w:lineRule="auto"/>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谈判小组将对被确定为实质上响应谈判文件要求的谈判响应文件进行校核，看其是否有计算错误。改正计算错误的原则如下：当用数字表示的数额与用文字表示的数额不一致时，以文字为准；当单价与服务数量的乘积与细目总价不一致时，通常以该行填报的单价为准。除非谈判小组认为单价有明显的小数点错位，此时应以填报的细目总价为准并修改单价。</w:t>
      </w:r>
    </w:p>
    <w:p w14:paraId="10C1D4C6">
      <w:pPr>
        <w:spacing w:line="360" w:lineRule="auto"/>
        <w:rPr>
          <w:rFonts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谈判</w:t>
      </w:r>
      <w:r>
        <w:rPr>
          <w:rFonts w:ascii="宋体" w:hAnsi="宋体"/>
          <w:color w:val="auto"/>
          <w:sz w:val="24"/>
          <w:highlight w:val="none"/>
        </w:rPr>
        <w:t>小组</w:t>
      </w:r>
      <w:r>
        <w:rPr>
          <w:rFonts w:hint="eastAsia" w:ascii="宋体" w:hAnsi="宋体"/>
          <w:color w:val="auto"/>
          <w:sz w:val="24"/>
          <w:highlight w:val="none"/>
        </w:rPr>
        <w:t>将按上述改正错误的原则调整谈判响应文件的报价。在响应谈判供应商同意后，调整后的报价对响应谈判供应商起约束作用，如果响应谈判供应商不接受改正后的报价，则其谈判响应文件将被拒绝。</w:t>
      </w:r>
    </w:p>
    <w:p w14:paraId="420119C4">
      <w:pPr>
        <w:spacing w:line="360" w:lineRule="auto"/>
        <w:rPr>
          <w:rFonts w:ascii="宋体" w:hAnsi="宋体"/>
          <w:b/>
          <w:color w:val="auto"/>
          <w:sz w:val="24"/>
          <w:highlight w:val="none"/>
        </w:rPr>
      </w:pPr>
      <w:r>
        <w:rPr>
          <w:rFonts w:ascii="宋体" w:hAnsi="宋体"/>
          <w:b/>
          <w:color w:val="auto"/>
          <w:sz w:val="24"/>
          <w:highlight w:val="none"/>
        </w:rPr>
        <w:t>33.中小微企业的</w:t>
      </w:r>
      <w:r>
        <w:rPr>
          <w:rFonts w:hint="eastAsia" w:ascii="宋体" w:hAnsi="宋体"/>
          <w:b/>
          <w:color w:val="auto"/>
          <w:sz w:val="24"/>
          <w:highlight w:val="none"/>
        </w:rPr>
        <w:t>划型</w:t>
      </w:r>
    </w:p>
    <w:p w14:paraId="04A06F66">
      <w:pPr>
        <w:spacing w:line="360" w:lineRule="auto"/>
        <w:rPr>
          <w:rFonts w:ascii="宋体" w:hAnsi="宋体"/>
          <w:color w:val="auto"/>
          <w:sz w:val="24"/>
          <w:highlight w:val="none"/>
        </w:rPr>
      </w:pPr>
      <w:r>
        <w:rPr>
          <w:rFonts w:ascii="宋体" w:hAnsi="宋体"/>
          <w:color w:val="auto"/>
          <w:sz w:val="24"/>
          <w:highlight w:val="none"/>
        </w:rPr>
        <w:t>33</w:t>
      </w:r>
      <w:r>
        <w:rPr>
          <w:rFonts w:hint="eastAsia" w:ascii="宋体" w:hAnsi="宋体"/>
          <w:color w:val="auto"/>
          <w:sz w:val="24"/>
          <w:highlight w:val="none"/>
        </w:rPr>
        <w:t>.1中</w:t>
      </w:r>
      <w:r>
        <w:rPr>
          <w:rFonts w:ascii="宋体" w:hAnsi="宋体"/>
          <w:color w:val="auto"/>
          <w:sz w:val="24"/>
          <w:highlight w:val="none"/>
        </w:rPr>
        <w:t>小微企业投标是</w:t>
      </w:r>
      <w:r>
        <w:rPr>
          <w:rFonts w:hint="eastAsia" w:ascii="宋体" w:hAnsi="宋体"/>
          <w:color w:val="auto"/>
          <w:sz w:val="24"/>
          <w:highlight w:val="none"/>
        </w:rPr>
        <w:t>符</w:t>
      </w:r>
      <w:r>
        <w:rPr>
          <w:rFonts w:ascii="宋体" w:hAnsi="宋体"/>
          <w:color w:val="auto"/>
          <w:sz w:val="24"/>
          <w:highlight w:val="none"/>
        </w:rPr>
        <w:t>合《</w:t>
      </w:r>
      <w:r>
        <w:rPr>
          <w:rFonts w:hint="eastAsia" w:ascii="宋体" w:hAnsi="宋体"/>
          <w:color w:val="auto"/>
          <w:sz w:val="24"/>
          <w:highlight w:val="none"/>
        </w:rPr>
        <w:t>中</w:t>
      </w:r>
      <w:r>
        <w:rPr>
          <w:rFonts w:ascii="宋体" w:hAnsi="宋体"/>
          <w:color w:val="auto"/>
          <w:sz w:val="24"/>
          <w:highlight w:val="none"/>
        </w:rPr>
        <w:t>小企业划型标</w:t>
      </w:r>
      <w:r>
        <w:rPr>
          <w:rFonts w:hint="eastAsia" w:ascii="宋体" w:hAnsi="宋体"/>
          <w:color w:val="auto"/>
          <w:sz w:val="24"/>
          <w:highlight w:val="none"/>
        </w:rPr>
        <w:t>准</w:t>
      </w:r>
      <w:r>
        <w:rPr>
          <w:rFonts w:ascii="宋体" w:hAnsi="宋体"/>
          <w:color w:val="auto"/>
          <w:sz w:val="24"/>
          <w:highlight w:val="none"/>
        </w:rPr>
        <w:t>规定》</w:t>
      </w:r>
      <w:r>
        <w:rPr>
          <w:rFonts w:hint="eastAsia" w:ascii="宋体" w:hAnsi="宋体"/>
          <w:color w:val="auto"/>
          <w:sz w:val="24"/>
          <w:highlight w:val="none"/>
        </w:rPr>
        <w:t>的</w:t>
      </w:r>
      <w:r>
        <w:rPr>
          <w:rFonts w:ascii="宋体" w:hAnsi="宋体"/>
          <w:color w:val="auto"/>
          <w:sz w:val="24"/>
          <w:highlight w:val="none"/>
        </w:rPr>
        <w:t>响应谈判供应商，通过投标提供本企业制造的货物、</w:t>
      </w:r>
      <w:r>
        <w:rPr>
          <w:rFonts w:hint="eastAsia" w:ascii="宋体" w:hAnsi="宋体"/>
          <w:color w:val="auto"/>
          <w:sz w:val="24"/>
          <w:highlight w:val="none"/>
        </w:rPr>
        <w:t>承担</w:t>
      </w:r>
      <w:r>
        <w:rPr>
          <w:rFonts w:ascii="宋体" w:hAnsi="宋体"/>
          <w:color w:val="auto"/>
          <w:sz w:val="24"/>
          <w:highlight w:val="none"/>
        </w:rPr>
        <w:t>的工程或者服务，或者提供其他中小微企业制造的货物。本</w:t>
      </w:r>
      <w:r>
        <w:rPr>
          <w:rFonts w:hint="eastAsia" w:ascii="宋体" w:hAnsi="宋体"/>
          <w:color w:val="auto"/>
          <w:sz w:val="24"/>
          <w:highlight w:val="none"/>
        </w:rPr>
        <w:t>项</w:t>
      </w:r>
      <w:r>
        <w:rPr>
          <w:rFonts w:ascii="宋体" w:hAnsi="宋体"/>
          <w:color w:val="auto"/>
          <w:sz w:val="24"/>
          <w:highlight w:val="none"/>
        </w:rPr>
        <w:t>所指货物不包括使用大型企业注册商标的货物。中</w:t>
      </w:r>
      <w:r>
        <w:rPr>
          <w:rFonts w:hint="eastAsia" w:ascii="宋体" w:hAnsi="宋体"/>
          <w:color w:val="auto"/>
          <w:sz w:val="24"/>
          <w:highlight w:val="none"/>
        </w:rPr>
        <w:t>小</w:t>
      </w:r>
      <w:r>
        <w:rPr>
          <w:rFonts w:ascii="宋体" w:hAnsi="宋体"/>
          <w:color w:val="auto"/>
          <w:sz w:val="24"/>
          <w:highlight w:val="none"/>
        </w:rPr>
        <w:t>微企业投标应提供</w:t>
      </w:r>
      <w:r>
        <w:rPr>
          <w:rFonts w:hint="eastAsia" w:ascii="宋体" w:hAnsi="宋体"/>
          <w:color w:val="auto"/>
          <w:sz w:val="24"/>
          <w:highlight w:val="none"/>
        </w:rPr>
        <w:t>《中</w:t>
      </w:r>
      <w:r>
        <w:rPr>
          <w:rFonts w:ascii="宋体" w:hAnsi="宋体"/>
          <w:color w:val="auto"/>
          <w:sz w:val="24"/>
          <w:highlight w:val="none"/>
        </w:rPr>
        <w:t>小</w:t>
      </w:r>
      <w:r>
        <w:rPr>
          <w:rFonts w:hint="eastAsia" w:ascii="宋体" w:hAnsi="宋体"/>
          <w:color w:val="auto"/>
          <w:sz w:val="24"/>
          <w:highlight w:val="none"/>
        </w:rPr>
        <w:t>微</w:t>
      </w:r>
      <w:r>
        <w:rPr>
          <w:rFonts w:ascii="宋体" w:hAnsi="宋体"/>
          <w:color w:val="auto"/>
          <w:sz w:val="24"/>
          <w:highlight w:val="none"/>
        </w:rPr>
        <w:t>企业声明函》</w:t>
      </w:r>
      <w:r>
        <w:rPr>
          <w:rFonts w:hint="eastAsia" w:ascii="宋体" w:hAnsi="宋体"/>
          <w:color w:val="auto"/>
          <w:sz w:val="24"/>
          <w:highlight w:val="none"/>
        </w:rPr>
        <w:t>；</w:t>
      </w:r>
      <w:r>
        <w:rPr>
          <w:rFonts w:ascii="宋体" w:hAnsi="宋体"/>
          <w:color w:val="auto"/>
          <w:sz w:val="24"/>
          <w:highlight w:val="none"/>
        </w:rPr>
        <w:t>中</w:t>
      </w:r>
      <w:r>
        <w:rPr>
          <w:rFonts w:hint="eastAsia" w:ascii="宋体" w:hAnsi="宋体"/>
          <w:color w:val="auto"/>
          <w:sz w:val="24"/>
          <w:highlight w:val="none"/>
        </w:rPr>
        <w:t>小</w:t>
      </w:r>
      <w:r>
        <w:rPr>
          <w:rFonts w:ascii="宋体" w:hAnsi="宋体"/>
          <w:color w:val="auto"/>
          <w:sz w:val="24"/>
          <w:highlight w:val="none"/>
        </w:rPr>
        <w:t>企业划分见《</w:t>
      </w:r>
      <w:r>
        <w:rPr>
          <w:rFonts w:hint="eastAsia" w:ascii="宋体" w:hAnsi="宋体"/>
          <w:color w:val="auto"/>
          <w:sz w:val="24"/>
          <w:highlight w:val="none"/>
        </w:rPr>
        <w:t>关于</w:t>
      </w:r>
      <w:r>
        <w:rPr>
          <w:rFonts w:ascii="宋体" w:hAnsi="宋体"/>
          <w:color w:val="auto"/>
          <w:sz w:val="24"/>
          <w:highlight w:val="none"/>
        </w:rPr>
        <w:t>印发</w:t>
      </w:r>
      <w:r>
        <w:rPr>
          <w:rFonts w:hint="eastAsia" w:ascii="宋体" w:hAnsi="宋体"/>
          <w:color w:val="auto"/>
          <w:sz w:val="24"/>
          <w:highlight w:val="none"/>
        </w:rPr>
        <w:t>中</w:t>
      </w:r>
      <w:r>
        <w:rPr>
          <w:rFonts w:ascii="宋体" w:hAnsi="宋体"/>
          <w:color w:val="auto"/>
          <w:sz w:val="24"/>
          <w:highlight w:val="none"/>
        </w:rPr>
        <w:t>小企业划型标准规定的通知》</w:t>
      </w:r>
      <w:r>
        <w:rPr>
          <w:rFonts w:hint="eastAsia" w:ascii="宋体" w:hAnsi="宋体"/>
          <w:color w:val="auto"/>
          <w:sz w:val="24"/>
          <w:highlight w:val="none"/>
        </w:rPr>
        <w:t>（工</w:t>
      </w:r>
      <w:r>
        <w:rPr>
          <w:rFonts w:ascii="宋体" w:hAnsi="宋体"/>
          <w:color w:val="auto"/>
          <w:sz w:val="24"/>
          <w:highlight w:val="none"/>
        </w:rPr>
        <w:t>信部联企业</w:t>
      </w:r>
      <w:r>
        <w:rPr>
          <w:rFonts w:hint="eastAsia" w:ascii="宋体" w:hAnsi="宋体"/>
          <w:color w:val="auto"/>
          <w:sz w:val="24"/>
          <w:highlight w:val="none"/>
        </w:rPr>
        <w:t>〔2011〕</w:t>
      </w:r>
      <w:r>
        <w:rPr>
          <w:rFonts w:ascii="宋体" w:hAnsi="宋体"/>
          <w:color w:val="auto"/>
          <w:sz w:val="24"/>
          <w:highlight w:val="none"/>
        </w:rPr>
        <w:t>300</w:t>
      </w:r>
      <w:r>
        <w:rPr>
          <w:rFonts w:hint="eastAsia" w:ascii="宋体" w:hAnsi="宋体"/>
          <w:color w:val="auto"/>
          <w:sz w:val="24"/>
          <w:highlight w:val="none"/>
        </w:rPr>
        <w:t>号</w:t>
      </w:r>
      <w:r>
        <w:rPr>
          <w:rFonts w:ascii="宋体" w:hAnsi="宋体"/>
          <w:color w:val="auto"/>
          <w:sz w:val="24"/>
          <w:highlight w:val="none"/>
        </w:rPr>
        <w:t>）</w:t>
      </w:r>
      <w:r>
        <w:rPr>
          <w:rFonts w:hint="eastAsia" w:ascii="宋体" w:hAnsi="宋体"/>
          <w:color w:val="auto"/>
          <w:sz w:val="24"/>
          <w:highlight w:val="none"/>
        </w:rPr>
        <w:t>。</w:t>
      </w:r>
    </w:p>
    <w:p w14:paraId="6CDDC721">
      <w:pPr>
        <w:spacing w:line="360" w:lineRule="auto"/>
        <w:rPr>
          <w:rFonts w:ascii="宋体" w:hAnsi="宋体"/>
          <w:color w:val="auto"/>
          <w:sz w:val="24"/>
          <w:highlight w:val="none"/>
        </w:rPr>
      </w:pPr>
      <w:r>
        <w:rPr>
          <w:rFonts w:ascii="宋体" w:hAnsi="宋体"/>
          <w:color w:val="auto"/>
          <w:sz w:val="24"/>
          <w:highlight w:val="none"/>
        </w:rPr>
        <w:t>33</w:t>
      </w:r>
      <w:r>
        <w:rPr>
          <w:rFonts w:hint="eastAsia" w:ascii="宋体" w:hAnsi="宋体"/>
          <w:color w:val="auto"/>
          <w:sz w:val="24"/>
          <w:highlight w:val="none"/>
        </w:rPr>
        <w:t>.2根据</w:t>
      </w:r>
      <w:r>
        <w:rPr>
          <w:rFonts w:ascii="宋体" w:hAnsi="宋体"/>
          <w:color w:val="auto"/>
          <w:sz w:val="24"/>
          <w:highlight w:val="none"/>
        </w:rPr>
        <w:t>《</w:t>
      </w:r>
      <w:r>
        <w:rPr>
          <w:rFonts w:hint="eastAsia" w:ascii="宋体" w:hAnsi="宋体"/>
          <w:color w:val="auto"/>
          <w:sz w:val="24"/>
          <w:highlight w:val="none"/>
        </w:rPr>
        <w:t>财政</w:t>
      </w:r>
      <w:r>
        <w:rPr>
          <w:rFonts w:ascii="宋体" w:hAnsi="宋体"/>
          <w:color w:val="auto"/>
          <w:sz w:val="24"/>
          <w:highlight w:val="none"/>
        </w:rPr>
        <w:t>部</w:t>
      </w:r>
      <w:r>
        <w:rPr>
          <w:rFonts w:hint="eastAsia" w:ascii="宋体" w:hAnsi="宋体"/>
          <w:color w:val="auto"/>
          <w:sz w:val="24"/>
          <w:highlight w:val="none"/>
        </w:rPr>
        <w:t xml:space="preserve"> 司法</w:t>
      </w:r>
      <w:r>
        <w:rPr>
          <w:rFonts w:ascii="宋体" w:hAnsi="宋体"/>
          <w:color w:val="auto"/>
          <w:sz w:val="24"/>
          <w:highlight w:val="none"/>
        </w:rPr>
        <w:t>部关于政府采购支持</w:t>
      </w:r>
      <w:r>
        <w:rPr>
          <w:rFonts w:hint="eastAsia" w:ascii="宋体" w:hAnsi="宋体"/>
          <w:color w:val="auto"/>
          <w:sz w:val="24"/>
          <w:highlight w:val="none"/>
        </w:rPr>
        <w:t>监狱</w:t>
      </w:r>
      <w:r>
        <w:rPr>
          <w:rFonts w:ascii="宋体" w:hAnsi="宋体"/>
          <w:color w:val="auto"/>
          <w:sz w:val="24"/>
          <w:highlight w:val="none"/>
        </w:rPr>
        <w:t>企业发展有关问题的</w:t>
      </w:r>
      <w:r>
        <w:rPr>
          <w:rFonts w:hint="eastAsia" w:ascii="宋体" w:hAnsi="宋体"/>
          <w:color w:val="auto"/>
          <w:sz w:val="24"/>
          <w:highlight w:val="none"/>
        </w:rPr>
        <w:t>通知</w:t>
      </w:r>
      <w:r>
        <w:rPr>
          <w:rFonts w:ascii="宋体" w:hAnsi="宋体"/>
          <w:color w:val="auto"/>
          <w:sz w:val="24"/>
          <w:highlight w:val="none"/>
        </w:rPr>
        <w:t>》</w:t>
      </w:r>
      <w:r>
        <w:rPr>
          <w:rFonts w:hint="eastAsia" w:ascii="宋体" w:hAnsi="宋体"/>
          <w:color w:val="auto"/>
          <w:sz w:val="24"/>
          <w:highlight w:val="none"/>
        </w:rPr>
        <w:t>（财</w:t>
      </w:r>
      <w:r>
        <w:rPr>
          <w:rFonts w:ascii="宋体" w:hAnsi="宋体"/>
          <w:color w:val="auto"/>
          <w:sz w:val="24"/>
          <w:highlight w:val="none"/>
        </w:rPr>
        <w:t>库</w:t>
      </w:r>
      <w:r>
        <w:rPr>
          <w:rFonts w:hint="eastAsia" w:ascii="宋体" w:hAnsi="宋体"/>
          <w:color w:val="auto"/>
          <w:sz w:val="24"/>
          <w:highlight w:val="none"/>
        </w:rPr>
        <w:t>〔2014〕68号</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监狱企业视同小微企业。监狱</w:t>
      </w:r>
      <w:r>
        <w:rPr>
          <w:rFonts w:hint="eastAsia" w:ascii="宋体" w:hAnsi="宋体"/>
          <w:color w:val="auto"/>
          <w:sz w:val="24"/>
          <w:highlight w:val="none"/>
        </w:rPr>
        <w:t>企业</w:t>
      </w:r>
      <w:r>
        <w:rPr>
          <w:rFonts w:ascii="宋体" w:hAnsi="宋体"/>
          <w:color w:val="auto"/>
          <w:sz w:val="24"/>
          <w:highlight w:val="none"/>
        </w:rPr>
        <w:t>是指</w:t>
      </w:r>
      <w:r>
        <w:rPr>
          <w:rFonts w:hint="eastAsia" w:ascii="宋体" w:hAnsi="宋体"/>
          <w:color w:val="auto"/>
          <w:sz w:val="24"/>
          <w:highlight w:val="none"/>
        </w:rPr>
        <w:t>由</w:t>
      </w:r>
      <w:r>
        <w:rPr>
          <w:rFonts w:ascii="宋体" w:hAnsi="宋体"/>
          <w:color w:val="auto"/>
          <w:sz w:val="24"/>
          <w:highlight w:val="none"/>
        </w:rPr>
        <w:t>司法部认定的为罪犯、戒毒人员提供生产项目和劳动对象，且全部产权属于司法部监狱管理局、戒毒管理局</w:t>
      </w:r>
      <w:r>
        <w:rPr>
          <w:rFonts w:hint="eastAsia" w:ascii="宋体" w:hAnsi="宋体"/>
          <w:color w:val="auto"/>
          <w:sz w:val="24"/>
          <w:highlight w:val="none"/>
        </w:rPr>
        <w:t>、</w:t>
      </w:r>
      <w:r>
        <w:rPr>
          <w:rFonts w:ascii="宋体" w:hAnsi="宋体"/>
          <w:color w:val="auto"/>
          <w:sz w:val="24"/>
          <w:highlight w:val="none"/>
        </w:rPr>
        <w:t>直属煤矿管理局，各省、自治区、直辖市</w:t>
      </w:r>
      <w:r>
        <w:rPr>
          <w:rFonts w:hint="eastAsia" w:ascii="宋体" w:hAnsi="宋体"/>
          <w:color w:val="auto"/>
          <w:sz w:val="24"/>
          <w:highlight w:val="none"/>
        </w:rPr>
        <w:t>监狱</w:t>
      </w:r>
      <w:r>
        <w:rPr>
          <w:rFonts w:ascii="宋体" w:hAnsi="宋体"/>
          <w:color w:val="auto"/>
          <w:sz w:val="24"/>
          <w:highlight w:val="none"/>
        </w:rPr>
        <w:t>管理局、戒毒管理局，各地（</w:t>
      </w:r>
      <w:r>
        <w:rPr>
          <w:rFonts w:hint="eastAsia" w:ascii="宋体" w:hAnsi="宋体"/>
          <w:color w:val="auto"/>
          <w:sz w:val="24"/>
          <w:highlight w:val="none"/>
        </w:rPr>
        <w:t>设</w:t>
      </w:r>
      <w:r>
        <w:rPr>
          <w:rFonts w:ascii="宋体" w:hAnsi="宋体"/>
          <w:color w:val="auto"/>
          <w:sz w:val="24"/>
          <w:highlight w:val="none"/>
        </w:rPr>
        <w:t>区的市）</w:t>
      </w:r>
      <w:r>
        <w:rPr>
          <w:rFonts w:hint="eastAsia" w:ascii="宋体" w:hAnsi="宋体"/>
          <w:color w:val="auto"/>
          <w:sz w:val="24"/>
          <w:highlight w:val="none"/>
        </w:rPr>
        <w:t>的</w:t>
      </w:r>
      <w:r>
        <w:rPr>
          <w:rFonts w:ascii="宋体" w:hAnsi="宋体"/>
          <w:color w:val="auto"/>
          <w:sz w:val="24"/>
          <w:highlight w:val="none"/>
        </w:rPr>
        <w:t>监狱、</w:t>
      </w:r>
      <w:r>
        <w:rPr>
          <w:rFonts w:hint="eastAsia" w:ascii="宋体" w:hAnsi="宋体"/>
          <w:color w:val="auto"/>
          <w:sz w:val="24"/>
          <w:highlight w:val="none"/>
        </w:rPr>
        <w:t>强制</w:t>
      </w:r>
      <w:r>
        <w:rPr>
          <w:rFonts w:ascii="宋体" w:hAnsi="宋体"/>
          <w:color w:val="auto"/>
          <w:sz w:val="24"/>
          <w:highlight w:val="none"/>
        </w:rPr>
        <w:t>隔离戒毒所、戒毒康复所，以及新疆生产建</w:t>
      </w:r>
      <w:r>
        <w:rPr>
          <w:rFonts w:hint="eastAsia" w:ascii="宋体" w:hAnsi="宋体"/>
          <w:color w:val="auto"/>
          <w:sz w:val="24"/>
          <w:highlight w:val="none"/>
        </w:rPr>
        <w:t>设</w:t>
      </w:r>
      <w:r>
        <w:rPr>
          <w:rFonts w:ascii="宋体" w:hAnsi="宋体"/>
          <w:color w:val="auto"/>
          <w:sz w:val="24"/>
          <w:highlight w:val="none"/>
        </w:rPr>
        <w:t>兵团监狱</w:t>
      </w:r>
      <w:r>
        <w:rPr>
          <w:rFonts w:hint="eastAsia" w:ascii="宋体" w:hAnsi="宋体"/>
          <w:color w:val="auto"/>
          <w:sz w:val="24"/>
          <w:highlight w:val="none"/>
        </w:rPr>
        <w:t>管理</w:t>
      </w:r>
      <w:r>
        <w:rPr>
          <w:rFonts w:ascii="宋体" w:hAnsi="宋体"/>
          <w:color w:val="auto"/>
          <w:sz w:val="24"/>
          <w:highlight w:val="none"/>
        </w:rPr>
        <w:t>局</w:t>
      </w:r>
      <w:r>
        <w:rPr>
          <w:rFonts w:hint="eastAsia" w:ascii="宋体" w:hAnsi="宋体"/>
          <w:color w:val="auto"/>
          <w:sz w:val="24"/>
          <w:highlight w:val="none"/>
        </w:rPr>
        <w:t>、戒毒管理</w:t>
      </w:r>
      <w:r>
        <w:rPr>
          <w:rFonts w:ascii="宋体" w:hAnsi="宋体"/>
          <w:color w:val="auto"/>
          <w:sz w:val="24"/>
          <w:highlight w:val="none"/>
        </w:rPr>
        <w:t>局的企业。监狱</w:t>
      </w:r>
      <w:r>
        <w:rPr>
          <w:rFonts w:hint="eastAsia" w:ascii="宋体" w:hAnsi="宋体"/>
          <w:color w:val="auto"/>
          <w:sz w:val="24"/>
          <w:highlight w:val="none"/>
        </w:rPr>
        <w:t>企业</w:t>
      </w:r>
      <w:r>
        <w:rPr>
          <w:rFonts w:ascii="宋体" w:hAnsi="宋体"/>
          <w:color w:val="auto"/>
          <w:sz w:val="24"/>
          <w:highlight w:val="none"/>
        </w:rPr>
        <w:t>投标时，提供由省级以上监狱管理局、戒毒管理局（</w:t>
      </w:r>
      <w:r>
        <w:rPr>
          <w:rFonts w:hint="eastAsia" w:ascii="宋体" w:hAnsi="宋体"/>
          <w:color w:val="auto"/>
          <w:sz w:val="24"/>
          <w:highlight w:val="none"/>
        </w:rPr>
        <w:t>含</w:t>
      </w:r>
      <w:r>
        <w:rPr>
          <w:rFonts w:ascii="宋体" w:hAnsi="宋体"/>
          <w:color w:val="auto"/>
          <w:sz w:val="24"/>
          <w:highlight w:val="none"/>
        </w:rPr>
        <w:t>新疆生产建设兵团）</w:t>
      </w:r>
      <w:r>
        <w:rPr>
          <w:rFonts w:hint="eastAsia" w:ascii="宋体" w:hAnsi="宋体"/>
          <w:color w:val="auto"/>
          <w:sz w:val="24"/>
          <w:highlight w:val="none"/>
        </w:rPr>
        <w:t>出</w:t>
      </w:r>
      <w:r>
        <w:rPr>
          <w:rFonts w:ascii="宋体" w:hAnsi="宋体"/>
          <w:color w:val="auto"/>
          <w:sz w:val="24"/>
          <w:highlight w:val="none"/>
        </w:rPr>
        <w:t>具的属于监狱企业的证明文件，不再</w:t>
      </w:r>
      <w:r>
        <w:rPr>
          <w:rFonts w:hint="eastAsia" w:ascii="宋体" w:hAnsi="宋体"/>
          <w:color w:val="auto"/>
          <w:sz w:val="24"/>
          <w:highlight w:val="none"/>
        </w:rPr>
        <w:t>提供</w:t>
      </w:r>
      <w:r>
        <w:rPr>
          <w:rFonts w:ascii="宋体" w:hAnsi="宋体"/>
          <w:color w:val="auto"/>
          <w:sz w:val="24"/>
          <w:highlight w:val="none"/>
        </w:rPr>
        <w:t>《</w:t>
      </w:r>
      <w:r>
        <w:rPr>
          <w:rFonts w:hint="eastAsia" w:ascii="宋体" w:hAnsi="宋体"/>
          <w:color w:val="auto"/>
          <w:sz w:val="24"/>
          <w:highlight w:val="none"/>
        </w:rPr>
        <w:t>中</w:t>
      </w:r>
      <w:r>
        <w:rPr>
          <w:rFonts w:ascii="宋体" w:hAnsi="宋体"/>
          <w:color w:val="auto"/>
          <w:sz w:val="24"/>
          <w:highlight w:val="none"/>
        </w:rPr>
        <w:t>小微企业声明函》</w:t>
      </w:r>
      <w:r>
        <w:rPr>
          <w:rFonts w:hint="eastAsia" w:ascii="宋体" w:hAnsi="宋体"/>
          <w:color w:val="auto"/>
          <w:sz w:val="24"/>
          <w:highlight w:val="none"/>
        </w:rPr>
        <w:t>。</w:t>
      </w:r>
    </w:p>
    <w:p w14:paraId="301BD691">
      <w:pPr>
        <w:spacing w:line="360" w:lineRule="auto"/>
        <w:rPr>
          <w:rFonts w:ascii="宋体" w:hAnsi="宋体"/>
          <w:color w:val="auto"/>
          <w:sz w:val="24"/>
          <w:highlight w:val="none"/>
        </w:rPr>
      </w:pPr>
      <w:r>
        <w:rPr>
          <w:rFonts w:ascii="宋体" w:hAnsi="宋体"/>
          <w:color w:val="auto"/>
          <w:sz w:val="24"/>
          <w:highlight w:val="none"/>
        </w:rPr>
        <w:t>33</w:t>
      </w:r>
      <w:r>
        <w:rPr>
          <w:rFonts w:hint="eastAsia" w:ascii="宋体" w:hAnsi="宋体"/>
          <w:color w:val="auto"/>
          <w:sz w:val="24"/>
          <w:highlight w:val="none"/>
        </w:rPr>
        <w:t>.3根据《财政</w:t>
      </w:r>
      <w:r>
        <w:rPr>
          <w:rFonts w:ascii="宋体" w:hAnsi="宋体"/>
          <w:color w:val="auto"/>
          <w:sz w:val="24"/>
          <w:highlight w:val="none"/>
        </w:rPr>
        <w:t>部</w:t>
      </w:r>
      <w:r>
        <w:rPr>
          <w:rFonts w:hint="eastAsia" w:ascii="宋体" w:hAnsi="宋体"/>
          <w:color w:val="auto"/>
          <w:sz w:val="24"/>
          <w:highlight w:val="none"/>
        </w:rPr>
        <w:t xml:space="preserve"> 民</w:t>
      </w:r>
      <w:r>
        <w:rPr>
          <w:rFonts w:ascii="宋体" w:hAnsi="宋体"/>
          <w:color w:val="auto"/>
          <w:sz w:val="24"/>
          <w:highlight w:val="none"/>
        </w:rPr>
        <w:t>政</w:t>
      </w:r>
      <w:r>
        <w:rPr>
          <w:rFonts w:hint="eastAsia" w:ascii="宋体" w:hAnsi="宋体"/>
          <w:color w:val="auto"/>
          <w:sz w:val="24"/>
          <w:highlight w:val="none"/>
        </w:rPr>
        <w:t>部 中</w:t>
      </w:r>
      <w:r>
        <w:rPr>
          <w:rFonts w:ascii="宋体" w:hAnsi="宋体"/>
          <w:color w:val="auto"/>
          <w:sz w:val="24"/>
          <w:highlight w:val="none"/>
        </w:rPr>
        <w:t>国残疾人联合会关于促进残疾人就业政府采购政</w:t>
      </w:r>
      <w:r>
        <w:rPr>
          <w:rFonts w:hint="eastAsia" w:ascii="宋体" w:hAnsi="宋体"/>
          <w:color w:val="auto"/>
          <w:sz w:val="24"/>
          <w:highlight w:val="none"/>
        </w:rPr>
        <w:t>策</w:t>
      </w:r>
      <w:r>
        <w:rPr>
          <w:rFonts w:ascii="宋体" w:hAnsi="宋体"/>
          <w:color w:val="auto"/>
          <w:sz w:val="24"/>
          <w:highlight w:val="none"/>
        </w:rPr>
        <w:t>的通知》</w:t>
      </w:r>
      <w:r>
        <w:rPr>
          <w:rFonts w:hint="eastAsia" w:ascii="宋体" w:hAnsi="宋体"/>
          <w:color w:val="auto"/>
          <w:sz w:val="24"/>
          <w:highlight w:val="none"/>
        </w:rPr>
        <w:t>（财库〔201</w:t>
      </w:r>
      <w:r>
        <w:rPr>
          <w:rFonts w:ascii="宋体" w:hAnsi="宋体"/>
          <w:color w:val="auto"/>
          <w:sz w:val="24"/>
          <w:highlight w:val="none"/>
        </w:rPr>
        <w:t>7</w:t>
      </w:r>
      <w:r>
        <w:rPr>
          <w:rFonts w:hint="eastAsia" w:ascii="宋体" w:hAnsi="宋体"/>
          <w:color w:val="auto"/>
          <w:sz w:val="24"/>
          <w:highlight w:val="none"/>
        </w:rPr>
        <w:t>〕</w:t>
      </w:r>
      <w:r>
        <w:rPr>
          <w:rFonts w:ascii="宋体" w:hAnsi="宋体"/>
          <w:color w:val="auto"/>
          <w:sz w:val="24"/>
          <w:highlight w:val="none"/>
        </w:rPr>
        <w:t>141</w:t>
      </w:r>
      <w:r>
        <w:rPr>
          <w:rFonts w:hint="eastAsia" w:ascii="宋体" w:hAnsi="宋体"/>
          <w:color w:val="auto"/>
          <w:sz w:val="24"/>
          <w:highlight w:val="none"/>
        </w:rPr>
        <w:t>号</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在政府采购活动中，残疾人福利性单位视同小型、微型企业，享受政府采购支持政策的残疾人福利性单位应当同时满足《</w:t>
      </w:r>
      <w:r>
        <w:rPr>
          <w:rFonts w:hint="eastAsia" w:ascii="宋体" w:hAnsi="宋体"/>
          <w:color w:val="auto"/>
          <w:sz w:val="24"/>
          <w:highlight w:val="none"/>
        </w:rPr>
        <w:t>财政</w:t>
      </w:r>
      <w:r>
        <w:rPr>
          <w:rFonts w:ascii="宋体" w:hAnsi="宋体"/>
          <w:color w:val="auto"/>
          <w:sz w:val="24"/>
          <w:highlight w:val="none"/>
        </w:rPr>
        <w:t>部</w:t>
      </w:r>
      <w:r>
        <w:rPr>
          <w:rFonts w:hint="eastAsia" w:ascii="宋体" w:hAnsi="宋体"/>
          <w:color w:val="auto"/>
          <w:sz w:val="24"/>
          <w:highlight w:val="none"/>
        </w:rPr>
        <w:t xml:space="preserve"> 民</w:t>
      </w:r>
      <w:r>
        <w:rPr>
          <w:rFonts w:ascii="宋体" w:hAnsi="宋体"/>
          <w:color w:val="auto"/>
          <w:sz w:val="24"/>
          <w:highlight w:val="none"/>
        </w:rPr>
        <w:t>政</w:t>
      </w:r>
      <w:r>
        <w:rPr>
          <w:rFonts w:hint="eastAsia" w:ascii="宋体" w:hAnsi="宋体"/>
          <w:color w:val="auto"/>
          <w:sz w:val="24"/>
          <w:highlight w:val="none"/>
        </w:rPr>
        <w:t>部 中</w:t>
      </w:r>
      <w:r>
        <w:rPr>
          <w:rFonts w:ascii="宋体" w:hAnsi="宋体"/>
          <w:color w:val="auto"/>
          <w:sz w:val="24"/>
          <w:highlight w:val="none"/>
        </w:rPr>
        <w:t>国残疾人联合会关于促进残疾人就业政府采购政</w:t>
      </w:r>
      <w:r>
        <w:rPr>
          <w:rFonts w:hint="eastAsia" w:ascii="宋体" w:hAnsi="宋体"/>
          <w:color w:val="auto"/>
          <w:sz w:val="24"/>
          <w:highlight w:val="none"/>
        </w:rPr>
        <w:t>策</w:t>
      </w:r>
      <w:r>
        <w:rPr>
          <w:rFonts w:ascii="宋体" w:hAnsi="宋体"/>
          <w:color w:val="auto"/>
          <w:sz w:val="24"/>
          <w:highlight w:val="none"/>
        </w:rPr>
        <w:t>的通知》</w:t>
      </w:r>
      <w:r>
        <w:rPr>
          <w:rFonts w:hint="eastAsia" w:ascii="宋体" w:hAnsi="宋体"/>
          <w:color w:val="auto"/>
          <w:sz w:val="24"/>
          <w:highlight w:val="none"/>
        </w:rPr>
        <w:t>所</w:t>
      </w:r>
      <w:r>
        <w:rPr>
          <w:rFonts w:ascii="宋体" w:hAnsi="宋体"/>
          <w:color w:val="auto"/>
          <w:sz w:val="24"/>
          <w:highlight w:val="none"/>
        </w:rPr>
        <w:t>列条件。残疾</w:t>
      </w:r>
      <w:r>
        <w:rPr>
          <w:rFonts w:hint="eastAsia" w:ascii="宋体" w:hAnsi="宋体"/>
          <w:color w:val="auto"/>
          <w:sz w:val="24"/>
          <w:highlight w:val="none"/>
        </w:rPr>
        <w:t>人</w:t>
      </w:r>
      <w:r>
        <w:rPr>
          <w:rFonts w:ascii="宋体" w:hAnsi="宋体"/>
          <w:color w:val="auto"/>
          <w:sz w:val="24"/>
          <w:highlight w:val="none"/>
        </w:rPr>
        <w:t>福利</w:t>
      </w:r>
      <w:r>
        <w:rPr>
          <w:rFonts w:hint="eastAsia" w:ascii="宋体" w:hAnsi="宋体"/>
          <w:color w:val="auto"/>
          <w:sz w:val="24"/>
          <w:highlight w:val="none"/>
          <w:lang w:eastAsia="zh-CN"/>
        </w:rPr>
        <w:t>性</w:t>
      </w:r>
      <w:r>
        <w:rPr>
          <w:rFonts w:ascii="宋体" w:hAnsi="宋体"/>
          <w:color w:val="auto"/>
          <w:sz w:val="24"/>
          <w:highlight w:val="none"/>
        </w:rPr>
        <w:t>单位属于小型、微型企业的，不重复</w:t>
      </w:r>
      <w:r>
        <w:rPr>
          <w:rFonts w:hint="eastAsia" w:ascii="宋体" w:hAnsi="宋体"/>
          <w:color w:val="auto"/>
          <w:sz w:val="24"/>
          <w:highlight w:val="none"/>
        </w:rPr>
        <w:t>享受</w:t>
      </w:r>
      <w:r>
        <w:rPr>
          <w:rFonts w:ascii="宋体" w:hAnsi="宋体"/>
          <w:color w:val="auto"/>
          <w:sz w:val="24"/>
          <w:highlight w:val="none"/>
        </w:rPr>
        <w:t>政策。符合</w:t>
      </w:r>
      <w:r>
        <w:rPr>
          <w:rFonts w:hint="eastAsia" w:ascii="宋体" w:hAnsi="宋体"/>
          <w:color w:val="auto"/>
          <w:sz w:val="24"/>
          <w:highlight w:val="none"/>
        </w:rPr>
        <w:t>条件的</w:t>
      </w:r>
      <w:r>
        <w:rPr>
          <w:rFonts w:ascii="宋体" w:hAnsi="宋体"/>
          <w:color w:val="auto"/>
          <w:sz w:val="24"/>
          <w:highlight w:val="none"/>
        </w:rPr>
        <w:t>残疾人福利性单位在参加政府采购活动时，应当提供《</w:t>
      </w:r>
      <w:r>
        <w:rPr>
          <w:rFonts w:hint="eastAsia" w:ascii="宋体" w:hAnsi="宋体"/>
          <w:color w:val="auto"/>
          <w:sz w:val="24"/>
          <w:highlight w:val="none"/>
        </w:rPr>
        <w:t>残疾</w:t>
      </w:r>
      <w:r>
        <w:rPr>
          <w:rFonts w:ascii="宋体" w:hAnsi="宋体"/>
          <w:color w:val="auto"/>
          <w:sz w:val="24"/>
          <w:highlight w:val="none"/>
        </w:rPr>
        <w:t>人福利性单位声明</w:t>
      </w:r>
      <w:r>
        <w:rPr>
          <w:rFonts w:hint="eastAsia" w:ascii="宋体" w:hAnsi="宋体"/>
          <w:color w:val="auto"/>
          <w:sz w:val="24"/>
          <w:highlight w:val="none"/>
        </w:rPr>
        <w:t>函</w:t>
      </w:r>
      <w:r>
        <w:rPr>
          <w:rFonts w:ascii="宋体" w:hAnsi="宋体"/>
          <w:color w:val="auto"/>
          <w:sz w:val="24"/>
          <w:highlight w:val="none"/>
        </w:rPr>
        <w:t>》</w:t>
      </w:r>
      <w:r>
        <w:rPr>
          <w:rFonts w:hint="eastAsia" w:ascii="宋体" w:hAnsi="宋体"/>
          <w:color w:val="auto"/>
          <w:sz w:val="24"/>
          <w:highlight w:val="none"/>
        </w:rPr>
        <w:t>，并</w:t>
      </w:r>
      <w:r>
        <w:rPr>
          <w:rFonts w:ascii="宋体" w:hAnsi="宋体"/>
          <w:color w:val="auto"/>
          <w:sz w:val="24"/>
          <w:highlight w:val="none"/>
        </w:rPr>
        <w:t>对声明</w:t>
      </w:r>
      <w:r>
        <w:rPr>
          <w:rFonts w:hint="eastAsia" w:ascii="宋体" w:hAnsi="宋体"/>
          <w:color w:val="auto"/>
          <w:sz w:val="24"/>
          <w:highlight w:val="none"/>
        </w:rPr>
        <w:t>的</w:t>
      </w:r>
      <w:r>
        <w:rPr>
          <w:rFonts w:ascii="宋体" w:hAnsi="宋体"/>
          <w:color w:val="auto"/>
          <w:sz w:val="24"/>
          <w:highlight w:val="none"/>
        </w:rPr>
        <w:t>真实性负责</w:t>
      </w:r>
      <w:r>
        <w:rPr>
          <w:rFonts w:hint="eastAsia" w:ascii="宋体" w:hAnsi="宋体"/>
          <w:color w:val="auto"/>
          <w:sz w:val="24"/>
          <w:highlight w:val="none"/>
        </w:rPr>
        <w:t>。</w:t>
      </w:r>
    </w:p>
    <w:p w14:paraId="3B19DF71">
      <w:pPr>
        <w:spacing w:line="360" w:lineRule="auto"/>
        <w:jc w:val="center"/>
        <w:outlineLvl w:val="1"/>
        <w:rPr>
          <w:rFonts w:ascii="宋体" w:hAnsi="宋体"/>
          <w:color w:val="auto"/>
          <w:sz w:val="24"/>
          <w:highlight w:val="none"/>
        </w:rPr>
      </w:pPr>
      <w:bookmarkStart w:id="20" w:name="_Toc103723524"/>
      <w:bookmarkStart w:id="21" w:name="_Toc15555"/>
      <w:r>
        <w:rPr>
          <w:rFonts w:hint="eastAsia" w:ascii="宋体" w:hAnsi="宋体"/>
          <w:b/>
          <w:color w:val="auto"/>
          <w:sz w:val="28"/>
          <w:highlight w:val="none"/>
        </w:rPr>
        <w:t>八、授予合同</w:t>
      </w:r>
      <w:bookmarkEnd w:id="20"/>
      <w:bookmarkEnd w:id="21"/>
    </w:p>
    <w:p w14:paraId="4E0680C9">
      <w:pPr>
        <w:spacing w:line="360" w:lineRule="auto"/>
        <w:rPr>
          <w:rFonts w:ascii="宋体" w:hAnsi="宋体"/>
          <w:b/>
          <w:color w:val="auto"/>
          <w:sz w:val="24"/>
          <w:highlight w:val="none"/>
        </w:rPr>
      </w:pPr>
      <w:r>
        <w:rPr>
          <w:rFonts w:ascii="宋体" w:hAnsi="宋体"/>
          <w:b/>
          <w:color w:val="auto"/>
          <w:sz w:val="24"/>
          <w:highlight w:val="none"/>
        </w:rPr>
        <w:t>34</w:t>
      </w:r>
      <w:r>
        <w:rPr>
          <w:rFonts w:hint="eastAsia" w:ascii="宋体" w:hAnsi="宋体"/>
          <w:b/>
          <w:color w:val="auto"/>
          <w:sz w:val="24"/>
          <w:highlight w:val="none"/>
        </w:rPr>
        <w:t>.定标方式</w:t>
      </w:r>
    </w:p>
    <w:p w14:paraId="6FA914F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采购人依据谈判小组评审的中标排序结果确定成交供应商。</w:t>
      </w:r>
    </w:p>
    <w:p w14:paraId="459058B6">
      <w:pPr>
        <w:spacing w:line="360" w:lineRule="auto"/>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5.</w:t>
      </w:r>
      <w:r>
        <w:rPr>
          <w:rFonts w:hint="eastAsia" w:ascii="宋体" w:hAnsi="宋体"/>
          <w:b/>
          <w:color w:val="auto"/>
          <w:sz w:val="24"/>
          <w:highlight w:val="none"/>
        </w:rPr>
        <w:t>成交通知</w:t>
      </w:r>
    </w:p>
    <w:p w14:paraId="28DDC4D8">
      <w:pPr>
        <w:spacing w:line="360" w:lineRule="auto"/>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5</w:t>
      </w:r>
      <w:r>
        <w:rPr>
          <w:rFonts w:hint="eastAsia" w:ascii="宋体" w:hAnsi="宋体"/>
          <w:color w:val="auto"/>
          <w:sz w:val="24"/>
          <w:highlight w:val="none"/>
        </w:rPr>
        <w:t>.1</w:t>
      </w:r>
      <w:r>
        <w:rPr>
          <w:rFonts w:hint="eastAsia" w:ascii="宋体" w:hAnsi="宋体"/>
          <w:color w:val="auto"/>
          <w:sz w:val="24"/>
          <w:highlight w:val="none"/>
          <w:lang w:eastAsia="zh-CN"/>
        </w:rPr>
        <w:t>采购代理机构</w:t>
      </w:r>
      <w:r>
        <w:rPr>
          <w:rFonts w:ascii="宋体" w:hAnsi="宋体"/>
          <w:color w:val="auto"/>
          <w:sz w:val="24"/>
          <w:highlight w:val="none"/>
        </w:rPr>
        <w:t>将在采购人确定</w:t>
      </w:r>
      <w:r>
        <w:rPr>
          <w:rFonts w:hint="eastAsia" w:ascii="宋体" w:hAnsi="宋体"/>
          <w:color w:val="auto"/>
          <w:sz w:val="24"/>
          <w:highlight w:val="none"/>
        </w:rPr>
        <w:t>成交</w:t>
      </w:r>
      <w:r>
        <w:rPr>
          <w:rFonts w:ascii="宋体" w:hAnsi="宋体"/>
          <w:color w:val="auto"/>
          <w:sz w:val="24"/>
          <w:highlight w:val="none"/>
        </w:rPr>
        <w:t>供应商</w:t>
      </w:r>
      <w:r>
        <w:rPr>
          <w:rFonts w:hint="eastAsia" w:ascii="宋体" w:hAnsi="宋体"/>
          <w:color w:val="auto"/>
          <w:sz w:val="24"/>
          <w:highlight w:val="none"/>
        </w:rPr>
        <w:t>之日</w:t>
      </w:r>
      <w:r>
        <w:rPr>
          <w:rFonts w:ascii="宋体" w:hAnsi="宋体"/>
          <w:color w:val="auto"/>
          <w:sz w:val="24"/>
          <w:highlight w:val="none"/>
        </w:rPr>
        <w:t>起</w:t>
      </w:r>
      <w:r>
        <w:rPr>
          <w:rFonts w:hint="eastAsia" w:ascii="宋体" w:hAnsi="宋体"/>
          <w:color w:val="auto"/>
          <w:sz w:val="24"/>
          <w:highlight w:val="none"/>
        </w:rPr>
        <w:t>2个</w:t>
      </w:r>
      <w:r>
        <w:rPr>
          <w:rFonts w:ascii="宋体" w:hAnsi="宋体"/>
          <w:color w:val="auto"/>
          <w:sz w:val="24"/>
          <w:highlight w:val="none"/>
        </w:rPr>
        <w:t>工作日内，</w:t>
      </w:r>
      <w:r>
        <w:rPr>
          <w:rFonts w:hint="eastAsia" w:ascii="宋体" w:hAnsi="宋体"/>
          <w:color w:val="auto"/>
          <w:sz w:val="24"/>
          <w:highlight w:val="none"/>
        </w:rPr>
        <w:t>发布成交公告，</w:t>
      </w:r>
      <w:r>
        <w:rPr>
          <w:rFonts w:ascii="宋体" w:hAnsi="宋体"/>
          <w:color w:val="auto"/>
          <w:sz w:val="24"/>
          <w:highlight w:val="none"/>
        </w:rPr>
        <w:t>并发出成交通知书。</w:t>
      </w:r>
    </w:p>
    <w:p w14:paraId="4F197DFB">
      <w:pPr>
        <w:spacing w:line="360" w:lineRule="auto"/>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5</w:t>
      </w:r>
      <w:r>
        <w:rPr>
          <w:rFonts w:hint="eastAsia" w:ascii="宋体" w:hAnsi="宋体"/>
          <w:color w:val="auto"/>
          <w:sz w:val="24"/>
          <w:highlight w:val="none"/>
        </w:rPr>
        <w:t>.2在按照本须知第</w:t>
      </w:r>
      <w:r>
        <w:rPr>
          <w:rFonts w:ascii="宋体" w:hAnsi="宋体"/>
          <w:color w:val="auto"/>
          <w:sz w:val="24"/>
          <w:highlight w:val="none"/>
        </w:rPr>
        <w:t>36</w:t>
      </w:r>
      <w:r>
        <w:rPr>
          <w:rFonts w:hint="eastAsia" w:ascii="宋体" w:hAnsi="宋体"/>
          <w:color w:val="auto"/>
          <w:sz w:val="24"/>
          <w:highlight w:val="none"/>
        </w:rPr>
        <w:t>条签署了合同后，该成交通知书将成为合同的一部分。</w:t>
      </w:r>
    </w:p>
    <w:p w14:paraId="2BA8F1B9">
      <w:pPr>
        <w:autoSpaceDE w:val="0"/>
        <w:autoSpaceDN w:val="0"/>
        <w:adjustRightInd w:val="0"/>
        <w:spacing w:line="360" w:lineRule="auto"/>
        <w:ind w:left="-2"/>
        <w:rPr>
          <w:rFonts w:ascii="宋体" w:hAnsi="宋体"/>
          <w:color w:val="auto"/>
          <w:sz w:val="24"/>
          <w:highlight w:val="none"/>
        </w:rPr>
      </w:pPr>
      <w:r>
        <w:rPr>
          <w:rFonts w:ascii="宋体" w:hAnsi="宋体"/>
          <w:b/>
          <w:color w:val="auto"/>
          <w:sz w:val="24"/>
          <w:highlight w:val="none"/>
        </w:rPr>
        <w:t>3</w:t>
      </w:r>
      <w:r>
        <w:rPr>
          <w:rFonts w:hint="eastAsia" w:ascii="宋体" w:hAnsi="宋体"/>
          <w:b/>
          <w:color w:val="auto"/>
          <w:sz w:val="24"/>
          <w:highlight w:val="none"/>
        </w:rPr>
        <w:t>6.合同的签署</w:t>
      </w:r>
    </w:p>
    <w:p w14:paraId="4BF6909B">
      <w:pPr>
        <w:spacing w:line="360" w:lineRule="auto"/>
        <w:rPr>
          <w:rFonts w:ascii="宋体" w:hAnsi="宋体"/>
          <w:b/>
          <w:color w:val="auto"/>
          <w:sz w:val="24"/>
          <w:highlight w:val="none"/>
        </w:rPr>
      </w:pPr>
      <w:r>
        <w:rPr>
          <w:rFonts w:hint="eastAsia" w:ascii="宋体" w:hAnsi="宋体"/>
          <w:b/>
          <w:color w:val="auto"/>
          <w:sz w:val="24"/>
          <w:highlight w:val="none"/>
        </w:rPr>
        <w:t>36.1成交供应商需在领取成交通知书后</w:t>
      </w:r>
      <w:r>
        <w:rPr>
          <w:rFonts w:ascii="宋体" w:hAnsi="宋体"/>
          <w:b/>
          <w:color w:val="auto"/>
          <w:sz w:val="24"/>
          <w:highlight w:val="none"/>
          <w:u w:val="single"/>
        </w:rPr>
        <w:t>30</w:t>
      </w:r>
      <w:r>
        <w:rPr>
          <w:rFonts w:hint="eastAsia" w:ascii="宋体" w:hAnsi="宋体"/>
          <w:b/>
          <w:color w:val="auto"/>
          <w:sz w:val="24"/>
          <w:highlight w:val="none"/>
          <w:u w:val="single"/>
        </w:rPr>
        <w:t>日</w:t>
      </w:r>
      <w:r>
        <w:rPr>
          <w:rFonts w:hint="eastAsia" w:ascii="宋体" w:hAnsi="宋体"/>
          <w:b/>
          <w:color w:val="auto"/>
          <w:sz w:val="24"/>
          <w:highlight w:val="none"/>
        </w:rPr>
        <w:t>内，与采购人签订政府采购合同。政府采购合同内容的确定应以谈判文件和谈判响应文件为基础，不得违背其实质性内容。合同一式两份，具同等法律效力。采购人、成交供应商各执一份。</w:t>
      </w:r>
    </w:p>
    <w:p w14:paraId="5DB8A321">
      <w:pPr>
        <w:spacing w:line="360" w:lineRule="auto"/>
        <w:rPr>
          <w:rFonts w:ascii="宋体" w:hAnsi="宋体"/>
          <w:b/>
          <w:color w:val="auto"/>
          <w:sz w:val="24"/>
          <w:highlight w:val="none"/>
        </w:rPr>
      </w:pPr>
      <w:r>
        <w:rPr>
          <w:rFonts w:hint="eastAsia" w:ascii="宋体" w:hAnsi="宋体"/>
          <w:b/>
          <w:color w:val="auto"/>
          <w:sz w:val="24"/>
          <w:highlight w:val="none"/>
        </w:rPr>
        <w:t>36.2采购人应当自政府采购合同签订之日起</w:t>
      </w:r>
      <w:r>
        <w:rPr>
          <w:rFonts w:hint="eastAsia" w:ascii="宋体" w:hAnsi="宋体"/>
          <w:b/>
          <w:color w:val="auto"/>
          <w:sz w:val="24"/>
          <w:highlight w:val="none"/>
          <w:u w:val="single"/>
        </w:rPr>
        <w:t>2个工作日</w:t>
      </w:r>
      <w:r>
        <w:rPr>
          <w:rFonts w:hint="eastAsia" w:ascii="宋体" w:hAnsi="宋体"/>
          <w:b/>
          <w:color w:val="auto"/>
          <w:sz w:val="24"/>
          <w:highlight w:val="none"/>
        </w:rPr>
        <w:t>内，将政府采购合同在财政部门指定的媒体上公告，但政府采购合同中涉及国家秘密、商业秘密的内容除外。</w:t>
      </w:r>
    </w:p>
    <w:p w14:paraId="3D235CF5">
      <w:pPr>
        <w:spacing w:line="360" w:lineRule="auto"/>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7</w:t>
      </w:r>
      <w:r>
        <w:rPr>
          <w:rFonts w:hint="eastAsia" w:ascii="宋体" w:hAnsi="宋体"/>
          <w:color w:val="auto"/>
          <w:sz w:val="24"/>
          <w:highlight w:val="none"/>
        </w:rPr>
        <w:t>.3成交供应商无正当理由拒签合同的，采购人取消其中标资格，给采购人造成损失的，成交供应商还应当予以赔偿。</w:t>
      </w:r>
    </w:p>
    <w:p w14:paraId="382E90A7">
      <w:pPr>
        <w:spacing w:line="360" w:lineRule="auto"/>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7</w:t>
      </w:r>
      <w:r>
        <w:rPr>
          <w:rFonts w:hint="eastAsia" w:ascii="宋体" w:hAnsi="宋体"/>
          <w:color w:val="auto"/>
          <w:sz w:val="24"/>
          <w:highlight w:val="none"/>
        </w:rPr>
        <w:t>.4发出成交通知书后，采购人无正当理由拒签合同给成交供应商造成损失的，还应当赔偿损失。</w:t>
      </w:r>
    </w:p>
    <w:p w14:paraId="51603BBB">
      <w:pPr>
        <w:spacing w:line="360" w:lineRule="auto"/>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7</w:t>
      </w:r>
      <w:r>
        <w:rPr>
          <w:rFonts w:hint="eastAsia" w:ascii="宋体" w:hAnsi="宋体"/>
          <w:bCs/>
          <w:color w:val="auto"/>
          <w:sz w:val="24"/>
          <w:highlight w:val="none"/>
        </w:rPr>
        <w:t>.5本项目严禁转包，一经发现立即清除，采购人将有充分理由废除授标，成交供应商应承担由此造成的一切经济损失。</w:t>
      </w:r>
    </w:p>
    <w:p w14:paraId="4958EE5E">
      <w:pPr>
        <w:pStyle w:val="33"/>
        <w:spacing w:line="360" w:lineRule="auto"/>
        <w:jc w:val="center"/>
        <w:outlineLvl w:val="1"/>
        <w:rPr>
          <w:rFonts w:ascii="宋体" w:hAnsi="宋体" w:eastAsia="宋体" w:cs="仿宋_GB2312"/>
          <w:b/>
          <w:color w:val="auto"/>
          <w:kern w:val="0"/>
          <w:sz w:val="30"/>
          <w:szCs w:val="30"/>
          <w:highlight w:val="none"/>
          <w:lang w:val="zh-CN"/>
        </w:rPr>
      </w:pPr>
      <w:bookmarkStart w:id="22" w:name="_Toc103723525"/>
      <w:bookmarkStart w:id="23" w:name="_Toc874"/>
      <w:r>
        <w:rPr>
          <w:rFonts w:hint="eastAsia" w:ascii="宋体" w:hAnsi="宋体" w:eastAsia="宋体" w:cs="仿宋_GB2312"/>
          <w:b/>
          <w:color w:val="auto"/>
          <w:kern w:val="0"/>
          <w:sz w:val="30"/>
          <w:szCs w:val="30"/>
          <w:highlight w:val="none"/>
          <w:lang w:val="zh-CN"/>
        </w:rPr>
        <w:t>九、重新</w:t>
      </w:r>
      <w:bookmarkEnd w:id="22"/>
      <w:r>
        <w:rPr>
          <w:rFonts w:hint="eastAsia" w:ascii="宋体" w:hAnsi="宋体" w:eastAsia="宋体" w:cs="仿宋_GB2312"/>
          <w:b/>
          <w:color w:val="auto"/>
          <w:kern w:val="0"/>
          <w:sz w:val="30"/>
          <w:szCs w:val="30"/>
          <w:highlight w:val="none"/>
          <w:lang w:val="zh-CN"/>
        </w:rPr>
        <w:t>采购</w:t>
      </w:r>
      <w:bookmarkEnd w:id="23"/>
    </w:p>
    <w:p w14:paraId="15254AA8">
      <w:pPr>
        <w:pStyle w:val="33"/>
        <w:spacing w:line="360" w:lineRule="auto"/>
        <w:rPr>
          <w:rFonts w:ascii="宋体" w:hAnsi="宋体" w:eastAsia="宋体" w:cs="仿宋_GB2312"/>
          <w:b/>
          <w:color w:val="auto"/>
          <w:kern w:val="0"/>
          <w:sz w:val="24"/>
          <w:highlight w:val="none"/>
          <w:lang w:val="zh-CN"/>
        </w:rPr>
      </w:pPr>
      <w:r>
        <w:rPr>
          <w:rFonts w:hint="eastAsia" w:ascii="宋体" w:hAnsi="宋体" w:eastAsia="宋体" w:cs="仿宋_GB2312"/>
          <w:b/>
          <w:color w:val="auto"/>
          <w:kern w:val="0"/>
          <w:sz w:val="24"/>
          <w:highlight w:val="none"/>
          <w:lang w:val="zh-CN"/>
        </w:rPr>
        <w:t>3</w:t>
      </w:r>
      <w:r>
        <w:rPr>
          <w:rFonts w:ascii="宋体" w:hAnsi="宋体" w:eastAsia="宋体" w:cs="仿宋_GB2312"/>
          <w:b/>
          <w:color w:val="auto"/>
          <w:kern w:val="0"/>
          <w:sz w:val="24"/>
          <w:highlight w:val="none"/>
          <w:lang w:val="zh-CN"/>
        </w:rPr>
        <w:t>8.</w:t>
      </w:r>
      <w:r>
        <w:rPr>
          <w:rFonts w:hint="eastAsia" w:ascii="宋体" w:hAnsi="宋体" w:eastAsia="宋体" w:cs="仿宋_GB2312"/>
          <w:b/>
          <w:color w:val="auto"/>
          <w:kern w:val="0"/>
          <w:sz w:val="24"/>
          <w:highlight w:val="none"/>
          <w:lang w:val="zh-CN"/>
        </w:rPr>
        <w:t>重新采购</w:t>
      </w:r>
    </w:p>
    <w:p w14:paraId="3D950D24">
      <w:pPr>
        <w:pStyle w:val="33"/>
        <w:spacing w:line="360" w:lineRule="auto"/>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3</w:t>
      </w:r>
      <w:r>
        <w:rPr>
          <w:rFonts w:ascii="宋体" w:hAnsi="宋体" w:eastAsia="宋体" w:cs="仿宋_GB2312"/>
          <w:color w:val="auto"/>
          <w:kern w:val="0"/>
          <w:sz w:val="24"/>
          <w:highlight w:val="none"/>
          <w:lang w:val="zh-CN"/>
        </w:rPr>
        <w:t>8</w:t>
      </w:r>
      <w:r>
        <w:rPr>
          <w:rFonts w:hint="eastAsia" w:ascii="宋体" w:hAnsi="宋体" w:eastAsia="宋体" w:cs="仿宋_GB2312"/>
          <w:color w:val="auto"/>
          <w:kern w:val="0"/>
          <w:sz w:val="24"/>
          <w:highlight w:val="none"/>
          <w:lang w:val="zh-CN"/>
        </w:rPr>
        <w:t>.1在谈判采购中，出现下列情形之一的，招标失败：</w:t>
      </w:r>
    </w:p>
    <w:p w14:paraId="6AF62501">
      <w:pPr>
        <w:pStyle w:val="33"/>
        <w:spacing w:line="360" w:lineRule="auto"/>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3</w:t>
      </w:r>
      <w:r>
        <w:rPr>
          <w:rFonts w:ascii="宋体" w:hAnsi="宋体" w:eastAsia="宋体" w:cs="仿宋_GB2312"/>
          <w:color w:val="auto"/>
          <w:kern w:val="0"/>
          <w:sz w:val="24"/>
          <w:highlight w:val="none"/>
          <w:lang w:val="zh-CN"/>
        </w:rPr>
        <w:t>8</w:t>
      </w:r>
      <w:r>
        <w:rPr>
          <w:rFonts w:hint="eastAsia" w:ascii="宋体" w:hAnsi="宋体" w:eastAsia="宋体" w:cs="仿宋_GB2312"/>
          <w:color w:val="auto"/>
          <w:kern w:val="0"/>
          <w:sz w:val="24"/>
          <w:highlight w:val="none"/>
          <w:lang w:val="zh-CN"/>
        </w:rPr>
        <w:t>.1.1符合条件的供应商或都对谈判文件作实质响应的供应商不足三家；</w:t>
      </w:r>
    </w:p>
    <w:p w14:paraId="46173820">
      <w:pPr>
        <w:pStyle w:val="33"/>
        <w:spacing w:line="360" w:lineRule="auto"/>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3</w:t>
      </w:r>
      <w:r>
        <w:rPr>
          <w:rFonts w:ascii="宋体" w:hAnsi="宋体" w:eastAsia="宋体" w:cs="仿宋_GB2312"/>
          <w:color w:val="auto"/>
          <w:kern w:val="0"/>
          <w:sz w:val="24"/>
          <w:highlight w:val="none"/>
          <w:lang w:val="zh-CN"/>
        </w:rPr>
        <w:t>8</w:t>
      </w:r>
      <w:r>
        <w:rPr>
          <w:rFonts w:hint="eastAsia" w:ascii="宋体" w:hAnsi="宋体" w:eastAsia="宋体" w:cs="仿宋_GB2312"/>
          <w:color w:val="auto"/>
          <w:kern w:val="0"/>
          <w:sz w:val="24"/>
          <w:highlight w:val="none"/>
          <w:lang w:val="zh-CN"/>
        </w:rPr>
        <w:t>.1.2出现影响采购公正的违法、违规行为的；</w:t>
      </w:r>
    </w:p>
    <w:p w14:paraId="157DF9E6">
      <w:pPr>
        <w:pStyle w:val="33"/>
        <w:spacing w:line="360" w:lineRule="auto"/>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3</w:t>
      </w:r>
      <w:r>
        <w:rPr>
          <w:rFonts w:ascii="宋体" w:hAnsi="宋体" w:eastAsia="宋体" w:cs="仿宋_GB2312"/>
          <w:color w:val="auto"/>
          <w:kern w:val="0"/>
          <w:sz w:val="24"/>
          <w:highlight w:val="none"/>
          <w:lang w:val="zh-CN"/>
        </w:rPr>
        <w:t>8</w:t>
      </w:r>
      <w:r>
        <w:rPr>
          <w:rFonts w:hint="eastAsia" w:ascii="宋体" w:hAnsi="宋体" w:eastAsia="宋体" w:cs="仿宋_GB2312"/>
          <w:color w:val="auto"/>
          <w:kern w:val="0"/>
          <w:sz w:val="24"/>
          <w:highlight w:val="none"/>
          <w:lang w:val="zh-CN"/>
        </w:rPr>
        <w:t>.1.3响应谈判供应商的报价均超过了采购预算，采购人不能支付的；</w:t>
      </w:r>
    </w:p>
    <w:p w14:paraId="71BA9043">
      <w:pPr>
        <w:pStyle w:val="33"/>
        <w:spacing w:line="360" w:lineRule="auto"/>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3</w:t>
      </w:r>
      <w:r>
        <w:rPr>
          <w:rFonts w:ascii="宋体" w:hAnsi="宋体" w:eastAsia="宋体" w:cs="仿宋_GB2312"/>
          <w:color w:val="auto"/>
          <w:kern w:val="0"/>
          <w:sz w:val="24"/>
          <w:highlight w:val="none"/>
          <w:lang w:val="zh-CN"/>
        </w:rPr>
        <w:t>8</w:t>
      </w:r>
      <w:r>
        <w:rPr>
          <w:rFonts w:hint="eastAsia" w:ascii="宋体" w:hAnsi="宋体" w:eastAsia="宋体" w:cs="仿宋_GB2312"/>
          <w:color w:val="auto"/>
          <w:kern w:val="0"/>
          <w:sz w:val="24"/>
          <w:highlight w:val="none"/>
          <w:lang w:val="zh-CN"/>
        </w:rPr>
        <w:t>.1.4因重大变故，采购任务取消的。</w:t>
      </w:r>
    </w:p>
    <w:p w14:paraId="4DB6A3D8">
      <w:pPr>
        <w:pStyle w:val="33"/>
        <w:spacing w:line="360" w:lineRule="auto"/>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3</w:t>
      </w:r>
      <w:r>
        <w:rPr>
          <w:rFonts w:ascii="宋体" w:hAnsi="宋体" w:eastAsia="宋体" w:cs="仿宋_GB2312"/>
          <w:color w:val="auto"/>
          <w:kern w:val="0"/>
          <w:sz w:val="24"/>
          <w:highlight w:val="none"/>
          <w:lang w:val="zh-CN"/>
        </w:rPr>
        <w:t>8</w:t>
      </w:r>
      <w:r>
        <w:rPr>
          <w:rFonts w:hint="eastAsia" w:ascii="宋体" w:hAnsi="宋体" w:eastAsia="宋体" w:cs="仿宋_GB2312"/>
          <w:color w:val="auto"/>
          <w:kern w:val="0"/>
          <w:sz w:val="24"/>
          <w:highlight w:val="none"/>
          <w:lang w:val="zh-CN"/>
        </w:rPr>
        <w:t>.2谈判失败后，除采购任务取消外，应当重新组织谈判；需要采取其他方式采购的，应由吉林省财政厅政府采购管理处重新下达任务单。</w:t>
      </w:r>
    </w:p>
    <w:p w14:paraId="10458592">
      <w:pPr>
        <w:pStyle w:val="33"/>
        <w:spacing w:line="360" w:lineRule="auto"/>
        <w:jc w:val="center"/>
        <w:outlineLvl w:val="1"/>
        <w:rPr>
          <w:rFonts w:ascii="宋体" w:hAnsi="宋体" w:eastAsia="宋体" w:cs="仿宋_GB2312"/>
          <w:b/>
          <w:color w:val="auto"/>
          <w:kern w:val="0"/>
          <w:sz w:val="30"/>
          <w:szCs w:val="30"/>
          <w:highlight w:val="none"/>
          <w:lang w:val="zh-CN"/>
        </w:rPr>
      </w:pPr>
      <w:bookmarkStart w:id="24" w:name="_Toc30836"/>
      <w:bookmarkStart w:id="25" w:name="_Toc103723526"/>
      <w:r>
        <w:rPr>
          <w:rFonts w:hint="eastAsia" w:ascii="宋体" w:hAnsi="宋体" w:eastAsia="宋体" w:cs="仿宋_GB2312"/>
          <w:b/>
          <w:color w:val="auto"/>
          <w:kern w:val="0"/>
          <w:sz w:val="30"/>
          <w:szCs w:val="30"/>
          <w:highlight w:val="none"/>
          <w:lang w:val="zh-CN"/>
        </w:rPr>
        <w:t>十、纪律和监督</w:t>
      </w:r>
      <w:bookmarkEnd w:id="24"/>
      <w:bookmarkEnd w:id="25"/>
    </w:p>
    <w:p w14:paraId="75F770FD">
      <w:pPr>
        <w:pStyle w:val="33"/>
        <w:spacing w:line="360" w:lineRule="auto"/>
        <w:rPr>
          <w:rFonts w:ascii="宋体" w:hAnsi="宋体" w:eastAsia="宋体" w:cs="仿宋_GB2312"/>
          <w:b/>
          <w:color w:val="auto"/>
          <w:kern w:val="0"/>
          <w:sz w:val="24"/>
          <w:highlight w:val="none"/>
          <w:lang w:val="zh-CN"/>
        </w:rPr>
      </w:pPr>
      <w:r>
        <w:rPr>
          <w:rFonts w:hint="eastAsia" w:ascii="宋体" w:hAnsi="宋体" w:eastAsia="宋体" w:cs="仿宋_GB2312"/>
          <w:b/>
          <w:color w:val="auto"/>
          <w:kern w:val="0"/>
          <w:sz w:val="24"/>
          <w:highlight w:val="none"/>
          <w:lang w:val="zh-CN"/>
        </w:rPr>
        <w:t>3</w:t>
      </w:r>
      <w:r>
        <w:rPr>
          <w:rFonts w:ascii="宋体" w:hAnsi="宋体" w:eastAsia="宋体" w:cs="仿宋_GB2312"/>
          <w:b/>
          <w:color w:val="auto"/>
          <w:kern w:val="0"/>
          <w:sz w:val="24"/>
          <w:highlight w:val="none"/>
          <w:lang w:val="zh-CN"/>
        </w:rPr>
        <w:t>9.</w:t>
      </w:r>
      <w:r>
        <w:rPr>
          <w:rFonts w:hint="eastAsia" w:ascii="宋体" w:hAnsi="宋体" w:eastAsia="宋体" w:cs="仿宋_GB2312"/>
          <w:b/>
          <w:color w:val="auto"/>
          <w:kern w:val="0"/>
          <w:sz w:val="24"/>
          <w:highlight w:val="none"/>
          <w:lang w:val="zh-CN"/>
        </w:rPr>
        <w:t>对采购人的纪律要求</w:t>
      </w:r>
    </w:p>
    <w:p w14:paraId="6AA0BB9C">
      <w:pPr>
        <w:pStyle w:val="33"/>
        <w:spacing w:line="360" w:lineRule="auto"/>
        <w:ind w:firstLine="480" w:firstLineChars="20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采购人不得泄漏招标投标活动中应当保密的情况和资料，不得与响应谈判供应商串通损害国家利益、社会公共利益或者他人合法权益。</w:t>
      </w:r>
    </w:p>
    <w:p w14:paraId="1C033E48">
      <w:pPr>
        <w:pStyle w:val="33"/>
        <w:spacing w:line="360" w:lineRule="auto"/>
        <w:rPr>
          <w:rFonts w:ascii="宋体" w:hAnsi="宋体" w:eastAsia="宋体" w:cs="仿宋_GB2312"/>
          <w:b/>
          <w:color w:val="auto"/>
          <w:kern w:val="0"/>
          <w:sz w:val="24"/>
          <w:highlight w:val="none"/>
          <w:lang w:val="zh-CN"/>
        </w:rPr>
      </w:pPr>
      <w:r>
        <w:rPr>
          <w:rFonts w:ascii="宋体" w:hAnsi="宋体" w:eastAsia="宋体" w:cs="仿宋_GB2312"/>
          <w:b/>
          <w:color w:val="auto"/>
          <w:kern w:val="0"/>
          <w:sz w:val="24"/>
          <w:highlight w:val="none"/>
          <w:lang w:val="zh-CN"/>
        </w:rPr>
        <w:t>40.</w:t>
      </w:r>
      <w:r>
        <w:rPr>
          <w:rFonts w:hint="eastAsia" w:ascii="宋体" w:hAnsi="宋体" w:eastAsia="宋体" w:cs="仿宋_GB2312"/>
          <w:b/>
          <w:color w:val="auto"/>
          <w:kern w:val="0"/>
          <w:sz w:val="24"/>
          <w:highlight w:val="none"/>
          <w:lang w:val="zh-CN"/>
        </w:rPr>
        <w:t>对响应谈判供应商的纪律要求</w:t>
      </w:r>
    </w:p>
    <w:p w14:paraId="39665A74">
      <w:pPr>
        <w:pStyle w:val="33"/>
        <w:spacing w:line="360" w:lineRule="auto"/>
        <w:ind w:firstLine="480" w:firstLineChars="200"/>
        <w:rPr>
          <w:rFonts w:ascii="宋体" w:hAnsi="宋体" w:eastAsia="宋体" w:cs="仿宋_GB2312"/>
          <w:color w:val="auto"/>
          <w:kern w:val="0"/>
          <w:sz w:val="24"/>
          <w:highlight w:val="none"/>
          <w:lang w:val="zh-CN"/>
        </w:rPr>
      </w:pPr>
      <w:r>
        <w:rPr>
          <w:rFonts w:ascii="宋体" w:hAnsi="宋体" w:eastAsia="宋体" w:cs="仿宋_GB2312"/>
          <w:color w:val="auto"/>
          <w:kern w:val="0"/>
          <w:sz w:val="24"/>
          <w:highlight w:val="none"/>
          <w:lang w:val="zh-CN"/>
        </w:rPr>
        <w:t>40</w:t>
      </w:r>
      <w:r>
        <w:rPr>
          <w:rFonts w:hint="eastAsia" w:ascii="宋体" w:hAnsi="宋体" w:eastAsia="宋体" w:cs="仿宋_GB2312"/>
          <w:color w:val="auto"/>
          <w:kern w:val="0"/>
          <w:sz w:val="24"/>
          <w:highlight w:val="none"/>
          <w:lang w:val="zh-CN"/>
        </w:rPr>
        <w:t>.1响应谈判供应商不得相互串通或者与采购人串通投标，不得向采购人或都谈判小组行贿谋取中标，不得以他人名义投标或者其他方式弄虚作假骗取中标；响应谈判供应商不得以任何方式干扰、影响评审工作。</w:t>
      </w:r>
    </w:p>
    <w:p w14:paraId="44C768FC">
      <w:pPr>
        <w:pStyle w:val="33"/>
        <w:spacing w:line="360" w:lineRule="auto"/>
        <w:ind w:firstLine="482" w:firstLineChars="200"/>
        <w:rPr>
          <w:rFonts w:ascii="宋体" w:hAnsi="宋体" w:eastAsia="宋体" w:cs="仿宋_GB2312"/>
          <w:b/>
          <w:color w:val="auto"/>
          <w:kern w:val="0"/>
          <w:sz w:val="24"/>
          <w:highlight w:val="none"/>
          <w:lang w:val="zh-CN"/>
        </w:rPr>
      </w:pPr>
      <w:r>
        <w:rPr>
          <w:rFonts w:ascii="宋体" w:hAnsi="宋体" w:eastAsia="宋体" w:cs="仿宋_GB2312"/>
          <w:b/>
          <w:color w:val="auto"/>
          <w:kern w:val="0"/>
          <w:sz w:val="24"/>
          <w:highlight w:val="none"/>
          <w:lang w:val="zh-CN"/>
        </w:rPr>
        <w:t>40.2</w:t>
      </w:r>
      <w:r>
        <w:rPr>
          <w:rFonts w:hint="eastAsia" w:ascii="宋体" w:hAnsi="宋体" w:eastAsia="宋体" w:cs="仿宋_GB2312"/>
          <w:b/>
          <w:color w:val="auto"/>
          <w:kern w:val="0"/>
          <w:sz w:val="24"/>
          <w:highlight w:val="none"/>
          <w:lang w:val="zh-CN"/>
        </w:rPr>
        <w:t>响应谈判</w:t>
      </w:r>
      <w:r>
        <w:rPr>
          <w:rFonts w:ascii="宋体" w:hAnsi="宋体" w:eastAsia="宋体" w:cs="仿宋_GB2312"/>
          <w:b/>
          <w:color w:val="auto"/>
          <w:kern w:val="0"/>
          <w:sz w:val="24"/>
          <w:highlight w:val="none"/>
          <w:lang w:val="zh-CN"/>
        </w:rPr>
        <w:t>供应商应当遵循诚实信用原则，对资格条件承诺函有关内容的真实性、</w:t>
      </w:r>
      <w:r>
        <w:rPr>
          <w:rFonts w:hint="eastAsia" w:ascii="宋体" w:hAnsi="宋体" w:eastAsia="宋体" w:cs="仿宋_GB2312"/>
          <w:b/>
          <w:color w:val="auto"/>
          <w:kern w:val="0"/>
          <w:sz w:val="24"/>
          <w:highlight w:val="none"/>
          <w:lang w:val="zh-CN"/>
        </w:rPr>
        <w:t>有效性</w:t>
      </w:r>
      <w:r>
        <w:rPr>
          <w:rFonts w:ascii="宋体" w:hAnsi="宋体" w:eastAsia="宋体" w:cs="仿宋_GB2312"/>
          <w:b/>
          <w:color w:val="auto"/>
          <w:kern w:val="0"/>
          <w:sz w:val="24"/>
          <w:highlight w:val="none"/>
          <w:lang w:val="zh-CN"/>
        </w:rPr>
        <w:t>、合法性负责。如</w:t>
      </w:r>
      <w:r>
        <w:rPr>
          <w:rFonts w:hint="eastAsia" w:ascii="宋体" w:hAnsi="宋体" w:eastAsia="宋体" w:cs="仿宋_GB2312"/>
          <w:b/>
          <w:color w:val="auto"/>
          <w:kern w:val="0"/>
          <w:sz w:val="24"/>
          <w:highlight w:val="none"/>
          <w:lang w:val="zh-CN"/>
        </w:rPr>
        <w:t>发现</w:t>
      </w:r>
      <w:r>
        <w:rPr>
          <w:rFonts w:ascii="宋体" w:hAnsi="宋体" w:eastAsia="宋体" w:cs="仿宋_GB2312"/>
          <w:b/>
          <w:color w:val="auto"/>
          <w:kern w:val="0"/>
          <w:sz w:val="24"/>
          <w:highlight w:val="none"/>
          <w:lang w:val="zh-CN"/>
        </w:rPr>
        <w:t>承诺内容与事实情况不符，经调查核实为虚假承诺的，视同“</w:t>
      </w:r>
      <w:r>
        <w:rPr>
          <w:rFonts w:hint="eastAsia" w:ascii="宋体" w:hAnsi="宋体" w:eastAsia="宋体" w:cs="仿宋_GB2312"/>
          <w:b/>
          <w:color w:val="auto"/>
          <w:kern w:val="0"/>
          <w:sz w:val="24"/>
          <w:highlight w:val="none"/>
          <w:lang w:val="zh-CN"/>
        </w:rPr>
        <w:t>提供</w:t>
      </w:r>
      <w:r>
        <w:rPr>
          <w:rFonts w:ascii="宋体" w:hAnsi="宋体" w:eastAsia="宋体" w:cs="仿宋_GB2312"/>
          <w:b/>
          <w:color w:val="auto"/>
          <w:kern w:val="0"/>
          <w:sz w:val="24"/>
          <w:highlight w:val="none"/>
          <w:lang w:val="zh-CN"/>
        </w:rPr>
        <w:t>虚假材料谋取中标（</w:t>
      </w:r>
      <w:r>
        <w:rPr>
          <w:rFonts w:hint="eastAsia" w:ascii="宋体" w:hAnsi="宋体" w:eastAsia="宋体" w:cs="仿宋_GB2312"/>
          <w:b/>
          <w:color w:val="auto"/>
          <w:kern w:val="0"/>
          <w:sz w:val="24"/>
          <w:highlight w:val="none"/>
          <w:lang w:val="zh-CN"/>
        </w:rPr>
        <w:t>成交</w:t>
      </w:r>
      <w:r>
        <w:rPr>
          <w:rFonts w:ascii="宋体" w:hAnsi="宋体" w:eastAsia="宋体" w:cs="仿宋_GB2312"/>
          <w:b/>
          <w:color w:val="auto"/>
          <w:kern w:val="0"/>
          <w:sz w:val="24"/>
          <w:highlight w:val="none"/>
          <w:lang w:val="zh-CN"/>
        </w:rPr>
        <w:t>）”</w:t>
      </w:r>
      <w:r>
        <w:rPr>
          <w:rFonts w:hint="eastAsia" w:ascii="宋体" w:hAnsi="宋体" w:eastAsia="宋体" w:cs="仿宋_GB2312"/>
          <w:b/>
          <w:color w:val="auto"/>
          <w:kern w:val="0"/>
          <w:sz w:val="24"/>
          <w:highlight w:val="none"/>
          <w:lang w:val="zh-CN"/>
        </w:rPr>
        <w:t>，</w:t>
      </w:r>
      <w:r>
        <w:rPr>
          <w:rFonts w:ascii="宋体" w:hAnsi="宋体" w:eastAsia="宋体" w:cs="仿宋_GB2312"/>
          <w:b/>
          <w:color w:val="auto"/>
          <w:kern w:val="0"/>
          <w:sz w:val="24"/>
          <w:highlight w:val="none"/>
          <w:lang w:val="zh-CN"/>
        </w:rPr>
        <w:t>按照《</w:t>
      </w:r>
      <w:r>
        <w:rPr>
          <w:rFonts w:hint="eastAsia" w:ascii="宋体" w:hAnsi="宋体" w:eastAsia="宋体" w:cs="仿宋_GB2312"/>
          <w:b/>
          <w:color w:val="auto"/>
          <w:kern w:val="0"/>
          <w:sz w:val="24"/>
          <w:highlight w:val="none"/>
          <w:lang w:val="zh-CN"/>
        </w:rPr>
        <w:t>中华人民共和国</w:t>
      </w:r>
      <w:r>
        <w:rPr>
          <w:rFonts w:ascii="宋体" w:hAnsi="宋体" w:eastAsia="宋体" w:cs="仿宋_GB2312"/>
          <w:b/>
          <w:color w:val="auto"/>
          <w:kern w:val="0"/>
          <w:sz w:val="24"/>
          <w:highlight w:val="none"/>
          <w:lang w:val="zh-CN"/>
        </w:rPr>
        <w:t>政府采购法》</w:t>
      </w:r>
      <w:r>
        <w:rPr>
          <w:rFonts w:hint="eastAsia" w:ascii="宋体" w:hAnsi="宋体" w:eastAsia="宋体" w:cs="仿宋_GB2312"/>
          <w:b/>
          <w:color w:val="auto"/>
          <w:kern w:val="0"/>
          <w:sz w:val="24"/>
          <w:highlight w:val="none"/>
          <w:lang w:val="zh-CN"/>
        </w:rPr>
        <w:t>第</w:t>
      </w:r>
      <w:r>
        <w:rPr>
          <w:rFonts w:ascii="宋体" w:hAnsi="宋体" w:eastAsia="宋体" w:cs="仿宋_GB2312"/>
          <w:b/>
          <w:color w:val="auto"/>
          <w:kern w:val="0"/>
          <w:sz w:val="24"/>
          <w:highlight w:val="none"/>
          <w:lang w:val="zh-CN"/>
        </w:rPr>
        <w:t>七十七条的有关规定进行处理处罚。</w:t>
      </w:r>
    </w:p>
    <w:p w14:paraId="3C3567F6">
      <w:pPr>
        <w:pStyle w:val="33"/>
        <w:spacing w:line="360" w:lineRule="auto"/>
        <w:rPr>
          <w:rFonts w:ascii="宋体" w:hAnsi="宋体" w:eastAsia="宋体" w:cs="仿宋_GB2312"/>
          <w:b/>
          <w:color w:val="auto"/>
          <w:kern w:val="0"/>
          <w:sz w:val="24"/>
          <w:highlight w:val="none"/>
          <w:lang w:val="zh-CN"/>
        </w:rPr>
      </w:pPr>
      <w:r>
        <w:rPr>
          <w:rFonts w:hint="eastAsia" w:ascii="宋体" w:hAnsi="宋体" w:eastAsia="宋体" w:cs="仿宋_GB2312"/>
          <w:b/>
          <w:color w:val="auto"/>
          <w:kern w:val="0"/>
          <w:sz w:val="24"/>
          <w:highlight w:val="none"/>
          <w:lang w:val="zh-CN"/>
        </w:rPr>
        <w:t>4</w:t>
      </w:r>
      <w:r>
        <w:rPr>
          <w:rFonts w:ascii="宋体" w:hAnsi="宋体" w:eastAsia="宋体" w:cs="仿宋_GB2312"/>
          <w:b/>
          <w:color w:val="auto"/>
          <w:kern w:val="0"/>
          <w:sz w:val="24"/>
          <w:highlight w:val="none"/>
          <w:lang w:val="zh-CN"/>
        </w:rPr>
        <w:t>1.</w:t>
      </w:r>
      <w:r>
        <w:rPr>
          <w:rFonts w:hint="eastAsia" w:ascii="宋体" w:hAnsi="宋体" w:eastAsia="宋体" w:cs="仿宋_GB2312"/>
          <w:b/>
          <w:color w:val="auto"/>
          <w:kern w:val="0"/>
          <w:sz w:val="24"/>
          <w:highlight w:val="none"/>
          <w:lang w:val="zh-CN"/>
        </w:rPr>
        <w:t>对评审委会员的纪律要求</w:t>
      </w:r>
    </w:p>
    <w:p w14:paraId="097513BC">
      <w:pPr>
        <w:pStyle w:val="33"/>
        <w:spacing w:line="360" w:lineRule="auto"/>
        <w:ind w:firstLine="480" w:firstLineChars="20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谈判小组不得收受他人的财物或者其他好处，不得向他们透漏对谈判响应文件的评审和比较、中标候选人的推荐情况以及评审的其他情况。在评审活动中，谈判小组成员不得擅离职守，影响评审程序正常进行，不得使用第四章“评审办法”没有规定的评审因素和标准进行评审。</w:t>
      </w:r>
    </w:p>
    <w:p w14:paraId="2BFB3182">
      <w:pPr>
        <w:pStyle w:val="33"/>
        <w:spacing w:line="360" w:lineRule="auto"/>
        <w:rPr>
          <w:rFonts w:ascii="宋体" w:hAnsi="宋体" w:eastAsia="宋体" w:cs="仿宋_GB2312"/>
          <w:b/>
          <w:color w:val="auto"/>
          <w:kern w:val="0"/>
          <w:sz w:val="24"/>
          <w:highlight w:val="none"/>
          <w:lang w:val="zh-CN"/>
        </w:rPr>
      </w:pPr>
      <w:r>
        <w:rPr>
          <w:rFonts w:hint="eastAsia" w:ascii="宋体" w:hAnsi="宋体" w:eastAsia="宋体" w:cs="仿宋_GB2312"/>
          <w:b/>
          <w:color w:val="auto"/>
          <w:kern w:val="0"/>
          <w:sz w:val="24"/>
          <w:highlight w:val="none"/>
          <w:lang w:val="zh-CN"/>
        </w:rPr>
        <w:t>4</w:t>
      </w:r>
      <w:r>
        <w:rPr>
          <w:rFonts w:ascii="宋体" w:hAnsi="宋体" w:eastAsia="宋体" w:cs="仿宋_GB2312"/>
          <w:b/>
          <w:color w:val="auto"/>
          <w:kern w:val="0"/>
          <w:sz w:val="24"/>
          <w:highlight w:val="none"/>
          <w:lang w:val="zh-CN"/>
        </w:rPr>
        <w:t>2.</w:t>
      </w:r>
      <w:r>
        <w:rPr>
          <w:rFonts w:hint="eastAsia" w:ascii="宋体" w:hAnsi="宋体" w:eastAsia="宋体" w:cs="仿宋_GB2312"/>
          <w:b/>
          <w:color w:val="auto"/>
          <w:kern w:val="0"/>
          <w:sz w:val="24"/>
          <w:highlight w:val="none"/>
          <w:lang w:val="zh-CN"/>
        </w:rPr>
        <w:t>对与评审活动有关的工作人员的纪律要求</w:t>
      </w:r>
    </w:p>
    <w:p w14:paraId="3EC8C69E">
      <w:pPr>
        <w:pStyle w:val="33"/>
        <w:spacing w:line="360" w:lineRule="auto"/>
        <w:ind w:firstLine="480" w:firstLineChars="20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与评审活动有关的工作人员不得收受他人的财物或者其他好处，不得向他们透漏对谈判响应文件的评审和比较、成交供应商候选人的推荐情况及评审有关的其他情况。在评审活动中，与评审活动有关的工作人员不得擅离职守，影响评审程序正常进行。</w:t>
      </w:r>
    </w:p>
    <w:p w14:paraId="15E4D8FC">
      <w:pPr>
        <w:pStyle w:val="33"/>
        <w:spacing w:line="360" w:lineRule="auto"/>
        <w:rPr>
          <w:rFonts w:ascii="宋体" w:hAnsi="宋体" w:eastAsia="宋体" w:cs="仿宋_GB2312"/>
          <w:b/>
          <w:color w:val="auto"/>
          <w:kern w:val="0"/>
          <w:sz w:val="24"/>
          <w:highlight w:val="none"/>
          <w:lang w:val="zh-CN"/>
        </w:rPr>
      </w:pPr>
      <w:r>
        <w:rPr>
          <w:rFonts w:hint="eastAsia" w:ascii="宋体" w:hAnsi="宋体" w:eastAsia="宋体" w:cs="仿宋_GB2312"/>
          <w:b/>
          <w:color w:val="auto"/>
          <w:kern w:val="0"/>
          <w:sz w:val="24"/>
          <w:highlight w:val="none"/>
          <w:lang w:val="zh-CN"/>
        </w:rPr>
        <w:t>4</w:t>
      </w:r>
      <w:r>
        <w:rPr>
          <w:rFonts w:ascii="宋体" w:hAnsi="宋体" w:eastAsia="宋体" w:cs="仿宋_GB2312"/>
          <w:b/>
          <w:color w:val="auto"/>
          <w:kern w:val="0"/>
          <w:sz w:val="24"/>
          <w:highlight w:val="none"/>
          <w:lang w:val="zh-CN"/>
        </w:rPr>
        <w:t>3.</w:t>
      </w:r>
      <w:r>
        <w:rPr>
          <w:rFonts w:hint="eastAsia" w:ascii="宋体" w:hAnsi="宋体" w:eastAsia="宋体" w:cs="仿宋_GB2312"/>
          <w:b/>
          <w:color w:val="auto"/>
          <w:kern w:val="0"/>
          <w:sz w:val="24"/>
          <w:highlight w:val="none"/>
          <w:lang w:val="zh-CN"/>
        </w:rPr>
        <w:t>质疑与投诉</w:t>
      </w:r>
    </w:p>
    <w:p w14:paraId="25784BBB">
      <w:pPr>
        <w:pStyle w:val="33"/>
        <w:spacing w:line="360" w:lineRule="auto"/>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4</w:t>
      </w:r>
      <w:r>
        <w:rPr>
          <w:rFonts w:ascii="宋体" w:hAnsi="宋体" w:eastAsia="宋体" w:cs="仿宋_GB2312"/>
          <w:color w:val="auto"/>
          <w:kern w:val="0"/>
          <w:sz w:val="24"/>
          <w:highlight w:val="none"/>
          <w:lang w:val="zh-CN"/>
        </w:rPr>
        <w:t>3</w:t>
      </w:r>
      <w:r>
        <w:rPr>
          <w:rFonts w:hint="eastAsia" w:ascii="宋体" w:hAnsi="宋体" w:eastAsia="宋体" w:cs="仿宋_GB2312"/>
          <w:color w:val="auto"/>
          <w:kern w:val="0"/>
          <w:sz w:val="24"/>
          <w:highlight w:val="none"/>
          <w:lang w:val="zh-CN"/>
        </w:rPr>
        <w:t>.1响应谈判供应商认为采购文件、采购过程、中标或者成交结果使自己的权益受到损害的，可以在知道或者应知其权益受到损害之日起7个工作日内,针对同一采购程序环节，以书面形式向采购人、采购代理机构一次性提出质疑。</w:t>
      </w:r>
    </w:p>
    <w:p w14:paraId="0B285DE9">
      <w:pPr>
        <w:pStyle w:val="33"/>
        <w:spacing w:line="360" w:lineRule="auto"/>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4</w:t>
      </w:r>
      <w:r>
        <w:rPr>
          <w:rFonts w:ascii="宋体" w:hAnsi="宋体" w:eastAsia="宋体" w:cs="仿宋_GB2312"/>
          <w:color w:val="auto"/>
          <w:kern w:val="0"/>
          <w:sz w:val="24"/>
          <w:highlight w:val="none"/>
          <w:lang w:val="zh-CN"/>
        </w:rPr>
        <w:t>3</w:t>
      </w:r>
      <w:r>
        <w:rPr>
          <w:rFonts w:hint="eastAsia" w:ascii="宋体" w:hAnsi="宋体" w:eastAsia="宋体" w:cs="仿宋_GB2312"/>
          <w:color w:val="auto"/>
          <w:kern w:val="0"/>
          <w:sz w:val="24"/>
          <w:highlight w:val="none"/>
          <w:lang w:val="zh-CN"/>
        </w:rPr>
        <w:t>.2响应谈判供应商和其他利害关系人认为本次采购活动违反法律、法规和规章规定的，对质疑答复不满意的或者采购人、采购代理机构未在规定时间内作出答复的，在法定期限内有权向</w:t>
      </w:r>
      <w:r>
        <w:rPr>
          <w:rFonts w:hint="eastAsia" w:ascii="宋体" w:hAnsi="宋体" w:eastAsia="宋体" w:cs="仿宋_GB2312"/>
          <w:color w:val="auto"/>
          <w:kern w:val="0"/>
          <w:sz w:val="24"/>
          <w:highlight w:val="none"/>
        </w:rPr>
        <w:t>采购办</w:t>
      </w:r>
      <w:r>
        <w:rPr>
          <w:rFonts w:hint="eastAsia" w:ascii="宋体" w:hAnsi="宋体" w:eastAsia="宋体" w:cs="仿宋_GB2312"/>
          <w:color w:val="auto"/>
          <w:kern w:val="0"/>
          <w:sz w:val="24"/>
          <w:highlight w:val="none"/>
          <w:lang w:val="zh-CN"/>
        </w:rPr>
        <w:t>投诉。</w:t>
      </w:r>
    </w:p>
    <w:p w14:paraId="5FCF3C22">
      <w:pPr>
        <w:pStyle w:val="33"/>
        <w:jc w:val="center"/>
        <w:rPr>
          <w:rFonts w:ascii="宋体" w:hAnsi="宋体" w:eastAsia="宋体" w:cs="仿宋_GB2312"/>
          <w:b/>
          <w:color w:val="auto"/>
          <w:kern w:val="0"/>
          <w:sz w:val="36"/>
          <w:szCs w:val="36"/>
          <w:highlight w:val="none"/>
          <w:lang w:val="zh-CN"/>
        </w:rPr>
      </w:pPr>
    </w:p>
    <w:p w14:paraId="286E9203">
      <w:pPr>
        <w:pStyle w:val="33"/>
        <w:jc w:val="center"/>
        <w:rPr>
          <w:rFonts w:ascii="宋体" w:hAnsi="宋体" w:eastAsia="宋体" w:cs="仿宋_GB2312"/>
          <w:b/>
          <w:color w:val="auto"/>
          <w:kern w:val="0"/>
          <w:sz w:val="36"/>
          <w:szCs w:val="36"/>
          <w:highlight w:val="none"/>
          <w:lang w:val="zh-CN"/>
        </w:rPr>
      </w:pPr>
    </w:p>
    <w:p w14:paraId="7B09BC42">
      <w:pPr>
        <w:pStyle w:val="33"/>
        <w:jc w:val="center"/>
        <w:rPr>
          <w:rFonts w:ascii="宋体" w:hAnsi="宋体" w:eastAsia="宋体" w:cs="仿宋_GB2312"/>
          <w:b/>
          <w:color w:val="auto"/>
          <w:kern w:val="0"/>
          <w:sz w:val="36"/>
          <w:szCs w:val="36"/>
          <w:highlight w:val="none"/>
          <w:lang w:val="zh-CN"/>
        </w:rPr>
      </w:pPr>
    </w:p>
    <w:p w14:paraId="698FC753">
      <w:pPr>
        <w:rPr>
          <w:rFonts w:hint="eastAsia" w:ascii="宋体" w:hAnsi="宋体" w:cs="宋体"/>
          <w:b/>
          <w:szCs w:val="21"/>
          <w:highlight w:val="none"/>
        </w:rPr>
      </w:pPr>
    </w:p>
    <w:p w14:paraId="04504C6B">
      <w:pPr>
        <w:rPr>
          <w:highlight w:val="none"/>
        </w:rPr>
        <w:sectPr>
          <w:headerReference r:id="rId8" w:type="default"/>
          <w:footerReference r:id="rId9" w:type="default"/>
          <w:pgSz w:w="12240" w:h="15840"/>
          <w:pgMar w:top="1400" w:right="1720" w:bottom="1120" w:left="1720" w:header="0" w:footer="921" w:gutter="0"/>
          <w:pgNumType w:fmt="decimal" w:start="1"/>
          <w:cols w:space="720" w:num="1"/>
        </w:sectPr>
      </w:pPr>
    </w:p>
    <w:p w14:paraId="3F77BFC2">
      <w:pPr>
        <w:pStyle w:val="3"/>
        <w:spacing w:before="0" w:after="0" w:line="240" w:lineRule="auto"/>
        <w:rPr>
          <w:rFonts w:ascii="宋体" w:hAnsi="宋体" w:eastAsia="宋体" w:cs="微软雅黑"/>
          <w:sz w:val="21"/>
          <w:szCs w:val="21"/>
          <w:highlight w:val="none"/>
        </w:rPr>
      </w:pPr>
      <w:bookmarkStart w:id="26" w:name="_Toc19574"/>
      <w:r>
        <w:rPr>
          <w:rFonts w:hint="eastAsia" w:ascii="宋体" w:hAnsi="宋体" w:eastAsia="宋体" w:cs="Arial"/>
          <w:b/>
          <w:bCs/>
          <w:color w:val="000000"/>
          <w:sz w:val="21"/>
          <w:szCs w:val="21"/>
          <w:highlight w:val="none"/>
          <w:lang w:val="zh-CN"/>
        </w:rPr>
        <w:t>政府采购相关政策要求</w:t>
      </w:r>
      <w:bookmarkEnd w:id="26"/>
    </w:p>
    <w:p w14:paraId="66D39A2A">
      <w:pPr>
        <w:autoSpaceDE w:val="0"/>
        <w:autoSpaceDN w:val="0"/>
        <w:adjustRightInd w:val="0"/>
        <w:spacing w:line="440" w:lineRule="exact"/>
        <w:ind w:firstLine="420" w:firstLineChars="200"/>
        <w:jc w:val="left"/>
        <w:rPr>
          <w:rFonts w:hint="eastAsia" w:ascii="宋体" w:hAnsi="宋体" w:cs="宋体"/>
          <w:b/>
          <w:szCs w:val="18"/>
          <w:highlight w:val="none"/>
        </w:rPr>
      </w:pPr>
      <w:r>
        <w:rPr>
          <w:rFonts w:hint="eastAsia" w:ascii="宋体" w:hAnsi="宋体" w:cs="宋体"/>
          <w:szCs w:val="18"/>
          <w:highlight w:val="none"/>
        </w:rPr>
        <w:t>1.根据《政府采购促进中小企业发展管理办法》（财库〔</w:t>
      </w:r>
      <w:r>
        <w:rPr>
          <w:rFonts w:hint="eastAsia" w:ascii="宋体" w:hAnsi="宋体" w:cs="宋体"/>
          <w:szCs w:val="18"/>
          <w:highlight w:val="none"/>
          <w:lang w:eastAsia="zh-CN"/>
        </w:rPr>
        <w:t>2021</w:t>
      </w:r>
      <w:r>
        <w:rPr>
          <w:rFonts w:hint="eastAsia" w:ascii="宋体" w:hAnsi="宋体" w:cs="宋体"/>
          <w:szCs w:val="18"/>
          <w:highlight w:val="none"/>
        </w:rPr>
        <w:t>〕46号文件）、</w:t>
      </w:r>
      <w:r>
        <w:rPr>
          <w:rFonts w:hint="eastAsia" w:ascii="宋体" w:hAnsi="宋体"/>
          <w:szCs w:val="21"/>
          <w:highlight w:val="none"/>
        </w:rPr>
        <w:t>《关于进一步加大政府采购支持中小企业力度的通知》（财库〔2022〕19号）</w:t>
      </w:r>
      <w:r>
        <w:rPr>
          <w:rFonts w:hint="eastAsia" w:ascii="宋体" w:hAnsi="宋体" w:cs="宋体"/>
          <w:szCs w:val="18"/>
          <w:highlight w:val="none"/>
        </w:rPr>
        <w:t>的规定</w:t>
      </w:r>
      <w:r>
        <w:rPr>
          <w:rFonts w:hint="eastAsia" w:ascii="宋体" w:hAnsi="宋体" w:cs="宋体"/>
          <w:b/>
          <w:szCs w:val="18"/>
          <w:highlight w:val="none"/>
        </w:rPr>
        <w:t>，执行价格评审优惠的扶持政策</w:t>
      </w:r>
      <w:r>
        <w:rPr>
          <w:rFonts w:hint="eastAsia" w:ascii="宋体" w:hAnsi="宋体"/>
          <w:szCs w:val="21"/>
          <w:highlight w:val="none"/>
        </w:rPr>
        <w:t>，对小型和微型企业供应商产品的价格给予10%的扣除，用扣除后的价格参与评审。</w:t>
      </w:r>
      <w:r>
        <w:rPr>
          <w:rFonts w:hint="eastAsia" w:ascii="宋体" w:hAnsi="宋体" w:cs="宋体"/>
          <w:b/>
          <w:szCs w:val="18"/>
          <w:highlight w:val="none"/>
        </w:rPr>
        <w:t>中小企业参加政府采购活动，应当出具本办法规定的《中小企业声明函》。</w:t>
      </w:r>
    </w:p>
    <w:p w14:paraId="20AEC400">
      <w:pPr>
        <w:autoSpaceDE w:val="0"/>
        <w:autoSpaceDN w:val="0"/>
        <w:adjustRightInd w:val="0"/>
        <w:spacing w:line="440" w:lineRule="exact"/>
        <w:ind w:firstLine="420" w:firstLineChars="200"/>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提供本企业制造的货物、承担的工程或者服务，或者提供其他中小企业制造的货物。 本项所称货物不包括使用大型企业注册商标的货物。所称中小企业划分标准，是指国务院有关部门根据企业从业人员、营业收入、资产总额等指标制定的中小企业划型标准。小型、微型企业提供中型企业制造的货物的，视同为中型企业。</w:t>
      </w:r>
    </w:p>
    <w:p w14:paraId="0A88B299">
      <w:pPr>
        <w:autoSpaceDE w:val="0"/>
        <w:autoSpaceDN w:val="0"/>
        <w:adjustRightInd w:val="0"/>
        <w:spacing w:line="440" w:lineRule="exact"/>
        <w:ind w:firstLine="420" w:firstLineChars="200"/>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如果一个采购项目或采购包含有多个采购标的的，则每个采购标的均应由中小企业制造,才享受中小微企业政策。</w:t>
      </w:r>
    </w:p>
    <w:p w14:paraId="7A1F871B">
      <w:pPr>
        <w:autoSpaceDE w:val="0"/>
        <w:autoSpaceDN w:val="0"/>
        <w:adjustRightInd w:val="0"/>
        <w:spacing w:line="400" w:lineRule="exact"/>
        <w:ind w:firstLine="420" w:firstLineChars="200"/>
        <w:rPr>
          <w:rFonts w:ascii="宋体" w:hAnsi="宋体" w:cs="宋体"/>
          <w:b/>
          <w:bCs/>
          <w:szCs w:val="18"/>
          <w:highlight w:val="none"/>
        </w:rPr>
      </w:pPr>
      <w:r>
        <w:rPr>
          <w:rFonts w:hint="eastAsia" w:ascii="宋体" w:hAnsi="宋体" w:cs="宋体"/>
          <w:szCs w:val="18"/>
          <w:highlight w:val="none"/>
        </w:rPr>
        <w:t>按照财政部《关于政府采购支持监狱企业发展有关问题的通知》（财库[2014]68号）的规定，在政府采购活动中，监狱企业视同小型、微型企业，享受预留份额、评审中价格扣除等政府采购促进中小企业发展的政府采购政策。</w:t>
      </w:r>
      <w:r>
        <w:rPr>
          <w:rFonts w:hint="eastAsia" w:ascii="宋体" w:hAnsi="宋体" w:cs="宋体"/>
          <w:b/>
          <w:bCs/>
          <w:szCs w:val="18"/>
          <w:highlight w:val="none"/>
        </w:rPr>
        <w:t xml:space="preserve">监狱企业参加政府采购活动时，应当提供由省级以上监狱管理局、戒毒管理局（含新疆生产建设兵团）出具的属于监狱企业的证明文件。 </w:t>
      </w:r>
    </w:p>
    <w:p w14:paraId="01D53C14">
      <w:pPr>
        <w:autoSpaceDE w:val="0"/>
        <w:autoSpaceDN w:val="0"/>
        <w:adjustRightInd w:val="0"/>
        <w:spacing w:line="400" w:lineRule="exact"/>
        <w:ind w:firstLine="420" w:firstLineChars="200"/>
        <w:rPr>
          <w:rFonts w:ascii="宋体" w:hAnsi="宋体" w:cs="宋体"/>
          <w:szCs w:val="18"/>
          <w:highlight w:val="none"/>
        </w:rPr>
      </w:pPr>
      <w:r>
        <w:rPr>
          <w:rFonts w:hint="eastAsia" w:ascii="宋体" w:hAnsi="宋体" w:cs="宋体"/>
          <w:szCs w:val="18"/>
          <w:highlight w:val="none"/>
        </w:rPr>
        <w:t>按照《三部门联合发布关于促进残疾人就业政府采购政策的通知》（财库〔2017〕141号）的规定，在政府采购活动中，残疾人福利性单位视同小型、微型企业，享受预留份额、评审中价格扣除等促进中小企业发展的政府采购政策。</w:t>
      </w:r>
      <w:r>
        <w:rPr>
          <w:rFonts w:hint="eastAsia" w:ascii="宋体" w:hAnsi="宋体" w:cs="宋体"/>
          <w:b/>
          <w:bCs/>
          <w:szCs w:val="18"/>
          <w:highlight w:val="none"/>
        </w:rPr>
        <w:t>符合条件的残疾人福利性单位在参加政府采购活动时，应当提供财库〔2017〕141号文规定的《残疾人福利性单位声明函》，并对声明的真实性负责。</w:t>
      </w:r>
      <w:r>
        <w:rPr>
          <w:rFonts w:hint="eastAsia" w:ascii="宋体" w:hAnsi="宋体" w:cs="宋体"/>
          <w:szCs w:val="18"/>
          <w:highlight w:val="none"/>
        </w:rPr>
        <w:t>残疾人福利性单位属于小型、微型企业的，不重复享受政策。</w:t>
      </w:r>
    </w:p>
    <w:p w14:paraId="0BAB57D5">
      <w:pPr>
        <w:autoSpaceDE w:val="0"/>
        <w:autoSpaceDN w:val="0"/>
        <w:adjustRightInd w:val="0"/>
        <w:spacing w:line="400" w:lineRule="exact"/>
        <w:ind w:firstLine="420" w:firstLineChars="200"/>
        <w:rPr>
          <w:rFonts w:ascii="宋体" w:hAnsi="宋体" w:cs="宋体"/>
          <w:szCs w:val="18"/>
          <w:highlight w:val="none"/>
        </w:rPr>
      </w:pPr>
      <w:r>
        <w:rPr>
          <w:rFonts w:hint="eastAsia" w:ascii="宋体" w:hAnsi="宋体" w:cs="宋体"/>
          <w:szCs w:val="18"/>
          <w:highlight w:val="none"/>
        </w:rPr>
        <w:t>2.对于列入财政部、生态环境部发布的《环境标志产品政府采购品目清单》要求的产品，对其投标价格给予3%的价格扣除，并按照扣除后的价格参加排序。采购项目或者分包中既包含环境标志产品也包含非环境标志产品的，只对列入《环境标志产品政府采购品目清单》要求的产品按其在总报价中所占的比例给予价格扣除，投标文件中需提供认证证明，认证机构须在市场监管总局公布的名录内《详见市场监管总局关于发布参与实施政府采购节能产品、环境标志产品认证机构名录的公告（</w:t>
      </w:r>
      <w:r>
        <w:rPr>
          <w:rFonts w:hint="eastAsia" w:ascii="宋体" w:hAnsi="宋体" w:cs="宋体"/>
          <w:szCs w:val="18"/>
          <w:highlight w:val="none"/>
          <w:lang w:eastAsia="zh-CN"/>
        </w:rPr>
        <w:t>2021</w:t>
      </w:r>
      <w:r>
        <w:rPr>
          <w:rFonts w:hint="eastAsia" w:ascii="宋体" w:hAnsi="宋体" w:cs="宋体"/>
          <w:szCs w:val="18"/>
          <w:highlight w:val="none"/>
        </w:rPr>
        <w:t xml:space="preserve"> 年第 16 号文件）》；</w:t>
      </w:r>
    </w:p>
    <w:p w14:paraId="574C5353">
      <w:pPr>
        <w:autoSpaceDE w:val="0"/>
        <w:autoSpaceDN w:val="0"/>
        <w:adjustRightInd w:val="0"/>
        <w:spacing w:line="400" w:lineRule="exact"/>
        <w:ind w:firstLine="420" w:firstLineChars="200"/>
        <w:rPr>
          <w:rFonts w:ascii="宋体" w:hAnsi="宋体" w:cs="宋体"/>
          <w:szCs w:val="18"/>
          <w:highlight w:val="none"/>
        </w:rPr>
      </w:pPr>
      <w:r>
        <w:rPr>
          <w:rFonts w:hint="eastAsia" w:ascii="宋体" w:hAnsi="宋体" w:cs="宋体"/>
          <w:szCs w:val="18"/>
          <w:highlight w:val="none"/>
        </w:rPr>
        <w:t>3.对财政部、发展改革委发布的《节能产品政府采购品目清单》但不属于国家强制采购的产品，对其投标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投标文件中需提供认证证明，认证机构须在市场监管总局公布的名录内《详见市场监管总局关于发布参与实施政府采购节能产品、环境标志产品认证机构名录的公告（</w:t>
      </w:r>
      <w:r>
        <w:rPr>
          <w:rFonts w:hint="eastAsia" w:ascii="宋体" w:hAnsi="宋体" w:cs="宋体"/>
          <w:szCs w:val="18"/>
          <w:highlight w:val="none"/>
          <w:lang w:eastAsia="zh-CN"/>
        </w:rPr>
        <w:t>2021</w:t>
      </w:r>
      <w:r>
        <w:rPr>
          <w:rFonts w:hint="eastAsia" w:ascii="宋体" w:hAnsi="宋体" w:cs="宋体"/>
          <w:szCs w:val="18"/>
          <w:highlight w:val="none"/>
        </w:rPr>
        <w:t xml:space="preserve"> 年第 16 号文件）》。” </w:t>
      </w:r>
    </w:p>
    <w:p w14:paraId="0A699553">
      <w:pPr>
        <w:autoSpaceDE w:val="0"/>
        <w:autoSpaceDN w:val="0"/>
        <w:adjustRightInd w:val="0"/>
        <w:spacing w:line="400" w:lineRule="exact"/>
        <w:ind w:firstLine="420" w:firstLineChars="200"/>
        <w:rPr>
          <w:rFonts w:ascii="宋体" w:hAnsi="宋体" w:cs="宋体"/>
          <w:szCs w:val="18"/>
          <w:highlight w:val="none"/>
        </w:rPr>
      </w:pPr>
      <w:r>
        <w:rPr>
          <w:rFonts w:hint="eastAsia" w:ascii="宋体" w:hAnsi="宋体" w:cs="宋体"/>
          <w:szCs w:val="18"/>
          <w:highlight w:val="none"/>
        </w:rPr>
        <w:t>4.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146125C7">
      <w:pPr>
        <w:autoSpaceDE w:val="0"/>
        <w:autoSpaceDN w:val="0"/>
        <w:adjustRightInd w:val="0"/>
        <w:spacing w:line="440" w:lineRule="exact"/>
        <w:ind w:firstLine="420" w:firstLineChars="200"/>
        <w:jc w:val="left"/>
        <w:rPr>
          <w:rFonts w:hint="eastAsia" w:ascii="宋体" w:hAnsi="宋体" w:cs="宋体"/>
          <w:szCs w:val="18"/>
          <w:highlight w:val="none"/>
        </w:rPr>
      </w:pPr>
      <w:r>
        <w:rPr>
          <w:rFonts w:hint="eastAsia" w:ascii="宋体" w:hAnsi="宋体" w:cs="宋体"/>
          <w:szCs w:val="18"/>
          <w:highlight w:val="none"/>
        </w:rPr>
        <w:t>5.投标产品同时列入上述多个清单的，将上述规定的价格扣除比例叠加后计算价格扣除。</w:t>
      </w:r>
    </w:p>
    <w:p w14:paraId="148A13CA">
      <w:pPr>
        <w:autoSpaceDE w:val="0"/>
        <w:autoSpaceDN w:val="0"/>
        <w:adjustRightInd w:val="0"/>
        <w:spacing w:line="440" w:lineRule="exact"/>
        <w:ind w:firstLine="420" w:firstLineChars="200"/>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6、采购项目中如含有计算机，必须预装正版操作系统软件产品，所采购的其他软件必须为正版软件，否则投标无效。</w:t>
      </w:r>
    </w:p>
    <w:p w14:paraId="73E50380">
      <w:pPr>
        <w:autoSpaceDE w:val="0"/>
        <w:autoSpaceDN w:val="0"/>
        <w:adjustRightInd w:val="0"/>
        <w:spacing w:line="440" w:lineRule="exact"/>
        <w:ind w:firstLine="420" w:firstLineChars="200"/>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7、采购货物中含信息安全产品，必须是列入财政部会同有关部门制定下发的《信息安全产品强制性认证目录》的产品，供应商须附中国信息安全认证中心按国家标准认证颁发的有效认证证书，否则投标无效。</w:t>
      </w:r>
    </w:p>
    <w:p w14:paraId="4DD1A092">
      <w:pPr>
        <w:spacing w:line="440" w:lineRule="exact"/>
        <w:outlineLvl w:val="2"/>
        <w:rPr>
          <w:rFonts w:hint="eastAsia" w:ascii="宋体" w:hAnsi="宋体"/>
          <w:b/>
          <w:color w:val="000000"/>
          <w:sz w:val="28"/>
          <w:szCs w:val="28"/>
          <w:highlight w:val="none"/>
          <w:lang w:val="zh-CN"/>
        </w:rPr>
      </w:pPr>
    </w:p>
    <w:p w14:paraId="3A591D3E">
      <w:pPr>
        <w:spacing w:line="440" w:lineRule="exact"/>
        <w:outlineLvl w:val="2"/>
        <w:rPr>
          <w:rFonts w:hint="eastAsia" w:ascii="宋体" w:hAnsi="宋体"/>
          <w:b/>
          <w:color w:val="000000"/>
          <w:sz w:val="28"/>
          <w:szCs w:val="28"/>
          <w:highlight w:val="none"/>
          <w:lang w:val="zh-CN"/>
        </w:rPr>
      </w:pPr>
    </w:p>
    <w:p w14:paraId="4836674C">
      <w:pPr>
        <w:spacing w:line="440" w:lineRule="exact"/>
        <w:outlineLvl w:val="2"/>
        <w:rPr>
          <w:rFonts w:hint="eastAsia" w:ascii="宋体" w:hAnsi="宋体"/>
          <w:b/>
          <w:color w:val="000000"/>
          <w:sz w:val="28"/>
          <w:szCs w:val="28"/>
          <w:highlight w:val="none"/>
          <w:lang w:val="zh-CN"/>
        </w:rPr>
      </w:pPr>
    </w:p>
    <w:p w14:paraId="5A0BDC98">
      <w:pPr>
        <w:spacing w:line="440" w:lineRule="exact"/>
        <w:outlineLvl w:val="2"/>
        <w:rPr>
          <w:rFonts w:hint="eastAsia" w:ascii="宋体" w:hAnsi="宋体"/>
          <w:b/>
          <w:color w:val="000000"/>
          <w:sz w:val="28"/>
          <w:szCs w:val="28"/>
          <w:highlight w:val="none"/>
          <w:lang w:val="zh-CN"/>
        </w:rPr>
      </w:pPr>
    </w:p>
    <w:p w14:paraId="01F105CF">
      <w:pPr>
        <w:spacing w:line="440" w:lineRule="exact"/>
        <w:outlineLvl w:val="2"/>
        <w:rPr>
          <w:rFonts w:hint="eastAsia" w:ascii="宋体" w:hAnsi="宋体"/>
          <w:b/>
          <w:color w:val="000000"/>
          <w:sz w:val="28"/>
          <w:szCs w:val="28"/>
          <w:highlight w:val="none"/>
          <w:lang w:val="zh-CN"/>
        </w:rPr>
      </w:pPr>
    </w:p>
    <w:p w14:paraId="48E1E6AF">
      <w:pPr>
        <w:spacing w:line="440" w:lineRule="exact"/>
        <w:outlineLvl w:val="2"/>
        <w:rPr>
          <w:rFonts w:hint="eastAsia" w:ascii="宋体" w:hAnsi="宋体"/>
          <w:b/>
          <w:color w:val="000000"/>
          <w:sz w:val="28"/>
          <w:szCs w:val="28"/>
          <w:highlight w:val="none"/>
          <w:lang w:val="zh-CN"/>
        </w:rPr>
      </w:pPr>
    </w:p>
    <w:p w14:paraId="48235A9C">
      <w:pPr>
        <w:spacing w:line="440" w:lineRule="exact"/>
        <w:outlineLvl w:val="2"/>
        <w:rPr>
          <w:rFonts w:hint="eastAsia" w:ascii="宋体" w:hAnsi="宋体"/>
          <w:b/>
          <w:color w:val="000000"/>
          <w:sz w:val="28"/>
          <w:szCs w:val="28"/>
          <w:highlight w:val="none"/>
          <w:lang w:val="zh-CN"/>
        </w:rPr>
      </w:pPr>
    </w:p>
    <w:p w14:paraId="1C571ED6">
      <w:pPr>
        <w:spacing w:line="440" w:lineRule="exact"/>
        <w:outlineLvl w:val="2"/>
        <w:rPr>
          <w:rFonts w:hint="eastAsia" w:ascii="宋体" w:hAnsi="宋体"/>
          <w:b/>
          <w:color w:val="000000"/>
          <w:sz w:val="28"/>
          <w:szCs w:val="28"/>
          <w:highlight w:val="none"/>
          <w:lang w:val="zh-CN"/>
        </w:rPr>
      </w:pPr>
    </w:p>
    <w:p w14:paraId="30E2C621">
      <w:pPr>
        <w:spacing w:line="440" w:lineRule="exact"/>
        <w:outlineLvl w:val="2"/>
        <w:rPr>
          <w:rFonts w:hint="eastAsia" w:ascii="宋体" w:hAnsi="宋体"/>
          <w:b/>
          <w:color w:val="000000"/>
          <w:sz w:val="28"/>
          <w:szCs w:val="28"/>
          <w:highlight w:val="none"/>
          <w:lang w:val="zh-CN"/>
        </w:rPr>
      </w:pPr>
    </w:p>
    <w:p w14:paraId="1BB961EC">
      <w:pPr>
        <w:spacing w:line="440" w:lineRule="exact"/>
        <w:outlineLvl w:val="2"/>
        <w:rPr>
          <w:rFonts w:hint="eastAsia" w:ascii="宋体" w:hAnsi="宋体"/>
          <w:b/>
          <w:color w:val="000000"/>
          <w:sz w:val="28"/>
          <w:szCs w:val="28"/>
          <w:highlight w:val="none"/>
          <w:lang w:val="zh-CN"/>
        </w:rPr>
      </w:pPr>
    </w:p>
    <w:p w14:paraId="6D9845F4">
      <w:pPr>
        <w:spacing w:line="440" w:lineRule="exact"/>
        <w:outlineLvl w:val="2"/>
        <w:rPr>
          <w:rFonts w:hint="eastAsia" w:ascii="宋体" w:hAnsi="宋体"/>
          <w:b/>
          <w:color w:val="000000"/>
          <w:sz w:val="28"/>
          <w:szCs w:val="28"/>
          <w:highlight w:val="none"/>
          <w:lang w:val="zh-CN"/>
        </w:rPr>
      </w:pPr>
    </w:p>
    <w:p w14:paraId="3A38CC8E">
      <w:pPr>
        <w:spacing w:line="440" w:lineRule="exact"/>
        <w:outlineLvl w:val="2"/>
        <w:rPr>
          <w:rFonts w:hint="eastAsia" w:ascii="宋体" w:hAnsi="宋体"/>
          <w:b/>
          <w:color w:val="000000"/>
          <w:sz w:val="28"/>
          <w:szCs w:val="28"/>
          <w:highlight w:val="none"/>
          <w:lang w:val="zh-CN"/>
        </w:rPr>
      </w:pPr>
    </w:p>
    <w:p w14:paraId="7B808108">
      <w:pPr>
        <w:rPr>
          <w:highlight w:val="none"/>
        </w:rPr>
        <w:sectPr>
          <w:pgSz w:w="12240" w:h="15840"/>
          <w:pgMar w:top="1400" w:right="1720" w:bottom="1120" w:left="1720" w:header="0" w:footer="921" w:gutter="0"/>
          <w:pgNumType w:fmt="decimal"/>
          <w:cols w:space="720" w:num="1"/>
        </w:sectPr>
      </w:pPr>
    </w:p>
    <w:p w14:paraId="0890C516">
      <w:pPr>
        <w:pStyle w:val="2"/>
        <w:numPr>
          <w:ilvl w:val="0"/>
          <w:numId w:val="1"/>
        </w:numPr>
        <w:bidi w:val="0"/>
        <w:spacing w:line="240" w:lineRule="auto"/>
        <w:jc w:val="center"/>
        <w:rPr>
          <w:sz w:val="36"/>
          <w:szCs w:val="36"/>
          <w:highlight w:val="none"/>
          <w:lang w:val="zh-CN"/>
        </w:rPr>
      </w:pPr>
      <w:bookmarkStart w:id="27" w:name="_Toc693"/>
      <w:r>
        <w:rPr>
          <w:rFonts w:hint="eastAsia"/>
          <w:sz w:val="36"/>
          <w:szCs w:val="36"/>
          <w:highlight w:val="none"/>
        </w:rPr>
        <w:t>货物采购</w:t>
      </w:r>
      <w:r>
        <w:rPr>
          <w:rFonts w:hint="eastAsia"/>
          <w:sz w:val="36"/>
          <w:szCs w:val="36"/>
          <w:highlight w:val="none"/>
          <w:lang w:val="zh-CN"/>
        </w:rPr>
        <w:t>需求</w:t>
      </w:r>
      <w:bookmarkEnd w:id="27"/>
    </w:p>
    <w:tbl>
      <w:tblPr>
        <w:tblStyle w:val="18"/>
        <w:tblW w:w="9454" w:type="dxa"/>
        <w:tblInd w:w="334" w:type="dxa"/>
        <w:tblLayout w:type="fixed"/>
        <w:tblCellMar>
          <w:top w:w="0" w:type="dxa"/>
          <w:left w:w="10" w:type="dxa"/>
          <w:bottom w:w="0" w:type="dxa"/>
          <w:right w:w="10" w:type="dxa"/>
        </w:tblCellMar>
      </w:tblPr>
      <w:tblGrid>
        <w:gridCol w:w="500"/>
        <w:gridCol w:w="925"/>
        <w:gridCol w:w="6895"/>
        <w:gridCol w:w="567"/>
        <w:gridCol w:w="567"/>
      </w:tblGrid>
      <w:tr w14:paraId="73EA69A7">
        <w:trPr>
          <w:trHeight w:val="493" w:hRule="atLeast"/>
          <w:tblHeader/>
        </w:trPr>
        <w:tc>
          <w:tcPr>
            <w:tcW w:w="500" w:type="dxa"/>
            <w:tcBorders>
              <w:top w:val="single" w:color="auto" w:sz="6" w:space="0"/>
              <w:left w:val="single" w:color="auto" w:sz="6" w:space="0"/>
              <w:bottom w:val="single" w:color="auto" w:sz="6" w:space="0"/>
              <w:right w:val="single" w:color="auto" w:sz="6" w:space="0"/>
            </w:tcBorders>
            <w:shd w:val="clear" w:color="auto" w:fill="auto"/>
            <w:vAlign w:val="center"/>
          </w:tcPr>
          <w:p w14:paraId="12E60FB8">
            <w:pPr>
              <w:pStyle w:val="34"/>
              <w:spacing w:line="360" w:lineRule="auto"/>
              <w:rPr>
                <w:rFonts w:hint="eastAsia" w:ascii="宋体" w:hAnsi="宋体" w:eastAsia="宋体" w:cs="宋体"/>
                <w:b/>
                <w:bCs/>
                <w:sz w:val="24"/>
                <w:szCs w:val="24"/>
                <w:highlight w:val="none"/>
                <w:lang w:val="zh-CN"/>
              </w:rPr>
            </w:pPr>
            <w:bookmarkStart w:id="28" w:name="_Toc432264368"/>
            <w:bookmarkStart w:id="29" w:name="_Toc455565644"/>
            <w:bookmarkStart w:id="30" w:name="_Toc432277440"/>
            <w:bookmarkStart w:id="31" w:name="_Toc10263"/>
            <w:r>
              <w:rPr>
                <w:rFonts w:hint="eastAsia" w:ascii="宋体" w:hAnsi="宋体" w:eastAsia="宋体" w:cs="宋体"/>
                <w:b/>
                <w:bCs/>
                <w:sz w:val="24"/>
                <w:szCs w:val="24"/>
                <w:highlight w:val="none"/>
                <w:lang w:val="zh-CN"/>
              </w:rPr>
              <w:t>序号</w:t>
            </w:r>
          </w:p>
        </w:tc>
        <w:tc>
          <w:tcPr>
            <w:tcW w:w="925" w:type="dxa"/>
            <w:tcBorders>
              <w:top w:val="single" w:color="auto" w:sz="6" w:space="0"/>
              <w:left w:val="nil"/>
              <w:bottom w:val="single" w:color="auto" w:sz="6" w:space="0"/>
              <w:right w:val="single" w:color="auto" w:sz="6" w:space="0"/>
            </w:tcBorders>
            <w:shd w:val="clear" w:color="auto" w:fill="auto"/>
            <w:vAlign w:val="center"/>
          </w:tcPr>
          <w:p w14:paraId="33B213AD">
            <w:pPr>
              <w:pStyle w:val="34"/>
              <w:spacing w:line="360" w:lineRule="auto"/>
              <w:jc w:val="center"/>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货物名称</w:t>
            </w:r>
          </w:p>
        </w:tc>
        <w:tc>
          <w:tcPr>
            <w:tcW w:w="6895" w:type="dxa"/>
            <w:tcBorders>
              <w:top w:val="single" w:color="auto" w:sz="6" w:space="0"/>
              <w:left w:val="nil"/>
              <w:bottom w:val="single" w:color="auto" w:sz="6" w:space="0"/>
              <w:right w:val="single" w:color="auto" w:sz="6" w:space="0"/>
            </w:tcBorders>
            <w:shd w:val="clear" w:color="auto" w:fill="auto"/>
            <w:vAlign w:val="center"/>
          </w:tcPr>
          <w:p w14:paraId="04758DC3">
            <w:pPr>
              <w:pStyle w:val="34"/>
              <w:spacing w:line="360" w:lineRule="auto"/>
              <w:jc w:val="center"/>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主要功能配置及技术指标要求</w:t>
            </w: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1CD95CD6">
            <w:pPr>
              <w:pStyle w:val="34"/>
              <w:spacing w:line="360" w:lineRule="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数量</w:t>
            </w:r>
          </w:p>
        </w:tc>
        <w:tc>
          <w:tcPr>
            <w:tcW w:w="567" w:type="dxa"/>
            <w:tcBorders>
              <w:top w:val="single" w:color="auto" w:sz="6" w:space="0"/>
              <w:left w:val="nil"/>
              <w:bottom w:val="single" w:color="auto" w:sz="6" w:space="0"/>
              <w:right w:val="single" w:color="auto" w:sz="6" w:space="0"/>
            </w:tcBorders>
            <w:shd w:val="clear" w:color="auto" w:fill="auto"/>
            <w:vAlign w:val="center"/>
          </w:tcPr>
          <w:p w14:paraId="29D0ADC3">
            <w:pPr>
              <w:pStyle w:val="34"/>
              <w:spacing w:line="360" w:lineRule="auto"/>
              <w:jc w:val="center"/>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数量单位</w:t>
            </w:r>
          </w:p>
        </w:tc>
      </w:tr>
      <w:tr w14:paraId="5677F22A">
        <w:tblPrEx>
          <w:tblCellMar>
            <w:top w:w="0" w:type="dxa"/>
            <w:left w:w="10" w:type="dxa"/>
            <w:bottom w:w="0" w:type="dxa"/>
            <w:right w:w="10" w:type="dxa"/>
          </w:tblCellMar>
        </w:tblPrEx>
        <w:trPr>
          <w:trHeight w:val="495" w:hRule="atLeast"/>
        </w:trPr>
        <w:tc>
          <w:tcPr>
            <w:tcW w:w="500" w:type="dxa"/>
            <w:tcBorders>
              <w:top w:val="single" w:color="auto" w:sz="6" w:space="0"/>
              <w:left w:val="single" w:color="auto" w:sz="6" w:space="0"/>
              <w:bottom w:val="single" w:color="auto" w:sz="6" w:space="0"/>
              <w:right w:val="single" w:color="auto" w:sz="6" w:space="0"/>
            </w:tcBorders>
            <w:vAlign w:val="center"/>
          </w:tcPr>
          <w:p w14:paraId="0B8B5617">
            <w:pPr>
              <w:pStyle w:val="34"/>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p>
        </w:tc>
        <w:tc>
          <w:tcPr>
            <w:tcW w:w="925" w:type="dxa"/>
            <w:tcBorders>
              <w:top w:val="single" w:color="auto" w:sz="6" w:space="0"/>
              <w:left w:val="nil"/>
              <w:bottom w:val="single" w:color="auto" w:sz="6" w:space="0"/>
              <w:right w:val="single" w:color="auto" w:sz="6" w:space="0"/>
            </w:tcBorders>
            <w:vAlign w:val="center"/>
          </w:tcPr>
          <w:p w14:paraId="2FB02635">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教室智能主机</w:t>
            </w:r>
          </w:p>
        </w:tc>
        <w:tc>
          <w:tcPr>
            <w:tcW w:w="6895" w:type="dxa"/>
            <w:tcBorders>
              <w:top w:val="single" w:color="auto" w:sz="6" w:space="0"/>
              <w:left w:val="nil"/>
              <w:bottom w:val="single" w:color="auto" w:sz="6" w:space="0"/>
              <w:right w:val="single" w:color="auto" w:sz="6" w:space="0"/>
            </w:tcBorders>
            <w:shd w:val="clear" w:color="auto" w:fill="auto"/>
            <w:vAlign w:val="center"/>
          </w:tcPr>
          <w:p w14:paraId="140C2538">
            <w:pPr>
              <w:widowControl/>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1.CPU四核，最高主频可达2.0GHz</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2.存储≥8GB EMMC</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3.内存≥1GB LPDDR4</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4.支持对教室空间区域及教师活动轨迹进行划分识别，并且可以结合活动轨迹数据解析教师在课堂各区域的停留时间占比</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5.支持识别课堂中学生听讲、读写、站立、举手等行为并实时记录统计呈现</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6.支持对学生脸部表情进行采样识别学生情绪，分析并记录课堂进程中学生的情绪变化曲线</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7.支持通过AI人脸识别算法对课堂中的学生进行定位识别，实现无感考勤签到</w:t>
            </w:r>
            <w:r>
              <w:rPr>
                <w:rFonts w:hint="eastAsia" w:ascii="宋体" w:hAnsi="宋体" w:cs="宋体"/>
                <w:i w:val="0"/>
                <w:iCs w:val="0"/>
                <w:color w:val="000000"/>
                <w:kern w:val="0"/>
                <w:sz w:val="24"/>
                <w:szCs w:val="24"/>
                <w:highlight w:val="none"/>
                <w:u w:val="none"/>
                <w:lang w:val="en-US" w:eastAsia="zh-CN" w:bidi="ar"/>
              </w:rPr>
              <w:t>；</w:t>
            </w:r>
          </w:p>
        </w:tc>
        <w:tc>
          <w:tcPr>
            <w:tcW w:w="567" w:type="dxa"/>
            <w:tcBorders>
              <w:top w:val="single" w:color="auto" w:sz="6" w:space="0"/>
              <w:left w:val="single" w:color="auto" w:sz="6" w:space="0"/>
              <w:bottom w:val="single" w:color="auto" w:sz="6" w:space="0"/>
              <w:right w:val="single" w:color="auto" w:sz="6" w:space="0"/>
            </w:tcBorders>
            <w:vAlign w:val="center"/>
          </w:tcPr>
          <w:p w14:paraId="66905F7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 </w:t>
            </w:r>
          </w:p>
        </w:tc>
        <w:tc>
          <w:tcPr>
            <w:tcW w:w="567" w:type="dxa"/>
            <w:tcBorders>
              <w:top w:val="single" w:color="auto" w:sz="6" w:space="0"/>
              <w:left w:val="nil"/>
              <w:bottom w:val="single" w:color="auto" w:sz="6" w:space="0"/>
              <w:right w:val="single" w:color="auto" w:sz="6" w:space="0"/>
            </w:tcBorders>
            <w:vAlign w:val="center"/>
          </w:tcPr>
          <w:p w14:paraId="73070BF1">
            <w:pPr>
              <w:pStyle w:val="34"/>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r>
      <w:tr w14:paraId="0A5B436C">
        <w:tblPrEx>
          <w:tblCellMar>
            <w:top w:w="0" w:type="dxa"/>
            <w:left w:w="10" w:type="dxa"/>
            <w:bottom w:w="0" w:type="dxa"/>
            <w:right w:w="10" w:type="dxa"/>
          </w:tblCellMar>
        </w:tblPrEx>
        <w:trPr>
          <w:trHeight w:val="476" w:hRule="atLeast"/>
        </w:trPr>
        <w:tc>
          <w:tcPr>
            <w:tcW w:w="500" w:type="dxa"/>
            <w:tcBorders>
              <w:top w:val="nil"/>
              <w:left w:val="single" w:color="auto" w:sz="6" w:space="0"/>
              <w:bottom w:val="single" w:color="auto" w:sz="6" w:space="0"/>
              <w:right w:val="single" w:color="auto" w:sz="6" w:space="0"/>
            </w:tcBorders>
            <w:vAlign w:val="center"/>
          </w:tcPr>
          <w:p w14:paraId="082D2935">
            <w:pPr>
              <w:pStyle w:val="43"/>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w:t>
            </w:r>
          </w:p>
        </w:tc>
        <w:tc>
          <w:tcPr>
            <w:tcW w:w="925" w:type="dxa"/>
            <w:tcBorders>
              <w:top w:val="nil"/>
              <w:left w:val="nil"/>
              <w:bottom w:val="single" w:color="auto" w:sz="6" w:space="0"/>
              <w:right w:val="single" w:color="auto" w:sz="6" w:space="0"/>
            </w:tcBorders>
            <w:vAlign w:val="center"/>
          </w:tcPr>
          <w:p w14:paraId="3CD54A89">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拾音话筒</w:t>
            </w:r>
          </w:p>
        </w:tc>
        <w:tc>
          <w:tcPr>
            <w:tcW w:w="6895" w:type="dxa"/>
            <w:tcBorders>
              <w:top w:val="nil"/>
              <w:left w:val="nil"/>
              <w:bottom w:val="single" w:color="auto" w:sz="6" w:space="0"/>
              <w:right w:val="single" w:color="auto" w:sz="6" w:space="0"/>
            </w:tcBorders>
            <w:shd w:val="clear" w:color="auto" w:fill="auto"/>
            <w:vAlign w:val="center"/>
          </w:tcPr>
          <w:p w14:paraId="23892B8E">
            <w:pPr>
              <w:widowControl/>
              <w:spacing w:line="360" w:lineRule="auto"/>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1.指向性：超心型</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2.频率响应：40Hz-16KHz</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3.灵敏度≥-7dB±1dB</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4.最大声压级≥110dB</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5.信噪比≥62dB</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6.动态范围≥78.5dB</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7.使用电源：麦克风一线通供电</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8.输出接口：数字音频接口</w:t>
            </w:r>
            <w:r>
              <w:rPr>
                <w:rFonts w:hint="eastAsia" w:ascii="宋体" w:hAnsi="宋体" w:cs="宋体"/>
                <w:i w:val="0"/>
                <w:iCs w:val="0"/>
                <w:color w:val="000000"/>
                <w:kern w:val="0"/>
                <w:sz w:val="24"/>
                <w:szCs w:val="24"/>
                <w:highlight w:val="none"/>
                <w:u w:val="none"/>
                <w:lang w:val="en-US" w:eastAsia="zh-CN" w:bidi="ar"/>
              </w:rPr>
              <w:t>；</w:t>
            </w:r>
          </w:p>
        </w:tc>
        <w:tc>
          <w:tcPr>
            <w:tcW w:w="567" w:type="dxa"/>
            <w:tcBorders>
              <w:top w:val="single" w:color="auto" w:sz="6" w:space="0"/>
              <w:left w:val="single" w:color="auto" w:sz="6" w:space="0"/>
              <w:bottom w:val="single" w:color="auto" w:sz="6" w:space="0"/>
              <w:right w:val="single" w:color="auto" w:sz="6" w:space="0"/>
            </w:tcBorders>
            <w:vAlign w:val="center"/>
          </w:tcPr>
          <w:p w14:paraId="0E31560C">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30</w:t>
            </w:r>
          </w:p>
        </w:tc>
        <w:tc>
          <w:tcPr>
            <w:tcW w:w="567" w:type="dxa"/>
            <w:tcBorders>
              <w:top w:val="single" w:color="auto" w:sz="6" w:space="0"/>
              <w:left w:val="single" w:color="auto" w:sz="6" w:space="0"/>
              <w:bottom w:val="single" w:color="auto" w:sz="6" w:space="0"/>
              <w:right w:val="single" w:color="auto" w:sz="6" w:space="0"/>
            </w:tcBorders>
            <w:vAlign w:val="center"/>
          </w:tcPr>
          <w:p w14:paraId="30B6A649">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支</w:t>
            </w:r>
          </w:p>
        </w:tc>
      </w:tr>
      <w:tr w14:paraId="0B2180E4">
        <w:tblPrEx>
          <w:tblCellMar>
            <w:top w:w="0" w:type="dxa"/>
            <w:left w:w="10" w:type="dxa"/>
            <w:bottom w:w="0" w:type="dxa"/>
            <w:right w:w="10" w:type="dxa"/>
          </w:tblCellMar>
        </w:tblPrEx>
        <w:trPr>
          <w:trHeight w:val="568" w:hRule="atLeast"/>
        </w:trPr>
        <w:tc>
          <w:tcPr>
            <w:tcW w:w="500" w:type="dxa"/>
            <w:tcBorders>
              <w:top w:val="single" w:color="auto" w:sz="6" w:space="0"/>
              <w:left w:val="single" w:color="auto" w:sz="6" w:space="0"/>
              <w:bottom w:val="single" w:color="auto" w:sz="6" w:space="0"/>
              <w:right w:val="single" w:color="auto" w:sz="6" w:space="0"/>
            </w:tcBorders>
            <w:vAlign w:val="center"/>
          </w:tcPr>
          <w:p w14:paraId="4B80ABB3">
            <w:pPr>
              <w:pStyle w:val="43"/>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w:t>
            </w:r>
          </w:p>
        </w:tc>
        <w:tc>
          <w:tcPr>
            <w:tcW w:w="925" w:type="dxa"/>
            <w:tcBorders>
              <w:top w:val="single" w:color="auto" w:sz="6" w:space="0"/>
              <w:left w:val="nil"/>
              <w:bottom w:val="single" w:color="auto" w:sz="6" w:space="0"/>
              <w:right w:val="single" w:color="auto" w:sz="6" w:space="0"/>
            </w:tcBorders>
            <w:vAlign w:val="center"/>
          </w:tcPr>
          <w:p w14:paraId="5DB85B14">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常态录播主机</w:t>
            </w:r>
          </w:p>
        </w:tc>
        <w:tc>
          <w:tcPr>
            <w:tcW w:w="6895" w:type="dxa"/>
            <w:tcBorders>
              <w:top w:val="single" w:color="auto" w:sz="6" w:space="0"/>
              <w:left w:val="nil"/>
              <w:bottom w:val="single" w:color="auto" w:sz="6" w:space="0"/>
              <w:right w:val="single" w:color="auto" w:sz="6" w:space="0"/>
            </w:tcBorders>
            <w:shd w:val="clear" w:color="auto" w:fill="auto"/>
            <w:vAlign w:val="center"/>
          </w:tcPr>
          <w:p w14:paraId="7ECA822A">
            <w:pPr>
              <w:widowControl/>
              <w:spacing w:line="360" w:lineRule="auto"/>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一、整体设计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整体功能：高度集成视频录制、自动跟踪导播、视音频互动、实时直播、音频处理功能。支持扩展基于计算机视觉CV技术的AI师生课堂行为分析；支持拓展基于课堂语音识别能力的AI教学语音分析功能；支持扩展基于深度学习算法与图像处理能力的AI板书增强功能</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2.嵌入式架构的录播主机应具有环保特性，需采用不高于DC60V的电压供电，整机正常工作状态下功耗不超过50W；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3.主机支持1路HDMI输出接口、≥2路3G-SDI输入；≥2路HDMI输出，且输入输出分辨率均支持1080P@30fps；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4.支持连接摄像机与主机之间通过一根双绞线进行供电、控制、视频信号同传，不接受使用转换器的方式；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5.主机支持≥2路3.5mm线性音频模拟信号输入接口；≥2路3.5mm线性音频输出接口；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6.主机支持≥2路Console控制接口（RJ45），支持RS232串行通信协议进行外接控制；≥2路USB接口，可用于连接U盘等外设；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7.主机支持音频“一线通”功能，数字音频输入Digital mic仅通过一条双绞线即可通过RJ45接口同时实现数字音频信号的采集以及数字麦克风的供电，实现音频信号的高品质、抗干扰稳定传输；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8.主机兼容标准H。264视频编解码能力，要求支持1080P@30fps、720P@30fps,以及AAC音频编解码协议标准且内置音频处理功能；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9.主机具备标准的RJ45网络接口、支持100/1000M网络自适应以及IPv4、IPv6双协议栈；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10.存储容量：主机储存容量1TB，用于录制视频文件的本地存储；</w:t>
            </w:r>
          </w:p>
        </w:tc>
        <w:tc>
          <w:tcPr>
            <w:tcW w:w="567" w:type="dxa"/>
            <w:tcBorders>
              <w:top w:val="single" w:color="auto" w:sz="6" w:space="0"/>
              <w:left w:val="single" w:color="auto" w:sz="6" w:space="0"/>
              <w:bottom w:val="single" w:color="auto" w:sz="6" w:space="0"/>
              <w:right w:val="single" w:color="auto" w:sz="6" w:space="0"/>
            </w:tcBorders>
            <w:vAlign w:val="center"/>
          </w:tcPr>
          <w:p w14:paraId="2930AA19">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w:t>
            </w:r>
          </w:p>
        </w:tc>
        <w:tc>
          <w:tcPr>
            <w:tcW w:w="567" w:type="dxa"/>
            <w:tcBorders>
              <w:top w:val="single" w:color="auto" w:sz="6" w:space="0"/>
              <w:left w:val="single" w:color="auto" w:sz="6" w:space="0"/>
              <w:bottom w:val="single" w:color="auto" w:sz="6" w:space="0"/>
              <w:right w:val="single" w:color="auto" w:sz="6" w:space="0"/>
            </w:tcBorders>
            <w:vAlign w:val="center"/>
          </w:tcPr>
          <w:p w14:paraId="0374F4AE">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w:t>
            </w:r>
          </w:p>
        </w:tc>
      </w:tr>
      <w:tr w14:paraId="0DB9E8BF">
        <w:tblPrEx>
          <w:tblCellMar>
            <w:top w:w="0" w:type="dxa"/>
            <w:left w:w="10" w:type="dxa"/>
            <w:bottom w:w="0" w:type="dxa"/>
            <w:right w:w="10" w:type="dxa"/>
          </w:tblCellMar>
        </w:tblPrEx>
        <w:trPr>
          <w:trHeight w:val="548" w:hRule="atLeast"/>
        </w:trPr>
        <w:tc>
          <w:tcPr>
            <w:tcW w:w="500" w:type="dxa"/>
            <w:tcBorders>
              <w:top w:val="single" w:color="auto" w:sz="6" w:space="0"/>
              <w:left w:val="single" w:color="auto" w:sz="6" w:space="0"/>
              <w:bottom w:val="single" w:color="auto" w:sz="6" w:space="0"/>
              <w:right w:val="single" w:color="auto" w:sz="6" w:space="0"/>
            </w:tcBorders>
            <w:vAlign w:val="center"/>
          </w:tcPr>
          <w:p w14:paraId="7790B996">
            <w:pPr>
              <w:pStyle w:val="43"/>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w:t>
            </w:r>
          </w:p>
        </w:tc>
        <w:tc>
          <w:tcPr>
            <w:tcW w:w="925" w:type="dxa"/>
            <w:tcBorders>
              <w:top w:val="single" w:color="auto" w:sz="6" w:space="0"/>
              <w:left w:val="nil"/>
              <w:bottom w:val="single" w:color="auto" w:sz="6" w:space="0"/>
              <w:right w:val="single" w:color="auto" w:sz="6" w:space="0"/>
            </w:tcBorders>
            <w:vAlign w:val="center"/>
          </w:tcPr>
          <w:p w14:paraId="2A8DAF99">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教师高清摄像机</w:t>
            </w:r>
          </w:p>
        </w:tc>
        <w:tc>
          <w:tcPr>
            <w:tcW w:w="6895" w:type="dxa"/>
            <w:tcBorders>
              <w:top w:val="single" w:color="auto" w:sz="6" w:space="0"/>
              <w:left w:val="nil"/>
              <w:bottom w:val="single" w:color="auto" w:sz="6" w:space="0"/>
              <w:right w:val="single" w:color="auto" w:sz="6" w:space="0"/>
            </w:tcBorders>
            <w:shd w:val="clear" w:color="auto" w:fill="auto"/>
            <w:vAlign w:val="center"/>
          </w:tcPr>
          <w:p w14:paraId="15A62913">
            <w:pPr>
              <w:widowControl/>
              <w:spacing w:line="360" w:lineRule="auto"/>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1.传感器：要求采用CMOS类型图像传感器，尺寸≥1/2.5英寸；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2.像素：有效像素≥800万；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3.变焦：要求支持自动和手动变焦，变焦倍数≥8倍；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4.云台转动：要求具备机械云台可及逆行转动跟踪。水平转动速度范围不少于1.0°～94.2°/s,垂直转动速度范围不小于1.0°～74.8°/s；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5.拍摄视场角：要求水平视场角度范围不小于72.0°～6.1°，垂直视场角度范围不少于43.2°～3.5°；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6.视频编码：要求支持H.265、H.264高清视频编码协议；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7.视频输出：要求具备数字视频输出口（RJ45）≥1；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8.通讯接口：要求具备RS232/RS422≥1；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9.网络接入：RJ45网络接口≥1，并支持100M/1000M自适应以太网接入与RTSP协议网络视频输出；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10.音频接口：Line in 输入口≥1；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11.USB接口：要求具备USB Type-A≥1；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12.控制协议：要求采用VISCA标准摄像机控制协议；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13.一线通：要求与搭配的录播主机连接，可实现摄像机供电、控制以及视频信号传输；</w:t>
            </w:r>
          </w:p>
        </w:tc>
        <w:tc>
          <w:tcPr>
            <w:tcW w:w="567" w:type="dxa"/>
            <w:tcBorders>
              <w:top w:val="single" w:color="auto" w:sz="6" w:space="0"/>
              <w:left w:val="single" w:color="auto" w:sz="6" w:space="0"/>
              <w:bottom w:val="single" w:color="auto" w:sz="6" w:space="0"/>
              <w:right w:val="single" w:color="auto" w:sz="6" w:space="0"/>
            </w:tcBorders>
            <w:vAlign w:val="center"/>
          </w:tcPr>
          <w:p w14:paraId="1742FB39">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w:t>
            </w:r>
          </w:p>
        </w:tc>
        <w:tc>
          <w:tcPr>
            <w:tcW w:w="567" w:type="dxa"/>
            <w:tcBorders>
              <w:top w:val="single" w:color="auto" w:sz="6" w:space="0"/>
              <w:left w:val="single" w:color="auto" w:sz="6" w:space="0"/>
              <w:bottom w:val="single" w:color="auto" w:sz="6" w:space="0"/>
              <w:right w:val="single" w:color="auto" w:sz="6" w:space="0"/>
            </w:tcBorders>
            <w:vAlign w:val="center"/>
          </w:tcPr>
          <w:p w14:paraId="36C6EB27">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w:t>
            </w:r>
          </w:p>
        </w:tc>
      </w:tr>
      <w:tr w14:paraId="03B0E829">
        <w:tblPrEx>
          <w:tblCellMar>
            <w:top w:w="0" w:type="dxa"/>
            <w:left w:w="10" w:type="dxa"/>
            <w:bottom w:w="0" w:type="dxa"/>
            <w:right w:w="10" w:type="dxa"/>
          </w:tblCellMar>
        </w:tblPrEx>
        <w:trPr>
          <w:trHeight w:val="683" w:hRule="atLeast"/>
        </w:trPr>
        <w:tc>
          <w:tcPr>
            <w:tcW w:w="500" w:type="dxa"/>
            <w:tcBorders>
              <w:top w:val="single" w:color="auto" w:sz="6" w:space="0"/>
              <w:left w:val="single" w:color="auto" w:sz="6" w:space="0"/>
              <w:bottom w:val="single" w:color="auto" w:sz="6" w:space="0"/>
              <w:right w:val="single" w:color="auto" w:sz="6" w:space="0"/>
            </w:tcBorders>
            <w:vAlign w:val="center"/>
          </w:tcPr>
          <w:p w14:paraId="711ED596">
            <w:pPr>
              <w:pStyle w:val="43"/>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w:t>
            </w:r>
          </w:p>
        </w:tc>
        <w:tc>
          <w:tcPr>
            <w:tcW w:w="925" w:type="dxa"/>
            <w:tcBorders>
              <w:top w:val="single" w:color="auto" w:sz="6" w:space="0"/>
              <w:left w:val="nil"/>
              <w:bottom w:val="single" w:color="auto" w:sz="6" w:space="0"/>
              <w:right w:val="single" w:color="auto" w:sz="6" w:space="0"/>
            </w:tcBorders>
            <w:vAlign w:val="center"/>
          </w:tcPr>
          <w:p w14:paraId="4EBB79D1">
            <w:pPr>
              <w:widowControl/>
              <w:spacing w:line="360" w:lineRule="auto"/>
              <w:jc w:val="center"/>
              <w:textAlignment w:val="center"/>
              <w:rPr>
                <w:rFonts w:hint="eastAsia" w:ascii="宋体" w:hAnsi="宋体" w:eastAsia="宋体" w:cs="宋体"/>
                <w:kern w:val="0"/>
                <w:sz w:val="24"/>
                <w:szCs w:val="24"/>
                <w:highlight w:val="none"/>
                <w14:textFill>
                  <w14:gradFill>
                    <w14:gsLst>
                      <w14:gs w14:pos="0">
                        <w14:srgbClr w14:val="FE4444"/>
                      </w14:gs>
                      <w14:gs w14:pos="100000">
                        <w14:srgbClr w14:val="832B2B"/>
                      </w14:gs>
                    </w14:gsLst>
                    <w14:lin w14:ang="0" w14:scaled="0"/>
                  </w14:gradFill>
                </w14:textFill>
              </w:rPr>
            </w:pPr>
            <w:r>
              <w:rPr>
                <w:rFonts w:hint="eastAsia" w:ascii="宋体" w:hAnsi="宋体" w:eastAsia="宋体" w:cs="宋体"/>
                <w:color w:val="000000"/>
                <w:kern w:val="0"/>
                <w:sz w:val="24"/>
                <w:szCs w:val="24"/>
                <w:highlight w:val="none"/>
                <w:lang w:bidi="ar"/>
              </w:rPr>
              <w:t>学生高清摄像机</w:t>
            </w:r>
          </w:p>
        </w:tc>
        <w:tc>
          <w:tcPr>
            <w:tcW w:w="6895" w:type="dxa"/>
            <w:tcBorders>
              <w:top w:val="single" w:color="auto" w:sz="6" w:space="0"/>
              <w:left w:val="nil"/>
              <w:bottom w:val="single" w:color="auto" w:sz="6" w:space="0"/>
              <w:right w:val="single" w:color="auto" w:sz="6" w:space="0"/>
            </w:tcBorders>
            <w:shd w:val="clear" w:color="auto" w:fill="auto"/>
            <w:vAlign w:val="center"/>
          </w:tcPr>
          <w:p w14:paraId="5198BD87">
            <w:pPr>
              <w:widowControl/>
              <w:spacing w:line="360" w:lineRule="auto"/>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1.传感器类型：CMOS 1/2.5英寸</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2.采用逐行扫描模式，有效像素不低于800万</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3.采用了2D和基于运动估计的3D降噪算法</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4.最大水平视场角不小于80°，最大垂直视场角不小于50°</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5.网络接口：RJ45网络接口≥1，10/100/1000M自适应</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6.编码技术：视频H.264/H.265</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7.支持DC12V电源适配器供电与RJ45双绞线供电</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8.支持电子云镜技术、单镜头拍摄可输出“全景”、“特写”双信号画面只录播主机选择录制</w:t>
            </w:r>
            <w:r>
              <w:rPr>
                <w:rFonts w:hint="eastAsia" w:ascii="宋体" w:hAnsi="宋体" w:cs="宋体"/>
                <w:i w:val="0"/>
                <w:iCs w:val="0"/>
                <w:color w:val="000000"/>
                <w:kern w:val="0"/>
                <w:sz w:val="24"/>
                <w:szCs w:val="24"/>
                <w:highlight w:val="none"/>
                <w:u w:val="none"/>
                <w:lang w:val="en-US" w:eastAsia="zh-CN" w:bidi="ar"/>
              </w:rPr>
              <w:t>；</w:t>
            </w:r>
          </w:p>
        </w:tc>
        <w:tc>
          <w:tcPr>
            <w:tcW w:w="567" w:type="dxa"/>
            <w:tcBorders>
              <w:top w:val="single" w:color="auto" w:sz="6" w:space="0"/>
              <w:left w:val="single" w:color="auto" w:sz="6" w:space="0"/>
              <w:bottom w:val="single" w:color="auto" w:sz="6" w:space="0"/>
              <w:right w:val="single" w:color="auto" w:sz="6" w:space="0"/>
            </w:tcBorders>
            <w:vAlign w:val="center"/>
          </w:tcPr>
          <w:p w14:paraId="403097B4">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w:t>
            </w:r>
          </w:p>
        </w:tc>
        <w:tc>
          <w:tcPr>
            <w:tcW w:w="567" w:type="dxa"/>
            <w:tcBorders>
              <w:top w:val="single" w:color="auto" w:sz="6" w:space="0"/>
              <w:left w:val="single" w:color="auto" w:sz="6" w:space="0"/>
              <w:bottom w:val="single" w:color="auto" w:sz="6" w:space="0"/>
              <w:right w:val="single" w:color="auto" w:sz="6" w:space="0"/>
            </w:tcBorders>
            <w:vAlign w:val="center"/>
          </w:tcPr>
          <w:p w14:paraId="20E06097">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w:t>
            </w:r>
          </w:p>
        </w:tc>
      </w:tr>
      <w:tr w14:paraId="765C56B7">
        <w:tblPrEx>
          <w:tblCellMar>
            <w:top w:w="0" w:type="dxa"/>
            <w:left w:w="10" w:type="dxa"/>
            <w:bottom w:w="0" w:type="dxa"/>
            <w:right w:w="10" w:type="dxa"/>
          </w:tblCellMar>
        </w:tblPrEx>
        <w:trPr>
          <w:trHeight w:val="707" w:hRule="atLeast"/>
        </w:trPr>
        <w:tc>
          <w:tcPr>
            <w:tcW w:w="500" w:type="dxa"/>
            <w:tcBorders>
              <w:top w:val="single" w:color="auto" w:sz="6" w:space="0"/>
              <w:left w:val="single" w:color="auto" w:sz="6" w:space="0"/>
              <w:bottom w:val="single" w:color="auto" w:sz="4" w:space="0"/>
              <w:right w:val="single" w:color="auto" w:sz="6" w:space="0"/>
            </w:tcBorders>
            <w:vAlign w:val="center"/>
          </w:tcPr>
          <w:p w14:paraId="5F2080DF">
            <w:pPr>
              <w:pStyle w:val="43"/>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w:t>
            </w:r>
          </w:p>
        </w:tc>
        <w:tc>
          <w:tcPr>
            <w:tcW w:w="925" w:type="dxa"/>
            <w:tcBorders>
              <w:top w:val="single" w:color="auto" w:sz="6" w:space="0"/>
              <w:left w:val="nil"/>
              <w:bottom w:val="single" w:color="auto" w:sz="4" w:space="0"/>
              <w:right w:val="single" w:color="auto" w:sz="6" w:space="0"/>
            </w:tcBorders>
            <w:vAlign w:val="center"/>
          </w:tcPr>
          <w:p w14:paraId="521D1F54">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服务器</w:t>
            </w:r>
          </w:p>
        </w:tc>
        <w:tc>
          <w:tcPr>
            <w:tcW w:w="6895" w:type="dxa"/>
            <w:tcBorders>
              <w:top w:val="single" w:color="auto" w:sz="6" w:space="0"/>
              <w:left w:val="nil"/>
              <w:bottom w:val="single" w:color="auto" w:sz="4" w:space="0"/>
              <w:right w:val="single" w:color="auto" w:sz="6" w:space="0"/>
            </w:tcBorders>
            <w:vAlign w:val="center"/>
          </w:tcPr>
          <w:p w14:paraId="37706584">
            <w:pPr>
              <w:spacing w:line="360" w:lineRule="auto"/>
              <w:jc w:val="left"/>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1.机架式服务器；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2.CPU：2颗Intel Xeon银牌4310(2.1GHz/12-Core/18MB/120W)Icelake处理器；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3.内存：2条32G/3200MT/s DDR4内存，16个内存插槽；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4.硬盘：1块480G SSD硬盘，3块4T SATA硬盘，12个硬盘位，支持多种不同的硬盘配置，硬盘支持热插拔；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5.RAID：Raid0/1/5/6/10/50/60-2G缓存；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6.网卡：2个千兆电口，2个万兆光口（含光模块）；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7.PCIe扩展：支持10个PCIe4.0扩展插槽，支持多种应用；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8.风扇：支持N+1冗余；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9.电源：2个900W电源，支持1+1冗余；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10.安全套件：含导轨；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11.服务：原厂3年上门更换硬件</w:t>
            </w:r>
            <w:r>
              <w:rPr>
                <w:rFonts w:hint="eastAsia" w:ascii="宋体" w:hAnsi="宋体" w:cs="宋体"/>
                <w:b/>
                <w:bCs/>
                <w:i w:val="0"/>
                <w:iCs w:val="0"/>
                <w:color w:val="000000"/>
                <w:kern w:val="0"/>
                <w:sz w:val="24"/>
                <w:szCs w:val="24"/>
                <w:highlight w:val="none"/>
                <w:u w:val="none"/>
                <w:lang w:val="en-US" w:eastAsia="zh-CN" w:bidi="ar"/>
              </w:rPr>
              <w:t>；</w:t>
            </w:r>
          </w:p>
        </w:tc>
        <w:tc>
          <w:tcPr>
            <w:tcW w:w="567" w:type="dxa"/>
            <w:tcBorders>
              <w:top w:val="single" w:color="auto" w:sz="6" w:space="0"/>
              <w:left w:val="single" w:color="auto" w:sz="6" w:space="0"/>
              <w:bottom w:val="single" w:color="auto" w:sz="4" w:space="0"/>
              <w:right w:val="single" w:color="auto" w:sz="6" w:space="0"/>
            </w:tcBorders>
            <w:vAlign w:val="center"/>
          </w:tcPr>
          <w:p w14:paraId="46C8414A">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w:t>
            </w:r>
          </w:p>
        </w:tc>
        <w:tc>
          <w:tcPr>
            <w:tcW w:w="567" w:type="dxa"/>
            <w:tcBorders>
              <w:top w:val="single" w:color="auto" w:sz="6" w:space="0"/>
              <w:left w:val="single" w:color="auto" w:sz="6" w:space="0"/>
              <w:bottom w:val="single" w:color="auto" w:sz="4" w:space="0"/>
              <w:right w:val="single" w:color="auto" w:sz="6" w:space="0"/>
            </w:tcBorders>
            <w:vAlign w:val="center"/>
          </w:tcPr>
          <w:p w14:paraId="180E6683">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w:t>
            </w:r>
          </w:p>
        </w:tc>
      </w:tr>
      <w:tr w14:paraId="43DCD548">
        <w:tblPrEx>
          <w:tblCellMar>
            <w:top w:w="0" w:type="dxa"/>
            <w:left w:w="10" w:type="dxa"/>
            <w:bottom w:w="0" w:type="dxa"/>
            <w:right w:w="10" w:type="dxa"/>
          </w:tblCellMar>
        </w:tblPrEx>
        <w:trPr>
          <w:trHeight w:val="552" w:hRule="atLeast"/>
        </w:trPr>
        <w:tc>
          <w:tcPr>
            <w:tcW w:w="500" w:type="dxa"/>
            <w:tcBorders>
              <w:top w:val="single" w:color="auto" w:sz="4" w:space="0"/>
              <w:left w:val="single" w:color="auto" w:sz="6" w:space="0"/>
              <w:bottom w:val="single" w:color="auto" w:sz="4" w:space="0"/>
              <w:right w:val="single" w:color="auto" w:sz="6" w:space="0"/>
            </w:tcBorders>
            <w:vAlign w:val="center"/>
          </w:tcPr>
          <w:p w14:paraId="172A15B0">
            <w:pPr>
              <w:pStyle w:val="43"/>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7</w:t>
            </w:r>
          </w:p>
        </w:tc>
        <w:tc>
          <w:tcPr>
            <w:tcW w:w="925" w:type="dxa"/>
            <w:tcBorders>
              <w:top w:val="single" w:color="auto" w:sz="4" w:space="0"/>
              <w:left w:val="nil"/>
              <w:bottom w:val="single" w:color="auto" w:sz="4" w:space="0"/>
              <w:right w:val="single" w:color="auto" w:sz="6" w:space="0"/>
            </w:tcBorders>
            <w:vAlign w:val="center"/>
          </w:tcPr>
          <w:p w14:paraId="0EED135C">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紧凑型红外教学音箱</w:t>
            </w:r>
          </w:p>
        </w:tc>
        <w:tc>
          <w:tcPr>
            <w:tcW w:w="6895" w:type="dxa"/>
            <w:tcBorders>
              <w:top w:val="single" w:color="auto" w:sz="4" w:space="0"/>
              <w:left w:val="nil"/>
              <w:bottom w:val="single" w:color="auto" w:sz="4" w:space="0"/>
              <w:right w:val="single" w:color="auto" w:sz="6" w:space="0"/>
            </w:tcBorders>
            <w:vAlign w:val="center"/>
          </w:tcPr>
          <w:p w14:paraId="2F131218">
            <w:pPr>
              <w:spacing w:line="360" w:lineRule="auto"/>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1.数字功放，红外无线接收模块，反馈抑制模块，DSP数字音频处理模块，扬声器支持多组红外通道同时使用</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2.采用红外光线进行音频传输，可在室外阳光环境下工作，不串频，无干扰</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3.内嵌2个4"扬声器</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4.支持多种接口包括不限于线路输入接口1个，混音输出接口1个；话筒独立输出1个等</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5.前面板配置中文液晶屏，及时反馈设备状态</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6.功放频率响应：50Hz～20KHz±3dB</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7.失真：≤0.05%</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8.信噪比≥78dB(MIC),≥80dB(LINE),≥98dB(IR MIC)(A计权)</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9.标配挂墙支架</w:t>
            </w:r>
            <w:r>
              <w:rPr>
                <w:rFonts w:hint="eastAsia" w:ascii="宋体" w:hAnsi="宋体" w:cs="宋体"/>
                <w:i w:val="0"/>
                <w:iCs w:val="0"/>
                <w:color w:val="000000"/>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62024C93">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w:t>
            </w:r>
          </w:p>
        </w:tc>
        <w:tc>
          <w:tcPr>
            <w:tcW w:w="567" w:type="dxa"/>
            <w:tcBorders>
              <w:top w:val="single" w:color="auto" w:sz="4" w:space="0"/>
              <w:left w:val="single" w:color="auto" w:sz="6" w:space="0"/>
              <w:bottom w:val="single" w:color="auto" w:sz="4" w:space="0"/>
              <w:right w:val="single" w:color="auto" w:sz="6" w:space="0"/>
            </w:tcBorders>
            <w:vAlign w:val="center"/>
          </w:tcPr>
          <w:p w14:paraId="1DD58849">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w:t>
            </w:r>
          </w:p>
        </w:tc>
      </w:tr>
      <w:tr w14:paraId="34070355">
        <w:tblPrEx>
          <w:tblCellMar>
            <w:top w:w="0" w:type="dxa"/>
            <w:left w:w="10" w:type="dxa"/>
            <w:bottom w:w="0" w:type="dxa"/>
            <w:right w:w="10" w:type="dxa"/>
          </w:tblCellMar>
        </w:tblPrEx>
        <w:trPr>
          <w:trHeight w:val="563" w:hRule="atLeast"/>
        </w:trPr>
        <w:tc>
          <w:tcPr>
            <w:tcW w:w="500" w:type="dxa"/>
            <w:tcBorders>
              <w:top w:val="single" w:color="auto" w:sz="4" w:space="0"/>
              <w:left w:val="single" w:color="auto" w:sz="6" w:space="0"/>
              <w:bottom w:val="single" w:color="auto" w:sz="4" w:space="0"/>
              <w:right w:val="single" w:color="auto" w:sz="6" w:space="0"/>
            </w:tcBorders>
            <w:vAlign w:val="center"/>
          </w:tcPr>
          <w:p w14:paraId="2190ACDB">
            <w:pPr>
              <w:pStyle w:val="43"/>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w:t>
            </w:r>
          </w:p>
        </w:tc>
        <w:tc>
          <w:tcPr>
            <w:tcW w:w="925" w:type="dxa"/>
            <w:tcBorders>
              <w:top w:val="single" w:color="auto" w:sz="4" w:space="0"/>
              <w:left w:val="nil"/>
              <w:bottom w:val="single" w:color="auto" w:sz="4" w:space="0"/>
              <w:right w:val="single" w:color="auto" w:sz="6" w:space="0"/>
            </w:tcBorders>
            <w:vAlign w:val="center"/>
          </w:tcPr>
          <w:p w14:paraId="6833AE3F">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红外话筒</w:t>
            </w:r>
          </w:p>
        </w:tc>
        <w:tc>
          <w:tcPr>
            <w:tcW w:w="6895" w:type="dxa"/>
            <w:tcBorders>
              <w:top w:val="single" w:color="auto" w:sz="4" w:space="0"/>
              <w:left w:val="nil"/>
              <w:bottom w:val="single" w:color="auto" w:sz="4" w:space="0"/>
              <w:right w:val="single" w:color="auto" w:sz="6" w:space="0"/>
            </w:tcBorders>
            <w:vAlign w:val="center"/>
          </w:tcPr>
          <w:p w14:paraId="33B8F566">
            <w:pPr>
              <w:spacing w:line="360" w:lineRule="auto"/>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1.话筒采用红外无线传输制式。电容式驻极体音头ECM，双通道设计，可自由调节通道</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2.电池工作时间≥6小时</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3.充电方式：支持直插式磁吸桌面充电器充电。即话筒尾部安装环形磁吸充电金属片，话筒旋转360°，任意角度都可充电</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4.话筒具备防止电池短路设计，即：无法将电池反装入话筒内，且在任何电池短路的情况下都不会对设备造成损坏</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5.采用手持式圆柱体形状设计，管体管身全部采用铝合金材质，并具备防滚跌落设计</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6.承诺三年内话筒丢失免费补送服务。</w:t>
            </w:r>
          </w:p>
        </w:tc>
        <w:tc>
          <w:tcPr>
            <w:tcW w:w="567" w:type="dxa"/>
            <w:tcBorders>
              <w:top w:val="single" w:color="auto" w:sz="4" w:space="0"/>
              <w:left w:val="single" w:color="auto" w:sz="6" w:space="0"/>
              <w:bottom w:val="single" w:color="auto" w:sz="4" w:space="0"/>
              <w:right w:val="single" w:color="auto" w:sz="6" w:space="0"/>
            </w:tcBorders>
            <w:vAlign w:val="center"/>
          </w:tcPr>
          <w:p w14:paraId="5E3DDF6B">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20</w:t>
            </w:r>
          </w:p>
        </w:tc>
        <w:tc>
          <w:tcPr>
            <w:tcW w:w="567" w:type="dxa"/>
            <w:tcBorders>
              <w:top w:val="single" w:color="auto" w:sz="4" w:space="0"/>
              <w:left w:val="single" w:color="auto" w:sz="6" w:space="0"/>
              <w:bottom w:val="single" w:color="auto" w:sz="4" w:space="0"/>
              <w:right w:val="single" w:color="auto" w:sz="6" w:space="0"/>
            </w:tcBorders>
            <w:vAlign w:val="center"/>
          </w:tcPr>
          <w:p w14:paraId="5B428563">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w:t>
            </w:r>
          </w:p>
        </w:tc>
      </w:tr>
      <w:tr w14:paraId="4B5D9C50">
        <w:tblPrEx>
          <w:tblCellMar>
            <w:top w:w="0" w:type="dxa"/>
            <w:left w:w="10" w:type="dxa"/>
            <w:bottom w:w="0" w:type="dxa"/>
            <w:right w:w="10" w:type="dxa"/>
          </w:tblCellMar>
        </w:tblPrEx>
        <w:trPr>
          <w:trHeight w:val="543" w:hRule="atLeast"/>
        </w:trPr>
        <w:tc>
          <w:tcPr>
            <w:tcW w:w="500" w:type="dxa"/>
            <w:tcBorders>
              <w:top w:val="single" w:color="auto" w:sz="4" w:space="0"/>
              <w:left w:val="single" w:color="auto" w:sz="6" w:space="0"/>
              <w:bottom w:val="single" w:color="auto" w:sz="4" w:space="0"/>
              <w:right w:val="single" w:color="auto" w:sz="6" w:space="0"/>
            </w:tcBorders>
            <w:vAlign w:val="center"/>
          </w:tcPr>
          <w:p w14:paraId="17C96068">
            <w:pPr>
              <w:pStyle w:val="43"/>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9</w:t>
            </w:r>
          </w:p>
        </w:tc>
        <w:tc>
          <w:tcPr>
            <w:tcW w:w="925" w:type="dxa"/>
            <w:tcBorders>
              <w:top w:val="single" w:color="auto" w:sz="4" w:space="0"/>
              <w:left w:val="nil"/>
              <w:bottom w:val="single" w:color="auto" w:sz="4" w:space="0"/>
              <w:right w:val="single" w:color="auto" w:sz="6" w:space="0"/>
            </w:tcBorders>
            <w:vAlign w:val="center"/>
          </w:tcPr>
          <w:p w14:paraId="127DE75A">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充电底座</w:t>
            </w:r>
          </w:p>
        </w:tc>
        <w:tc>
          <w:tcPr>
            <w:tcW w:w="6895" w:type="dxa"/>
            <w:tcBorders>
              <w:top w:val="single" w:color="auto" w:sz="4" w:space="0"/>
              <w:left w:val="nil"/>
              <w:bottom w:val="single" w:color="auto" w:sz="4" w:space="0"/>
              <w:right w:val="single" w:color="auto" w:sz="6" w:space="0"/>
            </w:tcBorders>
            <w:vAlign w:val="center"/>
          </w:tcPr>
          <w:p w14:paraId="2ACE0017">
            <w:pPr>
              <w:spacing w:line="360" w:lineRule="auto"/>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1.标配两个充电位，可根据话筒型号自由组合充电孔位，同时支持桌面放置和嵌入式安装两种方式；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2.充电保护：对不关话筒的情况下可以自动断开内部电路并进行充电。可根据充电指示灯判断充电情况。充电电压电流：DC 5V,500mA</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3.电池识别保护：能自动识别是否式充电电池，检测到非充电电池会自动断电保护</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4.同时具备Type-C接口和4P凤凰插口</w:t>
            </w:r>
            <w:r>
              <w:rPr>
                <w:rFonts w:hint="eastAsia" w:ascii="宋体" w:hAnsi="宋体" w:cs="宋体"/>
                <w:i w:val="0"/>
                <w:iCs w:val="0"/>
                <w:color w:val="000000"/>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7EF3568A">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w:t>
            </w:r>
          </w:p>
        </w:tc>
        <w:tc>
          <w:tcPr>
            <w:tcW w:w="567" w:type="dxa"/>
            <w:tcBorders>
              <w:top w:val="single" w:color="auto" w:sz="4" w:space="0"/>
              <w:left w:val="single" w:color="auto" w:sz="6" w:space="0"/>
              <w:bottom w:val="single" w:color="auto" w:sz="4" w:space="0"/>
              <w:right w:val="single" w:color="auto" w:sz="6" w:space="0"/>
            </w:tcBorders>
            <w:vAlign w:val="center"/>
          </w:tcPr>
          <w:p w14:paraId="6B204097">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w:t>
            </w:r>
          </w:p>
        </w:tc>
      </w:tr>
      <w:tr w14:paraId="1B56E2EC">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711E0719">
            <w:pPr>
              <w:pStyle w:val="43"/>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w:t>
            </w:r>
          </w:p>
        </w:tc>
        <w:tc>
          <w:tcPr>
            <w:tcW w:w="925" w:type="dxa"/>
            <w:tcBorders>
              <w:top w:val="single" w:color="auto" w:sz="4" w:space="0"/>
              <w:left w:val="nil"/>
              <w:bottom w:val="single" w:color="auto" w:sz="4" w:space="0"/>
              <w:right w:val="single" w:color="auto" w:sz="6" w:space="0"/>
            </w:tcBorders>
            <w:vAlign w:val="center"/>
          </w:tcPr>
          <w:p w14:paraId="2CD3854F">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电源管理器</w:t>
            </w:r>
          </w:p>
        </w:tc>
        <w:tc>
          <w:tcPr>
            <w:tcW w:w="6895" w:type="dxa"/>
            <w:tcBorders>
              <w:top w:val="single" w:color="auto" w:sz="4" w:space="0"/>
              <w:left w:val="nil"/>
              <w:bottom w:val="single" w:color="auto" w:sz="4" w:space="0"/>
              <w:right w:val="single" w:color="auto" w:sz="6" w:space="0"/>
            </w:tcBorders>
            <w:vAlign w:val="center"/>
          </w:tcPr>
          <w:p w14:paraId="406DDA23">
            <w:pPr>
              <w:spacing w:line="360" w:lineRule="auto"/>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1.支持≥8通道电源时序器打开/关闭，每路动作延时时间：≤1秒，支持远程控制（上电+24V直流信号）8通道电源时序器打开/关闭—当电源开关处于off位置时有效。支持配置CH1和CH2通道为受控或不受控状态</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2.当远程控制有效时同时控制后板ALARM（报警）端口导通以起到级联控制ALARM（报警）功能</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3.单个通道最大负载功率≥2200W，所有通道负载总功率≥6000W。输出连接器：多用途电源插座</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4.具有一路及以上USB输出接口</w:t>
            </w:r>
            <w:r>
              <w:rPr>
                <w:rFonts w:hint="eastAsia" w:ascii="宋体" w:hAnsi="宋体" w:cs="宋体"/>
                <w:i w:val="0"/>
                <w:iCs w:val="0"/>
                <w:color w:val="000000"/>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2EC7D29E">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w:t>
            </w:r>
          </w:p>
        </w:tc>
        <w:tc>
          <w:tcPr>
            <w:tcW w:w="567" w:type="dxa"/>
            <w:tcBorders>
              <w:top w:val="single" w:color="auto" w:sz="4" w:space="0"/>
              <w:left w:val="single" w:color="auto" w:sz="6" w:space="0"/>
              <w:bottom w:val="single" w:color="auto" w:sz="4" w:space="0"/>
              <w:right w:val="single" w:color="auto" w:sz="6" w:space="0"/>
            </w:tcBorders>
            <w:vAlign w:val="center"/>
          </w:tcPr>
          <w:p w14:paraId="20DE6EAA">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w:t>
            </w:r>
          </w:p>
        </w:tc>
      </w:tr>
      <w:tr w14:paraId="3AAC5A3A">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787DAA40">
            <w:pPr>
              <w:pStyle w:val="43"/>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w:t>
            </w:r>
          </w:p>
        </w:tc>
        <w:tc>
          <w:tcPr>
            <w:tcW w:w="925" w:type="dxa"/>
            <w:tcBorders>
              <w:top w:val="single" w:color="auto" w:sz="4" w:space="0"/>
              <w:left w:val="nil"/>
              <w:bottom w:val="single" w:color="auto" w:sz="4" w:space="0"/>
              <w:right w:val="single" w:color="auto" w:sz="6" w:space="0"/>
            </w:tcBorders>
            <w:vAlign w:val="center"/>
          </w:tcPr>
          <w:p w14:paraId="78FFC19D">
            <w:pPr>
              <w:widowControl/>
              <w:spacing w:line="36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六类网线</w:t>
            </w:r>
          </w:p>
        </w:tc>
        <w:tc>
          <w:tcPr>
            <w:tcW w:w="6895" w:type="dxa"/>
            <w:tcBorders>
              <w:top w:val="single" w:color="auto" w:sz="4" w:space="0"/>
              <w:left w:val="nil"/>
              <w:bottom w:val="single" w:color="auto" w:sz="4" w:space="0"/>
              <w:right w:val="single" w:color="auto" w:sz="6" w:space="0"/>
            </w:tcBorders>
            <w:vAlign w:val="center"/>
          </w:tcPr>
          <w:p w14:paraId="5E5CBE57">
            <w:pPr>
              <w:spacing w:line="360" w:lineRule="auto"/>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导体材质：无氧铜，含铜量≥99.95%</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导体直径：0.55±0.004mm，23AWG</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绝缘材质：高密度聚乙烯（HDPE）</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护套材质：环保聚乙烯（PE）</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护套颜色：黑色、灰色、蓝色可任选</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屏蔽类型：U/UTP</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工作温度：-20～75℃</w:t>
            </w:r>
            <w:r>
              <w:rPr>
                <w:rFonts w:hint="eastAsia" w:ascii="宋体" w:hAnsi="宋体" w:cs="宋体"/>
                <w:i w:val="0"/>
                <w:iCs w:val="0"/>
                <w:color w:val="000000"/>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1149BDA4">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w:t>
            </w:r>
          </w:p>
        </w:tc>
        <w:tc>
          <w:tcPr>
            <w:tcW w:w="567" w:type="dxa"/>
            <w:tcBorders>
              <w:top w:val="single" w:color="auto" w:sz="4" w:space="0"/>
              <w:left w:val="single" w:color="auto" w:sz="6" w:space="0"/>
              <w:bottom w:val="single" w:color="auto" w:sz="4" w:space="0"/>
              <w:right w:val="single" w:color="auto" w:sz="6" w:space="0"/>
            </w:tcBorders>
            <w:vAlign w:val="center"/>
          </w:tcPr>
          <w:p w14:paraId="4A1105D8">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箱</w:t>
            </w:r>
          </w:p>
        </w:tc>
      </w:tr>
      <w:tr w14:paraId="38F9FAC6">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405629C5">
            <w:pPr>
              <w:pStyle w:val="43"/>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w:t>
            </w:r>
          </w:p>
        </w:tc>
        <w:tc>
          <w:tcPr>
            <w:tcW w:w="925" w:type="dxa"/>
            <w:tcBorders>
              <w:top w:val="single" w:color="auto" w:sz="4" w:space="0"/>
              <w:left w:val="nil"/>
              <w:bottom w:val="single" w:color="auto" w:sz="4" w:space="0"/>
              <w:right w:val="single" w:color="auto" w:sz="6" w:space="0"/>
            </w:tcBorders>
            <w:vAlign w:val="center"/>
          </w:tcPr>
          <w:p w14:paraId="66EFFE3C">
            <w:pPr>
              <w:widowControl/>
              <w:spacing w:line="36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24口交换机</w:t>
            </w:r>
          </w:p>
        </w:tc>
        <w:tc>
          <w:tcPr>
            <w:tcW w:w="6895" w:type="dxa"/>
            <w:tcBorders>
              <w:top w:val="single" w:color="auto" w:sz="4" w:space="0"/>
              <w:left w:val="nil"/>
              <w:bottom w:val="single" w:color="auto" w:sz="4" w:space="0"/>
              <w:right w:val="single" w:color="auto" w:sz="6" w:space="0"/>
            </w:tcBorders>
            <w:vAlign w:val="center"/>
          </w:tcPr>
          <w:p w14:paraId="1835F076">
            <w:pPr>
              <w:spacing w:line="360" w:lineRule="auto"/>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交换容量≥336Gbps</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转发性能＞＝96Mpps,24个GE端口+4个千兆光口支持IPv4静态路由、RIP V1/V2 OSPF</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支持IPv6静态路由、RIPng</w:t>
            </w:r>
            <w:r>
              <w:rPr>
                <w:rFonts w:hint="eastAsia" w:ascii="宋体" w:hAnsi="宋体" w:cs="宋体"/>
                <w:i w:val="0"/>
                <w:iCs w:val="0"/>
                <w:color w:val="000000"/>
                <w:kern w:val="0"/>
                <w:sz w:val="24"/>
                <w:szCs w:val="24"/>
                <w:highlight w:val="none"/>
                <w:u w:val="none"/>
                <w:lang w:val="en-US" w:eastAsia="zh-CN" w:bidi="ar"/>
              </w:rPr>
              <w:t>；</w:t>
            </w:r>
          </w:p>
        </w:tc>
        <w:tc>
          <w:tcPr>
            <w:tcW w:w="567" w:type="dxa"/>
            <w:tcBorders>
              <w:top w:val="single" w:color="auto" w:sz="4" w:space="0"/>
              <w:left w:val="single" w:color="auto" w:sz="6" w:space="0"/>
              <w:bottom w:val="single" w:color="auto" w:sz="4" w:space="0"/>
              <w:right w:val="single" w:color="auto" w:sz="6" w:space="0"/>
            </w:tcBorders>
            <w:vAlign w:val="center"/>
          </w:tcPr>
          <w:p w14:paraId="0FAF10EF">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14:paraId="26B2C489">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w:t>
            </w:r>
          </w:p>
        </w:tc>
      </w:tr>
      <w:tr w14:paraId="7A9F98B7">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01B4E79B">
            <w:pPr>
              <w:pStyle w:val="43"/>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13</w:t>
            </w:r>
          </w:p>
        </w:tc>
        <w:tc>
          <w:tcPr>
            <w:tcW w:w="925" w:type="dxa"/>
            <w:tcBorders>
              <w:top w:val="single" w:color="auto" w:sz="4" w:space="0"/>
              <w:left w:val="nil"/>
              <w:bottom w:val="single" w:color="auto" w:sz="4" w:space="0"/>
              <w:right w:val="single" w:color="auto" w:sz="6" w:space="0"/>
            </w:tcBorders>
            <w:vAlign w:val="center"/>
          </w:tcPr>
          <w:p w14:paraId="2A4CD53C">
            <w:pPr>
              <w:widowControl/>
              <w:spacing w:line="36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智能交互书写终端</w:t>
            </w:r>
          </w:p>
        </w:tc>
        <w:tc>
          <w:tcPr>
            <w:tcW w:w="6895" w:type="dxa"/>
            <w:tcBorders>
              <w:top w:val="single" w:color="auto" w:sz="4" w:space="0"/>
              <w:left w:val="nil"/>
              <w:bottom w:val="single" w:color="auto" w:sz="4" w:space="0"/>
              <w:right w:val="single" w:color="auto" w:sz="6" w:space="0"/>
            </w:tcBorders>
            <w:vAlign w:val="center"/>
          </w:tcPr>
          <w:p w14:paraId="03FA1872">
            <w:pPr>
              <w:spacing w:line="360" w:lineRule="auto"/>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1、主屏显示尺寸≥21.5英寸；分辨率≥1920×1080；显示比例16：9；对比度≥1000：1；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2、辅屏显示尺寸≥10.1英寸，分辨率不低于1200×1920；屏幕比例10：16；对比度≥1000：1；采用电容触摸技术；内置Android操作系统，四核1.8G主频处理器，16G存储，4G内存；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3、整机具备信号显示、书写白板、主屏辅屏互动、物联管控、一键呼叫等功能，满足老师教学时显示画面同步、快捷操作、板书书写、批注及多媒体设备智能控制，老师讲课无需转身背对学生，提高授课效率；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4、2路HDMI输入接口；2路USB扩展接口，可接U盘及设备充电；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5、配置一支书写笔，采用电磁压感技术，响应快，笔触细腻，书写流畅；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6、书写主屏功能：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书写屏与交互控制面板大小屏交互，在交互控制面板上，可以对电脑上打开的程序进行预览，预览内容包括不限于WPS、office、浏览器、文本框、视频播放器等各类应用软件；预览区域可以滑屏翻页；一键可以将预览的内容切换至书写屏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（2）在交互控制面板上可以设置快捷按键，可以一键启动画板、一键启用聚光灯、一键返回桌面；一键截屏等功能；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（3）可调用PPT批注功能，将当前教学的重点内容进行批注；具备板书功能，老师在画板上可以自由进行涂画和书写，支持颜色、笔迹粗细设置，支持擦除、清空、保存板书等操作；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（4）具备聚光灯功能，教师授课时候可将重点内容通过聚光灯功能进行特殊强调，聚光灯可自由调大小；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（5）具备截屏、录屏功能，截屏、录屏自动保存导本地电脑指定文件目录，便于课后分享给学生；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7、物联管控功能：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（1）控制面板显示背景、操作界面和控制按键可根据用户需求自定义编程配置；支持网络远程配置，支持配置文件云端备份，支持网络云端下发配置和本地下发配置；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（2）支持IP语音对讲功能，具备拾音麦和喇叭；接入IP语音服务器后可实现各教室与控制室IP语音通话功能；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（3）具备多功能刷卡器，支持IC卡、二维读取、可兼容学校一卡通IC卡，配合多媒体智能终端使用，实现刷卡或者刷码开启系统；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8、物联主机功能：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（1）、标准机架式设计，带挂耳，可拆卸，适合各类机柜安装；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（2）、可跨校区、跨网段实现教室设备远程管理，包括：计算机重启、计算机远程桌面、音量调节、扩声音量调节、扩声静音、面板解锁/锁定等功能；支持H5、APP、微信小程序控制；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（3）、设备具有7路音频输入：其中有1路座式话筒输入接口；1路教学一体机音频输入接口；1路电脑音频输入接口；1路录播系统音频输入接口；1路模拟桌面式麦克风输入接口；可拓展2路无感教学麦克风输入接口</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（4）、控制接口需求：≥1路RS485接口；≥1路Wiegand（韦根）协议读卡器通讯接口；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（5）、设备具有2路可编程电源控制接口和1路可编程投影电源控制接口，支持延时断电功能，电流监测，可有效保护设备</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（6）、具备校园卡卡数据本地存储，≥5万张卡和≥3万条刷卡记录存储，支持断网运行；具备课表数据本地存储，支持≥180天每天16节次，可对接教务课表，数据自动同步，支持断网运行；</w:t>
            </w:r>
          </w:p>
        </w:tc>
        <w:tc>
          <w:tcPr>
            <w:tcW w:w="567" w:type="dxa"/>
            <w:tcBorders>
              <w:top w:val="single" w:color="auto" w:sz="4" w:space="0"/>
              <w:left w:val="single" w:color="auto" w:sz="6" w:space="0"/>
              <w:bottom w:val="single" w:color="auto" w:sz="4" w:space="0"/>
              <w:right w:val="single" w:color="auto" w:sz="6" w:space="0"/>
            </w:tcBorders>
            <w:vAlign w:val="center"/>
          </w:tcPr>
          <w:p w14:paraId="009EB92D">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w:t>
            </w:r>
          </w:p>
        </w:tc>
        <w:tc>
          <w:tcPr>
            <w:tcW w:w="567" w:type="dxa"/>
            <w:tcBorders>
              <w:top w:val="single" w:color="auto" w:sz="4" w:space="0"/>
              <w:left w:val="single" w:color="auto" w:sz="6" w:space="0"/>
              <w:bottom w:val="single" w:color="auto" w:sz="4" w:space="0"/>
              <w:right w:val="single" w:color="auto" w:sz="6" w:space="0"/>
            </w:tcBorders>
            <w:vAlign w:val="center"/>
          </w:tcPr>
          <w:p w14:paraId="0FFE68E6">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套</w:t>
            </w:r>
          </w:p>
        </w:tc>
      </w:tr>
      <w:tr w14:paraId="06D6BADC">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51BBC3A0">
            <w:pPr>
              <w:pStyle w:val="43"/>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14</w:t>
            </w:r>
          </w:p>
        </w:tc>
        <w:tc>
          <w:tcPr>
            <w:tcW w:w="925" w:type="dxa"/>
            <w:tcBorders>
              <w:top w:val="single" w:color="auto" w:sz="4" w:space="0"/>
              <w:left w:val="nil"/>
              <w:bottom w:val="single" w:color="auto" w:sz="4" w:space="0"/>
              <w:right w:val="single" w:color="auto" w:sz="6" w:space="0"/>
            </w:tcBorders>
            <w:vAlign w:val="center"/>
          </w:tcPr>
          <w:p w14:paraId="3FE48476">
            <w:pPr>
              <w:widowControl/>
              <w:spacing w:line="36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无线投屏器</w:t>
            </w:r>
          </w:p>
        </w:tc>
        <w:tc>
          <w:tcPr>
            <w:tcW w:w="6895" w:type="dxa"/>
            <w:tcBorders>
              <w:top w:val="single" w:color="auto" w:sz="4" w:space="0"/>
              <w:left w:val="nil"/>
              <w:bottom w:val="single" w:color="auto" w:sz="4" w:space="0"/>
              <w:right w:val="single" w:color="auto" w:sz="6" w:space="0"/>
            </w:tcBorders>
            <w:vAlign w:val="center"/>
          </w:tcPr>
          <w:p w14:paraId="18EF5A03">
            <w:pPr>
              <w:spacing w:line="360" w:lineRule="auto"/>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1.采用主流架构设计，嵌入式Android系统；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2.中央处理器：4核 ARM A53；</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3.内存大小：1G DDR3；存储空间：8G；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4.设备端具有电源按键、录制按键；支持通电后自启动，支持通电以后延时启动，可自定义延迟启动时间，最大可达到300秒的启动延迟</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5.高清视频接口，HDMI OUT≥1，支持多种输出显示分辨率，最高支持3834*2160分辨率；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6.标准音频接口Line in≥1，Line out≥1；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7.I/O外设接口，USB接口≥2；以太网RJ45接口≥1；支持100/1000Mbps自适应；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8.wifi功能，内置天线，支持2.4GHz和5GHz频段；支持802.11a/b/g/n/ac多种协议模式，最大工作速率：1300Mbps；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9.定时开关机：支持定时开关机功能，保证设备常年不掉电健康运行；</w:t>
            </w:r>
          </w:p>
        </w:tc>
        <w:tc>
          <w:tcPr>
            <w:tcW w:w="567" w:type="dxa"/>
            <w:tcBorders>
              <w:top w:val="single" w:color="auto" w:sz="4" w:space="0"/>
              <w:left w:val="single" w:color="auto" w:sz="6" w:space="0"/>
              <w:bottom w:val="single" w:color="auto" w:sz="4" w:space="0"/>
              <w:right w:val="single" w:color="auto" w:sz="6" w:space="0"/>
            </w:tcBorders>
            <w:vAlign w:val="center"/>
          </w:tcPr>
          <w:p w14:paraId="225BDFDD">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4A89D8C8">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w:t>
            </w:r>
          </w:p>
        </w:tc>
      </w:tr>
      <w:tr w14:paraId="028F9369">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46FC40C4">
            <w:pPr>
              <w:pStyle w:val="43"/>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w:t>
            </w:r>
          </w:p>
        </w:tc>
        <w:tc>
          <w:tcPr>
            <w:tcW w:w="925" w:type="dxa"/>
            <w:tcBorders>
              <w:top w:val="single" w:color="auto" w:sz="4" w:space="0"/>
              <w:left w:val="nil"/>
              <w:bottom w:val="single" w:color="auto" w:sz="4" w:space="0"/>
              <w:right w:val="single" w:color="auto" w:sz="6" w:space="0"/>
            </w:tcBorders>
            <w:vAlign w:val="center"/>
          </w:tcPr>
          <w:p w14:paraId="2F718064">
            <w:pPr>
              <w:widowControl/>
              <w:spacing w:line="36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线材辅料</w:t>
            </w:r>
          </w:p>
        </w:tc>
        <w:tc>
          <w:tcPr>
            <w:tcW w:w="6895" w:type="dxa"/>
            <w:tcBorders>
              <w:top w:val="single" w:color="auto" w:sz="4" w:space="0"/>
              <w:left w:val="nil"/>
              <w:bottom w:val="single" w:color="auto" w:sz="4" w:space="0"/>
              <w:right w:val="single" w:color="auto" w:sz="6" w:space="0"/>
            </w:tcBorders>
            <w:vAlign w:val="center"/>
          </w:tcPr>
          <w:p w14:paraId="1867D2B1">
            <w:pPr>
              <w:spacing w:line="360" w:lineRule="auto"/>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根据项目实际需求，匹配使用的线材及辅料等。（包括并不限于六类网线跳线、PVC线槽及阻燃管、电源线、VGA线、HDMI线、免焊串口接头、免焊莲花头、免焊3.5mm接头、3.5mm音频滤波器、音频连接线、小型设备机柜、显示终端及音响等支架或挂架等。）</w:t>
            </w:r>
          </w:p>
        </w:tc>
        <w:tc>
          <w:tcPr>
            <w:tcW w:w="567" w:type="dxa"/>
            <w:tcBorders>
              <w:top w:val="single" w:color="auto" w:sz="4" w:space="0"/>
              <w:left w:val="single" w:color="auto" w:sz="6" w:space="0"/>
              <w:bottom w:val="single" w:color="auto" w:sz="4" w:space="0"/>
              <w:right w:val="single" w:color="auto" w:sz="6" w:space="0"/>
            </w:tcBorders>
            <w:vAlign w:val="center"/>
          </w:tcPr>
          <w:p w14:paraId="101E3114">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w:t>
            </w:r>
          </w:p>
        </w:tc>
        <w:tc>
          <w:tcPr>
            <w:tcW w:w="567" w:type="dxa"/>
            <w:tcBorders>
              <w:top w:val="single" w:color="auto" w:sz="4" w:space="0"/>
              <w:left w:val="single" w:color="auto" w:sz="6" w:space="0"/>
              <w:bottom w:val="single" w:color="auto" w:sz="4" w:space="0"/>
              <w:right w:val="single" w:color="auto" w:sz="6" w:space="0"/>
            </w:tcBorders>
            <w:vAlign w:val="center"/>
          </w:tcPr>
          <w:p w14:paraId="0F79A3FC">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项</w:t>
            </w:r>
          </w:p>
        </w:tc>
      </w:tr>
      <w:tr w14:paraId="11F11F6D">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7A16EA5C">
            <w:pPr>
              <w:pStyle w:val="43"/>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w:t>
            </w:r>
          </w:p>
        </w:tc>
        <w:tc>
          <w:tcPr>
            <w:tcW w:w="925" w:type="dxa"/>
            <w:tcBorders>
              <w:top w:val="single" w:color="auto" w:sz="4" w:space="0"/>
              <w:left w:val="nil"/>
              <w:bottom w:val="single" w:color="auto" w:sz="4" w:space="0"/>
              <w:right w:val="single" w:color="auto" w:sz="6" w:space="0"/>
            </w:tcBorders>
            <w:vAlign w:val="center"/>
          </w:tcPr>
          <w:p w14:paraId="0F0FE315">
            <w:pPr>
              <w:widowControl/>
              <w:spacing w:line="36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技术服务</w:t>
            </w:r>
          </w:p>
        </w:tc>
        <w:tc>
          <w:tcPr>
            <w:tcW w:w="6895" w:type="dxa"/>
            <w:tcBorders>
              <w:top w:val="single" w:color="auto" w:sz="4" w:space="0"/>
              <w:left w:val="nil"/>
              <w:bottom w:val="single" w:color="auto" w:sz="4" w:space="0"/>
              <w:right w:val="single" w:color="auto" w:sz="6" w:space="0"/>
            </w:tcBorders>
            <w:shd w:val="clear" w:color="auto" w:fill="auto"/>
            <w:vAlign w:val="center"/>
          </w:tcPr>
          <w:p w14:paraId="798928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1.项目首次实施服务：安排工程师在现场为客户提供端到端的产品规划、安装、调试、测试及验收实施等服务。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2.项目交付使用培训服务：项目交付完成后针对客户提供项目所涵盖软硬件设备及系统日常维护使用培训。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投标人须具有专业的承建能力，并在投标文件中提供建设前详细拓扑结构图（拓扑细粒度须标注网络产品、原录播产品、电子班牌产品的网络位置及具体品牌型号等关键信息）和计划建成后详细拓扑结构图（拓扑细粒度须标注标注网络产品、原录播产品、电子班牌产品、本次建设产品的网络位置及具体品牌型号等关键信息），并阐明本次项目中产品的作用</w:t>
            </w:r>
          </w:p>
        </w:tc>
        <w:tc>
          <w:tcPr>
            <w:tcW w:w="567" w:type="dxa"/>
            <w:tcBorders>
              <w:top w:val="single" w:color="auto" w:sz="4" w:space="0"/>
              <w:left w:val="single" w:color="auto" w:sz="6" w:space="0"/>
              <w:bottom w:val="single" w:color="auto" w:sz="4" w:space="0"/>
              <w:right w:val="single" w:color="auto" w:sz="6" w:space="0"/>
            </w:tcBorders>
            <w:vAlign w:val="center"/>
          </w:tcPr>
          <w:p w14:paraId="2876D553">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w:t>
            </w:r>
          </w:p>
        </w:tc>
        <w:tc>
          <w:tcPr>
            <w:tcW w:w="567" w:type="dxa"/>
            <w:tcBorders>
              <w:top w:val="single" w:color="auto" w:sz="4" w:space="0"/>
              <w:left w:val="single" w:color="auto" w:sz="6" w:space="0"/>
              <w:bottom w:val="single" w:color="auto" w:sz="4" w:space="0"/>
              <w:right w:val="single" w:color="auto" w:sz="6" w:space="0"/>
            </w:tcBorders>
            <w:vAlign w:val="center"/>
          </w:tcPr>
          <w:p w14:paraId="2E63B169">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项</w:t>
            </w:r>
          </w:p>
        </w:tc>
      </w:tr>
      <w:tr w14:paraId="681F9613">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128BE0E8">
            <w:pPr>
              <w:pStyle w:val="43"/>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17</w:t>
            </w:r>
          </w:p>
        </w:tc>
        <w:tc>
          <w:tcPr>
            <w:tcW w:w="925" w:type="dxa"/>
            <w:tcBorders>
              <w:top w:val="single" w:color="auto" w:sz="4" w:space="0"/>
              <w:left w:val="nil"/>
              <w:bottom w:val="single" w:color="auto" w:sz="4" w:space="0"/>
              <w:right w:val="single" w:color="auto" w:sz="6" w:space="0"/>
            </w:tcBorders>
            <w:vAlign w:val="center"/>
          </w:tcPr>
          <w:p w14:paraId="474F1E17">
            <w:pPr>
              <w:widowControl/>
              <w:spacing w:line="36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运维服务</w:t>
            </w:r>
          </w:p>
        </w:tc>
        <w:tc>
          <w:tcPr>
            <w:tcW w:w="6895" w:type="dxa"/>
            <w:tcBorders>
              <w:top w:val="single" w:color="auto" w:sz="4" w:space="0"/>
              <w:left w:val="nil"/>
              <w:bottom w:val="single" w:color="auto" w:sz="4" w:space="0"/>
              <w:right w:val="single" w:color="auto" w:sz="6" w:space="0"/>
            </w:tcBorders>
            <w:vAlign w:val="center"/>
          </w:tcPr>
          <w:p w14:paraId="310B36D9">
            <w:pPr>
              <w:spacing w:line="360" w:lineRule="auto"/>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派驻一名中级及以上计算机相关专业的工程师，投标人所提供的工程师必须做到专人专用，不得与我校其他业务系统交叉维护，只对全校两间智慧教室进行日常维护，驻场工程师能够根据学校老师上下班时间在校工作，培训教师使用系统和保障教学应用，驻场运维服务周期为壹年。投标人自行提供服务过程管理工具软件，对其服务期内的服务过程进行基本的过程管理，能够对运维服务人员服务过程及服务交付情况进行服务记录、服务统计、服务分析、服务评价、服务报告等基础信息管理，同时配备有专门的服务台，能够通过其统计进行值班任务、巡检任务、知识审核及维保到期统计信息集中管理，要求投标人提供管理工具窗口图。</w:t>
            </w:r>
          </w:p>
        </w:tc>
        <w:tc>
          <w:tcPr>
            <w:tcW w:w="567" w:type="dxa"/>
            <w:tcBorders>
              <w:top w:val="single" w:color="auto" w:sz="4" w:space="0"/>
              <w:left w:val="single" w:color="auto" w:sz="6" w:space="0"/>
              <w:bottom w:val="single" w:color="auto" w:sz="4" w:space="0"/>
              <w:right w:val="single" w:color="auto" w:sz="6" w:space="0"/>
            </w:tcBorders>
            <w:vAlign w:val="center"/>
          </w:tcPr>
          <w:p w14:paraId="4547C454">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27AECFD6">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项</w:t>
            </w:r>
          </w:p>
        </w:tc>
      </w:tr>
      <w:tr w14:paraId="7DA4623C">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33720F46">
            <w:pPr>
              <w:pStyle w:val="43"/>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18</w:t>
            </w:r>
          </w:p>
        </w:tc>
        <w:tc>
          <w:tcPr>
            <w:tcW w:w="925" w:type="dxa"/>
            <w:tcBorders>
              <w:top w:val="single" w:color="auto" w:sz="4" w:space="0"/>
              <w:left w:val="nil"/>
              <w:bottom w:val="single" w:color="auto" w:sz="4" w:space="0"/>
              <w:right w:val="single" w:color="auto" w:sz="6" w:space="0"/>
            </w:tcBorders>
            <w:vAlign w:val="center"/>
          </w:tcPr>
          <w:p w14:paraId="08A38FBB">
            <w:pPr>
              <w:widowControl/>
              <w:spacing w:line="36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教室主机管理软件</w:t>
            </w:r>
          </w:p>
        </w:tc>
        <w:tc>
          <w:tcPr>
            <w:tcW w:w="6895" w:type="dxa"/>
            <w:tcBorders>
              <w:top w:val="single" w:color="auto" w:sz="4" w:space="0"/>
              <w:left w:val="nil"/>
              <w:bottom w:val="single" w:color="auto" w:sz="4" w:space="0"/>
              <w:right w:val="single" w:color="auto" w:sz="6" w:space="0"/>
            </w:tcBorders>
            <w:shd w:val="clear" w:color="auto" w:fill="auto"/>
            <w:vAlign w:val="center"/>
          </w:tcPr>
          <w:p w14:paraId="3D6B33B6">
            <w:pPr>
              <w:widowControl/>
              <w:spacing w:line="360" w:lineRule="auto"/>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1.支持把指定的视频流和外设音源合并为带声音的视频流输出；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2.支持用户选择是否启动录制回顾视频；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3.支持设置本地存储空间剩余警戒值，超过时新文件自动覆盖旧文件；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4.支持录制桌面画面、教师全景、教师特写、学生全景、学生特写；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5.支持录制单路画面或多路拼合画面；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6.支持手动开启、暂停、停止录制；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7.支持预览录制内容；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8.支持查看录制的视频文件；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9.支持录播窗口最小化为工具条；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10.支持导出录制的视频文件；</w:t>
            </w:r>
          </w:p>
        </w:tc>
        <w:tc>
          <w:tcPr>
            <w:tcW w:w="567" w:type="dxa"/>
            <w:tcBorders>
              <w:top w:val="single" w:color="auto" w:sz="4" w:space="0"/>
              <w:left w:val="single" w:color="auto" w:sz="6" w:space="0"/>
              <w:bottom w:val="single" w:color="auto" w:sz="4" w:space="0"/>
              <w:right w:val="single" w:color="auto" w:sz="6" w:space="0"/>
            </w:tcBorders>
            <w:vAlign w:val="center"/>
          </w:tcPr>
          <w:p w14:paraId="30178055">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w:t>
            </w:r>
          </w:p>
        </w:tc>
        <w:tc>
          <w:tcPr>
            <w:tcW w:w="567" w:type="dxa"/>
            <w:tcBorders>
              <w:top w:val="single" w:color="auto" w:sz="4" w:space="0"/>
              <w:left w:val="single" w:color="auto" w:sz="6" w:space="0"/>
              <w:bottom w:val="single" w:color="auto" w:sz="4" w:space="0"/>
              <w:right w:val="single" w:color="auto" w:sz="6" w:space="0"/>
            </w:tcBorders>
            <w:vAlign w:val="center"/>
          </w:tcPr>
          <w:p w14:paraId="127D0E95">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套</w:t>
            </w:r>
          </w:p>
        </w:tc>
      </w:tr>
      <w:tr w14:paraId="38126E39">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3A5B57EB">
            <w:pPr>
              <w:pStyle w:val="43"/>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19</w:t>
            </w:r>
          </w:p>
        </w:tc>
        <w:tc>
          <w:tcPr>
            <w:tcW w:w="925" w:type="dxa"/>
            <w:tcBorders>
              <w:top w:val="single" w:color="auto" w:sz="4" w:space="0"/>
              <w:left w:val="nil"/>
              <w:bottom w:val="single" w:color="auto" w:sz="4" w:space="0"/>
              <w:right w:val="single" w:color="auto" w:sz="6" w:space="0"/>
            </w:tcBorders>
            <w:vAlign w:val="center"/>
          </w:tcPr>
          <w:p w14:paraId="22513022">
            <w:pPr>
              <w:widowControl/>
              <w:spacing w:line="36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互动系统软件</w:t>
            </w:r>
          </w:p>
        </w:tc>
        <w:tc>
          <w:tcPr>
            <w:tcW w:w="6895" w:type="dxa"/>
            <w:tcBorders>
              <w:top w:val="single" w:color="auto" w:sz="4" w:space="0"/>
              <w:left w:val="nil"/>
              <w:bottom w:val="single" w:color="auto" w:sz="4" w:space="0"/>
              <w:right w:val="single" w:color="auto" w:sz="6" w:space="0"/>
            </w:tcBorders>
            <w:shd w:val="clear" w:color="auto" w:fill="auto"/>
            <w:vAlign w:val="center"/>
          </w:tcPr>
          <w:p w14:paraId="34BC46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1.至少支持密码、短信验证码、微信扫码三种登录方式；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2.开始课堂后，用户无需选择课堂，系统可自动调用默认课堂，所有的课堂内容将会保存在默认课堂中；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3.支持在课堂过程中快速切换项目和课堂，调用不同课堂的多媒体资源；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4.登录用户账号后自动开始课堂并可记录课堂时常；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5.支持快速添加本地资源至课堂中，文件将同时上传至用户的云盘内；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6.支持资源按照名称、大小、上传时间进行正/逆序排列；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9.支持发起抽答互动，被抽中的用户信息将显示在画布中，信息包含头像、姓名；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10.支持发起抢答互动，抢到名额的用户信息将显示在画布中；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11.支持人员扫码签到，教师可实时查看已签到和未签到人员名单，支持引用网络空间预置的班级；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12.支持实时展示学生发送的弹幕，字数不限制，多种颜色可选，匿名展示；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13.支持在课堂中和课堂外通过扫描二维码方式反馈软件问题，支持文字录入和添加多张图片；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14.支持移动端浏览当前资源窗口，资源类型至少包含：PPT、Word、PDF、图片等；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15.支持发起无题干投票，支持设置投票选项个数；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16.支持在课上使用之前设置好的固定分组，支持临时调整固定分组成员；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17.支持设置随机分组，根据设定的组数将已签到的学生随机分组；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18.支持手动分组，支持自由设置每个小组的成员；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19.支持屏幕任意位置截图并作为题干推送给学生或指定小组；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20.截图推题题型至少支持单选、多选、判断和简单题；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21.截图推题支持在结束答题后设置客观题正确答案；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22.支持推送题库内的题目给学生或指定小组；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23.支持给每个小组设置组长，组长可代表小组提交答案；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24.支持移动端一键最小化和还原大屏所有资源窗口，支持开始、暂停音视频，并可调节音视频音量；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25.支持教师移动端查看本次课堂班级出勤情况，有开启人脸识别的教室支持查看人脸识别情况；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26.学生端快速查看当前展示的所有资源窗口，窗口内容能随着主讲人的操作自动切换，可放大缩小查看窗口内容；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27.支持学生课堂中向中将人提问，发送弹幕操作，并查看提问记录，提问记录支持修改和撤回；</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28.支持移动端选择在线题库推送给学生并显示正确答案，统计答题情况，查看学生提交的问题，查看弹幕历史及开关弹幕；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29.教师移动端支持专注模式。专注模式开启时，学生仅可通过个人移动端同步观看大屏当前窗口内容。专注模式关闭后，学生可通过个人移动端自由查看大屏上打开的所有窗口内容；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30.教师向指定小组推送题目时，该小组成员移动端可同步收到题目，组长可代表小组回答，小组成员可实时查看作答情况；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31.结束讲演后听众可对主讲人匿名评分并填写评语；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32.支持多种设备投屏，包括苹果手机、安卓手机、windows设备、mac设备；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33.支持多种方式投屏，包括自动/手动搜索，输入投屏码、输入设备IP、扫描投屏二维码、苹果设备AirPlay协议投屏；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34支持在投屏时选择投屏画面质量，最高支持4K分辨率；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35.支持多路投屏，可支持≥4台移动设备同时投屏；多路投屏时，支持单独设置没路投屏画面的全屏/正常显示效果；支持单独设置每路投屏声音的播放/静音效果；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36.支持显示和修改接收端设备名称；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37.支持查看即将开始的课程信息；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38.支持查看课表信息，支持通过日历查询其他日期的排课信息；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39.支持在课表查看对应课程的开课记录；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40.支持画布打开其他应用程序：浏览器、系统计算器；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41.支持将画布内打开的本地文件自动上传至用户个人云盘并关联课程；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42.支持课堂签到码动态更新，防止学生签到作弊；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43.主观题答题结束后支持自动生成答案关键词词云，可点击关键词查看关联的答案和答题的学生；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44支持开启智能识别图形模式，开启后可将手绘的方形、圆形、三角形和直线转换为标准图形；</w:t>
            </w:r>
          </w:p>
        </w:tc>
        <w:tc>
          <w:tcPr>
            <w:tcW w:w="567" w:type="dxa"/>
            <w:tcBorders>
              <w:top w:val="single" w:color="auto" w:sz="4" w:space="0"/>
              <w:left w:val="single" w:color="auto" w:sz="6" w:space="0"/>
              <w:bottom w:val="single" w:color="auto" w:sz="4" w:space="0"/>
              <w:right w:val="single" w:color="auto" w:sz="6" w:space="0"/>
            </w:tcBorders>
            <w:vAlign w:val="center"/>
          </w:tcPr>
          <w:p w14:paraId="0B691793">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w:t>
            </w:r>
          </w:p>
        </w:tc>
        <w:tc>
          <w:tcPr>
            <w:tcW w:w="567" w:type="dxa"/>
            <w:tcBorders>
              <w:top w:val="single" w:color="auto" w:sz="4" w:space="0"/>
              <w:left w:val="single" w:color="auto" w:sz="6" w:space="0"/>
              <w:bottom w:val="single" w:color="auto" w:sz="4" w:space="0"/>
              <w:right w:val="single" w:color="auto" w:sz="6" w:space="0"/>
            </w:tcBorders>
            <w:vAlign w:val="center"/>
          </w:tcPr>
          <w:p w14:paraId="5E132608">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套</w:t>
            </w:r>
          </w:p>
        </w:tc>
      </w:tr>
      <w:tr w14:paraId="42BFF3D1">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1EDE1BD1">
            <w:pPr>
              <w:pStyle w:val="43"/>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20</w:t>
            </w:r>
          </w:p>
        </w:tc>
        <w:tc>
          <w:tcPr>
            <w:tcW w:w="925" w:type="dxa"/>
            <w:tcBorders>
              <w:top w:val="single" w:color="auto" w:sz="4" w:space="0"/>
              <w:left w:val="nil"/>
              <w:bottom w:val="single" w:color="auto" w:sz="4" w:space="0"/>
              <w:right w:val="single" w:color="auto" w:sz="6" w:space="0"/>
            </w:tcBorders>
            <w:vAlign w:val="center"/>
          </w:tcPr>
          <w:p w14:paraId="4EC60084">
            <w:pPr>
              <w:widowControl/>
              <w:spacing w:line="36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教室应用管理软件</w:t>
            </w:r>
          </w:p>
        </w:tc>
        <w:tc>
          <w:tcPr>
            <w:tcW w:w="6895" w:type="dxa"/>
            <w:tcBorders>
              <w:top w:val="single" w:color="auto" w:sz="4" w:space="0"/>
              <w:left w:val="nil"/>
              <w:bottom w:val="single" w:color="auto" w:sz="4" w:space="0"/>
              <w:right w:val="single" w:color="auto" w:sz="6" w:space="0"/>
            </w:tcBorders>
            <w:shd w:val="clear" w:color="auto" w:fill="auto"/>
            <w:vAlign w:val="center"/>
          </w:tcPr>
          <w:p w14:paraId="6D6132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1.每1间教室需配置一套，与教学平台配套提供教学、管理相关业务。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2.支持课堂教学与网络学习的联动，实现课堂教学过程的数字化，便于记录和回顾；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3.支撑教室智能管控与维护，反馈教室设备状态及使用情况；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4.实时推送教室授课动态，展示课堂整体情况，便于远程督导评价；</w:t>
            </w:r>
          </w:p>
        </w:tc>
        <w:tc>
          <w:tcPr>
            <w:tcW w:w="567" w:type="dxa"/>
            <w:tcBorders>
              <w:top w:val="single" w:color="auto" w:sz="4" w:space="0"/>
              <w:left w:val="single" w:color="auto" w:sz="6" w:space="0"/>
              <w:bottom w:val="single" w:color="auto" w:sz="4" w:space="0"/>
              <w:right w:val="single" w:color="auto" w:sz="6" w:space="0"/>
            </w:tcBorders>
            <w:vAlign w:val="center"/>
          </w:tcPr>
          <w:p w14:paraId="4E6D762E">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w:t>
            </w:r>
          </w:p>
        </w:tc>
        <w:tc>
          <w:tcPr>
            <w:tcW w:w="567" w:type="dxa"/>
            <w:tcBorders>
              <w:top w:val="single" w:color="auto" w:sz="4" w:space="0"/>
              <w:left w:val="single" w:color="auto" w:sz="6" w:space="0"/>
              <w:bottom w:val="single" w:color="auto" w:sz="4" w:space="0"/>
              <w:right w:val="single" w:color="auto" w:sz="6" w:space="0"/>
            </w:tcBorders>
            <w:vAlign w:val="center"/>
          </w:tcPr>
          <w:p w14:paraId="49AFD5EF">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套</w:t>
            </w:r>
          </w:p>
        </w:tc>
      </w:tr>
      <w:tr w14:paraId="4DB873CA">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520F215D">
            <w:pPr>
              <w:pStyle w:val="43"/>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21</w:t>
            </w:r>
          </w:p>
        </w:tc>
        <w:tc>
          <w:tcPr>
            <w:tcW w:w="925" w:type="dxa"/>
            <w:tcBorders>
              <w:top w:val="single" w:color="auto" w:sz="4" w:space="0"/>
              <w:left w:val="nil"/>
              <w:bottom w:val="single" w:color="auto" w:sz="4" w:space="0"/>
              <w:right w:val="single" w:color="auto" w:sz="6" w:space="0"/>
            </w:tcBorders>
            <w:vAlign w:val="center"/>
          </w:tcPr>
          <w:p w14:paraId="6272D4F0">
            <w:pPr>
              <w:widowControl/>
              <w:spacing w:line="36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智能摄录与流媒体处理软件</w:t>
            </w:r>
          </w:p>
        </w:tc>
        <w:tc>
          <w:tcPr>
            <w:tcW w:w="6895" w:type="dxa"/>
            <w:tcBorders>
              <w:top w:val="single" w:color="auto" w:sz="4" w:space="0"/>
              <w:left w:val="nil"/>
              <w:bottom w:val="single" w:color="auto" w:sz="4" w:space="0"/>
              <w:right w:val="single" w:color="auto" w:sz="6" w:space="0"/>
            </w:tcBorders>
            <w:shd w:val="clear" w:color="auto" w:fill="auto"/>
            <w:vAlign w:val="center"/>
          </w:tcPr>
          <w:p w14:paraId="41D2B6E1">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嵌入式录播主机出厂时内置流媒体处理软件以实现各个模块的功能应用；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2.录播主机在不接入互联网的情况下也可以进行视频录制，且支持1080P高清分辨率录制，用MP4视频格式封装自动归档至录播内置的硬盘当中存储；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3.多流录制：支持教师画面、学生全景画面、学生特写画面等不少于3路摄像机画面和电脑画面的独立录制封装；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4.要求录播主机支持录制质量设置，提供1080P、720P等高清标清质量选择，并支持自定义录制分辨率、帧率、码率等参数；</w:t>
            </w:r>
          </w:p>
          <w:p w14:paraId="186B330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5.要求录播主机支持插入U盘后，主机正常进行录制可以同步另存一份视频文件到U盘中；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6.要求录播主机支持录制、暂停、结束等基本功能操作，并支持外部设备通过基于HTTP协议的API接口以及RS232通信协议对设备进行相关控制；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录播主机支持B/S软件架构无需下载相关软件APP，以满足低配电脑也可通过浏览器访问录播主机导播界面，在导播界面实现对所有录制画面的实时预览，并支持在手动导播模式下点击预览画面窗口进行录制画面切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8.录播主机支持8个摄像机电子云台预置位设置，在导播预览界面可便捷调取摄像机预设位置的画面；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9.录播主机支持在导播预览界面添加Logo台标与字幕，可自主上传Logo图标、设置logo位置、编辑字幕内容、选择字幕字体颜色与是否滚动显示，且后台管理设置可最多预设5个字幕作为备选，方便灵活调整与切换；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10.录播主机支持通过导播界面进行音量控制，调整音量大小与一键静音功能；</w:t>
            </w:r>
          </w:p>
        </w:tc>
        <w:tc>
          <w:tcPr>
            <w:tcW w:w="567" w:type="dxa"/>
            <w:tcBorders>
              <w:top w:val="single" w:color="auto" w:sz="4" w:space="0"/>
              <w:left w:val="single" w:color="auto" w:sz="6" w:space="0"/>
              <w:bottom w:val="single" w:color="auto" w:sz="4" w:space="0"/>
              <w:right w:val="single" w:color="auto" w:sz="6" w:space="0"/>
            </w:tcBorders>
            <w:vAlign w:val="center"/>
          </w:tcPr>
          <w:p w14:paraId="510FEC57">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w:t>
            </w:r>
          </w:p>
        </w:tc>
        <w:tc>
          <w:tcPr>
            <w:tcW w:w="567" w:type="dxa"/>
            <w:tcBorders>
              <w:top w:val="single" w:color="auto" w:sz="4" w:space="0"/>
              <w:left w:val="single" w:color="auto" w:sz="6" w:space="0"/>
              <w:bottom w:val="single" w:color="auto" w:sz="4" w:space="0"/>
              <w:right w:val="single" w:color="auto" w:sz="6" w:space="0"/>
            </w:tcBorders>
            <w:vAlign w:val="center"/>
          </w:tcPr>
          <w:p w14:paraId="05A1A01A">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套</w:t>
            </w:r>
          </w:p>
        </w:tc>
      </w:tr>
      <w:tr w14:paraId="59DA97DD">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170EE01D">
            <w:pPr>
              <w:pStyle w:val="43"/>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22</w:t>
            </w:r>
          </w:p>
        </w:tc>
        <w:tc>
          <w:tcPr>
            <w:tcW w:w="925" w:type="dxa"/>
            <w:tcBorders>
              <w:top w:val="single" w:color="auto" w:sz="4" w:space="0"/>
              <w:left w:val="nil"/>
              <w:bottom w:val="single" w:color="auto" w:sz="4" w:space="0"/>
              <w:right w:val="single" w:color="auto" w:sz="6" w:space="0"/>
            </w:tcBorders>
            <w:vAlign w:val="center"/>
          </w:tcPr>
          <w:p w14:paraId="64C17EEE">
            <w:pPr>
              <w:widowControl/>
              <w:spacing w:line="36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智能语音分析软件</w:t>
            </w:r>
          </w:p>
        </w:tc>
        <w:tc>
          <w:tcPr>
            <w:tcW w:w="6895" w:type="dxa"/>
            <w:tcBorders>
              <w:top w:val="single" w:color="auto" w:sz="4" w:space="0"/>
              <w:left w:val="nil"/>
              <w:bottom w:val="single" w:color="auto" w:sz="4" w:space="0"/>
              <w:right w:val="single" w:color="auto" w:sz="6" w:space="0"/>
            </w:tcBorders>
            <w:shd w:val="clear" w:color="auto" w:fill="auto"/>
            <w:vAlign w:val="center"/>
          </w:tcPr>
          <w:p w14:paraId="12310CE8">
            <w:pPr>
              <w:widowControl/>
              <w:spacing w:line="360" w:lineRule="auto"/>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1.教师提问情况分析：支持基于课堂语音识别能力进行教师课堂提问行为分析，从提问次数与高频时间段两个核心维度进行数据统计，实现课堂提问情况的清晰回顾。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2.教师语速分析：支持通过语音识别能力进行教师课堂授课语速分析，呈现数据需包括教师课堂说话词数以及平均语速。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3.课堂语音撰写：要求基于语音语义识别完成课堂音频的文字转换，实现课堂教学过程语音全纪录，要求平台上可输出整节课的文字字幕。实现字幕与视频进度关联，通过点击字幕同步播放对应进度的视频。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4.课堂关键词分析：支持通过AI语音识别能力，抓取统计提前设置好的课堂知识点关键词，统计各关键词出现的次数频率，并标注出现的时间点和显示所在的语句内容。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5.课堂高频词分析：支持通过AI语音识别能力，抓取授课过程中出现的高频词汇，并统计出现频次，判断课堂教学重点；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6.课堂语气词分析：支持通过进行课堂语音识别，判断老师教学过程中出现的常规语气词出现频次，如“呐”，“嘛”，等语气词，辅助老师调整教学过程中的不良习惯；</w:t>
            </w:r>
          </w:p>
        </w:tc>
        <w:tc>
          <w:tcPr>
            <w:tcW w:w="567" w:type="dxa"/>
            <w:tcBorders>
              <w:top w:val="single" w:color="auto" w:sz="4" w:space="0"/>
              <w:left w:val="single" w:color="auto" w:sz="6" w:space="0"/>
              <w:bottom w:val="single" w:color="auto" w:sz="4" w:space="0"/>
              <w:right w:val="single" w:color="auto" w:sz="6" w:space="0"/>
            </w:tcBorders>
            <w:vAlign w:val="center"/>
          </w:tcPr>
          <w:p w14:paraId="2629E508">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w:t>
            </w:r>
          </w:p>
        </w:tc>
        <w:tc>
          <w:tcPr>
            <w:tcW w:w="567" w:type="dxa"/>
            <w:tcBorders>
              <w:top w:val="single" w:color="auto" w:sz="4" w:space="0"/>
              <w:left w:val="single" w:color="auto" w:sz="6" w:space="0"/>
              <w:bottom w:val="single" w:color="auto" w:sz="4" w:space="0"/>
              <w:right w:val="single" w:color="auto" w:sz="6" w:space="0"/>
            </w:tcBorders>
            <w:vAlign w:val="center"/>
          </w:tcPr>
          <w:p w14:paraId="7DEBBF00">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套</w:t>
            </w:r>
          </w:p>
        </w:tc>
      </w:tr>
      <w:tr w14:paraId="1C215A62">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3EB89766">
            <w:pPr>
              <w:pStyle w:val="43"/>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23</w:t>
            </w:r>
          </w:p>
        </w:tc>
        <w:tc>
          <w:tcPr>
            <w:tcW w:w="925" w:type="dxa"/>
            <w:tcBorders>
              <w:top w:val="single" w:color="auto" w:sz="4" w:space="0"/>
              <w:left w:val="nil"/>
              <w:bottom w:val="single" w:color="auto" w:sz="4" w:space="0"/>
              <w:right w:val="single" w:color="auto" w:sz="6" w:space="0"/>
            </w:tcBorders>
            <w:vAlign w:val="center"/>
          </w:tcPr>
          <w:p w14:paraId="78E84EFA">
            <w:pPr>
              <w:widowControl/>
              <w:spacing w:line="36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无线传输系统</w:t>
            </w:r>
          </w:p>
        </w:tc>
        <w:tc>
          <w:tcPr>
            <w:tcW w:w="6895" w:type="dxa"/>
            <w:tcBorders>
              <w:top w:val="single" w:color="auto" w:sz="4" w:space="0"/>
              <w:left w:val="nil"/>
              <w:bottom w:val="single" w:color="auto" w:sz="4" w:space="0"/>
              <w:right w:val="single" w:color="auto" w:sz="6" w:space="0"/>
            </w:tcBorders>
            <w:shd w:val="clear" w:color="auto" w:fill="auto"/>
            <w:vAlign w:val="center"/>
          </w:tcPr>
          <w:p w14:paraId="0F7F6F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1.中英文切换：系统支持简体中文和英文两种语言模式，可快速进行中英文的切换，满足双语教学的要求</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屏幕工具条：用户可直接在触控显示屏上点击系统工具条，或通过鼠标点击工具条进行操作，工具条具有截屏、录制、布局、切屏、批注、白板等功能按钮，并显示时间、设备名称、网络IP等信息。用户可自定义系统工具条功能按钮，支持隐藏截屏、录屏、广播、布局、切屏、批注、白板等功能按钮，可通过快捷方式设置自定义按钮</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软件遥控器：支持用户扫码下载遥控器APP即可将移动终端作为控制端，支持Windows、Android、iOS系统的设备安装控制端软件。支持局域网内扫码连接或智能搜索设备名连接。支持在遥控器APP端或触控显示屏端对显示画面进行缩小、放大操作，达到对文字或重点画面逐步放大的效果，能够对单屏或多屏画面进行最大400%放大</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4.文件读取：系统支持查看U盘、内置硬盘和遥控器APP上传的5.本地文件和云空间下载文件，支持将外接U盘中的图片、视频、音频、文档等文件资料直接上屏展示；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6.设备和文件分类：系统自动对有线接入设备、无线投屏设备、U盘、手写板等设备画面进行分类；支持对已连接的设备进行置顶、重命名等操作</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7.界面布局：支持全屏模式和显示工具条模式。全屏模式下，工具条自动隐藏，隐藏后可点击隐藏按钮再次显示，显示工具条模式下，支持工具条显示在左边或右边</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微课录制：支持2种及以上微课录制快捷操作模式，通过硬件设备上的“录制”按键或软件工具栏中的“录制”按钮一键开始录课。课程录制支持多画面和外接麦克风声音同步录入，支持720P和1080P格式，录制的视频可保存在外接U盘或本地硬盘中，支持录制存储空间不足时文字的提醒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批注白板：批注提供选择画笔、激光笔、颜色、图形、画笔粗细、板擦、撤销、清空、重做等工具；支持板擦手势擦除；支持选择某一区域进行聚焦讲解，聚焦内容可以以图片形式保存到本地硬盘，并可将当前显示区域截取到白板中进行重点批注讲解；关灯模式下可将当前显示区域以外的画面进行黑屏操作；支持白板界面下的随写板书写；教师可以选择当前页面内容或选择课件中的多张内容，生成二维码；学生通过移动设备直接扫码，即可下载课件内容</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10.App应用：支持第三方应用程序嵌入式安装在主机中，无需借助其他终端可直接开启第三方应用</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文件分享：可通过移动APP端对本地的文件、图片、视频上传至屏幕，并支持批注或新建白板进行板书。批注、板书的内容支持扫码分享，再接入互联网或断开互联网状态下，系统均可生成二维码，用户可使用移动终端扫码下载图库中的图片或视频，并支持通过微信、QQ等第三方应用程序分享</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12.扩展显示：支持设备端与扩展屏APP绑定并连接，实现扩展显示教学画面；支持Windows、Android等系统的终端设备，扩展显示大屏画面，可同时连接≥5的扩展终端。</w:t>
            </w:r>
          </w:p>
        </w:tc>
        <w:tc>
          <w:tcPr>
            <w:tcW w:w="567" w:type="dxa"/>
            <w:tcBorders>
              <w:top w:val="single" w:color="auto" w:sz="4" w:space="0"/>
              <w:left w:val="single" w:color="auto" w:sz="6" w:space="0"/>
              <w:bottom w:val="single" w:color="auto" w:sz="4" w:space="0"/>
              <w:right w:val="single" w:color="auto" w:sz="6" w:space="0"/>
            </w:tcBorders>
            <w:vAlign w:val="center"/>
          </w:tcPr>
          <w:p w14:paraId="1E060A97">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23DC33AB">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套</w:t>
            </w:r>
          </w:p>
        </w:tc>
      </w:tr>
    </w:tbl>
    <w:p w14:paraId="1083AA73">
      <w:pPr>
        <w:autoSpaceDE w:val="0"/>
        <w:autoSpaceDN w:val="0"/>
        <w:adjustRightInd w:val="0"/>
        <w:ind w:firstLine="480"/>
        <w:rPr>
          <w:rFonts w:hint="eastAsia"/>
          <w:b/>
          <w:sz w:val="24"/>
          <w:szCs w:val="24"/>
          <w:highlight w:val="none"/>
        </w:rPr>
      </w:pPr>
      <w:r>
        <w:rPr>
          <w:rFonts w:hint="eastAsia"/>
          <w:b/>
          <w:sz w:val="24"/>
          <w:szCs w:val="24"/>
          <w:highlight w:val="none"/>
        </w:rPr>
        <w:t xml:space="preserve">   </w:t>
      </w:r>
    </w:p>
    <w:p w14:paraId="1B4AFE5F">
      <w:pPr>
        <w:rPr>
          <w:rFonts w:hint="eastAsia"/>
          <w:b/>
          <w:sz w:val="24"/>
          <w:szCs w:val="24"/>
          <w:highlight w:val="none"/>
        </w:rPr>
      </w:pPr>
      <w:r>
        <w:rPr>
          <w:rFonts w:hint="eastAsia"/>
          <w:b/>
          <w:sz w:val="24"/>
          <w:szCs w:val="24"/>
          <w:highlight w:val="none"/>
        </w:rPr>
        <w:br w:type="page"/>
      </w:r>
    </w:p>
    <w:p w14:paraId="6222A96E">
      <w:pPr>
        <w:autoSpaceDE w:val="0"/>
        <w:autoSpaceDN w:val="0"/>
        <w:adjustRightInd w:val="0"/>
        <w:ind w:firstLine="480"/>
        <w:rPr>
          <w:rFonts w:hint="eastAsia"/>
          <w:b/>
          <w:sz w:val="24"/>
          <w:szCs w:val="24"/>
          <w:highlight w:val="none"/>
          <w:lang w:val="zh-CN"/>
        </w:rPr>
      </w:pPr>
    </w:p>
    <w:p w14:paraId="704952D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highlight w:val="none"/>
          <w:lang w:val="zh-CN"/>
        </w:rPr>
      </w:pPr>
      <w:r>
        <w:rPr>
          <w:rFonts w:hint="eastAsia" w:ascii="宋体" w:hAnsi="宋体" w:eastAsia="宋体" w:cs="宋体"/>
          <w:b/>
          <w:bCs/>
          <w:sz w:val="24"/>
          <w:szCs w:val="32"/>
          <w:highlight w:val="none"/>
          <w:lang w:val="zh-CN"/>
        </w:rPr>
        <w:t xml:space="preserve">核心产品(适用于非单一产品采购）为：第 1 项（教室智能主机）。 </w:t>
      </w:r>
    </w:p>
    <w:p w14:paraId="2B2536E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32"/>
          <w:highlight w:val="none"/>
          <w:lang w:val="en-US" w:eastAsia="zh-CN"/>
        </w:rPr>
      </w:pPr>
      <w:r>
        <w:rPr>
          <w:rFonts w:hint="eastAsia" w:ascii="宋体" w:hAnsi="宋体" w:eastAsia="宋体" w:cs="宋体"/>
          <w:b/>
          <w:bCs/>
          <w:sz w:val="24"/>
          <w:szCs w:val="32"/>
          <w:highlight w:val="none"/>
          <w:lang w:val="zh-CN"/>
        </w:rPr>
        <w:t>质量保证期：1年</w:t>
      </w:r>
      <w:r>
        <w:rPr>
          <w:rFonts w:hint="eastAsia" w:ascii="宋体" w:hAnsi="宋体" w:cs="宋体"/>
          <w:b/>
          <w:bCs/>
          <w:sz w:val="24"/>
          <w:szCs w:val="32"/>
          <w:highlight w:val="none"/>
          <w:lang w:val="zh-CN"/>
        </w:rPr>
        <w:t>（</w:t>
      </w:r>
      <w:r>
        <w:rPr>
          <w:rFonts w:hint="eastAsia" w:ascii="宋体" w:hAnsi="宋体" w:cs="宋体"/>
          <w:b/>
          <w:bCs/>
          <w:sz w:val="24"/>
          <w:szCs w:val="32"/>
          <w:highlight w:val="none"/>
          <w:lang w:val="en-US" w:eastAsia="zh-CN"/>
        </w:rPr>
        <w:t>产品</w:t>
      </w:r>
      <w:r>
        <w:rPr>
          <w:rFonts w:hint="eastAsia" w:ascii="宋体" w:hAnsi="宋体" w:eastAsia="宋体" w:cs="宋体"/>
          <w:b/>
          <w:bCs/>
          <w:sz w:val="24"/>
          <w:szCs w:val="24"/>
          <w:highlight w:val="none"/>
          <w:lang w:val="zh-CN"/>
        </w:rPr>
        <w:t>主要功能配置及技术指标</w:t>
      </w:r>
      <w:r>
        <w:rPr>
          <w:rFonts w:hint="eastAsia" w:ascii="宋体" w:hAnsi="宋体" w:cs="宋体"/>
          <w:b/>
          <w:bCs/>
          <w:sz w:val="24"/>
          <w:szCs w:val="24"/>
          <w:highlight w:val="none"/>
          <w:lang w:val="en-US" w:eastAsia="zh-CN"/>
        </w:rPr>
        <w:t>有特殊要求的，按其要求执行</w:t>
      </w:r>
      <w:r>
        <w:rPr>
          <w:rFonts w:hint="eastAsia" w:ascii="宋体" w:hAnsi="宋体" w:cs="宋体"/>
          <w:b/>
          <w:bCs/>
          <w:sz w:val="24"/>
          <w:szCs w:val="32"/>
          <w:highlight w:val="none"/>
          <w:lang w:val="zh-CN"/>
        </w:rPr>
        <w:t>）</w:t>
      </w:r>
    </w:p>
    <w:p w14:paraId="2B0340F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highlight w:val="none"/>
          <w:lang w:val="zh-CN"/>
        </w:rPr>
      </w:pPr>
      <w:r>
        <w:rPr>
          <w:rFonts w:hint="eastAsia" w:ascii="宋体" w:hAnsi="宋体" w:eastAsia="宋体" w:cs="宋体"/>
          <w:b/>
          <w:bCs/>
          <w:sz w:val="24"/>
          <w:szCs w:val="32"/>
          <w:highlight w:val="none"/>
          <w:lang w:val="zh-CN"/>
        </w:rPr>
        <w:t>交货时间：合同订立后  30 天。</w:t>
      </w:r>
    </w:p>
    <w:p w14:paraId="6EE9BDA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highlight w:val="none"/>
          <w:lang w:val="zh-CN"/>
        </w:rPr>
      </w:pPr>
      <w:r>
        <w:rPr>
          <w:rFonts w:hint="eastAsia" w:ascii="宋体" w:hAnsi="宋体" w:eastAsia="宋体" w:cs="宋体"/>
          <w:b/>
          <w:bCs/>
          <w:sz w:val="24"/>
          <w:szCs w:val="32"/>
          <w:highlight w:val="none"/>
          <w:lang w:val="zh-CN"/>
        </w:rPr>
        <w:t>交货地点：吉林司法警官职业学院</w:t>
      </w:r>
    </w:p>
    <w:p w14:paraId="4D39FB0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highlight w:val="none"/>
          <w:lang w:val="zh-CN"/>
        </w:rPr>
      </w:pPr>
      <w:r>
        <w:rPr>
          <w:rFonts w:hint="eastAsia" w:ascii="宋体" w:hAnsi="宋体" w:eastAsia="宋体" w:cs="宋体"/>
          <w:b/>
          <w:bCs/>
          <w:sz w:val="24"/>
          <w:szCs w:val="32"/>
          <w:highlight w:val="none"/>
          <w:lang w:val="zh-CN"/>
        </w:rPr>
        <w:t>交货方式：中标人负责将货物安全完好运抵交货地点、安装调试并保证验收合格。</w:t>
      </w:r>
    </w:p>
    <w:p w14:paraId="42184A2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highlight w:val="none"/>
          <w:lang w:val="zh-CN"/>
        </w:rPr>
      </w:pPr>
      <w:r>
        <w:rPr>
          <w:rFonts w:hint="eastAsia" w:ascii="宋体" w:hAnsi="宋体" w:eastAsia="宋体" w:cs="宋体"/>
          <w:b/>
          <w:bCs/>
          <w:sz w:val="24"/>
          <w:szCs w:val="32"/>
          <w:highlight w:val="none"/>
          <w:lang w:val="zh-CN"/>
        </w:rPr>
        <w:t xml:space="preserve"> 请投标人注意：</w:t>
      </w:r>
    </w:p>
    <w:p w14:paraId="7A14D38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highlight w:val="none"/>
        </w:rPr>
      </w:pPr>
      <w:r>
        <w:rPr>
          <w:rFonts w:hint="eastAsia" w:ascii="宋体" w:hAnsi="宋体" w:eastAsia="宋体" w:cs="宋体"/>
          <w:b/>
          <w:bCs/>
          <w:sz w:val="24"/>
          <w:szCs w:val="32"/>
          <w:highlight w:val="none"/>
          <w:lang w:val="zh-CN"/>
        </w:rPr>
        <w:t>（1）投标文件对招标文件各种设备所要求的主要功能配置及其技术指标必须全部满足，不允许有缺项或者负偏离，如果不满足将导致废标。</w:t>
      </w:r>
    </w:p>
    <w:p w14:paraId="2EB18F79">
      <w:pPr>
        <w:rPr>
          <w:rFonts w:hint="eastAsia"/>
          <w:highlight w:val="none"/>
        </w:rPr>
      </w:pPr>
      <w:bookmarkStart w:id="32" w:name="_Toc19078"/>
      <w:r>
        <w:rPr>
          <w:rFonts w:hint="eastAsia"/>
          <w:highlight w:val="none"/>
        </w:rPr>
        <w:br w:type="page"/>
      </w:r>
    </w:p>
    <w:p w14:paraId="635E633E">
      <w:pPr>
        <w:keepNext w:val="0"/>
        <w:keepLines w:val="0"/>
        <w:pageBreakBefore w:val="0"/>
        <w:widowControl w:val="0"/>
        <w:kinsoku/>
        <w:wordWrap/>
        <w:overflowPunct/>
        <w:topLinePunct w:val="0"/>
        <w:autoSpaceDE/>
        <w:autoSpaceDN/>
        <w:bidi w:val="0"/>
        <w:adjustRightInd/>
        <w:snapToGrid/>
        <w:jc w:val="center"/>
        <w:textAlignment w:val="auto"/>
        <w:outlineLvl w:val="0"/>
        <w:rPr>
          <w:b/>
          <w:bCs/>
          <w:sz w:val="36"/>
          <w:szCs w:val="44"/>
          <w:highlight w:val="none"/>
        </w:rPr>
      </w:pPr>
      <w:r>
        <w:rPr>
          <w:rFonts w:hint="eastAsia"/>
          <w:b/>
          <w:bCs/>
          <w:sz w:val="36"/>
          <w:szCs w:val="44"/>
          <w:highlight w:val="none"/>
        </w:rPr>
        <w:t>第四章  评审</w:t>
      </w:r>
      <w:r>
        <w:rPr>
          <w:rFonts w:hint="eastAsia"/>
          <w:b/>
          <w:bCs/>
          <w:sz w:val="36"/>
          <w:szCs w:val="44"/>
          <w:highlight w:val="none"/>
          <w:lang w:eastAsia="zh-CN"/>
        </w:rPr>
        <w:t>办</w:t>
      </w:r>
      <w:r>
        <w:rPr>
          <w:rFonts w:hint="eastAsia"/>
          <w:b/>
          <w:bCs/>
          <w:sz w:val="36"/>
          <w:szCs w:val="44"/>
          <w:highlight w:val="none"/>
        </w:rPr>
        <w:t>法</w:t>
      </w:r>
      <w:bookmarkEnd w:id="28"/>
      <w:bookmarkEnd w:id="29"/>
      <w:bookmarkEnd w:id="30"/>
      <w:bookmarkEnd w:id="32"/>
    </w:p>
    <w:p w14:paraId="2D0BD025">
      <w:pPr>
        <w:ind w:firstLine="241" w:firstLineChars="100"/>
        <w:outlineLvl w:val="1"/>
        <w:rPr>
          <w:rFonts w:ascii="宋体" w:hAnsi="宋体" w:cs="宋体"/>
          <w:b/>
          <w:bCs/>
          <w:kern w:val="44"/>
          <w:sz w:val="24"/>
          <w:highlight w:val="none"/>
        </w:rPr>
      </w:pPr>
      <w:bookmarkStart w:id="33" w:name="_Toc22331"/>
      <w:r>
        <w:rPr>
          <w:rFonts w:hint="eastAsia" w:ascii="宋体" w:hAnsi="宋体" w:cs="宋体"/>
          <w:b/>
          <w:sz w:val="24"/>
          <w:highlight w:val="none"/>
        </w:rPr>
        <w:t>（一）资格性评审前附表</w:t>
      </w:r>
      <w:bookmarkEnd w:id="31"/>
      <w:bookmarkEnd w:id="33"/>
    </w:p>
    <w:tbl>
      <w:tblPr>
        <w:tblStyle w:val="18"/>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12"/>
        <w:gridCol w:w="1550"/>
        <w:gridCol w:w="6054"/>
      </w:tblGrid>
      <w:tr w14:paraId="641E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76" w:type="dxa"/>
            <w:gridSpan w:val="2"/>
            <w:shd w:val="clear" w:color="auto" w:fill="D7D7D7"/>
            <w:vAlign w:val="center"/>
          </w:tcPr>
          <w:p w14:paraId="3E8EB2B3">
            <w:pPr>
              <w:autoSpaceDE w:val="0"/>
              <w:autoSpaceDN w:val="0"/>
              <w:adjustRightInd w:val="0"/>
              <w:spacing w:line="360" w:lineRule="auto"/>
              <w:jc w:val="center"/>
              <w:rPr>
                <w:rFonts w:ascii="宋体" w:hAnsi="宋体" w:cs="宋体"/>
                <w:b/>
                <w:szCs w:val="21"/>
                <w:highlight w:val="none"/>
                <w:lang w:val="zh-CN"/>
              </w:rPr>
            </w:pPr>
            <w:r>
              <w:rPr>
                <w:rFonts w:hint="eastAsia" w:ascii="宋体" w:hAnsi="宋体" w:cs="宋体"/>
                <w:b/>
                <w:szCs w:val="21"/>
                <w:highlight w:val="none"/>
                <w:lang w:val="zh-CN"/>
              </w:rPr>
              <w:t>条款号</w:t>
            </w:r>
          </w:p>
        </w:tc>
        <w:tc>
          <w:tcPr>
            <w:tcW w:w="1550" w:type="dxa"/>
            <w:shd w:val="clear" w:color="auto" w:fill="D7D7D7"/>
            <w:vAlign w:val="center"/>
          </w:tcPr>
          <w:p w14:paraId="3D3A2E3F">
            <w:pPr>
              <w:autoSpaceDE w:val="0"/>
              <w:autoSpaceDN w:val="0"/>
              <w:adjustRightInd w:val="0"/>
              <w:spacing w:line="360" w:lineRule="auto"/>
              <w:jc w:val="center"/>
              <w:rPr>
                <w:rFonts w:ascii="宋体" w:hAnsi="宋体" w:cs="宋体"/>
                <w:b/>
                <w:szCs w:val="21"/>
                <w:highlight w:val="none"/>
                <w:lang w:val="zh-CN"/>
              </w:rPr>
            </w:pPr>
            <w:r>
              <w:rPr>
                <w:rFonts w:hint="eastAsia" w:ascii="宋体" w:hAnsi="宋体" w:cs="宋体"/>
                <w:b/>
                <w:szCs w:val="21"/>
                <w:highlight w:val="none"/>
                <w:lang w:val="zh-CN"/>
              </w:rPr>
              <w:t>评审因素</w:t>
            </w:r>
          </w:p>
        </w:tc>
        <w:tc>
          <w:tcPr>
            <w:tcW w:w="6054" w:type="dxa"/>
            <w:shd w:val="clear" w:color="auto" w:fill="D7D7D7"/>
            <w:vAlign w:val="center"/>
          </w:tcPr>
          <w:p w14:paraId="09203AE7">
            <w:pPr>
              <w:autoSpaceDE w:val="0"/>
              <w:autoSpaceDN w:val="0"/>
              <w:adjustRightInd w:val="0"/>
              <w:spacing w:line="360" w:lineRule="auto"/>
              <w:jc w:val="center"/>
              <w:rPr>
                <w:rFonts w:ascii="宋体" w:hAnsi="宋体" w:cs="宋体"/>
                <w:b/>
                <w:szCs w:val="21"/>
                <w:highlight w:val="none"/>
                <w:lang w:val="zh-CN"/>
              </w:rPr>
            </w:pPr>
            <w:r>
              <w:rPr>
                <w:rFonts w:hint="eastAsia" w:ascii="宋体" w:hAnsi="宋体" w:cs="宋体"/>
                <w:b/>
                <w:szCs w:val="21"/>
                <w:highlight w:val="none"/>
                <w:lang w:val="zh-CN"/>
              </w:rPr>
              <w:t>评审标准</w:t>
            </w:r>
          </w:p>
        </w:tc>
      </w:tr>
      <w:tr w14:paraId="2979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restart"/>
            <w:vAlign w:val="center"/>
          </w:tcPr>
          <w:p w14:paraId="5113F044">
            <w:pPr>
              <w:autoSpaceDE w:val="0"/>
              <w:autoSpaceDN w:val="0"/>
              <w:adjustRightInd w:val="0"/>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1.1</w:t>
            </w:r>
          </w:p>
        </w:tc>
        <w:tc>
          <w:tcPr>
            <w:tcW w:w="912" w:type="dxa"/>
            <w:vMerge w:val="restart"/>
            <w:vAlign w:val="center"/>
          </w:tcPr>
          <w:p w14:paraId="457BE70C">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资格评</w:t>
            </w:r>
          </w:p>
          <w:p w14:paraId="01DDCC9F">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审标准</w:t>
            </w:r>
          </w:p>
          <w:p w14:paraId="536C6DF9">
            <w:pPr>
              <w:autoSpaceDE w:val="0"/>
              <w:autoSpaceDN w:val="0"/>
              <w:adjustRightInd w:val="0"/>
              <w:spacing w:line="360" w:lineRule="auto"/>
              <w:jc w:val="center"/>
              <w:rPr>
                <w:rFonts w:ascii="宋体" w:hAnsi="宋体" w:cs="宋体"/>
                <w:bCs/>
                <w:szCs w:val="21"/>
                <w:highlight w:val="none"/>
                <w:lang w:val="zh-CN"/>
              </w:rPr>
            </w:pPr>
          </w:p>
        </w:tc>
        <w:tc>
          <w:tcPr>
            <w:tcW w:w="1550" w:type="dxa"/>
            <w:vAlign w:val="center"/>
          </w:tcPr>
          <w:p w14:paraId="576C4E3C">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color w:val="auto"/>
                <w:sz w:val="24"/>
                <w:szCs w:val="24"/>
                <w:highlight w:val="none"/>
              </w:rPr>
              <w:t>营业执照等证明文件</w:t>
            </w:r>
          </w:p>
        </w:tc>
        <w:tc>
          <w:tcPr>
            <w:tcW w:w="6054" w:type="dxa"/>
            <w:vAlign w:val="center"/>
          </w:tcPr>
          <w:p w14:paraId="65817C3C">
            <w:pPr>
              <w:autoSpaceDE w:val="0"/>
              <w:autoSpaceDN w:val="0"/>
              <w:adjustRightInd w:val="0"/>
              <w:spacing w:line="360" w:lineRule="auto"/>
              <w:jc w:val="left"/>
              <w:rPr>
                <w:rFonts w:ascii="宋体" w:hAnsi="宋体" w:cs="宋体"/>
                <w:bCs/>
                <w:szCs w:val="21"/>
                <w:highlight w:val="none"/>
                <w:lang w:val="zh-CN"/>
              </w:rPr>
            </w:pP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highlight w:val="none"/>
              </w:rPr>
              <w:t>为企业的，提供有效的营业执照；</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highlight w:val="none"/>
              </w:rPr>
              <w:t>为事业单位的，提供有效的事业单位法人证书；</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highlight w:val="none"/>
              </w:rPr>
              <w:t>为社会团体的，提供有效的社会团体法人登记证书；</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highlight w:val="none"/>
              </w:rPr>
              <w:t>为合伙企业、个体工商户的，提供有效的营业执照；</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highlight w:val="none"/>
              </w:rPr>
              <w:t>为非企业专业服务机构的，提供有效的执业许可证等证明材料；</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highlight w:val="none"/>
              </w:rPr>
              <w:t>为自然人的，提供有效的自然人身份证件；其他</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highlight w:val="none"/>
              </w:rPr>
              <w:t>应按照有关法律、法规和规章规定，提供有效的相应具体证照。</w:t>
            </w:r>
          </w:p>
        </w:tc>
      </w:tr>
      <w:tr w14:paraId="7E28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41C424E1">
            <w:pPr>
              <w:autoSpaceDE w:val="0"/>
              <w:autoSpaceDN w:val="0"/>
              <w:adjustRightInd w:val="0"/>
              <w:spacing w:line="360" w:lineRule="auto"/>
              <w:jc w:val="center"/>
              <w:rPr>
                <w:rFonts w:ascii="宋体" w:hAnsi="宋体" w:cs="宋体"/>
                <w:bCs/>
                <w:szCs w:val="21"/>
                <w:highlight w:val="none"/>
                <w:lang w:val="zh-CN"/>
              </w:rPr>
            </w:pPr>
          </w:p>
        </w:tc>
        <w:tc>
          <w:tcPr>
            <w:tcW w:w="912" w:type="dxa"/>
            <w:vMerge w:val="continue"/>
          </w:tcPr>
          <w:p w14:paraId="6A48B73F">
            <w:pPr>
              <w:autoSpaceDE w:val="0"/>
              <w:autoSpaceDN w:val="0"/>
              <w:adjustRightInd w:val="0"/>
              <w:spacing w:line="360" w:lineRule="auto"/>
              <w:jc w:val="left"/>
              <w:rPr>
                <w:rFonts w:ascii="宋体" w:hAnsi="宋体" w:cs="宋体"/>
                <w:bCs/>
                <w:szCs w:val="21"/>
                <w:highlight w:val="none"/>
                <w:lang w:val="zh-CN"/>
              </w:rPr>
            </w:pPr>
          </w:p>
        </w:tc>
        <w:tc>
          <w:tcPr>
            <w:tcW w:w="1550" w:type="dxa"/>
            <w:shd w:val="clear" w:color="auto" w:fill="auto"/>
            <w:vAlign w:val="center"/>
          </w:tcPr>
          <w:p w14:paraId="3EC2691D">
            <w:pPr>
              <w:wordWrap w:val="0"/>
              <w:spacing w:line="36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财务状况</w:t>
            </w:r>
          </w:p>
        </w:tc>
        <w:tc>
          <w:tcPr>
            <w:tcW w:w="6054" w:type="dxa"/>
            <w:shd w:val="clear" w:color="auto" w:fill="auto"/>
            <w:vAlign w:val="center"/>
          </w:tcPr>
          <w:p w14:paraId="0F563135">
            <w:pPr>
              <w:wordWrap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满足第二章“投标人须知”规定的要求。</w:t>
            </w:r>
          </w:p>
          <w:p w14:paraId="50A6F062">
            <w:pPr>
              <w:wordWrap w:val="0"/>
              <w:spacing w:line="360" w:lineRule="auto"/>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供应商</w:t>
            </w:r>
            <w:r>
              <w:rPr>
                <w:rFonts w:hint="eastAsia" w:ascii="宋体" w:hAnsi="宋体" w:cs="宋体"/>
                <w:color w:val="auto"/>
                <w:sz w:val="24"/>
                <w:szCs w:val="24"/>
                <w:highlight w:val="none"/>
                <w:lang w:val="en-US" w:eastAsia="zh-CN"/>
              </w:rPr>
              <w:t>须</w:t>
            </w:r>
            <w:r>
              <w:rPr>
                <w:rFonts w:hint="eastAsia" w:ascii="宋体" w:hAnsi="宋体" w:eastAsia="宋体" w:cs="宋体"/>
                <w:color w:val="auto"/>
                <w:sz w:val="24"/>
                <w:szCs w:val="24"/>
                <w:highlight w:val="none"/>
                <w:lang w:val="en-US" w:eastAsia="zh-CN"/>
              </w:rPr>
              <w:t>提供由专业审计机构出具的近三年(2022-2024年)的财务审计报告(新成立不足三年的企业提供自成立之日起至2024年的财务审计报告,若供应商为2024年12月31日及以后注册成立的公司，提供财务状况良好承诺书)。</w:t>
            </w:r>
          </w:p>
        </w:tc>
      </w:tr>
      <w:tr w14:paraId="0B12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05A9F949">
            <w:pPr>
              <w:autoSpaceDE w:val="0"/>
              <w:autoSpaceDN w:val="0"/>
              <w:adjustRightInd w:val="0"/>
              <w:spacing w:line="360" w:lineRule="auto"/>
              <w:jc w:val="center"/>
              <w:rPr>
                <w:rFonts w:ascii="宋体" w:hAnsi="宋体" w:cs="宋体"/>
                <w:bCs/>
                <w:szCs w:val="21"/>
                <w:highlight w:val="none"/>
                <w:lang w:val="zh-CN"/>
              </w:rPr>
            </w:pPr>
          </w:p>
        </w:tc>
        <w:tc>
          <w:tcPr>
            <w:tcW w:w="912" w:type="dxa"/>
            <w:vMerge w:val="continue"/>
          </w:tcPr>
          <w:p w14:paraId="328B9DAA">
            <w:pPr>
              <w:autoSpaceDE w:val="0"/>
              <w:autoSpaceDN w:val="0"/>
              <w:adjustRightInd w:val="0"/>
              <w:spacing w:line="360" w:lineRule="auto"/>
              <w:jc w:val="left"/>
              <w:rPr>
                <w:rFonts w:ascii="宋体" w:hAnsi="宋体" w:cs="宋体"/>
                <w:bCs/>
                <w:szCs w:val="21"/>
                <w:highlight w:val="none"/>
                <w:lang w:val="zh-CN"/>
              </w:rPr>
            </w:pPr>
          </w:p>
        </w:tc>
        <w:tc>
          <w:tcPr>
            <w:tcW w:w="1550" w:type="dxa"/>
            <w:vAlign w:val="center"/>
          </w:tcPr>
          <w:p w14:paraId="7AC1101F">
            <w:pPr>
              <w:wordWrap w:val="0"/>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依法缴纳税收证明材料</w:t>
            </w:r>
          </w:p>
        </w:tc>
        <w:tc>
          <w:tcPr>
            <w:tcW w:w="6054" w:type="dxa"/>
            <w:vAlign w:val="top"/>
          </w:tcPr>
          <w:p w14:paraId="1890DA3A">
            <w:pPr>
              <w:wordWrap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供应商提供的税收缴纳凭据应符合下列规定：a.投标截止时间前（不含投标截止时间的当月）已依法缴纳税收的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，提供</w:t>
            </w:r>
            <w:r>
              <w:rPr>
                <w:rFonts w:hint="eastAsia" w:ascii="宋体" w:hAnsi="宋体" w:cs="宋体"/>
                <w:color w:val="auto"/>
                <w:sz w:val="24"/>
                <w:szCs w:val="24"/>
                <w:highlight w:val="none"/>
                <w:lang w:val="en-US" w:eastAsia="zh-CN"/>
              </w:rPr>
              <w:t>近半年内</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lang w:val="en-US" w:eastAsia="zh-CN"/>
              </w:rPr>
              <w:t>月至2025年0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月）任意一个月的</w:t>
            </w:r>
            <w:r>
              <w:rPr>
                <w:rFonts w:hint="eastAsia" w:ascii="宋体" w:hAnsi="宋体" w:cs="宋体"/>
                <w:color w:val="auto"/>
                <w:sz w:val="24"/>
                <w:szCs w:val="24"/>
                <w:highlight w:val="none"/>
                <w:lang w:val="en-US" w:eastAsia="zh-CN"/>
              </w:rPr>
              <w:t>缴纳税收凭证</w:t>
            </w:r>
            <w:r>
              <w:rPr>
                <w:rFonts w:hint="eastAsia" w:ascii="宋体" w:hAnsi="宋体" w:eastAsia="宋体" w:cs="宋体"/>
                <w:color w:val="auto"/>
                <w:sz w:val="24"/>
                <w:szCs w:val="24"/>
                <w:highlight w:val="none"/>
                <w:lang w:val="en-US" w:eastAsia="zh-CN"/>
              </w:rPr>
              <w:t>。b.投标截止时间的当月成立的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，视同满足本项资格条件要求。 c.若为依法免税范围的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，提供依法免税证明材料的，视同满足本项资格条件要求。</w:t>
            </w:r>
          </w:p>
        </w:tc>
      </w:tr>
      <w:tr w14:paraId="55BA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36DE19B4">
            <w:pPr>
              <w:autoSpaceDE w:val="0"/>
              <w:autoSpaceDN w:val="0"/>
              <w:adjustRightInd w:val="0"/>
              <w:spacing w:line="360" w:lineRule="auto"/>
              <w:jc w:val="center"/>
              <w:rPr>
                <w:rFonts w:ascii="宋体" w:hAnsi="宋体" w:cs="宋体"/>
                <w:bCs/>
                <w:szCs w:val="21"/>
                <w:highlight w:val="none"/>
                <w:lang w:val="zh-CN"/>
              </w:rPr>
            </w:pPr>
          </w:p>
        </w:tc>
        <w:tc>
          <w:tcPr>
            <w:tcW w:w="912" w:type="dxa"/>
            <w:vMerge w:val="continue"/>
          </w:tcPr>
          <w:p w14:paraId="7B9A26D1">
            <w:pPr>
              <w:autoSpaceDE w:val="0"/>
              <w:autoSpaceDN w:val="0"/>
              <w:adjustRightInd w:val="0"/>
              <w:spacing w:line="360" w:lineRule="auto"/>
              <w:jc w:val="left"/>
              <w:rPr>
                <w:rFonts w:ascii="宋体" w:hAnsi="宋体" w:cs="宋体"/>
                <w:bCs/>
                <w:szCs w:val="21"/>
                <w:highlight w:val="none"/>
                <w:lang w:val="zh-CN"/>
              </w:rPr>
            </w:pPr>
          </w:p>
        </w:tc>
        <w:tc>
          <w:tcPr>
            <w:tcW w:w="1550" w:type="dxa"/>
            <w:vAlign w:val="center"/>
          </w:tcPr>
          <w:p w14:paraId="65F76BDE">
            <w:pPr>
              <w:wordWrap w:val="0"/>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依法缴纳社会保障资金证明材料</w:t>
            </w:r>
          </w:p>
        </w:tc>
        <w:tc>
          <w:tcPr>
            <w:tcW w:w="6054" w:type="dxa"/>
            <w:vAlign w:val="top"/>
          </w:tcPr>
          <w:p w14:paraId="7F27A5D4">
            <w:pPr>
              <w:wordWrap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供应商提供的社会保障资金缴纳凭据应符合下列规定：a.投标截止时间前（不含投标截止时间的当月）已依法缴纳社会保障资金的投标人，提供</w:t>
            </w:r>
            <w:r>
              <w:rPr>
                <w:rFonts w:hint="eastAsia" w:ascii="宋体" w:hAnsi="宋体" w:cs="宋体"/>
                <w:color w:val="auto"/>
                <w:sz w:val="24"/>
                <w:szCs w:val="24"/>
                <w:highlight w:val="none"/>
                <w:lang w:val="en-US" w:eastAsia="zh-CN"/>
              </w:rPr>
              <w:t>近半年内</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lang w:val="en-US" w:eastAsia="zh-CN"/>
              </w:rPr>
              <w:t>月至2025年0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月）任意一个月社保证明。b.投标截止时间的当月成立的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，视同满足本项资格条件要求。c.若为依法不需要缴纳或暂缓缴纳社会保障资金的供应商，提供依法不需要缴纳或暂缓缴纳社会保障资金证明材料的，视同满足本项资格条件要求。</w:t>
            </w:r>
          </w:p>
        </w:tc>
      </w:tr>
      <w:tr w14:paraId="6A7D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56E5EFC3">
            <w:pPr>
              <w:autoSpaceDE w:val="0"/>
              <w:autoSpaceDN w:val="0"/>
              <w:adjustRightInd w:val="0"/>
              <w:spacing w:line="360" w:lineRule="auto"/>
              <w:jc w:val="center"/>
              <w:rPr>
                <w:rFonts w:ascii="宋体" w:hAnsi="宋体" w:cs="宋体"/>
                <w:bCs/>
                <w:szCs w:val="21"/>
                <w:highlight w:val="none"/>
                <w:lang w:val="zh-CN"/>
              </w:rPr>
            </w:pPr>
          </w:p>
        </w:tc>
        <w:tc>
          <w:tcPr>
            <w:tcW w:w="912" w:type="dxa"/>
            <w:vMerge w:val="continue"/>
          </w:tcPr>
          <w:p w14:paraId="6E56FC92">
            <w:pPr>
              <w:autoSpaceDE w:val="0"/>
              <w:autoSpaceDN w:val="0"/>
              <w:adjustRightInd w:val="0"/>
              <w:spacing w:line="360" w:lineRule="auto"/>
              <w:jc w:val="left"/>
              <w:rPr>
                <w:rFonts w:ascii="宋体" w:hAnsi="宋体" w:cs="宋体"/>
                <w:bCs/>
                <w:szCs w:val="21"/>
                <w:highlight w:val="none"/>
                <w:lang w:val="zh-CN"/>
              </w:rPr>
            </w:pPr>
          </w:p>
        </w:tc>
        <w:tc>
          <w:tcPr>
            <w:tcW w:w="1550" w:type="dxa"/>
            <w:vAlign w:val="top"/>
          </w:tcPr>
          <w:p w14:paraId="04EA4036">
            <w:pPr>
              <w:pStyle w:val="35"/>
              <w:spacing w:line="360" w:lineRule="auto"/>
              <w:jc w:val="center"/>
              <w:rPr>
                <w:rFonts w:hint="eastAsia" w:ascii="宋体" w:hAnsi="宋体" w:cs="宋体"/>
                <w:bCs/>
                <w:szCs w:val="21"/>
                <w:highlight w:val="none"/>
                <w:lang w:val="zh-CN"/>
              </w:rPr>
            </w:pPr>
            <w:r>
              <w:rPr>
                <w:rFonts w:hint="eastAsia" w:ascii="宋体" w:hAnsi="宋体" w:eastAsia="宋体" w:cs="宋体"/>
                <w:color w:val="auto"/>
                <w:kern w:val="2"/>
                <w:sz w:val="24"/>
                <w:szCs w:val="24"/>
                <w:highlight w:val="none"/>
                <w:lang w:val="en-US" w:eastAsia="zh-CN" w:bidi="ar-SA"/>
              </w:rPr>
              <w:t>具备履行合同所必需设备和专业技术能力的声明函</w:t>
            </w:r>
          </w:p>
        </w:tc>
        <w:tc>
          <w:tcPr>
            <w:tcW w:w="6054" w:type="dxa"/>
            <w:vAlign w:val="center"/>
          </w:tcPr>
          <w:p w14:paraId="26582AC7">
            <w:pPr>
              <w:wordWrap w:val="0"/>
              <w:spacing w:line="360" w:lineRule="auto"/>
              <w:jc w:val="both"/>
              <w:rPr>
                <w:rFonts w:hint="eastAsia" w:ascii="宋体" w:hAnsi="宋体" w:cs="宋体"/>
                <w:bCs/>
                <w:szCs w:val="21"/>
                <w:highlight w:val="none"/>
              </w:rPr>
            </w:pPr>
            <w:r>
              <w:rPr>
                <w:rFonts w:hint="eastAsia" w:ascii="宋体" w:hAnsi="宋体" w:eastAsia="宋体" w:cs="宋体"/>
                <w:color w:val="auto"/>
                <w:kern w:val="2"/>
                <w:sz w:val="24"/>
                <w:szCs w:val="24"/>
                <w:highlight w:val="none"/>
                <w:lang w:val="en-US" w:eastAsia="zh-CN" w:bidi="ar-SA"/>
              </w:rPr>
              <w:t>提供具备履行合同所必需的设备和专业技术能力证明材料或具备履行合同所必需设备和专业技术能力的声明函。</w:t>
            </w:r>
          </w:p>
        </w:tc>
      </w:tr>
      <w:tr w14:paraId="082F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716C61A7">
            <w:pPr>
              <w:autoSpaceDE w:val="0"/>
              <w:autoSpaceDN w:val="0"/>
              <w:adjustRightInd w:val="0"/>
              <w:spacing w:line="360" w:lineRule="auto"/>
              <w:jc w:val="center"/>
              <w:rPr>
                <w:rFonts w:ascii="宋体" w:hAnsi="宋体" w:cs="宋体"/>
                <w:bCs/>
                <w:szCs w:val="21"/>
                <w:highlight w:val="none"/>
                <w:lang w:val="zh-CN"/>
              </w:rPr>
            </w:pPr>
          </w:p>
        </w:tc>
        <w:tc>
          <w:tcPr>
            <w:tcW w:w="912" w:type="dxa"/>
            <w:vMerge w:val="continue"/>
          </w:tcPr>
          <w:p w14:paraId="3E2147D6">
            <w:pPr>
              <w:autoSpaceDE w:val="0"/>
              <w:autoSpaceDN w:val="0"/>
              <w:adjustRightInd w:val="0"/>
              <w:spacing w:line="360" w:lineRule="auto"/>
              <w:jc w:val="left"/>
              <w:rPr>
                <w:rFonts w:ascii="宋体" w:hAnsi="宋体" w:cs="宋体"/>
                <w:bCs/>
                <w:szCs w:val="21"/>
                <w:highlight w:val="none"/>
                <w:lang w:val="zh-CN"/>
              </w:rPr>
            </w:pPr>
          </w:p>
        </w:tc>
        <w:tc>
          <w:tcPr>
            <w:tcW w:w="1550" w:type="dxa"/>
            <w:vAlign w:val="center"/>
          </w:tcPr>
          <w:p w14:paraId="74695227">
            <w:pPr>
              <w:wordWrap w:val="0"/>
              <w:spacing w:line="36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信誉要求</w:t>
            </w:r>
          </w:p>
        </w:tc>
        <w:tc>
          <w:tcPr>
            <w:tcW w:w="6054" w:type="dxa"/>
            <w:vAlign w:val="center"/>
          </w:tcPr>
          <w:p w14:paraId="2B421EFE">
            <w:pPr>
              <w:wordWrap w:val="0"/>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（1）不接受列入政府取消投标资格记录期间的企业或个人参加投标；参加政府采购活动前三年内，在经营活动中没有重大违法记录，附由法定代表人或其委托代理人签字并加盖投标单位公章的承诺书。</w:t>
            </w:r>
          </w:p>
          <w:p w14:paraId="2D694FB3">
            <w:pPr>
              <w:wordWrap w:val="0"/>
              <w:spacing w:line="360" w:lineRule="auto"/>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2）供应商不得为“信用中国”网站（www.creditchina.gov.cn）中列入失信被执行人和重大税收违法失信主体的供应商，不得为中国政府采购网（www.ccgp.gov.cn）政府采购严重违法失信行为记录名单中被财政部门禁止参加政府采购活动的供应商（详见财库【2016】125号文）（需在公告发布之后至投标截止期间在官方网站查询，并将查询截图加盖单位公章附在投标文件中）。</w:t>
            </w:r>
          </w:p>
          <w:p w14:paraId="1F439F28">
            <w:pPr>
              <w:wordWrap w:val="0"/>
              <w:spacing w:line="360" w:lineRule="auto"/>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3）与采购人存在利害关系可能影响采购公正性的法人、其它组织或者个人，不得参加投标；单位负责人为同一人或者存在直接控股、管理关系的不同供应商，不得参加同一合同项下的政府采购活动。否则相关投标无效。附由法定代表人或其委托代理人签字并加盖投标单位公章的承诺书</w:t>
            </w:r>
          </w:p>
        </w:tc>
      </w:tr>
      <w:tr w14:paraId="4FD3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39218CFE">
            <w:pPr>
              <w:autoSpaceDE w:val="0"/>
              <w:autoSpaceDN w:val="0"/>
              <w:adjustRightInd w:val="0"/>
              <w:spacing w:line="360" w:lineRule="auto"/>
              <w:jc w:val="center"/>
              <w:rPr>
                <w:rFonts w:ascii="宋体" w:hAnsi="宋体" w:cs="宋体"/>
                <w:bCs/>
                <w:szCs w:val="21"/>
                <w:highlight w:val="none"/>
                <w:lang w:val="zh-CN"/>
              </w:rPr>
            </w:pPr>
          </w:p>
        </w:tc>
        <w:tc>
          <w:tcPr>
            <w:tcW w:w="912" w:type="dxa"/>
            <w:vMerge w:val="continue"/>
          </w:tcPr>
          <w:p w14:paraId="6DC8B4CB">
            <w:pPr>
              <w:autoSpaceDE w:val="0"/>
              <w:autoSpaceDN w:val="0"/>
              <w:adjustRightInd w:val="0"/>
              <w:spacing w:line="360" w:lineRule="auto"/>
              <w:jc w:val="left"/>
              <w:rPr>
                <w:rFonts w:ascii="宋体" w:hAnsi="宋体" w:cs="宋体"/>
                <w:bCs/>
                <w:szCs w:val="21"/>
                <w:highlight w:val="none"/>
                <w:lang w:val="zh-CN"/>
              </w:rPr>
            </w:pPr>
          </w:p>
        </w:tc>
        <w:tc>
          <w:tcPr>
            <w:tcW w:w="1550" w:type="dxa"/>
            <w:vAlign w:val="center"/>
          </w:tcPr>
          <w:p w14:paraId="33FE939A">
            <w:pPr>
              <w:wordWrap w:val="0"/>
              <w:spacing w:line="360" w:lineRule="auto"/>
              <w:jc w:val="center"/>
              <w:rPr>
                <w:rFonts w:ascii="宋体" w:hAnsi="宋体" w:cs="宋体"/>
                <w:bCs/>
                <w:sz w:val="24"/>
                <w:szCs w:val="24"/>
                <w:highlight w:val="none"/>
                <w:lang w:val="zh-CN"/>
              </w:rPr>
            </w:pPr>
            <w:r>
              <w:rPr>
                <w:rFonts w:hint="eastAsia" w:ascii="宋体" w:hAnsi="宋体" w:cs="宋体"/>
                <w:color w:val="auto"/>
                <w:sz w:val="24"/>
                <w:szCs w:val="24"/>
                <w:highlight w:val="none"/>
              </w:rPr>
              <w:t>其它要求</w:t>
            </w:r>
          </w:p>
        </w:tc>
        <w:tc>
          <w:tcPr>
            <w:tcW w:w="6054" w:type="dxa"/>
            <w:vAlign w:val="center"/>
          </w:tcPr>
          <w:p w14:paraId="679B78CD">
            <w:pPr>
              <w:wordWrap w:val="0"/>
              <w:spacing w:line="360" w:lineRule="auto"/>
              <w:jc w:val="lef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1、对</w:t>
            </w:r>
            <w:r>
              <w:rPr>
                <w:rFonts w:hint="eastAsia" w:ascii="宋体" w:hAnsi="宋体" w:eastAsia="宋体" w:cs="宋体"/>
                <w:bCs/>
                <w:sz w:val="24"/>
                <w:szCs w:val="24"/>
                <w:highlight w:val="none"/>
                <w:lang w:val="zh-CN" w:eastAsia="zh-CN"/>
              </w:rPr>
              <w:t>谈判</w:t>
            </w:r>
            <w:r>
              <w:rPr>
                <w:rFonts w:hint="eastAsia" w:ascii="宋体" w:hAnsi="宋体" w:eastAsia="宋体" w:cs="宋体"/>
                <w:bCs/>
                <w:sz w:val="24"/>
                <w:szCs w:val="24"/>
                <w:highlight w:val="none"/>
                <w:lang w:val="zh-CN"/>
              </w:rPr>
              <w:t>文件的全部条款做出实质性响应；</w:t>
            </w:r>
          </w:p>
          <w:p w14:paraId="7B979E30">
            <w:pPr>
              <w:wordWrap w:val="0"/>
              <w:spacing w:line="360" w:lineRule="auto"/>
              <w:jc w:val="lef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2、本项目不接受联合体投标、不允许分包；</w:t>
            </w:r>
          </w:p>
          <w:p w14:paraId="288D791F">
            <w:pPr>
              <w:wordWrap w:val="0"/>
              <w:spacing w:line="360" w:lineRule="auto"/>
              <w:jc w:val="lef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3、不存在</w:t>
            </w:r>
            <w:r>
              <w:rPr>
                <w:rFonts w:hint="eastAsia" w:ascii="宋体" w:hAnsi="宋体" w:eastAsia="宋体" w:cs="宋体"/>
                <w:bCs/>
                <w:sz w:val="24"/>
                <w:szCs w:val="24"/>
                <w:highlight w:val="none"/>
                <w:lang w:val="zh-CN" w:eastAsia="zh-CN"/>
              </w:rPr>
              <w:t>谈判</w:t>
            </w:r>
            <w:r>
              <w:rPr>
                <w:rFonts w:hint="eastAsia" w:ascii="宋体" w:hAnsi="宋体" w:eastAsia="宋体" w:cs="宋体"/>
                <w:bCs/>
                <w:sz w:val="24"/>
                <w:szCs w:val="24"/>
                <w:highlight w:val="none"/>
                <w:lang w:val="zh-CN"/>
              </w:rPr>
              <w:t>文件要求的其他无效投标的情形；</w:t>
            </w:r>
          </w:p>
          <w:p w14:paraId="639AE39B">
            <w:pPr>
              <w:wordWrap w:val="0"/>
              <w:spacing w:line="360" w:lineRule="auto"/>
              <w:jc w:val="lef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4、不存在</w:t>
            </w:r>
            <w:r>
              <w:rPr>
                <w:rFonts w:hint="eastAsia" w:ascii="宋体" w:hAnsi="宋体" w:eastAsia="宋体" w:cs="宋体"/>
                <w:bCs/>
                <w:sz w:val="24"/>
                <w:szCs w:val="24"/>
                <w:highlight w:val="none"/>
                <w:lang w:val="zh-CN" w:eastAsia="zh-CN"/>
              </w:rPr>
              <w:t>谈判</w:t>
            </w:r>
            <w:r>
              <w:rPr>
                <w:rFonts w:hint="eastAsia" w:ascii="宋体" w:hAnsi="宋体" w:eastAsia="宋体" w:cs="宋体"/>
                <w:bCs/>
                <w:sz w:val="24"/>
                <w:szCs w:val="24"/>
                <w:highlight w:val="none"/>
                <w:lang w:val="zh-CN"/>
              </w:rPr>
              <w:t>文件中规定的其他废标条款。</w:t>
            </w:r>
          </w:p>
          <w:p w14:paraId="0BA3CC4B">
            <w:pPr>
              <w:wordWrap w:val="0"/>
              <w:spacing w:line="360" w:lineRule="auto"/>
              <w:jc w:val="left"/>
              <w:rPr>
                <w:rFonts w:ascii="宋体" w:hAnsi="宋体" w:cs="宋体"/>
                <w:bCs/>
                <w:sz w:val="24"/>
                <w:szCs w:val="24"/>
                <w:highlight w:val="none"/>
                <w:lang w:val="zh-CN"/>
              </w:rPr>
            </w:pPr>
            <w:r>
              <w:rPr>
                <w:rFonts w:hint="eastAsia" w:ascii="宋体" w:hAnsi="宋体" w:eastAsia="宋体" w:cs="宋体"/>
                <w:bCs/>
                <w:sz w:val="24"/>
                <w:szCs w:val="24"/>
                <w:highlight w:val="none"/>
                <w:lang w:val="zh-CN"/>
              </w:rPr>
              <w:t>满足</w:t>
            </w:r>
            <w:r>
              <w:rPr>
                <w:rFonts w:hint="eastAsia" w:ascii="宋体" w:hAnsi="宋体" w:eastAsia="宋体" w:cs="宋体"/>
                <w:bCs/>
                <w:sz w:val="24"/>
                <w:szCs w:val="24"/>
                <w:highlight w:val="none"/>
                <w:lang w:val="zh-CN" w:eastAsia="zh-CN"/>
              </w:rPr>
              <w:t>谈判</w:t>
            </w:r>
            <w:r>
              <w:rPr>
                <w:rFonts w:hint="eastAsia" w:ascii="宋体" w:hAnsi="宋体" w:eastAsia="宋体" w:cs="宋体"/>
                <w:bCs/>
                <w:sz w:val="24"/>
                <w:szCs w:val="24"/>
                <w:highlight w:val="none"/>
                <w:lang w:val="zh-CN"/>
              </w:rPr>
              <w:t>文件的要求为合格，否则为不合格。</w:t>
            </w:r>
          </w:p>
        </w:tc>
      </w:tr>
    </w:tbl>
    <w:p w14:paraId="11643105">
      <w:pPr>
        <w:rPr>
          <w:rFonts w:ascii="宋体" w:hAnsi="宋体" w:cs="宋体"/>
          <w:sz w:val="18"/>
          <w:szCs w:val="18"/>
          <w:highlight w:val="none"/>
        </w:rPr>
      </w:pPr>
    </w:p>
    <w:p w14:paraId="3E0588AD">
      <w:pPr>
        <w:ind w:firstLine="241" w:firstLineChars="100"/>
        <w:outlineLvl w:val="1"/>
        <w:rPr>
          <w:rFonts w:ascii="宋体" w:hAnsi="宋体" w:cs="宋体"/>
          <w:b/>
          <w:sz w:val="24"/>
          <w:highlight w:val="none"/>
        </w:rPr>
      </w:pPr>
    </w:p>
    <w:p w14:paraId="60207C8B">
      <w:pPr>
        <w:ind w:firstLine="241" w:firstLineChars="100"/>
        <w:outlineLvl w:val="1"/>
        <w:rPr>
          <w:rFonts w:ascii="宋体" w:hAnsi="宋体" w:cs="宋体"/>
          <w:b/>
          <w:sz w:val="24"/>
          <w:highlight w:val="none"/>
        </w:rPr>
      </w:pPr>
    </w:p>
    <w:p w14:paraId="3573150F">
      <w:pPr>
        <w:rPr>
          <w:rFonts w:hint="eastAsia" w:ascii="宋体" w:hAnsi="宋体" w:cs="宋体"/>
          <w:b/>
          <w:sz w:val="24"/>
          <w:highlight w:val="none"/>
        </w:rPr>
      </w:pPr>
      <w:r>
        <w:rPr>
          <w:rFonts w:hint="eastAsia" w:ascii="宋体" w:hAnsi="宋体" w:cs="宋体"/>
          <w:b/>
          <w:sz w:val="24"/>
          <w:highlight w:val="none"/>
        </w:rPr>
        <w:br w:type="page"/>
      </w:r>
    </w:p>
    <w:p w14:paraId="30F304A1">
      <w:pPr>
        <w:ind w:firstLine="241" w:firstLineChars="100"/>
        <w:outlineLvl w:val="1"/>
        <w:rPr>
          <w:rFonts w:ascii="宋体" w:hAnsi="宋体" w:cs="宋体"/>
          <w:b/>
          <w:bCs/>
          <w:kern w:val="44"/>
          <w:sz w:val="24"/>
          <w:highlight w:val="none"/>
        </w:rPr>
      </w:pPr>
      <w:bookmarkStart w:id="34" w:name="_Toc28388"/>
      <w:r>
        <w:rPr>
          <w:rFonts w:hint="eastAsia" w:ascii="宋体" w:hAnsi="宋体" w:cs="宋体"/>
          <w:b/>
          <w:sz w:val="24"/>
          <w:highlight w:val="none"/>
        </w:rPr>
        <w:t>（二）符合性评审前附表</w:t>
      </w:r>
      <w:bookmarkEnd w:id="34"/>
    </w:p>
    <w:tbl>
      <w:tblPr>
        <w:tblStyle w:val="18"/>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12"/>
        <w:gridCol w:w="1550"/>
        <w:gridCol w:w="6054"/>
      </w:tblGrid>
      <w:tr w14:paraId="6BBE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76" w:type="dxa"/>
            <w:gridSpan w:val="2"/>
            <w:shd w:val="clear" w:color="auto" w:fill="D7D7D7"/>
            <w:vAlign w:val="center"/>
          </w:tcPr>
          <w:p w14:paraId="41B5E27E">
            <w:pPr>
              <w:autoSpaceDE w:val="0"/>
              <w:autoSpaceDN w:val="0"/>
              <w:adjustRightInd w:val="0"/>
              <w:spacing w:line="400" w:lineRule="exact"/>
              <w:jc w:val="center"/>
              <w:rPr>
                <w:rFonts w:ascii="宋体" w:hAnsi="宋体" w:cs="宋体"/>
                <w:b/>
                <w:szCs w:val="21"/>
                <w:highlight w:val="none"/>
                <w:lang w:val="zh-CN"/>
              </w:rPr>
            </w:pPr>
            <w:r>
              <w:rPr>
                <w:rFonts w:hint="eastAsia" w:ascii="宋体" w:hAnsi="宋体" w:cs="宋体"/>
                <w:b/>
                <w:szCs w:val="21"/>
                <w:highlight w:val="none"/>
                <w:lang w:val="zh-CN"/>
              </w:rPr>
              <w:t>条款号</w:t>
            </w:r>
          </w:p>
        </w:tc>
        <w:tc>
          <w:tcPr>
            <w:tcW w:w="1550" w:type="dxa"/>
            <w:shd w:val="clear" w:color="auto" w:fill="D7D7D7"/>
            <w:vAlign w:val="center"/>
          </w:tcPr>
          <w:p w14:paraId="7729B5E2">
            <w:pPr>
              <w:autoSpaceDE w:val="0"/>
              <w:autoSpaceDN w:val="0"/>
              <w:adjustRightInd w:val="0"/>
              <w:spacing w:line="400" w:lineRule="exact"/>
              <w:jc w:val="center"/>
              <w:rPr>
                <w:rFonts w:ascii="宋体" w:hAnsi="宋体" w:cs="宋体"/>
                <w:b/>
                <w:szCs w:val="21"/>
                <w:highlight w:val="none"/>
                <w:lang w:val="zh-CN"/>
              </w:rPr>
            </w:pPr>
            <w:r>
              <w:rPr>
                <w:rFonts w:hint="eastAsia" w:ascii="宋体" w:hAnsi="宋体" w:cs="宋体"/>
                <w:b/>
                <w:szCs w:val="21"/>
                <w:highlight w:val="none"/>
                <w:lang w:val="zh-CN"/>
              </w:rPr>
              <w:t>评审因素</w:t>
            </w:r>
          </w:p>
        </w:tc>
        <w:tc>
          <w:tcPr>
            <w:tcW w:w="6054" w:type="dxa"/>
            <w:shd w:val="clear" w:color="auto" w:fill="D7D7D7"/>
            <w:vAlign w:val="center"/>
          </w:tcPr>
          <w:p w14:paraId="08C8BA62">
            <w:pPr>
              <w:autoSpaceDE w:val="0"/>
              <w:autoSpaceDN w:val="0"/>
              <w:adjustRightInd w:val="0"/>
              <w:spacing w:line="400" w:lineRule="exact"/>
              <w:jc w:val="center"/>
              <w:rPr>
                <w:rFonts w:ascii="宋体" w:hAnsi="宋体" w:cs="宋体"/>
                <w:b/>
                <w:szCs w:val="21"/>
                <w:highlight w:val="none"/>
                <w:lang w:val="zh-CN"/>
              </w:rPr>
            </w:pPr>
            <w:r>
              <w:rPr>
                <w:rFonts w:hint="eastAsia" w:ascii="宋体" w:hAnsi="宋体" w:cs="宋体"/>
                <w:b/>
                <w:szCs w:val="21"/>
                <w:highlight w:val="none"/>
                <w:lang w:val="zh-CN"/>
              </w:rPr>
              <w:t>评审标准</w:t>
            </w:r>
          </w:p>
        </w:tc>
      </w:tr>
      <w:tr w14:paraId="49C5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64" w:type="dxa"/>
            <w:vMerge w:val="restart"/>
            <w:vAlign w:val="center"/>
          </w:tcPr>
          <w:p w14:paraId="6949572D">
            <w:pPr>
              <w:autoSpaceDE w:val="0"/>
              <w:autoSpaceDN w:val="0"/>
              <w:adjustRightInd w:val="0"/>
              <w:spacing w:line="400" w:lineRule="exact"/>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2.1</w:t>
            </w:r>
          </w:p>
        </w:tc>
        <w:tc>
          <w:tcPr>
            <w:tcW w:w="912" w:type="dxa"/>
            <w:vMerge w:val="restart"/>
            <w:vAlign w:val="center"/>
          </w:tcPr>
          <w:p w14:paraId="48052E4F">
            <w:pPr>
              <w:autoSpaceDE w:val="0"/>
              <w:autoSpaceDN w:val="0"/>
              <w:adjustRightInd w:val="0"/>
              <w:spacing w:line="400" w:lineRule="exact"/>
              <w:jc w:val="center"/>
              <w:rPr>
                <w:rFonts w:ascii="宋体" w:hAnsi="宋体" w:cs="宋体"/>
                <w:bCs/>
                <w:szCs w:val="21"/>
                <w:highlight w:val="none"/>
                <w:lang w:val="zh-CN"/>
              </w:rPr>
            </w:pPr>
            <w:r>
              <w:rPr>
                <w:rFonts w:hint="eastAsia" w:ascii="宋体" w:hAnsi="宋体" w:cs="宋体"/>
                <w:bCs/>
                <w:szCs w:val="21"/>
                <w:highlight w:val="none"/>
              </w:rPr>
              <w:t>符合性</w:t>
            </w:r>
          </w:p>
          <w:p w14:paraId="463FA96B">
            <w:pPr>
              <w:autoSpaceDE w:val="0"/>
              <w:autoSpaceDN w:val="0"/>
              <w:adjustRightInd w:val="0"/>
              <w:spacing w:line="400" w:lineRule="exact"/>
              <w:jc w:val="center"/>
              <w:rPr>
                <w:rFonts w:ascii="宋体" w:hAnsi="宋体" w:cs="宋体"/>
                <w:bCs/>
                <w:szCs w:val="21"/>
                <w:highlight w:val="none"/>
                <w:lang w:val="zh-CN"/>
              </w:rPr>
            </w:pPr>
            <w:r>
              <w:rPr>
                <w:rFonts w:hint="eastAsia" w:ascii="宋体" w:hAnsi="宋体" w:cs="宋体"/>
                <w:bCs/>
                <w:szCs w:val="21"/>
                <w:highlight w:val="none"/>
                <w:lang w:val="zh-CN"/>
              </w:rPr>
              <w:t>评审</w:t>
            </w:r>
          </w:p>
          <w:p w14:paraId="5C0D941C">
            <w:pPr>
              <w:autoSpaceDE w:val="0"/>
              <w:autoSpaceDN w:val="0"/>
              <w:adjustRightInd w:val="0"/>
              <w:spacing w:line="400" w:lineRule="exact"/>
              <w:jc w:val="center"/>
              <w:rPr>
                <w:rFonts w:ascii="宋体" w:hAnsi="宋体" w:cs="宋体"/>
                <w:bCs/>
                <w:szCs w:val="21"/>
                <w:highlight w:val="none"/>
                <w:lang w:val="zh-CN"/>
              </w:rPr>
            </w:pPr>
            <w:r>
              <w:rPr>
                <w:rFonts w:hint="eastAsia" w:ascii="宋体" w:hAnsi="宋体" w:cs="宋体"/>
                <w:bCs/>
                <w:szCs w:val="21"/>
                <w:highlight w:val="none"/>
                <w:lang w:val="zh-CN"/>
              </w:rPr>
              <w:t>标准</w:t>
            </w:r>
          </w:p>
          <w:p w14:paraId="60910898">
            <w:pPr>
              <w:autoSpaceDE w:val="0"/>
              <w:autoSpaceDN w:val="0"/>
              <w:adjustRightInd w:val="0"/>
              <w:spacing w:line="400" w:lineRule="exact"/>
              <w:jc w:val="center"/>
              <w:rPr>
                <w:rFonts w:ascii="宋体" w:hAnsi="宋体" w:cs="宋体"/>
                <w:bCs/>
                <w:szCs w:val="21"/>
                <w:highlight w:val="none"/>
                <w:lang w:val="zh-CN"/>
              </w:rPr>
            </w:pPr>
          </w:p>
        </w:tc>
        <w:tc>
          <w:tcPr>
            <w:tcW w:w="1550" w:type="dxa"/>
            <w:vAlign w:val="center"/>
          </w:tcPr>
          <w:p w14:paraId="38725D60">
            <w:pPr>
              <w:wordWrap w:val="0"/>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投标内容</w:t>
            </w:r>
          </w:p>
        </w:tc>
        <w:tc>
          <w:tcPr>
            <w:tcW w:w="6054" w:type="dxa"/>
            <w:vAlign w:val="center"/>
          </w:tcPr>
          <w:p w14:paraId="700E9726">
            <w:pPr>
              <w:wordWrap w:val="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符合谈判文件规定。</w:t>
            </w:r>
          </w:p>
        </w:tc>
      </w:tr>
      <w:tr w14:paraId="03B5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64" w:type="dxa"/>
            <w:vMerge w:val="continue"/>
          </w:tcPr>
          <w:p w14:paraId="00706F78">
            <w:pPr>
              <w:autoSpaceDE w:val="0"/>
              <w:autoSpaceDN w:val="0"/>
              <w:adjustRightInd w:val="0"/>
              <w:spacing w:line="400" w:lineRule="exact"/>
              <w:jc w:val="left"/>
              <w:rPr>
                <w:rFonts w:ascii="宋体" w:hAnsi="宋体" w:cs="宋体"/>
                <w:bCs/>
                <w:szCs w:val="21"/>
                <w:highlight w:val="none"/>
                <w:lang w:val="zh-CN"/>
              </w:rPr>
            </w:pPr>
          </w:p>
        </w:tc>
        <w:tc>
          <w:tcPr>
            <w:tcW w:w="912" w:type="dxa"/>
            <w:vMerge w:val="continue"/>
          </w:tcPr>
          <w:p w14:paraId="307A5BC3">
            <w:pPr>
              <w:autoSpaceDE w:val="0"/>
              <w:autoSpaceDN w:val="0"/>
              <w:adjustRightInd w:val="0"/>
              <w:spacing w:line="400" w:lineRule="exact"/>
              <w:jc w:val="left"/>
              <w:rPr>
                <w:rFonts w:ascii="宋体" w:hAnsi="宋体" w:cs="宋体"/>
                <w:bCs/>
                <w:szCs w:val="21"/>
                <w:highlight w:val="none"/>
                <w:lang w:val="zh-CN"/>
              </w:rPr>
            </w:pPr>
          </w:p>
        </w:tc>
        <w:tc>
          <w:tcPr>
            <w:tcW w:w="1550" w:type="dxa"/>
            <w:vAlign w:val="center"/>
          </w:tcPr>
          <w:p w14:paraId="1417376D">
            <w:pPr>
              <w:pStyle w:val="10"/>
              <w:tabs>
                <w:tab w:val="clear" w:pos="4153"/>
                <w:tab w:val="clear" w:pos="8306"/>
              </w:tabs>
              <w:autoSpaceDE w:val="0"/>
              <w:autoSpaceDN w:val="0"/>
              <w:adjustRightInd w:val="0"/>
              <w:snapToGrid/>
              <w:spacing w:line="400" w:lineRule="exact"/>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供</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zh-CN" w:eastAsia="zh-CN" w:bidi="ar-SA"/>
              </w:rPr>
              <w:t>货</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zh-CN" w:eastAsia="zh-CN" w:bidi="ar-SA"/>
              </w:rPr>
              <w:t>期</w:t>
            </w:r>
          </w:p>
        </w:tc>
        <w:tc>
          <w:tcPr>
            <w:tcW w:w="6054" w:type="dxa"/>
            <w:vAlign w:val="center"/>
          </w:tcPr>
          <w:p w14:paraId="468B423A">
            <w:pPr>
              <w:autoSpaceDE w:val="0"/>
              <w:autoSpaceDN w:val="0"/>
              <w:adjustRightInd w:val="0"/>
              <w:spacing w:line="4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自合同签订之日起</w:t>
            </w:r>
            <w:r>
              <w:rPr>
                <w:rFonts w:hint="eastAsia" w:ascii="宋体" w:hAnsi="宋体" w:eastAsia="宋体" w:cs="宋体"/>
                <w:color w:val="auto"/>
                <w:kern w:val="2"/>
                <w:sz w:val="24"/>
                <w:szCs w:val="24"/>
                <w:highlight w:val="none"/>
                <w:lang w:val="zh-CN" w:eastAsia="zh-CN" w:bidi="ar-SA"/>
              </w:rPr>
              <w:t xml:space="preserve"> </w:t>
            </w:r>
            <w:r>
              <w:rPr>
                <w:rFonts w:hint="eastAsia" w:ascii="宋体" w:hAnsi="宋体" w:cs="宋体"/>
                <w:color w:val="auto"/>
                <w:kern w:val="2"/>
                <w:sz w:val="24"/>
                <w:szCs w:val="24"/>
                <w:highlight w:val="none"/>
                <w:lang w:val="en-US" w:eastAsia="zh-CN" w:bidi="ar-SA"/>
              </w:rPr>
              <w:t>30</w:t>
            </w:r>
            <w:r>
              <w:rPr>
                <w:rFonts w:hint="eastAsia" w:ascii="宋体" w:hAnsi="宋体" w:eastAsia="宋体" w:cs="宋体"/>
                <w:color w:val="auto"/>
                <w:kern w:val="2"/>
                <w:sz w:val="24"/>
                <w:szCs w:val="24"/>
                <w:highlight w:val="none"/>
                <w:lang w:val="zh-CN" w:eastAsia="zh-CN" w:bidi="ar-SA"/>
              </w:rPr>
              <w:t>天内完成。</w:t>
            </w:r>
          </w:p>
        </w:tc>
      </w:tr>
      <w:tr w14:paraId="412F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64" w:type="dxa"/>
            <w:vMerge w:val="continue"/>
          </w:tcPr>
          <w:p w14:paraId="64873EE9">
            <w:pPr>
              <w:autoSpaceDE w:val="0"/>
              <w:autoSpaceDN w:val="0"/>
              <w:adjustRightInd w:val="0"/>
              <w:spacing w:line="400" w:lineRule="exact"/>
              <w:jc w:val="left"/>
              <w:rPr>
                <w:rFonts w:ascii="宋体" w:hAnsi="宋体" w:cs="宋体"/>
                <w:bCs/>
                <w:szCs w:val="21"/>
                <w:highlight w:val="none"/>
                <w:lang w:val="zh-CN"/>
              </w:rPr>
            </w:pPr>
          </w:p>
        </w:tc>
        <w:tc>
          <w:tcPr>
            <w:tcW w:w="912" w:type="dxa"/>
            <w:vMerge w:val="continue"/>
          </w:tcPr>
          <w:p w14:paraId="51CDE365">
            <w:pPr>
              <w:autoSpaceDE w:val="0"/>
              <w:autoSpaceDN w:val="0"/>
              <w:adjustRightInd w:val="0"/>
              <w:spacing w:line="400" w:lineRule="exact"/>
              <w:jc w:val="left"/>
              <w:rPr>
                <w:rFonts w:ascii="宋体" w:hAnsi="宋体" w:cs="宋体"/>
                <w:bCs/>
                <w:szCs w:val="21"/>
                <w:highlight w:val="none"/>
                <w:lang w:val="zh-CN"/>
              </w:rPr>
            </w:pPr>
          </w:p>
        </w:tc>
        <w:tc>
          <w:tcPr>
            <w:tcW w:w="1550" w:type="dxa"/>
            <w:vAlign w:val="center"/>
          </w:tcPr>
          <w:p w14:paraId="1BB11061">
            <w:pPr>
              <w:pStyle w:val="10"/>
              <w:tabs>
                <w:tab w:val="clear" w:pos="4153"/>
                <w:tab w:val="clear" w:pos="8306"/>
              </w:tabs>
              <w:autoSpaceDE w:val="0"/>
              <w:autoSpaceDN w:val="0"/>
              <w:adjustRightInd w:val="0"/>
              <w:snapToGrid/>
              <w:spacing w:line="400" w:lineRule="exact"/>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供货地点</w:t>
            </w:r>
          </w:p>
        </w:tc>
        <w:tc>
          <w:tcPr>
            <w:tcW w:w="6054" w:type="dxa"/>
            <w:vAlign w:val="center"/>
          </w:tcPr>
          <w:p w14:paraId="39DCEC73">
            <w:pPr>
              <w:pStyle w:val="10"/>
              <w:tabs>
                <w:tab w:val="clear" w:pos="4153"/>
                <w:tab w:val="clear" w:pos="8306"/>
              </w:tabs>
              <w:autoSpaceDE w:val="0"/>
              <w:autoSpaceDN w:val="0"/>
              <w:adjustRightInd w:val="0"/>
              <w:snapToGrid/>
              <w:spacing w:line="4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吉林司法警官职业学院。</w:t>
            </w:r>
          </w:p>
        </w:tc>
      </w:tr>
      <w:tr w14:paraId="7311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64" w:type="dxa"/>
            <w:vMerge w:val="continue"/>
          </w:tcPr>
          <w:p w14:paraId="4CC92F12">
            <w:pPr>
              <w:autoSpaceDE w:val="0"/>
              <w:autoSpaceDN w:val="0"/>
              <w:adjustRightInd w:val="0"/>
              <w:spacing w:line="400" w:lineRule="exact"/>
              <w:jc w:val="left"/>
              <w:rPr>
                <w:rFonts w:ascii="宋体" w:hAnsi="宋体" w:cs="宋体"/>
                <w:bCs/>
                <w:szCs w:val="21"/>
                <w:highlight w:val="none"/>
                <w:lang w:val="zh-CN"/>
              </w:rPr>
            </w:pPr>
          </w:p>
        </w:tc>
        <w:tc>
          <w:tcPr>
            <w:tcW w:w="912" w:type="dxa"/>
            <w:vMerge w:val="continue"/>
          </w:tcPr>
          <w:p w14:paraId="7C1AF4AE">
            <w:pPr>
              <w:autoSpaceDE w:val="0"/>
              <w:autoSpaceDN w:val="0"/>
              <w:adjustRightInd w:val="0"/>
              <w:spacing w:line="400" w:lineRule="exact"/>
              <w:jc w:val="left"/>
              <w:rPr>
                <w:rFonts w:ascii="宋体" w:hAnsi="宋体" w:cs="宋体"/>
                <w:bCs/>
                <w:szCs w:val="21"/>
                <w:highlight w:val="none"/>
                <w:lang w:val="zh-CN"/>
              </w:rPr>
            </w:pPr>
          </w:p>
        </w:tc>
        <w:tc>
          <w:tcPr>
            <w:tcW w:w="1550" w:type="dxa"/>
            <w:vAlign w:val="center"/>
          </w:tcPr>
          <w:p w14:paraId="6987A02D">
            <w:pPr>
              <w:wordWrap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谈判有效期</w:t>
            </w:r>
          </w:p>
        </w:tc>
        <w:tc>
          <w:tcPr>
            <w:tcW w:w="6054" w:type="dxa"/>
            <w:vAlign w:val="center"/>
          </w:tcPr>
          <w:p w14:paraId="08436934">
            <w:pPr>
              <w:wordWrap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响应文件截止之日后90</w:t>
            </w:r>
            <w:r>
              <w:rPr>
                <w:rFonts w:hint="eastAsia" w:ascii="宋体" w:hAnsi="宋体" w:eastAsia="宋体" w:cs="宋体"/>
                <w:color w:val="auto"/>
                <w:kern w:val="2"/>
                <w:sz w:val="24"/>
                <w:szCs w:val="24"/>
                <w:highlight w:val="none"/>
                <w:lang w:val="zh-CN" w:eastAsia="zh-CN" w:bidi="ar-SA"/>
              </w:rPr>
              <w:t>天（日历天）</w:t>
            </w:r>
          </w:p>
        </w:tc>
      </w:tr>
      <w:tr w14:paraId="6BDA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64" w:type="dxa"/>
            <w:vMerge w:val="continue"/>
          </w:tcPr>
          <w:p w14:paraId="62917446">
            <w:pPr>
              <w:autoSpaceDE w:val="0"/>
              <w:autoSpaceDN w:val="0"/>
              <w:adjustRightInd w:val="0"/>
              <w:spacing w:line="400" w:lineRule="exact"/>
              <w:jc w:val="left"/>
              <w:rPr>
                <w:rFonts w:ascii="宋体" w:hAnsi="宋体" w:cs="宋体"/>
                <w:bCs/>
                <w:szCs w:val="21"/>
                <w:highlight w:val="none"/>
                <w:lang w:val="zh-CN"/>
              </w:rPr>
            </w:pPr>
          </w:p>
        </w:tc>
        <w:tc>
          <w:tcPr>
            <w:tcW w:w="912" w:type="dxa"/>
            <w:vMerge w:val="continue"/>
          </w:tcPr>
          <w:p w14:paraId="39A62717">
            <w:pPr>
              <w:autoSpaceDE w:val="0"/>
              <w:autoSpaceDN w:val="0"/>
              <w:adjustRightInd w:val="0"/>
              <w:spacing w:line="400" w:lineRule="exact"/>
              <w:jc w:val="left"/>
              <w:rPr>
                <w:rFonts w:ascii="宋体" w:hAnsi="宋体" w:cs="宋体"/>
                <w:bCs/>
                <w:szCs w:val="21"/>
                <w:highlight w:val="none"/>
                <w:lang w:val="zh-CN"/>
              </w:rPr>
            </w:pPr>
          </w:p>
        </w:tc>
        <w:tc>
          <w:tcPr>
            <w:tcW w:w="1550" w:type="dxa"/>
            <w:vAlign w:val="center"/>
          </w:tcPr>
          <w:p w14:paraId="1AA594CC">
            <w:pPr>
              <w:wordWrap w:val="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技术条款响应</w:t>
            </w:r>
          </w:p>
        </w:tc>
        <w:tc>
          <w:tcPr>
            <w:tcW w:w="6054" w:type="dxa"/>
            <w:vAlign w:val="center"/>
          </w:tcPr>
          <w:p w14:paraId="208145AE">
            <w:pPr>
              <w:pStyle w:val="6"/>
              <w:rPr>
                <w:rFonts w:hint="default"/>
                <w:highlight w:val="none"/>
                <w:lang w:val="en-US" w:eastAsia="zh-CN"/>
              </w:rPr>
            </w:pPr>
            <w:r>
              <w:rPr>
                <w:rFonts w:hint="default" w:ascii="宋体" w:hAnsi="宋体" w:eastAsia="宋体" w:cs="宋体"/>
                <w:color w:val="auto"/>
                <w:kern w:val="2"/>
                <w:sz w:val="24"/>
                <w:szCs w:val="24"/>
                <w:highlight w:val="none"/>
                <w:lang w:val="en-US" w:eastAsia="zh-CN" w:bidi="ar-SA"/>
              </w:rPr>
              <w:t>响应文件满足谈判文件第三章货物采购需求中所有技术条款要求</w:t>
            </w:r>
            <w:r>
              <w:rPr>
                <w:rFonts w:hint="eastAsia" w:ascii="宋体" w:hAnsi="宋体" w:cs="宋体"/>
                <w:color w:val="auto"/>
                <w:kern w:val="2"/>
                <w:sz w:val="24"/>
                <w:szCs w:val="24"/>
                <w:highlight w:val="none"/>
                <w:lang w:val="en-US" w:eastAsia="zh-CN" w:bidi="ar-SA"/>
              </w:rPr>
              <w:t>。</w:t>
            </w:r>
          </w:p>
        </w:tc>
      </w:tr>
      <w:tr w14:paraId="2DDC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4" w:type="dxa"/>
            <w:vMerge w:val="continue"/>
          </w:tcPr>
          <w:p w14:paraId="34EE7A89">
            <w:pPr>
              <w:autoSpaceDE w:val="0"/>
              <w:autoSpaceDN w:val="0"/>
              <w:adjustRightInd w:val="0"/>
              <w:spacing w:line="400" w:lineRule="exact"/>
              <w:jc w:val="left"/>
              <w:rPr>
                <w:rFonts w:ascii="宋体" w:hAnsi="宋体" w:cs="宋体"/>
                <w:bCs/>
                <w:szCs w:val="21"/>
                <w:highlight w:val="none"/>
                <w:lang w:val="zh-CN"/>
              </w:rPr>
            </w:pPr>
          </w:p>
        </w:tc>
        <w:tc>
          <w:tcPr>
            <w:tcW w:w="912" w:type="dxa"/>
            <w:vMerge w:val="continue"/>
          </w:tcPr>
          <w:p w14:paraId="680DC046">
            <w:pPr>
              <w:autoSpaceDE w:val="0"/>
              <w:autoSpaceDN w:val="0"/>
              <w:adjustRightInd w:val="0"/>
              <w:spacing w:line="400" w:lineRule="exact"/>
              <w:jc w:val="left"/>
              <w:rPr>
                <w:rFonts w:ascii="宋体" w:hAnsi="宋体" w:cs="宋体"/>
                <w:bCs/>
                <w:szCs w:val="21"/>
                <w:highlight w:val="none"/>
                <w:lang w:val="zh-CN"/>
              </w:rPr>
            </w:pPr>
          </w:p>
        </w:tc>
        <w:tc>
          <w:tcPr>
            <w:tcW w:w="1550" w:type="dxa"/>
            <w:vAlign w:val="center"/>
          </w:tcPr>
          <w:p w14:paraId="14FDC2CC">
            <w:pPr>
              <w:wordWrap w:val="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电子签字和盖章要求</w:t>
            </w:r>
          </w:p>
        </w:tc>
        <w:tc>
          <w:tcPr>
            <w:tcW w:w="6054" w:type="dxa"/>
            <w:vAlign w:val="center"/>
          </w:tcPr>
          <w:p w14:paraId="17A10CE2">
            <w:pPr>
              <w:wordWrap w:val="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按照</w:t>
            </w:r>
            <w:r>
              <w:rPr>
                <w:rFonts w:hint="eastAsia" w:ascii="宋体" w:hAnsi="宋体" w:cs="宋体"/>
                <w:color w:val="auto"/>
                <w:kern w:val="2"/>
                <w:sz w:val="24"/>
                <w:szCs w:val="24"/>
                <w:highlight w:val="none"/>
                <w:lang w:val="en-US" w:eastAsia="zh-CN" w:bidi="ar-SA"/>
              </w:rPr>
              <w:t>谈判</w:t>
            </w:r>
            <w:r>
              <w:rPr>
                <w:rFonts w:hint="eastAsia" w:ascii="宋体" w:hAnsi="宋体" w:eastAsia="宋体" w:cs="宋体"/>
                <w:color w:val="auto"/>
                <w:kern w:val="2"/>
                <w:sz w:val="24"/>
                <w:szCs w:val="24"/>
                <w:highlight w:val="none"/>
                <w:lang w:val="en-US" w:eastAsia="zh-CN" w:bidi="ar-SA"/>
              </w:rPr>
              <w:t>文件规定的要求执行为合格，否则为不合格。</w:t>
            </w:r>
          </w:p>
        </w:tc>
      </w:tr>
      <w:tr w14:paraId="5E0E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4" w:type="dxa"/>
            <w:vMerge w:val="continue"/>
          </w:tcPr>
          <w:p w14:paraId="549C7F26">
            <w:pPr>
              <w:autoSpaceDE w:val="0"/>
              <w:autoSpaceDN w:val="0"/>
              <w:adjustRightInd w:val="0"/>
              <w:spacing w:line="400" w:lineRule="exact"/>
              <w:jc w:val="left"/>
              <w:rPr>
                <w:rFonts w:ascii="宋体" w:hAnsi="宋体" w:cs="宋体"/>
                <w:bCs/>
                <w:szCs w:val="21"/>
                <w:highlight w:val="none"/>
                <w:lang w:val="zh-CN"/>
              </w:rPr>
            </w:pPr>
          </w:p>
        </w:tc>
        <w:tc>
          <w:tcPr>
            <w:tcW w:w="912" w:type="dxa"/>
            <w:vMerge w:val="continue"/>
          </w:tcPr>
          <w:p w14:paraId="64B3EDF1">
            <w:pPr>
              <w:autoSpaceDE w:val="0"/>
              <w:autoSpaceDN w:val="0"/>
              <w:adjustRightInd w:val="0"/>
              <w:spacing w:line="400" w:lineRule="exact"/>
              <w:jc w:val="left"/>
              <w:rPr>
                <w:rFonts w:ascii="宋体" w:hAnsi="宋体" w:cs="宋体"/>
                <w:bCs/>
                <w:szCs w:val="21"/>
                <w:highlight w:val="none"/>
                <w:lang w:val="zh-CN"/>
              </w:rPr>
            </w:pPr>
          </w:p>
        </w:tc>
        <w:tc>
          <w:tcPr>
            <w:tcW w:w="1550" w:type="dxa"/>
            <w:vAlign w:val="center"/>
          </w:tcPr>
          <w:p w14:paraId="23004FD0">
            <w:pPr>
              <w:wordWrap w:val="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投标价格</w:t>
            </w:r>
          </w:p>
        </w:tc>
        <w:tc>
          <w:tcPr>
            <w:tcW w:w="6054" w:type="dxa"/>
            <w:vAlign w:val="center"/>
          </w:tcPr>
          <w:p w14:paraId="2E8A6764">
            <w:pPr>
              <w:wordWrap w:val="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投标总价不高于招标控制价，且不低于成本。</w:t>
            </w:r>
          </w:p>
        </w:tc>
      </w:tr>
    </w:tbl>
    <w:p w14:paraId="7A8CD731">
      <w:pPr>
        <w:rPr>
          <w:rFonts w:ascii="宋体" w:hAnsi="宋体" w:cs="宋体"/>
          <w:sz w:val="18"/>
          <w:szCs w:val="18"/>
          <w:highlight w:val="none"/>
        </w:rPr>
      </w:pPr>
    </w:p>
    <w:p w14:paraId="6359132D">
      <w:pPr>
        <w:rPr>
          <w:rFonts w:ascii="宋体" w:hAnsi="宋体" w:cs="宋体"/>
          <w:b/>
          <w:bCs/>
          <w:szCs w:val="21"/>
          <w:highlight w:val="none"/>
        </w:rPr>
      </w:pPr>
      <w:r>
        <w:rPr>
          <w:rFonts w:hint="eastAsia" w:ascii="宋体" w:hAnsi="宋体" w:cs="宋体"/>
          <w:b/>
          <w:bCs/>
          <w:szCs w:val="21"/>
          <w:highlight w:val="none"/>
        </w:rPr>
        <w:t>注：评标委员会将依据上表标准对投标文件进行初步评审。有一项不符合评审标准的，评标委员会应当否决其投标。</w:t>
      </w:r>
    </w:p>
    <w:p w14:paraId="66352B02">
      <w:pPr>
        <w:rPr>
          <w:rFonts w:hint="eastAsia" w:hAnsi="宋体" w:cs="宋体"/>
          <w:b/>
          <w:bCs/>
          <w:szCs w:val="21"/>
          <w:highlight w:val="none"/>
        </w:rPr>
      </w:pPr>
      <w:r>
        <w:rPr>
          <w:rFonts w:hint="eastAsia" w:hAnsi="宋体" w:cs="宋体"/>
          <w:b/>
          <w:bCs/>
          <w:szCs w:val="21"/>
          <w:highlight w:val="none"/>
        </w:rPr>
        <w:br w:type="page"/>
      </w:r>
    </w:p>
    <w:p w14:paraId="00B3DBD4">
      <w:pPr>
        <w:pStyle w:val="8"/>
        <w:spacing w:line="360" w:lineRule="auto"/>
        <w:rPr>
          <w:rFonts w:hAnsi="宋体" w:cs="宋体"/>
          <w:b/>
          <w:bCs/>
          <w:sz w:val="24"/>
          <w:szCs w:val="24"/>
          <w:highlight w:val="none"/>
        </w:rPr>
      </w:pPr>
      <w:r>
        <w:rPr>
          <w:rFonts w:hint="eastAsia" w:hAnsi="宋体" w:cs="宋体"/>
          <w:b/>
          <w:bCs/>
          <w:sz w:val="24"/>
          <w:szCs w:val="24"/>
          <w:highlight w:val="none"/>
        </w:rPr>
        <w:t>一、评审依据</w:t>
      </w:r>
    </w:p>
    <w:p w14:paraId="0C3625D6">
      <w:pPr>
        <w:pStyle w:val="8"/>
        <w:spacing w:line="360" w:lineRule="auto"/>
        <w:ind w:firstLine="480" w:firstLineChars="200"/>
        <w:rPr>
          <w:rFonts w:hAnsi="宋体" w:cs="宋体"/>
          <w:bCs/>
          <w:sz w:val="24"/>
          <w:szCs w:val="22"/>
          <w:highlight w:val="none"/>
        </w:rPr>
      </w:pPr>
      <w:r>
        <w:rPr>
          <w:rFonts w:hint="eastAsia" w:hAnsi="宋体" w:cs="宋体"/>
          <w:bCs/>
          <w:sz w:val="24"/>
          <w:szCs w:val="22"/>
          <w:highlight w:val="none"/>
        </w:rPr>
        <w:t>1. 评审依据：谈判小组以谈判文件和响应文件为评审依据。</w:t>
      </w:r>
    </w:p>
    <w:p w14:paraId="3EAC12B6">
      <w:pPr>
        <w:pStyle w:val="8"/>
        <w:spacing w:line="360" w:lineRule="auto"/>
        <w:ind w:firstLine="480" w:firstLineChars="200"/>
        <w:rPr>
          <w:rFonts w:hAnsi="宋体" w:cs="宋体"/>
          <w:bCs/>
          <w:sz w:val="24"/>
          <w:szCs w:val="22"/>
          <w:highlight w:val="none"/>
        </w:rPr>
      </w:pPr>
      <w:r>
        <w:rPr>
          <w:rFonts w:hint="eastAsia" w:hAnsi="宋体" w:cs="宋体"/>
          <w:bCs/>
          <w:sz w:val="24"/>
          <w:szCs w:val="22"/>
          <w:highlight w:val="none"/>
        </w:rPr>
        <w:t>2. 根据财库〔2012〕69号文规定，采购人和采购代理机构、竞争性谈判小组成员要严格遵守政府采购相关法律制度，依法履行各自职责，公正、客观、审慎地组织和参与评审工作。</w:t>
      </w:r>
    </w:p>
    <w:p w14:paraId="48C1BC92">
      <w:pPr>
        <w:pStyle w:val="8"/>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二、评审办法</w:t>
      </w:r>
    </w:p>
    <w:p w14:paraId="678654DC">
      <w:pPr>
        <w:pStyle w:val="8"/>
        <w:spacing w:line="360" w:lineRule="auto"/>
        <w:ind w:firstLine="420"/>
        <w:rPr>
          <w:rFonts w:hAnsi="宋体" w:cs="宋体"/>
          <w:kern w:val="0"/>
          <w:sz w:val="24"/>
          <w:szCs w:val="24"/>
          <w:highlight w:val="none"/>
        </w:rPr>
      </w:pPr>
      <w:r>
        <w:rPr>
          <w:rFonts w:hint="eastAsia" w:hAnsi="宋体" w:cs="宋体"/>
          <w:kern w:val="0"/>
          <w:sz w:val="24"/>
          <w:szCs w:val="24"/>
          <w:highlight w:val="none"/>
        </w:rPr>
        <w:t>1. 谈判小组应当从质量和服务均能满足竞争性谈判文件全部实质性响应要求的供应商中，按照评审第二次有效报价由低到高顺序提出3名以上（含3名）成交候选人。</w:t>
      </w:r>
    </w:p>
    <w:p w14:paraId="120E5841">
      <w:pPr>
        <w:pStyle w:val="8"/>
        <w:spacing w:line="360" w:lineRule="auto"/>
        <w:ind w:firstLine="480" w:firstLineChars="200"/>
        <w:rPr>
          <w:rFonts w:hAnsi="宋体" w:cs="宋体"/>
          <w:kern w:val="0"/>
          <w:sz w:val="24"/>
          <w:szCs w:val="24"/>
          <w:highlight w:val="none"/>
        </w:rPr>
      </w:pPr>
      <w:r>
        <w:rPr>
          <w:rFonts w:hint="eastAsia" w:hAnsi="宋体" w:cs="宋体"/>
          <w:kern w:val="0"/>
          <w:sz w:val="24"/>
          <w:szCs w:val="24"/>
          <w:highlight w:val="none"/>
        </w:rPr>
        <w:t>2. 按照《政府采购促进中小企业发展管理办法》（财库[2020]46号）、《关于进一步加大政府采购支持中小企业力度的通知》（财库[2022] 19号）、《关于政府采购支持监狱企业发展有关问题的通知》（财库[2014] 68号）、《关于促进残疾人就业政府采购政策的通知》（财库[2017] 141号）等国家文件最新规定：</w:t>
      </w:r>
    </w:p>
    <w:p w14:paraId="4FDEC52C">
      <w:pPr>
        <w:pStyle w:val="8"/>
        <w:spacing w:line="360" w:lineRule="auto"/>
        <w:ind w:firstLine="480" w:firstLineChars="200"/>
        <w:rPr>
          <w:rFonts w:hAnsi="宋体" w:cs="宋体"/>
          <w:sz w:val="24"/>
          <w:szCs w:val="22"/>
          <w:highlight w:val="none"/>
        </w:rPr>
      </w:pPr>
      <w:r>
        <w:rPr>
          <w:rFonts w:hint="eastAsia" w:hAnsi="宋体" w:cs="宋体"/>
          <w:sz w:val="24"/>
          <w:szCs w:val="22"/>
          <w:highlight w:val="none"/>
        </w:rPr>
        <w:t>（1）评审报价=最后报价（第二次有效报价）。</w:t>
      </w:r>
    </w:p>
    <w:p w14:paraId="2B6602EE">
      <w:pPr>
        <w:pStyle w:val="8"/>
        <w:spacing w:line="360" w:lineRule="auto"/>
        <w:ind w:firstLine="480" w:firstLineChars="200"/>
        <w:rPr>
          <w:rFonts w:hint="eastAsia" w:hAnsi="宋体" w:eastAsia="宋体" w:cs="宋体"/>
          <w:bCs/>
          <w:sz w:val="24"/>
          <w:szCs w:val="22"/>
          <w:highlight w:val="none"/>
          <w:lang w:val="en-US" w:eastAsia="zh-CN"/>
        </w:rPr>
      </w:pPr>
      <w:r>
        <w:rPr>
          <w:rFonts w:hint="eastAsia" w:hAnsi="宋体" w:cs="宋体"/>
          <w:bCs/>
          <w:color w:val="auto"/>
          <w:sz w:val="24"/>
          <w:szCs w:val="22"/>
          <w:highlight w:val="none"/>
        </w:rPr>
        <w:t>注：①供应商</w:t>
      </w:r>
      <w:r>
        <w:rPr>
          <w:rFonts w:hint="eastAsia" w:hAnsi="宋体" w:cs="宋体"/>
          <w:bCs/>
          <w:color w:val="auto"/>
          <w:sz w:val="24"/>
          <w:szCs w:val="22"/>
          <w:highlight w:val="none"/>
          <w:lang w:eastAsia="zh-CN"/>
        </w:rPr>
        <w:t>为</w:t>
      </w:r>
      <w:r>
        <w:rPr>
          <w:rFonts w:hint="eastAsia" w:hAnsi="宋体" w:cs="宋体"/>
          <w:bCs/>
          <w:color w:val="auto"/>
          <w:sz w:val="24"/>
          <w:szCs w:val="22"/>
          <w:highlight w:val="none"/>
        </w:rPr>
        <w:t>小型、微型企业的，视同为中型企业。②</w:t>
      </w:r>
      <w:r>
        <w:rPr>
          <w:rFonts w:hint="eastAsia" w:hAnsi="宋体" w:cs="宋体"/>
          <w:bCs/>
          <w:color w:val="auto"/>
          <w:kern w:val="0"/>
          <w:sz w:val="24"/>
          <w:szCs w:val="24"/>
          <w:highlight w:val="none"/>
        </w:rPr>
        <w:t>谈判小组应当按扣除后的报价由低到高进行排序，该扣除后报价仅作为评审报价排序，不作为合同签订报价，合同将按实际最后报价签订</w:t>
      </w:r>
      <w:r>
        <w:rPr>
          <w:rFonts w:hint="eastAsia" w:hAnsi="宋体" w:cs="宋体"/>
          <w:bCs/>
          <w:color w:val="auto"/>
          <w:kern w:val="0"/>
          <w:sz w:val="24"/>
          <w:szCs w:val="24"/>
          <w:highlight w:val="none"/>
          <w:lang w:eastAsia="zh-CN"/>
        </w:rPr>
        <w:t>。</w:t>
      </w:r>
    </w:p>
    <w:p w14:paraId="6118CF42">
      <w:pPr>
        <w:pStyle w:val="8"/>
        <w:spacing w:line="360" w:lineRule="auto"/>
        <w:ind w:firstLine="470" w:firstLineChars="196"/>
        <w:rPr>
          <w:rFonts w:hAnsi="宋体" w:cs="宋体"/>
          <w:bCs/>
          <w:sz w:val="24"/>
          <w:szCs w:val="22"/>
          <w:highlight w:val="none"/>
        </w:rPr>
      </w:pPr>
      <w:r>
        <w:rPr>
          <w:rFonts w:hint="eastAsia" w:hAnsi="宋体" w:cs="宋体"/>
          <w:bCs/>
          <w:sz w:val="24"/>
          <w:szCs w:val="24"/>
          <w:highlight w:val="none"/>
          <w:lang w:val="en-US" w:eastAsia="zh-CN"/>
        </w:rPr>
        <w:t>3</w:t>
      </w:r>
      <w:r>
        <w:rPr>
          <w:rFonts w:hint="eastAsia" w:hAnsi="宋体" w:cs="宋体"/>
          <w:bCs/>
          <w:sz w:val="24"/>
          <w:szCs w:val="24"/>
          <w:highlight w:val="none"/>
        </w:rPr>
        <w:t>. 评审时，</w:t>
      </w:r>
      <w:r>
        <w:rPr>
          <w:rFonts w:hint="eastAsia" w:hAnsi="宋体" w:cs="宋体"/>
          <w:bCs/>
          <w:sz w:val="24"/>
          <w:szCs w:val="22"/>
          <w:highlight w:val="none"/>
        </w:rPr>
        <w:t>应当将通过资格性审查和符合性审查各供应商的评审报价，按照</w:t>
      </w:r>
      <w:r>
        <w:rPr>
          <w:rFonts w:hint="eastAsia" w:hAnsi="宋体" w:cs="宋体"/>
          <w:bCs/>
          <w:kern w:val="0"/>
          <w:sz w:val="24"/>
          <w:szCs w:val="24"/>
          <w:highlight w:val="none"/>
        </w:rPr>
        <w:t>由低到高顺序排序，</w:t>
      </w:r>
      <w:r>
        <w:rPr>
          <w:rFonts w:hint="eastAsia" w:hAnsi="宋体" w:cs="宋体"/>
          <w:bCs/>
          <w:sz w:val="24"/>
          <w:szCs w:val="22"/>
          <w:highlight w:val="none"/>
        </w:rPr>
        <w:t>当评审报价相同时，以最后第二次报价低的优先排序；当最后报价相同时，采用抽签方式决定排序。</w:t>
      </w:r>
    </w:p>
    <w:p w14:paraId="17D1C970">
      <w:pPr>
        <w:pStyle w:val="8"/>
        <w:spacing w:line="360" w:lineRule="auto"/>
        <w:ind w:firstLine="470" w:firstLineChars="196"/>
        <w:rPr>
          <w:rFonts w:hAnsi="宋体" w:cs="宋体"/>
          <w:bCs/>
          <w:sz w:val="24"/>
          <w:szCs w:val="22"/>
          <w:highlight w:val="none"/>
        </w:rPr>
      </w:pPr>
      <w:r>
        <w:rPr>
          <w:rFonts w:hint="eastAsia" w:hAnsi="宋体" w:cs="宋体"/>
          <w:bCs/>
          <w:sz w:val="24"/>
          <w:szCs w:val="22"/>
          <w:highlight w:val="none"/>
          <w:lang w:val="en-US" w:eastAsia="zh-CN"/>
        </w:rPr>
        <w:t>4</w:t>
      </w:r>
      <w:r>
        <w:rPr>
          <w:rFonts w:hint="eastAsia" w:hAnsi="宋体" w:cs="宋体"/>
          <w:bCs/>
          <w:sz w:val="24"/>
          <w:szCs w:val="22"/>
          <w:highlight w:val="none"/>
        </w:rPr>
        <w:t>、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w:t>
      </w:r>
      <w:r>
        <w:rPr>
          <w:rFonts w:hint="eastAsia" w:hAnsi="宋体" w:cs="宋体"/>
          <w:bCs/>
          <w:sz w:val="24"/>
          <w:szCs w:val="22"/>
          <w:highlight w:val="none"/>
          <w:lang w:eastAsia="zh-CN"/>
        </w:rPr>
        <w:t>谈判</w:t>
      </w:r>
      <w:r>
        <w:rPr>
          <w:rFonts w:hint="eastAsia" w:hAnsi="宋体" w:cs="宋体"/>
          <w:bCs/>
          <w:sz w:val="24"/>
          <w:szCs w:val="22"/>
          <w:highlight w:val="none"/>
        </w:rPr>
        <w:t>文件规定的方式确定一个参加评标的供应商，</w:t>
      </w:r>
      <w:r>
        <w:rPr>
          <w:rFonts w:hint="eastAsia" w:hAnsi="宋体" w:cs="宋体"/>
          <w:bCs/>
          <w:sz w:val="24"/>
          <w:szCs w:val="22"/>
          <w:highlight w:val="none"/>
          <w:lang w:eastAsia="zh-CN"/>
        </w:rPr>
        <w:t>谈判</w:t>
      </w:r>
      <w:r>
        <w:rPr>
          <w:rFonts w:hint="eastAsia" w:hAnsi="宋体" w:cs="宋体"/>
          <w:bCs/>
          <w:sz w:val="24"/>
          <w:szCs w:val="22"/>
          <w:highlight w:val="none"/>
        </w:rPr>
        <w:t>文件未规定的采取随机抽取方式确定，其他投标无效。</w:t>
      </w:r>
    </w:p>
    <w:p w14:paraId="7FE185A8">
      <w:pPr>
        <w:pStyle w:val="8"/>
        <w:spacing w:line="360" w:lineRule="auto"/>
        <w:ind w:firstLine="480" w:firstLineChars="200"/>
        <w:rPr>
          <w:rFonts w:hAnsi="宋体" w:cs="宋体"/>
          <w:bCs/>
          <w:sz w:val="24"/>
          <w:szCs w:val="24"/>
          <w:highlight w:val="none"/>
        </w:rPr>
      </w:pPr>
      <w:r>
        <w:rPr>
          <w:rFonts w:hint="eastAsia" w:hAnsi="宋体" w:cs="宋体"/>
          <w:bCs/>
          <w:sz w:val="24"/>
          <w:szCs w:val="24"/>
          <w:highlight w:val="none"/>
        </w:rPr>
        <w:t>三、成交候选人推荐原则</w:t>
      </w:r>
    </w:p>
    <w:p w14:paraId="47074561">
      <w:pPr>
        <w:pStyle w:val="8"/>
        <w:tabs>
          <w:tab w:val="left" w:pos="4214"/>
        </w:tabs>
        <w:spacing w:line="360" w:lineRule="auto"/>
        <w:ind w:firstLine="480" w:firstLineChars="200"/>
        <w:rPr>
          <w:rFonts w:hAnsi="宋体" w:cs="宋体"/>
          <w:sz w:val="24"/>
          <w:szCs w:val="24"/>
          <w:highlight w:val="none"/>
        </w:rPr>
      </w:pPr>
      <w:r>
        <w:rPr>
          <w:rFonts w:hint="eastAsia" w:hAnsi="宋体" w:cs="宋体"/>
          <w:sz w:val="24"/>
          <w:szCs w:val="24"/>
          <w:highlight w:val="none"/>
        </w:rPr>
        <w:t>（1）采购单位应当确定谈判小组推荐排名第一的成交候选人为成交供应商。</w:t>
      </w:r>
    </w:p>
    <w:p w14:paraId="3D79DF1A">
      <w:pPr>
        <w:pStyle w:val="8"/>
        <w:spacing w:line="360" w:lineRule="auto"/>
        <w:ind w:firstLine="511" w:firstLineChars="213"/>
        <w:rPr>
          <w:rFonts w:hAnsi="宋体" w:cs="宋体"/>
          <w:sz w:val="24"/>
          <w:szCs w:val="24"/>
          <w:highlight w:val="none"/>
        </w:rPr>
      </w:pPr>
      <w:r>
        <w:rPr>
          <w:rFonts w:hint="eastAsia" w:hAnsi="宋体" w:cs="宋体"/>
          <w:sz w:val="24"/>
          <w:szCs w:val="24"/>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27151ACE">
      <w:pPr>
        <w:pStyle w:val="8"/>
        <w:spacing w:line="360" w:lineRule="auto"/>
        <w:ind w:firstLine="480" w:firstLineChars="200"/>
        <w:rPr>
          <w:rFonts w:hAnsi="宋体" w:cs="宋体"/>
          <w:sz w:val="24"/>
          <w:szCs w:val="24"/>
          <w:highlight w:val="none"/>
        </w:rPr>
      </w:pPr>
      <w:r>
        <w:rPr>
          <w:rFonts w:hint="eastAsia" w:hAnsi="宋体" w:cs="宋体"/>
          <w:sz w:val="24"/>
          <w:szCs w:val="24"/>
          <w:highlight w:val="none"/>
        </w:rPr>
        <w:t>（3）排名第二的成交候选人因前款规定的同样原因不能签订合同的，采购单位可以确定排名第三的成交候选人为成交供应商。</w:t>
      </w:r>
    </w:p>
    <w:p w14:paraId="488EABD0">
      <w:pPr>
        <w:pStyle w:val="5"/>
        <w:spacing w:line="360" w:lineRule="auto"/>
        <w:ind w:left="0" w:leftChars="0"/>
        <w:rPr>
          <w:rFonts w:ascii="宋体" w:hAnsi="宋体" w:cs="宋体"/>
          <w:sz w:val="24"/>
          <w:szCs w:val="24"/>
          <w:highlight w:val="none"/>
        </w:rPr>
      </w:pPr>
      <w:r>
        <w:rPr>
          <w:rFonts w:hint="eastAsia" w:ascii="宋体" w:hAnsi="宋体" w:cs="宋体"/>
          <w:sz w:val="24"/>
          <w:szCs w:val="24"/>
          <w:highlight w:val="none"/>
        </w:rPr>
        <w:t xml:space="preserve">     （4）采购人也可重新招标。</w:t>
      </w:r>
    </w:p>
    <w:p w14:paraId="050CBC41">
      <w:pPr>
        <w:pStyle w:val="8"/>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三、否绝投标</w:t>
      </w:r>
      <w:bookmarkStart w:id="35" w:name="_Toc252705915"/>
      <w:bookmarkStart w:id="36" w:name="_Toc231873587"/>
      <w:r>
        <w:rPr>
          <w:rFonts w:hint="eastAsia" w:hAnsi="宋体" w:cs="宋体"/>
          <w:b/>
          <w:bCs/>
          <w:sz w:val="24"/>
          <w:szCs w:val="24"/>
          <w:highlight w:val="none"/>
        </w:rPr>
        <w:t>情形</w:t>
      </w:r>
    </w:p>
    <w:bookmarkEnd w:id="35"/>
    <w:bookmarkEnd w:id="36"/>
    <w:p w14:paraId="59A6F5DE">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3.1除谈判文件另有规定，供应商存在下列情况之一的，投标无效：</w:t>
      </w:r>
    </w:p>
    <w:p w14:paraId="1498EAA9">
      <w:pPr>
        <w:numPr>
          <w:ilvl w:val="0"/>
          <w:numId w:val="3"/>
        </w:num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未按谈判文件编制要求进行编制响应文件和签字、盖章的；</w:t>
      </w:r>
    </w:p>
    <w:p w14:paraId="4A98B601">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（2）响应文件未按谈判文件要求编制填写、签字盖章，或内容不全、字迹模糊、难以辨认的；</w:t>
      </w:r>
    </w:p>
    <w:p w14:paraId="7E3B17A7">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（3）供应商不符合资格条件或未按谈判文件规定提供资格证明文件的；</w:t>
      </w:r>
    </w:p>
    <w:p w14:paraId="2C10BE15">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（4）未能实质性响应谈判文件商务和技术要求的；</w:t>
      </w:r>
    </w:p>
    <w:p w14:paraId="3F3798D8">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（5）投标有效期不足的或未响应的；</w:t>
      </w:r>
    </w:p>
    <w:p w14:paraId="7EBA9A6A">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（6）报价货币不是人民币的;</w:t>
      </w:r>
    </w:p>
    <w:p w14:paraId="51392D9B">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（7）报价超过谈判文件中规定的预算金额或者最高限价的；低于供应商成本价格；在规定时间内未作出说明和递交证明材料的；</w:t>
      </w:r>
    </w:p>
    <w:p w14:paraId="20761E5A">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（8）串通投标或弄虚作假或有其他违法行为的；</w:t>
      </w:r>
    </w:p>
    <w:p w14:paraId="06387C26">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（9）未按</w:t>
      </w:r>
      <w:r>
        <w:rPr>
          <w:rFonts w:hint="eastAsia" w:ascii="宋体" w:hAnsi="宋体" w:cs="宋体"/>
          <w:sz w:val="24"/>
          <w:szCs w:val="36"/>
          <w:highlight w:val="none"/>
          <w:lang w:eastAsia="zh-CN"/>
        </w:rPr>
        <w:t>谈判</w:t>
      </w:r>
      <w:r>
        <w:rPr>
          <w:rFonts w:hint="eastAsia" w:ascii="宋体" w:hAnsi="宋体" w:cs="宋体"/>
          <w:sz w:val="24"/>
          <w:szCs w:val="36"/>
          <w:highlight w:val="none"/>
        </w:rPr>
        <w:t>小组要求澄清、说明或补正的；</w:t>
      </w:r>
    </w:p>
    <w:p w14:paraId="1343F0A5">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（10）未按谈判小组的要求在评审现场合理的时间内提供书面说明（必要时提交相关证明材料），或不能证明其报价合理性的；</w:t>
      </w:r>
    </w:p>
    <w:p w14:paraId="51544999">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（11）未按谈判小组的要求确认修正后的报价的；</w:t>
      </w:r>
    </w:p>
    <w:p w14:paraId="56732C7B">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（12）供应商符合第二章《供应商须知》第8.5.3条任何一种情形的；</w:t>
      </w:r>
    </w:p>
    <w:p w14:paraId="77C018BD">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（13）响应文件含有采购人不能接受的附加条件的；</w:t>
      </w:r>
    </w:p>
    <w:p w14:paraId="01D4B959">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（14）违反国家法律、法规和谈判文件规定的其他无效情形。</w:t>
      </w:r>
    </w:p>
    <w:p w14:paraId="3D497DF4">
      <w:pPr>
        <w:pStyle w:val="36"/>
        <w:spacing w:line="360" w:lineRule="auto"/>
        <w:rPr>
          <w:rFonts w:ascii="宋体" w:hAnsi="宋体" w:cs="宋体"/>
          <w:sz w:val="24"/>
          <w:szCs w:val="32"/>
          <w:highlight w:val="none"/>
        </w:rPr>
      </w:pPr>
      <w:r>
        <w:rPr>
          <w:rFonts w:hint="eastAsia" w:ascii="宋体" w:hAnsi="宋体" w:cs="宋体"/>
          <w:sz w:val="24"/>
          <w:szCs w:val="36"/>
          <w:highlight w:val="none"/>
        </w:rPr>
        <w:t>（15）谈判文件给出的“响应文件格式”中要求签字或盖章未响应的或随意更改响应文件格式的（包含签字处不允许盖章或盖章处不允许签字的情形）。</w:t>
      </w:r>
    </w:p>
    <w:p w14:paraId="7C711D69">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3.2有下列情形之一的，视为供应商串通投标，其投标无效：</w:t>
      </w:r>
    </w:p>
    <w:p w14:paraId="5623A069">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（1）不同供应商的响应文件由同一单位或者个人编制；</w:t>
      </w:r>
    </w:p>
    <w:p w14:paraId="57C37D09">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（2）不同供应商委托同一单位或者个人办理投标事宜；</w:t>
      </w:r>
    </w:p>
    <w:p w14:paraId="0336F995">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（3）不同供应商的响应文件载明的项目管理成员或者联系人员为同一人；</w:t>
      </w:r>
    </w:p>
    <w:p w14:paraId="064DC8D4">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（4）不同供应商的响应文件异常一致或出现相同打印IP地址或报价呈规律性差异；</w:t>
      </w:r>
    </w:p>
    <w:p w14:paraId="5508674C">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（5）不同供应商的响应文件相互混装；</w:t>
      </w:r>
    </w:p>
    <w:p w14:paraId="075815B2">
      <w:pPr>
        <w:spacing w:line="360" w:lineRule="auto"/>
        <w:ind w:firstLine="480" w:firstLineChars="200"/>
        <w:rPr>
          <w:rFonts w:ascii="宋体" w:hAnsi="宋体" w:cs="宋体"/>
          <w:sz w:val="24"/>
          <w:szCs w:val="36"/>
          <w:highlight w:val="none"/>
        </w:rPr>
      </w:pPr>
      <w:r>
        <w:rPr>
          <w:rFonts w:hint="eastAsia" w:ascii="宋体" w:hAnsi="宋体" w:cs="宋体"/>
          <w:sz w:val="24"/>
          <w:szCs w:val="36"/>
          <w:highlight w:val="none"/>
        </w:rPr>
        <w:t>（6）不同供应商的谈判保证金从同一单位或者个人的账户转出。</w:t>
      </w:r>
    </w:p>
    <w:p w14:paraId="1B33A9BD">
      <w:pPr>
        <w:spacing w:line="360" w:lineRule="auto"/>
        <w:rPr>
          <w:rFonts w:ascii="宋体" w:hAnsi="宋体" w:cs="宋体"/>
          <w:sz w:val="24"/>
          <w:szCs w:val="32"/>
          <w:highlight w:val="none"/>
        </w:rPr>
      </w:pPr>
    </w:p>
    <w:p w14:paraId="5CE208BB">
      <w:pPr>
        <w:pStyle w:val="8"/>
        <w:spacing w:line="360" w:lineRule="auto"/>
        <w:ind w:firstLine="480" w:firstLineChars="200"/>
        <w:rPr>
          <w:rFonts w:hAnsi="宋体" w:cs="宋体"/>
          <w:sz w:val="24"/>
          <w:szCs w:val="24"/>
          <w:highlight w:val="none"/>
        </w:rPr>
      </w:pPr>
    </w:p>
    <w:p w14:paraId="3C8BFE06">
      <w:pPr>
        <w:pStyle w:val="8"/>
        <w:spacing w:line="400" w:lineRule="exact"/>
        <w:ind w:left="309" w:leftChars="147"/>
        <w:rPr>
          <w:rFonts w:hAnsi="宋体" w:cs="宋体"/>
          <w:highlight w:val="none"/>
        </w:rPr>
      </w:pPr>
    </w:p>
    <w:p w14:paraId="3585DAF4">
      <w:pPr>
        <w:pStyle w:val="2"/>
        <w:numPr>
          <w:ilvl w:val="0"/>
          <w:numId w:val="1"/>
        </w:numPr>
        <w:spacing w:line="0" w:lineRule="atLeast"/>
        <w:ind w:left="0" w:leftChars="0" w:firstLine="0" w:firstLineChars="0"/>
        <w:jc w:val="center"/>
        <w:rPr>
          <w:rFonts w:hint="eastAsia" w:ascii="宋体" w:hAnsi="宋体" w:cs="宋体"/>
          <w:sz w:val="28"/>
          <w:szCs w:val="28"/>
          <w:highlight w:val="none"/>
        </w:rPr>
      </w:pPr>
      <w:bookmarkStart w:id="37" w:name="_Toc432264369"/>
      <w:bookmarkStart w:id="38" w:name="_Toc432277441"/>
      <w:r>
        <w:rPr>
          <w:rFonts w:hint="eastAsia" w:ascii="宋体" w:hAnsi="宋体" w:cs="宋体"/>
          <w:sz w:val="28"/>
          <w:szCs w:val="28"/>
          <w:highlight w:val="none"/>
        </w:rPr>
        <w:br w:type="page"/>
      </w:r>
      <w:bookmarkStart w:id="39" w:name="_Toc20340"/>
      <w:bookmarkStart w:id="40" w:name="_Toc455565645"/>
      <w:r>
        <w:rPr>
          <w:rFonts w:hint="eastAsia" w:ascii="宋体" w:hAnsi="宋体" w:cs="宋体"/>
          <w:sz w:val="28"/>
          <w:szCs w:val="28"/>
          <w:highlight w:val="none"/>
        </w:rPr>
        <w:t xml:space="preserve"> 合同主要条款及格式</w:t>
      </w:r>
      <w:bookmarkEnd w:id="37"/>
      <w:bookmarkEnd w:id="38"/>
      <w:bookmarkEnd w:id="39"/>
      <w:bookmarkEnd w:id="40"/>
    </w:p>
    <w:p w14:paraId="340E607D">
      <w:pPr>
        <w:numPr>
          <w:ilvl w:val="0"/>
          <w:numId w:val="0"/>
        </w:numPr>
        <w:ind w:leftChars="0"/>
        <w:rPr>
          <w:rFonts w:hint="default" w:eastAsia="宋体"/>
          <w:highlight w:val="none"/>
          <w:lang w:val="en-US" w:eastAsia="zh-CN"/>
        </w:rPr>
      </w:pPr>
      <w:r>
        <w:rPr>
          <w:rFonts w:hint="eastAsia"/>
          <w:highlight w:val="none"/>
          <w:lang w:val="en-US" w:eastAsia="zh-CN"/>
        </w:rPr>
        <w:t>以实际签订合同为准。</w:t>
      </w:r>
    </w:p>
    <w:p w14:paraId="611CF4AF">
      <w:pPr>
        <w:pStyle w:val="6"/>
        <w:spacing w:after="0"/>
        <w:jc w:val="center"/>
        <w:rPr>
          <w:rFonts w:ascii="宋体" w:hAnsi="宋体" w:cs="宋体"/>
          <w:b/>
          <w:bCs/>
          <w:spacing w:val="-20"/>
          <w:kern w:val="44"/>
          <w:sz w:val="48"/>
          <w:szCs w:val="48"/>
          <w:highlight w:val="none"/>
        </w:rPr>
      </w:pPr>
      <w:bookmarkStart w:id="41" w:name="_Toc3995"/>
    </w:p>
    <w:p w14:paraId="7C62071D">
      <w:pPr>
        <w:pStyle w:val="6"/>
        <w:spacing w:after="0"/>
        <w:jc w:val="center"/>
        <w:rPr>
          <w:rFonts w:ascii="宋体" w:hAnsi="宋体" w:cs="宋体"/>
          <w:b/>
          <w:bCs/>
          <w:spacing w:val="-20"/>
          <w:kern w:val="44"/>
          <w:sz w:val="48"/>
          <w:szCs w:val="48"/>
          <w:highlight w:val="none"/>
        </w:rPr>
      </w:pPr>
    </w:p>
    <w:bookmarkEnd w:id="41"/>
    <w:p w14:paraId="520AA604">
      <w:pPr>
        <w:spacing w:before="1" w:line="180" w:lineRule="exact"/>
        <w:ind w:left="935"/>
        <w:jc w:val="left"/>
        <w:rPr>
          <w:rFonts w:ascii="宋体" w:hAnsi="宋体" w:cs="宋体"/>
          <w:highlight w:val="none"/>
        </w:rPr>
      </w:pPr>
      <w:r>
        <w:rPr>
          <w:rStyle w:val="38"/>
          <w:rFonts w:hint="eastAsia" w:ascii="宋体" w:hAnsi="宋体" w:cs="宋体"/>
          <w:bCs/>
          <w:sz w:val="48"/>
          <w:szCs w:val="48"/>
          <w:highlight w:val="none"/>
        </w:rPr>
        <w:br w:type="page"/>
      </w:r>
      <w:bookmarkStart w:id="42" w:name="_Toc432264370"/>
      <w:bookmarkStart w:id="43" w:name="_Toc432277442"/>
      <w:bookmarkStart w:id="44" w:name="_Toc455565646"/>
    </w:p>
    <w:p w14:paraId="10348DC7">
      <w:pPr>
        <w:pStyle w:val="2"/>
        <w:spacing w:before="0" w:after="0" w:line="360" w:lineRule="auto"/>
        <w:jc w:val="center"/>
        <w:rPr>
          <w:rFonts w:ascii="宋体" w:hAnsi="宋体" w:cs="宋体"/>
          <w:b w:val="0"/>
          <w:sz w:val="32"/>
          <w:szCs w:val="32"/>
          <w:highlight w:val="none"/>
        </w:rPr>
      </w:pPr>
      <w:bookmarkStart w:id="45" w:name="_Toc13817"/>
      <w:r>
        <w:rPr>
          <w:rFonts w:hint="eastAsia" w:ascii="宋体" w:hAnsi="宋体" w:cs="宋体"/>
          <w:sz w:val="32"/>
          <w:szCs w:val="32"/>
          <w:highlight w:val="none"/>
        </w:rPr>
        <w:t>第六章  响应文件格式</w:t>
      </w:r>
      <w:bookmarkEnd w:id="42"/>
      <w:bookmarkEnd w:id="43"/>
      <w:bookmarkEnd w:id="44"/>
      <w:bookmarkEnd w:id="45"/>
    </w:p>
    <w:p w14:paraId="52D104C2">
      <w:pPr>
        <w:jc w:val="right"/>
        <w:rPr>
          <w:rFonts w:hint="eastAsia" w:ascii="宋体" w:hAnsi="宋体" w:eastAsia="宋体" w:cs="宋体"/>
          <w:sz w:val="36"/>
          <w:szCs w:val="36"/>
          <w:highlight w:val="none"/>
        </w:rPr>
      </w:pPr>
      <w:r>
        <w:rPr>
          <w:rFonts w:hint="eastAsia" w:hAnsi="宋体" w:cs="宋体"/>
          <w:b/>
          <w:sz w:val="30"/>
          <w:szCs w:val="30"/>
          <w:highlight w:val="none"/>
        </w:rPr>
        <w:br w:type="page"/>
      </w:r>
    </w:p>
    <w:p w14:paraId="2C89A5C0">
      <w:pPr>
        <w:jc w:val="right"/>
        <w:rPr>
          <w:rFonts w:hint="eastAsia" w:ascii="宋体" w:hAnsi="宋体" w:eastAsia="宋体" w:cs="宋体"/>
          <w:sz w:val="36"/>
          <w:szCs w:val="36"/>
          <w:highlight w:val="none"/>
        </w:rPr>
      </w:pPr>
      <w:r>
        <w:rPr>
          <w:rFonts w:hint="eastAsia" w:ascii="宋体" w:hAnsi="宋体" w:eastAsia="宋体" w:cs="宋体"/>
          <w:sz w:val="36"/>
          <w:szCs w:val="36"/>
          <w:highlight w:val="none"/>
        </w:rPr>
        <w:t>正本或副本</w:t>
      </w:r>
    </w:p>
    <w:p w14:paraId="0F34A121">
      <w:pPr>
        <w:rPr>
          <w:rFonts w:hint="eastAsia" w:ascii="宋体" w:hAnsi="宋体" w:eastAsia="宋体" w:cs="宋体"/>
          <w:sz w:val="32"/>
          <w:szCs w:val="32"/>
          <w:highlight w:val="none"/>
        </w:rPr>
      </w:pPr>
    </w:p>
    <w:p w14:paraId="0EC53AE7">
      <w:pPr>
        <w:jc w:val="center"/>
        <w:rPr>
          <w:rFonts w:hint="eastAsia" w:ascii="宋体" w:hAnsi="宋体" w:eastAsia="宋体" w:cs="宋体"/>
          <w:sz w:val="40"/>
          <w:szCs w:val="40"/>
          <w:highlight w:val="none"/>
        </w:rPr>
      </w:pPr>
    </w:p>
    <w:p w14:paraId="773D7750">
      <w:pPr>
        <w:jc w:val="center"/>
        <w:rPr>
          <w:rFonts w:hint="eastAsia" w:ascii="宋体" w:hAnsi="宋体" w:eastAsia="宋体" w:cs="宋体"/>
          <w:sz w:val="36"/>
          <w:szCs w:val="36"/>
          <w:highlight w:val="none"/>
          <w:u w:val="single"/>
        </w:rPr>
      </w:pPr>
    </w:p>
    <w:p w14:paraId="1EB563AD">
      <w:pPr>
        <w:jc w:val="center"/>
        <w:rPr>
          <w:rFonts w:hint="eastAsia" w:ascii="宋体" w:hAnsi="宋体" w:eastAsia="宋体" w:cs="宋体"/>
          <w:sz w:val="36"/>
          <w:szCs w:val="36"/>
          <w:highlight w:val="none"/>
        </w:rPr>
      </w:pPr>
      <w:r>
        <w:rPr>
          <w:rFonts w:hint="eastAsia" w:ascii="宋体" w:hAnsi="宋体" w:eastAsia="宋体" w:cs="宋体"/>
          <w:sz w:val="36"/>
          <w:szCs w:val="36"/>
          <w:highlight w:val="none"/>
          <w:u w:val="single"/>
        </w:rPr>
        <w:t xml:space="preserve">                 （项目名称）</w:t>
      </w:r>
    </w:p>
    <w:p w14:paraId="1AC2A8A9">
      <w:pPr>
        <w:jc w:val="center"/>
        <w:rPr>
          <w:rFonts w:hint="eastAsia" w:ascii="宋体" w:hAnsi="宋体" w:eastAsia="宋体" w:cs="宋体"/>
          <w:sz w:val="40"/>
          <w:szCs w:val="40"/>
          <w:highlight w:val="none"/>
        </w:rPr>
      </w:pPr>
      <w:r>
        <w:rPr>
          <w:rFonts w:hint="eastAsia" w:ascii="宋体" w:hAnsi="宋体" w:eastAsia="宋体" w:cs="宋体"/>
          <w:sz w:val="40"/>
          <w:szCs w:val="40"/>
          <w:highlight w:val="none"/>
        </w:rPr>
        <w:t>项目编号：</w:t>
      </w:r>
    </w:p>
    <w:p w14:paraId="2D2D0D0A">
      <w:pPr>
        <w:jc w:val="center"/>
        <w:rPr>
          <w:rFonts w:hint="eastAsia" w:ascii="宋体" w:hAnsi="宋体" w:eastAsia="宋体" w:cs="宋体"/>
          <w:sz w:val="40"/>
          <w:szCs w:val="40"/>
          <w:highlight w:val="none"/>
        </w:rPr>
      </w:pPr>
    </w:p>
    <w:p w14:paraId="3A5517F7">
      <w:pPr>
        <w:jc w:val="center"/>
        <w:rPr>
          <w:rFonts w:hint="eastAsia" w:ascii="宋体" w:hAnsi="宋体" w:eastAsia="宋体" w:cs="宋体"/>
          <w:sz w:val="40"/>
          <w:szCs w:val="40"/>
          <w:highlight w:val="none"/>
        </w:rPr>
      </w:pPr>
    </w:p>
    <w:p w14:paraId="59045E5C">
      <w:pPr>
        <w:jc w:val="center"/>
        <w:rPr>
          <w:rFonts w:hint="eastAsia" w:ascii="宋体" w:hAnsi="宋体" w:eastAsia="宋体" w:cs="宋体"/>
          <w:sz w:val="40"/>
          <w:szCs w:val="40"/>
          <w:highlight w:val="none"/>
        </w:rPr>
      </w:pPr>
    </w:p>
    <w:p w14:paraId="3FEACB6D">
      <w:pPr>
        <w:jc w:val="center"/>
        <w:rPr>
          <w:rFonts w:hint="eastAsia" w:ascii="宋体" w:hAnsi="宋体" w:eastAsia="宋体" w:cs="宋体"/>
          <w:sz w:val="40"/>
          <w:szCs w:val="40"/>
          <w:highlight w:val="none"/>
        </w:rPr>
      </w:pPr>
    </w:p>
    <w:p w14:paraId="767A8F77">
      <w:pPr>
        <w:jc w:val="center"/>
        <w:rPr>
          <w:rFonts w:hint="eastAsia" w:ascii="宋体" w:hAnsi="宋体" w:eastAsia="宋体" w:cs="宋体"/>
          <w:sz w:val="40"/>
          <w:szCs w:val="40"/>
          <w:highlight w:val="none"/>
        </w:rPr>
      </w:pPr>
    </w:p>
    <w:p w14:paraId="7ED7FEDD">
      <w:pPr>
        <w:jc w:val="center"/>
        <w:rPr>
          <w:rFonts w:hint="eastAsia" w:ascii="宋体" w:hAnsi="宋体" w:eastAsia="宋体" w:cs="宋体"/>
          <w:sz w:val="40"/>
          <w:szCs w:val="40"/>
          <w:highlight w:val="none"/>
        </w:rPr>
      </w:pPr>
      <w:r>
        <w:rPr>
          <w:rFonts w:hint="eastAsia" w:ascii="宋体" w:hAnsi="宋体" w:eastAsia="宋体" w:cs="宋体"/>
          <w:sz w:val="40"/>
          <w:szCs w:val="40"/>
          <w:highlight w:val="none"/>
        </w:rPr>
        <w:t>响应文件</w:t>
      </w:r>
    </w:p>
    <w:p w14:paraId="7E5C2724">
      <w:pPr>
        <w:pStyle w:val="39"/>
        <w:rPr>
          <w:rFonts w:hint="eastAsia" w:ascii="宋体" w:hAnsi="宋体" w:eastAsia="宋体" w:cs="宋体"/>
          <w:highlight w:val="none"/>
        </w:rPr>
      </w:pPr>
    </w:p>
    <w:p w14:paraId="063C50A7">
      <w:pPr>
        <w:pStyle w:val="39"/>
        <w:rPr>
          <w:rFonts w:hint="eastAsia" w:ascii="宋体" w:hAnsi="宋体" w:eastAsia="宋体" w:cs="宋体"/>
          <w:highlight w:val="none"/>
        </w:rPr>
      </w:pPr>
    </w:p>
    <w:p w14:paraId="7555DEC1">
      <w:pPr>
        <w:pStyle w:val="39"/>
        <w:rPr>
          <w:rFonts w:hint="eastAsia" w:ascii="宋体" w:hAnsi="宋体" w:eastAsia="宋体" w:cs="宋体"/>
          <w:highlight w:val="none"/>
        </w:rPr>
      </w:pPr>
    </w:p>
    <w:p w14:paraId="30CC5C08">
      <w:pPr>
        <w:jc w:val="center"/>
        <w:rPr>
          <w:rFonts w:hint="eastAsia" w:ascii="宋体" w:hAnsi="宋体" w:eastAsia="宋体" w:cs="宋体"/>
          <w:sz w:val="32"/>
          <w:szCs w:val="32"/>
          <w:highlight w:val="none"/>
        </w:rPr>
      </w:pPr>
    </w:p>
    <w:p w14:paraId="149864E0">
      <w:pPr>
        <w:jc w:val="center"/>
        <w:rPr>
          <w:rFonts w:hint="eastAsia" w:ascii="宋体" w:hAnsi="宋体" w:eastAsia="宋体" w:cs="宋体"/>
          <w:sz w:val="32"/>
          <w:szCs w:val="32"/>
          <w:highlight w:val="none"/>
        </w:rPr>
      </w:pPr>
    </w:p>
    <w:p w14:paraId="13AD9689">
      <w:pPr>
        <w:rPr>
          <w:rFonts w:hint="eastAsia" w:ascii="宋体" w:hAnsi="宋体" w:eastAsia="宋体" w:cs="宋体"/>
          <w:sz w:val="32"/>
          <w:szCs w:val="32"/>
          <w:highlight w:val="none"/>
        </w:rPr>
      </w:pPr>
    </w:p>
    <w:p w14:paraId="43BDAD76">
      <w:pPr>
        <w:jc w:val="center"/>
        <w:rPr>
          <w:rFonts w:hint="eastAsia" w:ascii="宋体" w:hAnsi="宋体" w:eastAsia="宋体" w:cs="宋体"/>
          <w:sz w:val="32"/>
          <w:szCs w:val="32"/>
          <w:highlight w:val="none"/>
        </w:rPr>
      </w:pPr>
    </w:p>
    <w:p w14:paraId="4B5EAA05">
      <w:pPr>
        <w:pStyle w:val="39"/>
        <w:rPr>
          <w:rFonts w:hint="eastAsia" w:ascii="宋体" w:hAnsi="宋体" w:eastAsia="宋体" w:cs="宋体"/>
          <w:highlight w:val="none"/>
        </w:rPr>
      </w:pPr>
    </w:p>
    <w:p w14:paraId="38C45C53">
      <w:pPr>
        <w:rPr>
          <w:rFonts w:hint="eastAsia" w:ascii="宋体" w:hAnsi="宋体" w:eastAsia="宋体" w:cs="宋体"/>
          <w:sz w:val="32"/>
          <w:szCs w:val="32"/>
          <w:highlight w:val="none"/>
        </w:rPr>
      </w:pPr>
    </w:p>
    <w:p w14:paraId="61F51518">
      <w:pPr>
        <w:spacing w:line="360" w:lineRule="auto"/>
        <w:ind w:firstLine="1120" w:firstLineChars="400"/>
        <w:jc w:val="both"/>
        <w:rPr>
          <w:rFonts w:hint="eastAsia" w:ascii="宋体" w:hAnsi="宋体" w:eastAsia="宋体" w:cs="宋体"/>
          <w:sz w:val="28"/>
          <w:szCs w:val="28"/>
          <w:highlight w:val="none"/>
          <w:lang w:eastAsia="zh-CN"/>
        </w:rPr>
      </w:pPr>
    </w:p>
    <w:p w14:paraId="2B16C0CB">
      <w:pPr>
        <w:spacing w:line="360" w:lineRule="auto"/>
        <w:ind w:firstLine="1120" w:firstLineChars="400"/>
        <w:jc w:val="both"/>
        <w:rPr>
          <w:rFonts w:hint="eastAsia" w:ascii="宋体" w:hAnsi="宋体" w:eastAsia="宋体" w:cs="宋体"/>
          <w:sz w:val="28"/>
          <w:szCs w:val="28"/>
          <w:highlight w:val="none"/>
          <w:lang w:eastAsia="zh-CN"/>
        </w:rPr>
      </w:pPr>
    </w:p>
    <w:p w14:paraId="1BA1A800">
      <w:pPr>
        <w:spacing w:line="360" w:lineRule="auto"/>
        <w:ind w:firstLine="1120" w:firstLineChars="400"/>
        <w:jc w:val="both"/>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盖单位公章</w:t>
      </w:r>
      <w:r>
        <w:rPr>
          <w:rFonts w:hint="eastAsia" w:ascii="宋体" w:hAnsi="宋体" w:eastAsia="宋体" w:cs="宋体"/>
          <w:sz w:val="28"/>
          <w:szCs w:val="28"/>
          <w:highlight w:val="none"/>
        </w:rPr>
        <w:t>）</w:t>
      </w:r>
    </w:p>
    <w:p w14:paraId="3CB9FBA1">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（签字或签章）</w:t>
      </w:r>
    </w:p>
    <w:p w14:paraId="0AE8A5C0">
      <w:pPr>
        <w:jc w:val="center"/>
        <w:rPr>
          <w:rFonts w:hint="eastAsia" w:ascii="宋体" w:hAnsi="宋体" w:eastAsia="宋体" w:cs="宋体"/>
          <w:sz w:val="28"/>
          <w:szCs w:val="28"/>
          <w:highlight w:val="none"/>
        </w:rPr>
      </w:pPr>
    </w:p>
    <w:p w14:paraId="413D5CCB">
      <w:pPr>
        <w:jc w:val="center"/>
        <w:rPr>
          <w:rFonts w:hint="eastAsia" w:ascii="宋体" w:hAnsi="宋体" w:eastAsia="宋体" w:cs="宋体"/>
          <w:sz w:val="28"/>
          <w:szCs w:val="28"/>
          <w:highlight w:val="none"/>
        </w:rPr>
      </w:pPr>
    </w:p>
    <w:p w14:paraId="551C8F05">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年   月   日</w:t>
      </w:r>
    </w:p>
    <w:p w14:paraId="502C87AC">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目录</w:t>
      </w:r>
    </w:p>
    <w:p w14:paraId="031671A8">
      <w:pPr>
        <w:pStyle w:val="6"/>
        <w:rPr>
          <w:rFonts w:hint="eastAsia" w:ascii="宋体" w:hAnsi="宋体" w:eastAsia="宋体" w:cs="宋体"/>
          <w:sz w:val="28"/>
          <w:szCs w:val="28"/>
          <w:highlight w:val="none"/>
        </w:rPr>
      </w:pPr>
    </w:p>
    <w:p w14:paraId="5DEF2264">
      <w:pPr>
        <w:pStyle w:val="9"/>
        <w:rPr>
          <w:rFonts w:hint="eastAsia" w:ascii="宋体" w:hAnsi="宋体" w:eastAsia="宋体" w:cs="宋体"/>
          <w:highlight w:val="none"/>
        </w:rPr>
      </w:pPr>
    </w:p>
    <w:p w14:paraId="6259B1FB">
      <w:pPr>
        <w:pStyle w:val="6"/>
        <w:jc w:val="center"/>
        <w:rPr>
          <w:rFonts w:hint="eastAsia" w:ascii="宋体" w:hAnsi="宋体" w:eastAsia="宋体" w:cs="宋体"/>
          <w:highlight w:val="none"/>
        </w:rPr>
      </w:pPr>
      <w:r>
        <w:rPr>
          <w:rFonts w:hint="eastAsia" w:ascii="宋体" w:hAnsi="宋体" w:eastAsia="宋体" w:cs="宋体"/>
          <w:sz w:val="28"/>
          <w:szCs w:val="28"/>
          <w:highlight w:val="none"/>
        </w:rPr>
        <w:t>（格式自拟）</w:t>
      </w:r>
    </w:p>
    <w:p w14:paraId="3C92A345">
      <w:pPr>
        <w:rPr>
          <w:rFonts w:hint="eastAsia" w:ascii="宋体" w:hAnsi="宋体" w:eastAsia="宋体" w:cs="宋体"/>
          <w:highlight w:val="none"/>
        </w:rPr>
      </w:pPr>
    </w:p>
    <w:p w14:paraId="60C3CAC9">
      <w:pPr>
        <w:jc w:val="center"/>
        <w:rPr>
          <w:rFonts w:hint="eastAsia" w:ascii="宋体" w:hAnsi="宋体" w:eastAsia="宋体" w:cs="宋体"/>
          <w:b/>
          <w:bCs/>
          <w:sz w:val="30"/>
          <w:szCs w:val="30"/>
          <w:highlight w:val="none"/>
        </w:rPr>
      </w:pPr>
    </w:p>
    <w:p w14:paraId="7335EA20">
      <w:pPr>
        <w:jc w:val="center"/>
        <w:rPr>
          <w:rFonts w:hint="eastAsia" w:ascii="宋体" w:hAnsi="宋体" w:eastAsia="宋体" w:cs="宋体"/>
          <w:b/>
          <w:bCs/>
          <w:sz w:val="30"/>
          <w:szCs w:val="30"/>
          <w:highlight w:val="none"/>
        </w:rPr>
      </w:pPr>
    </w:p>
    <w:p w14:paraId="7ACE1B05">
      <w:pPr>
        <w:jc w:val="center"/>
        <w:rPr>
          <w:rFonts w:hint="eastAsia" w:ascii="宋体" w:hAnsi="宋体" w:eastAsia="宋体" w:cs="宋体"/>
          <w:b/>
          <w:bCs/>
          <w:sz w:val="30"/>
          <w:szCs w:val="30"/>
          <w:highlight w:val="none"/>
        </w:rPr>
      </w:pPr>
    </w:p>
    <w:p w14:paraId="6B88053D">
      <w:pPr>
        <w:jc w:val="center"/>
        <w:rPr>
          <w:rFonts w:hint="eastAsia" w:ascii="宋体" w:hAnsi="宋体" w:eastAsia="宋体" w:cs="宋体"/>
          <w:b/>
          <w:bCs/>
          <w:sz w:val="30"/>
          <w:szCs w:val="30"/>
          <w:highlight w:val="none"/>
        </w:rPr>
      </w:pPr>
    </w:p>
    <w:p w14:paraId="33B89C75">
      <w:pPr>
        <w:jc w:val="center"/>
        <w:rPr>
          <w:rFonts w:hint="eastAsia" w:ascii="宋体" w:hAnsi="宋体" w:eastAsia="宋体" w:cs="宋体"/>
          <w:b/>
          <w:bCs/>
          <w:sz w:val="30"/>
          <w:szCs w:val="30"/>
          <w:highlight w:val="none"/>
        </w:rPr>
      </w:pPr>
    </w:p>
    <w:p w14:paraId="4E2C73A4">
      <w:pPr>
        <w:spacing w:before="240" w:beforeLines="100" w:after="240" w:afterLines="100" w:line="480" w:lineRule="auto"/>
        <w:jc w:val="center"/>
        <w:rPr>
          <w:rFonts w:hint="eastAsia" w:ascii="宋体" w:hAnsi="宋体" w:eastAsia="宋体" w:cs="宋体"/>
          <w:b/>
          <w:bCs/>
          <w:sz w:val="44"/>
          <w:szCs w:val="44"/>
          <w:highlight w:val="none"/>
        </w:rPr>
      </w:pPr>
    </w:p>
    <w:p w14:paraId="534E34B7">
      <w:pPr>
        <w:rPr>
          <w:rFonts w:hint="eastAsia" w:ascii="宋体" w:hAnsi="宋体" w:eastAsia="宋体" w:cs="宋体"/>
          <w:highlight w:val="none"/>
        </w:rPr>
      </w:pPr>
    </w:p>
    <w:p w14:paraId="48A035FE">
      <w:pPr>
        <w:rPr>
          <w:rFonts w:hint="eastAsia" w:ascii="宋体" w:hAnsi="宋体" w:eastAsia="宋体" w:cs="宋体"/>
          <w:b/>
          <w:bCs/>
          <w:sz w:val="30"/>
          <w:szCs w:val="30"/>
          <w:highlight w:val="none"/>
        </w:rPr>
      </w:pPr>
    </w:p>
    <w:p w14:paraId="25DDC83E">
      <w:pPr>
        <w:rPr>
          <w:rFonts w:hint="eastAsia" w:ascii="宋体" w:hAnsi="宋体" w:eastAsia="宋体" w:cs="宋体"/>
          <w:highlight w:val="none"/>
        </w:rPr>
      </w:pPr>
    </w:p>
    <w:p w14:paraId="29622D0A">
      <w:pPr>
        <w:rPr>
          <w:rFonts w:hint="eastAsia" w:hAnsi="宋体" w:cs="宋体"/>
          <w:b/>
          <w:sz w:val="30"/>
          <w:szCs w:val="30"/>
          <w:highlight w:val="none"/>
        </w:rPr>
      </w:pPr>
      <w:r>
        <w:rPr>
          <w:rFonts w:hint="eastAsia" w:ascii="宋体" w:hAnsi="宋体" w:eastAsia="宋体" w:cs="宋体"/>
          <w:b/>
          <w:sz w:val="24"/>
          <w:szCs w:val="24"/>
          <w:highlight w:val="none"/>
        </w:rPr>
        <w:br w:type="page"/>
      </w:r>
    </w:p>
    <w:p w14:paraId="62004DB6">
      <w:pPr>
        <w:pStyle w:val="3"/>
        <w:numPr>
          <w:ilvl w:val="0"/>
          <w:numId w:val="4"/>
        </w:numPr>
        <w:bidi w:val="0"/>
        <w:jc w:val="center"/>
        <w:rPr>
          <w:rFonts w:hint="eastAsia"/>
          <w:highlight w:val="none"/>
          <w:lang w:eastAsia="zh-CN"/>
        </w:rPr>
      </w:pPr>
      <w:bookmarkStart w:id="46" w:name="_Toc29910"/>
      <w:r>
        <w:rPr>
          <w:rFonts w:hint="eastAsia"/>
          <w:highlight w:val="none"/>
        </w:rPr>
        <w:t>响应函</w:t>
      </w:r>
      <w:r>
        <w:rPr>
          <w:rFonts w:hint="eastAsia"/>
          <w:highlight w:val="none"/>
          <w:lang w:eastAsia="zh-CN"/>
        </w:rPr>
        <w:t>及响应函附表</w:t>
      </w:r>
      <w:bookmarkEnd w:id="46"/>
    </w:p>
    <w:p w14:paraId="048DF3ED">
      <w:pPr>
        <w:numPr>
          <w:ilvl w:val="0"/>
          <w:numId w:val="5"/>
        </w:numPr>
        <w:jc w:val="center"/>
        <w:rPr>
          <w:rFonts w:hint="eastAsia" w:ascii="宋体" w:hAnsi="宋体"/>
          <w:b/>
          <w:color w:val="auto"/>
          <w:sz w:val="32"/>
          <w:szCs w:val="32"/>
          <w:highlight w:val="none"/>
        </w:rPr>
      </w:pPr>
      <w:r>
        <w:rPr>
          <w:rFonts w:hint="eastAsia" w:ascii="宋体" w:hAnsi="宋体"/>
          <w:b/>
          <w:color w:val="auto"/>
          <w:sz w:val="32"/>
          <w:szCs w:val="32"/>
          <w:highlight w:val="none"/>
          <w:lang w:eastAsia="zh-CN"/>
        </w:rPr>
        <w:t>响应</w:t>
      </w:r>
      <w:r>
        <w:rPr>
          <w:rFonts w:hint="eastAsia" w:ascii="宋体" w:hAnsi="宋体"/>
          <w:b/>
          <w:color w:val="auto"/>
          <w:sz w:val="32"/>
          <w:szCs w:val="32"/>
          <w:highlight w:val="none"/>
        </w:rPr>
        <w:t>函</w:t>
      </w:r>
    </w:p>
    <w:p w14:paraId="7A1ECFFF">
      <w:pPr>
        <w:pStyle w:val="6"/>
        <w:numPr>
          <w:ilvl w:val="0"/>
          <w:numId w:val="0"/>
        </w:numPr>
        <w:rPr>
          <w:rFonts w:hint="eastAsia"/>
          <w:highlight w:val="none"/>
          <w:lang w:eastAsia="zh-CN"/>
        </w:rPr>
      </w:pPr>
    </w:p>
    <w:p w14:paraId="18F453B4">
      <w:pPr>
        <w:pStyle w:val="8"/>
        <w:snapToGrid w:val="0"/>
        <w:spacing w:line="360" w:lineRule="auto"/>
        <w:rPr>
          <w:rFonts w:hAnsi="宋体" w:cs="宋体"/>
          <w:highlight w:val="none"/>
        </w:rPr>
      </w:pPr>
      <w:r>
        <w:rPr>
          <w:rFonts w:hint="eastAsia" w:hAnsi="宋体" w:cs="宋体"/>
          <w:highlight w:val="none"/>
          <w:u w:val="single"/>
        </w:rPr>
        <w:t xml:space="preserve">               </w:t>
      </w:r>
      <w:r>
        <w:rPr>
          <w:rFonts w:hint="eastAsia" w:hAnsi="宋体" w:cs="宋体"/>
          <w:highlight w:val="none"/>
        </w:rPr>
        <w:t>（采购人名称）：</w:t>
      </w:r>
    </w:p>
    <w:p w14:paraId="46DA84CF">
      <w:pPr>
        <w:pStyle w:val="8"/>
        <w:snapToGrid w:val="0"/>
        <w:spacing w:line="360" w:lineRule="auto"/>
        <w:ind w:firstLine="420"/>
        <w:rPr>
          <w:rFonts w:hAnsi="宋体" w:cs="宋体"/>
          <w:highlight w:val="none"/>
        </w:rPr>
      </w:pPr>
      <w:r>
        <w:rPr>
          <w:rFonts w:hint="eastAsia" w:hAnsi="宋体" w:cs="宋体"/>
          <w:highlight w:val="none"/>
        </w:rPr>
        <w:t>1.我方已仔研究了</w:t>
      </w:r>
      <w:r>
        <w:rPr>
          <w:rFonts w:hint="eastAsia" w:hAnsi="宋体" w:cs="宋体"/>
          <w:highlight w:val="none"/>
          <w:u w:val="single"/>
        </w:rPr>
        <w:t xml:space="preserve">                             </w:t>
      </w:r>
      <w:r>
        <w:rPr>
          <w:rFonts w:hint="eastAsia" w:hAnsi="宋体" w:cs="宋体"/>
          <w:highlight w:val="none"/>
        </w:rPr>
        <w:t>（项目名称）谈判文件的全部内容，愿以人民币（大写）</w:t>
      </w:r>
      <w:r>
        <w:rPr>
          <w:rFonts w:hint="eastAsia" w:hAnsi="宋体" w:cs="宋体"/>
          <w:highlight w:val="none"/>
          <w:u w:val="single"/>
        </w:rPr>
        <w:t xml:space="preserve">          </w:t>
      </w:r>
      <w:r>
        <w:rPr>
          <w:rFonts w:hint="eastAsia" w:hAnsi="宋体" w:cs="宋体"/>
          <w:highlight w:val="none"/>
        </w:rPr>
        <w:t>（￥</w:t>
      </w:r>
      <w:r>
        <w:rPr>
          <w:rFonts w:hint="eastAsia" w:hAnsi="宋体" w:cs="宋体"/>
          <w:highlight w:val="none"/>
          <w:u w:val="single"/>
        </w:rPr>
        <w:t xml:space="preserve">           </w:t>
      </w:r>
      <w:r>
        <w:rPr>
          <w:rFonts w:hint="eastAsia" w:hAnsi="宋体" w:cs="宋体"/>
          <w:highlight w:val="none"/>
        </w:rPr>
        <w:t>）的投标总报价，并按合同约定履行义务。</w:t>
      </w:r>
    </w:p>
    <w:p w14:paraId="03219BCC">
      <w:pPr>
        <w:numPr>
          <w:ilvl w:val="0"/>
          <w:numId w:val="6"/>
        </w:numPr>
        <w:spacing w:line="360" w:lineRule="auto"/>
        <w:ind w:firstLine="438" w:firstLineChars="209"/>
        <w:jc w:val="left"/>
        <w:rPr>
          <w:rFonts w:ascii="宋体" w:hAnsi="宋体" w:cs="宋体"/>
          <w:color w:val="000000"/>
          <w:szCs w:val="21"/>
          <w:highlight w:val="none"/>
        </w:rPr>
      </w:pPr>
      <w:r>
        <w:rPr>
          <w:rFonts w:hint="eastAsia" w:ascii="宋体" w:hAnsi="宋体" w:cs="宋体"/>
          <w:color w:val="000000"/>
          <w:szCs w:val="21"/>
          <w:highlight w:val="none"/>
        </w:rPr>
        <w:t>我方的投标文件包括下列内容：</w:t>
      </w:r>
    </w:p>
    <w:p w14:paraId="01F16655">
      <w:pPr>
        <w:spacing w:line="360" w:lineRule="auto"/>
        <w:ind w:firstLine="438" w:firstLineChars="209"/>
        <w:jc w:val="left"/>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响应</w:t>
      </w:r>
      <w:r>
        <w:rPr>
          <w:rFonts w:hint="eastAsia" w:ascii="宋体" w:hAnsi="宋体" w:cs="宋体"/>
          <w:color w:val="000000"/>
          <w:szCs w:val="21"/>
          <w:highlight w:val="none"/>
        </w:rPr>
        <w:t>函；</w:t>
      </w:r>
    </w:p>
    <w:p w14:paraId="616D4900">
      <w:pPr>
        <w:spacing w:line="360" w:lineRule="auto"/>
        <w:ind w:firstLine="438" w:firstLineChars="209"/>
        <w:jc w:val="left"/>
        <w:rPr>
          <w:rFonts w:ascii="宋体" w:hAnsi="宋体" w:cs="宋体"/>
          <w:color w:val="000000"/>
          <w:szCs w:val="21"/>
          <w:highlight w:val="none"/>
        </w:rPr>
      </w:pPr>
      <w:r>
        <w:rPr>
          <w:rFonts w:hint="eastAsia" w:ascii="宋体" w:hAnsi="宋体" w:cs="宋体"/>
          <w:color w:val="000000"/>
          <w:szCs w:val="21"/>
          <w:highlight w:val="none"/>
        </w:rPr>
        <w:t>（2）法定代表人身份证明或授权委托书；</w:t>
      </w:r>
    </w:p>
    <w:p w14:paraId="6309749C">
      <w:pPr>
        <w:spacing w:line="360" w:lineRule="auto"/>
        <w:ind w:firstLine="438" w:firstLineChars="209"/>
        <w:jc w:val="left"/>
        <w:rPr>
          <w:rFonts w:ascii="宋体" w:hAnsi="宋体" w:cs="宋体"/>
          <w:color w:val="000000"/>
          <w:szCs w:val="21"/>
          <w:highlight w:val="none"/>
        </w:rPr>
      </w:pPr>
      <w:r>
        <w:rPr>
          <w:rFonts w:hint="eastAsia" w:ascii="宋体" w:hAnsi="宋体" w:cs="宋体"/>
          <w:color w:val="000000"/>
          <w:szCs w:val="21"/>
          <w:highlight w:val="none"/>
        </w:rPr>
        <w:t>（3）联合体协议书（如有）；</w:t>
      </w:r>
    </w:p>
    <w:p w14:paraId="4E6DF707">
      <w:pPr>
        <w:spacing w:line="360" w:lineRule="auto"/>
        <w:ind w:firstLine="438" w:firstLineChars="209"/>
        <w:jc w:val="left"/>
        <w:rPr>
          <w:rFonts w:ascii="宋体" w:hAnsi="宋体" w:cs="宋体"/>
          <w:color w:val="000000"/>
          <w:szCs w:val="21"/>
          <w:highlight w:val="none"/>
        </w:rPr>
      </w:pPr>
      <w:r>
        <w:rPr>
          <w:rFonts w:hint="eastAsia" w:ascii="宋体" w:hAnsi="宋体" w:cs="宋体"/>
          <w:color w:val="000000"/>
          <w:szCs w:val="21"/>
          <w:highlight w:val="none"/>
        </w:rPr>
        <w:t>（4）………</w:t>
      </w:r>
    </w:p>
    <w:p w14:paraId="111A8CB2">
      <w:pPr>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响应文件的上述组成部分如存在内容不一致的，以</w:t>
      </w:r>
      <w:r>
        <w:rPr>
          <w:rFonts w:hint="eastAsia" w:ascii="宋体" w:hAnsi="宋体" w:cs="宋体"/>
          <w:color w:val="000000"/>
          <w:szCs w:val="21"/>
          <w:highlight w:val="none"/>
          <w:lang w:eastAsia="zh-CN"/>
        </w:rPr>
        <w:t>响应函</w:t>
      </w:r>
      <w:r>
        <w:rPr>
          <w:rFonts w:hint="eastAsia" w:ascii="宋体" w:hAnsi="宋体" w:cs="宋体"/>
          <w:color w:val="000000"/>
          <w:szCs w:val="21"/>
          <w:highlight w:val="none"/>
        </w:rPr>
        <w:t>为准。</w:t>
      </w:r>
    </w:p>
    <w:p w14:paraId="26FEB8A1">
      <w:pPr>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3．我方承诺除商务和技术偏差表列出的偏差外，我方响应谈判文件的全部要求。</w:t>
      </w:r>
    </w:p>
    <w:p w14:paraId="60FC411F">
      <w:pPr>
        <w:pStyle w:val="8"/>
        <w:numPr>
          <w:ilvl w:val="0"/>
          <w:numId w:val="7"/>
        </w:numPr>
        <w:snapToGrid w:val="0"/>
        <w:spacing w:line="360" w:lineRule="auto"/>
        <w:ind w:firstLine="420"/>
        <w:rPr>
          <w:rFonts w:hAnsi="宋体" w:cs="宋体"/>
          <w:color w:val="000000"/>
          <w:highlight w:val="none"/>
        </w:rPr>
      </w:pPr>
      <w:r>
        <w:rPr>
          <w:rFonts w:hint="eastAsia" w:hAnsi="宋体" w:cs="宋体"/>
          <w:color w:val="000000"/>
          <w:highlight w:val="none"/>
        </w:rPr>
        <w:t>我方承诺在谈判文件规定的</w:t>
      </w:r>
      <w:r>
        <w:rPr>
          <w:rFonts w:hint="eastAsia" w:hAnsi="宋体" w:cs="宋体"/>
          <w:color w:val="000000"/>
          <w:highlight w:val="none"/>
          <w:lang w:eastAsia="zh-CN"/>
        </w:rPr>
        <w:t>谈判</w:t>
      </w:r>
      <w:r>
        <w:rPr>
          <w:rFonts w:hint="eastAsia" w:hAnsi="宋体" w:cs="宋体"/>
          <w:color w:val="000000"/>
          <w:highlight w:val="none"/>
        </w:rPr>
        <w:t>有效期内不撤销响应文件。</w:t>
      </w:r>
    </w:p>
    <w:p w14:paraId="72380036">
      <w:pPr>
        <w:numPr>
          <w:ilvl w:val="0"/>
          <w:numId w:val="7"/>
        </w:numPr>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如我方中标，我方承诺：</w:t>
      </w:r>
    </w:p>
    <w:p w14:paraId="5517D4AB">
      <w:pPr>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（1）在收到</w:t>
      </w:r>
      <w:r>
        <w:rPr>
          <w:rFonts w:hint="eastAsia" w:ascii="宋体" w:hAnsi="宋体" w:cs="宋体"/>
          <w:color w:val="000000"/>
          <w:szCs w:val="21"/>
          <w:highlight w:val="none"/>
          <w:lang w:eastAsia="zh-CN"/>
        </w:rPr>
        <w:t>成交</w:t>
      </w:r>
      <w:r>
        <w:rPr>
          <w:rFonts w:hint="eastAsia" w:ascii="宋体" w:hAnsi="宋体" w:cs="宋体"/>
          <w:color w:val="000000"/>
          <w:szCs w:val="21"/>
          <w:highlight w:val="none"/>
        </w:rPr>
        <w:t>通知书后，在</w:t>
      </w:r>
      <w:r>
        <w:rPr>
          <w:rFonts w:hint="eastAsia" w:ascii="宋体" w:hAnsi="宋体" w:cs="宋体"/>
          <w:color w:val="000000"/>
          <w:szCs w:val="21"/>
          <w:highlight w:val="none"/>
          <w:lang w:eastAsia="zh-CN"/>
        </w:rPr>
        <w:t>成交通知书</w:t>
      </w:r>
      <w:r>
        <w:rPr>
          <w:rFonts w:hint="eastAsia" w:ascii="宋体" w:hAnsi="宋体" w:cs="宋体"/>
          <w:color w:val="000000"/>
          <w:szCs w:val="21"/>
          <w:highlight w:val="none"/>
        </w:rPr>
        <w:t>规定的期限内与你方签订合同；</w:t>
      </w:r>
    </w:p>
    <w:p w14:paraId="5249263B">
      <w:pPr>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（2）在签订合同时不向你方提出附加条件；</w:t>
      </w:r>
    </w:p>
    <w:p w14:paraId="735FEB44">
      <w:pPr>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（3）按照</w:t>
      </w:r>
      <w:r>
        <w:rPr>
          <w:rFonts w:hint="eastAsia" w:ascii="宋体" w:hAnsi="宋体" w:cs="宋体"/>
          <w:color w:val="000000"/>
          <w:szCs w:val="21"/>
          <w:highlight w:val="none"/>
          <w:lang w:eastAsia="zh-CN"/>
        </w:rPr>
        <w:t>谈判</w:t>
      </w:r>
      <w:r>
        <w:rPr>
          <w:rFonts w:hint="eastAsia" w:ascii="宋体" w:hAnsi="宋体" w:cs="宋体"/>
          <w:color w:val="000000"/>
          <w:szCs w:val="21"/>
          <w:highlight w:val="none"/>
        </w:rPr>
        <w:t>文件要求提交履约保证金；</w:t>
      </w:r>
    </w:p>
    <w:p w14:paraId="1AFB09CE">
      <w:pPr>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（4）在合同约定的期限内完成合同规定的全部义务。</w:t>
      </w:r>
    </w:p>
    <w:p w14:paraId="211736C2">
      <w:pPr>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6．我方在此声明，所递交的响应文件及有关资料内容完整、真实和准确，且不存在第二章“供应商须知”第</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 xml:space="preserve"> 项规定的任何一种情形。</w:t>
      </w:r>
    </w:p>
    <w:p w14:paraId="4C911D70">
      <w:pPr>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7.</w:t>
      </w:r>
      <w:r>
        <w:rPr>
          <w:rFonts w:hint="eastAsia" w:ascii="宋体" w:hAnsi="宋体" w:cs="宋体"/>
          <w:color w:val="000000"/>
          <w:szCs w:val="21"/>
          <w:highlight w:val="none"/>
          <w:u w:val="single"/>
        </w:rPr>
        <w:t xml:space="preserve">                            （其他补充说明）</w:t>
      </w:r>
      <w:r>
        <w:rPr>
          <w:rFonts w:hint="eastAsia" w:ascii="宋体" w:hAnsi="宋体" w:cs="宋体"/>
          <w:color w:val="000000"/>
          <w:szCs w:val="21"/>
          <w:highlight w:val="none"/>
        </w:rPr>
        <w:t>。</w:t>
      </w:r>
    </w:p>
    <w:p w14:paraId="343FE8B1">
      <w:pPr>
        <w:pStyle w:val="8"/>
        <w:snapToGrid w:val="0"/>
        <w:spacing w:line="360" w:lineRule="auto"/>
        <w:ind w:firstLine="420"/>
        <w:rPr>
          <w:rFonts w:hAnsi="宋体" w:cs="宋体"/>
          <w:highlight w:val="none"/>
        </w:rPr>
      </w:pPr>
    </w:p>
    <w:p w14:paraId="74FB7F0E">
      <w:pPr>
        <w:pStyle w:val="8"/>
        <w:wordWrap w:val="0"/>
        <w:snapToGrid w:val="0"/>
        <w:spacing w:line="360" w:lineRule="auto"/>
        <w:ind w:firstLine="3578" w:firstLineChars="1704"/>
        <w:rPr>
          <w:rFonts w:hint="eastAsia" w:ascii="宋体" w:hAnsi="宋体" w:eastAsia="宋体" w:cs="宋体"/>
          <w:highlight w:val="none"/>
        </w:rPr>
      </w:pPr>
      <w:r>
        <w:rPr>
          <w:rFonts w:hint="eastAsia" w:ascii="宋体" w:hAnsi="宋体" w:eastAsia="宋体" w:cs="宋体"/>
          <w:highlight w:val="none"/>
        </w:rPr>
        <w:t>供应商名称：</w:t>
      </w:r>
      <w:r>
        <w:rPr>
          <w:rFonts w:hint="eastAsia" w:ascii="宋体" w:hAnsi="宋体" w:eastAsia="宋体" w:cs="宋体"/>
          <w:highlight w:val="none"/>
          <w:u w:val="single"/>
        </w:rPr>
        <w:t xml:space="preserve">                      </w:t>
      </w:r>
      <w:r>
        <w:rPr>
          <w:rFonts w:hint="eastAsia" w:ascii="宋体" w:hAnsi="宋体" w:eastAsia="宋体" w:cs="宋体"/>
          <w:highlight w:val="none"/>
        </w:rPr>
        <w:t>（</w:t>
      </w:r>
      <w:r>
        <w:rPr>
          <w:rFonts w:hint="eastAsia" w:ascii="宋体" w:hAnsi="宋体" w:eastAsia="宋体" w:cs="宋体"/>
          <w:highlight w:val="none"/>
          <w:lang w:eastAsia="zh-CN"/>
        </w:rPr>
        <w:t>盖单位公章</w:t>
      </w:r>
      <w:r>
        <w:rPr>
          <w:rFonts w:hint="eastAsia" w:ascii="宋体" w:hAnsi="宋体" w:eastAsia="宋体" w:cs="宋体"/>
          <w:highlight w:val="none"/>
        </w:rPr>
        <w:t>）</w:t>
      </w:r>
    </w:p>
    <w:p w14:paraId="05B864ED">
      <w:pPr>
        <w:pStyle w:val="8"/>
        <w:wordWrap w:val="0"/>
        <w:snapToGrid w:val="0"/>
        <w:spacing w:line="360" w:lineRule="auto"/>
        <w:ind w:firstLine="3578" w:firstLineChars="1704"/>
        <w:rPr>
          <w:rFonts w:hAnsi="宋体" w:cs="宋体"/>
          <w:highlight w:val="none"/>
          <w:u w:val="single"/>
        </w:rPr>
      </w:pPr>
      <w:r>
        <w:rPr>
          <w:rFonts w:hint="eastAsia" w:hAnsi="宋体" w:cs="宋体"/>
          <w:highlight w:val="none"/>
        </w:rPr>
        <w:t>法定代表人或其授权代理人：</w:t>
      </w:r>
      <w:r>
        <w:rPr>
          <w:rFonts w:hint="eastAsia" w:hAnsi="宋体" w:cs="宋体"/>
          <w:highlight w:val="none"/>
          <w:u w:val="single"/>
        </w:rPr>
        <w:t xml:space="preserve">        </w:t>
      </w:r>
      <w:r>
        <w:rPr>
          <w:rFonts w:hint="eastAsia" w:hAnsi="宋体" w:cs="宋体"/>
          <w:highlight w:val="none"/>
        </w:rPr>
        <w:t>（</w:t>
      </w:r>
      <w:r>
        <w:rPr>
          <w:rFonts w:hint="eastAsia" w:ascii="宋体" w:hAnsi="宋体" w:eastAsia="宋体" w:cs="宋体"/>
          <w:highlight w:val="none"/>
        </w:rPr>
        <w:t>签字</w:t>
      </w:r>
      <w:r>
        <w:rPr>
          <w:rFonts w:hint="eastAsia" w:hAnsi="宋体" w:cs="宋体"/>
          <w:highlight w:val="none"/>
          <w:lang w:val="en-US" w:eastAsia="zh-CN"/>
        </w:rPr>
        <w:t>并</w:t>
      </w:r>
      <w:r>
        <w:rPr>
          <w:rFonts w:hint="eastAsia" w:ascii="宋体" w:hAnsi="宋体" w:eastAsia="宋体" w:cs="宋体"/>
          <w:highlight w:val="none"/>
        </w:rPr>
        <w:t>签章</w:t>
      </w:r>
      <w:r>
        <w:rPr>
          <w:rFonts w:hint="eastAsia" w:hAnsi="宋体" w:cs="宋体"/>
          <w:highlight w:val="none"/>
        </w:rPr>
        <w:t>）</w:t>
      </w:r>
    </w:p>
    <w:p w14:paraId="031D413D">
      <w:pPr>
        <w:pStyle w:val="8"/>
        <w:wordWrap w:val="0"/>
        <w:snapToGrid w:val="0"/>
        <w:spacing w:line="360" w:lineRule="auto"/>
        <w:ind w:firstLine="3578" w:firstLineChars="1704"/>
        <w:rPr>
          <w:rFonts w:hAnsi="宋体" w:cs="宋体"/>
          <w:highlight w:val="none"/>
          <w:u w:val="single"/>
        </w:rPr>
      </w:pPr>
      <w:r>
        <w:rPr>
          <w:rFonts w:hint="eastAsia" w:hAnsi="宋体" w:cs="宋体"/>
          <w:highlight w:val="none"/>
        </w:rPr>
        <w:t xml:space="preserve">地  址： </w:t>
      </w:r>
      <w:r>
        <w:rPr>
          <w:rFonts w:hint="eastAsia" w:hAnsi="宋体" w:cs="宋体"/>
          <w:highlight w:val="none"/>
          <w:u w:val="single"/>
        </w:rPr>
        <w:t xml:space="preserve">                          </w:t>
      </w:r>
    </w:p>
    <w:p w14:paraId="0DC793E4">
      <w:pPr>
        <w:pStyle w:val="8"/>
        <w:wordWrap w:val="0"/>
        <w:snapToGrid w:val="0"/>
        <w:spacing w:line="360" w:lineRule="auto"/>
        <w:ind w:firstLine="3578" w:firstLineChars="1704"/>
        <w:rPr>
          <w:rFonts w:hAnsi="宋体" w:cs="宋体"/>
          <w:highlight w:val="none"/>
          <w:u w:val="single"/>
        </w:rPr>
      </w:pPr>
      <w:r>
        <w:rPr>
          <w:rFonts w:hint="eastAsia" w:hAnsi="宋体" w:cs="宋体"/>
          <w:highlight w:val="none"/>
        </w:rPr>
        <w:t xml:space="preserve">网  址： </w:t>
      </w:r>
      <w:r>
        <w:rPr>
          <w:rFonts w:hint="eastAsia" w:hAnsi="宋体" w:cs="宋体"/>
          <w:highlight w:val="none"/>
          <w:u w:val="single"/>
        </w:rPr>
        <w:t xml:space="preserve">                          </w:t>
      </w:r>
    </w:p>
    <w:p w14:paraId="752F56D5">
      <w:pPr>
        <w:pStyle w:val="8"/>
        <w:wordWrap w:val="0"/>
        <w:snapToGrid w:val="0"/>
        <w:spacing w:line="360" w:lineRule="auto"/>
        <w:ind w:firstLine="3578" w:firstLineChars="1704"/>
        <w:rPr>
          <w:rFonts w:hAnsi="宋体" w:cs="宋体"/>
          <w:highlight w:val="none"/>
          <w:u w:val="single"/>
        </w:rPr>
      </w:pPr>
      <w:r>
        <w:rPr>
          <w:rFonts w:hint="eastAsia" w:hAnsi="宋体" w:cs="宋体"/>
          <w:highlight w:val="none"/>
        </w:rPr>
        <w:t>电  话：</w:t>
      </w:r>
      <w:r>
        <w:rPr>
          <w:rFonts w:hint="eastAsia" w:hAnsi="宋体" w:cs="宋体"/>
          <w:highlight w:val="none"/>
          <w:u w:val="single"/>
        </w:rPr>
        <w:t xml:space="preserve">                           </w:t>
      </w:r>
    </w:p>
    <w:p w14:paraId="0D1924EA">
      <w:pPr>
        <w:pStyle w:val="8"/>
        <w:wordWrap w:val="0"/>
        <w:snapToGrid w:val="0"/>
        <w:spacing w:line="360" w:lineRule="auto"/>
        <w:ind w:firstLine="3578" w:firstLineChars="1704"/>
        <w:rPr>
          <w:rFonts w:hAnsi="宋体" w:cs="宋体"/>
          <w:highlight w:val="none"/>
          <w:u w:val="single"/>
        </w:rPr>
      </w:pPr>
      <w:r>
        <w:rPr>
          <w:rFonts w:hint="eastAsia" w:hAnsi="宋体" w:cs="宋体"/>
          <w:highlight w:val="none"/>
        </w:rPr>
        <w:t>传  真：</w:t>
      </w:r>
      <w:r>
        <w:rPr>
          <w:rFonts w:hint="eastAsia" w:hAnsi="宋体" w:cs="宋体"/>
          <w:highlight w:val="none"/>
          <w:u w:val="single"/>
        </w:rPr>
        <w:t xml:space="preserve">                           </w:t>
      </w:r>
    </w:p>
    <w:p w14:paraId="5CA1E455">
      <w:pPr>
        <w:pStyle w:val="8"/>
        <w:wordWrap w:val="0"/>
        <w:snapToGrid w:val="0"/>
        <w:spacing w:line="360" w:lineRule="auto"/>
        <w:ind w:firstLine="3578" w:firstLineChars="1704"/>
        <w:rPr>
          <w:rFonts w:hAnsi="宋体" w:cs="宋体"/>
          <w:highlight w:val="none"/>
          <w:u w:val="single"/>
        </w:rPr>
      </w:pPr>
      <w:r>
        <w:rPr>
          <w:rFonts w:hint="eastAsia" w:hAnsi="宋体" w:cs="宋体"/>
          <w:highlight w:val="none"/>
        </w:rPr>
        <w:t>邮  编：</w:t>
      </w:r>
      <w:r>
        <w:rPr>
          <w:rFonts w:hint="eastAsia" w:hAnsi="宋体" w:cs="宋体"/>
          <w:highlight w:val="none"/>
          <w:u w:val="single"/>
        </w:rPr>
        <w:t xml:space="preserve">                           </w:t>
      </w:r>
    </w:p>
    <w:p w14:paraId="2FFFF34D">
      <w:pPr>
        <w:pStyle w:val="8"/>
        <w:wordWrap w:val="0"/>
        <w:snapToGrid w:val="0"/>
        <w:spacing w:line="360" w:lineRule="auto"/>
        <w:ind w:firstLine="4200" w:firstLineChars="2000"/>
        <w:jc w:val="left"/>
        <w:rPr>
          <w:rFonts w:hAnsi="宋体" w:cs="宋体"/>
          <w:highlight w:val="none"/>
        </w:rPr>
      </w:pPr>
      <w:r>
        <w:rPr>
          <w:rFonts w:hint="eastAsia" w:hAnsi="宋体" w:cs="宋体"/>
          <w:highlight w:val="none"/>
          <w:u w:val="single"/>
        </w:rPr>
        <w:t xml:space="preserve">       </w:t>
      </w:r>
      <w:r>
        <w:rPr>
          <w:rFonts w:hint="eastAsia" w:hAnsi="宋体" w:cs="宋体"/>
          <w:highlight w:val="none"/>
        </w:rPr>
        <w:t xml:space="preserve"> 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2059C6D7">
      <w:pPr>
        <w:spacing w:line="360" w:lineRule="auto"/>
        <w:rPr>
          <w:rFonts w:ascii="宋体" w:hAnsi="宋体" w:cs="宋体"/>
          <w:szCs w:val="21"/>
          <w:highlight w:val="none"/>
        </w:rPr>
      </w:pPr>
      <w:bookmarkStart w:id="47" w:name="_Toc285981645"/>
      <w:bookmarkStart w:id="48" w:name="_Toc152042580"/>
      <w:bookmarkStart w:id="49" w:name="_Toc238797663"/>
      <w:bookmarkStart w:id="50" w:name="_Toc144974860"/>
      <w:bookmarkStart w:id="51" w:name="_Toc152045791"/>
      <w:bookmarkStart w:id="52" w:name="_Toc262740154"/>
      <w:bookmarkStart w:id="53" w:name="_Toc238552301"/>
    </w:p>
    <w:p w14:paraId="5D244FE6">
      <w:pPr>
        <w:jc w:val="center"/>
        <w:rPr>
          <w:rFonts w:ascii="宋体" w:hAnsi="宋体"/>
          <w:b/>
          <w:color w:val="auto"/>
          <w:sz w:val="32"/>
          <w:szCs w:val="32"/>
          <w:highlight w:val="none"/>
        </w:rPr>
      </w:pPr>
      <w:bookmarkStart w:id="54" w:name="_Toc28397"/>
      <w:bookmarkStart w:id="55" w:name="_Toc435802466"/>
      <w:bookmarkStart w:id="56" w:name="_Toc26075"/>
      <w:r>
        <w:rPr>
          <w:rFonts w:hint="eastAsia" w:ascii="宋体" w:hAnsi="宋体"/>
          <w:b/>
          <w:color w:val="auto"/>
          <w:sz w:val="32"/>
          <w:szCs w:val="32"/>
          <w:highlight w:val="none"/>
        </w:rPr>
        <w:t>（2）</w:t>
      </w:r>
      <w:r>
        <w:rPr>
          <w:rFonts w:hint="eastAsia" w:ascii="宋体" w:hAnsi="宋体"/>
          <w:b/>
          <w:color w:val="auto"/>
          <w:sz w:val="32"/>
          <w:szCs w:val="32"/>
          <w:highlight w:val="none"/>
          <w:lang w:eastAsia="zh-CN"/>
        </w:rPr>
        <w:t>响应</w:t>
      </w:r>
      <w:r>
        <w:rPr>
          <w:rFonts w:hint="eastAsia" w:ascii="宋体" w:hAnsi="宋体"/>
          <w:b/>
          <w:color w:val="auto"/>
          <w:sz w:val="32"/>
          <w:szCs w:val="32"/>
          <w:highlight w:val="none"/>
        </w:rPr>
        <w:t>函附录</w:t>
      </w:r>
    </w:p>
    <w:p w14:paraId="023CB668">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szCs w:val="21"/>
          <w:highlight w:val="none"/>
          <w:u w:val="single"/>
        </w:rPr>
        <w:t xml:space="preserve">              </w:t>
      </w:r>
    </w:p>
    <w:p w14:paraId="47F6EB92">
      <w:pPr>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项目编号：</w:t>
      </w:r>
      <w:r>
        <w:rPr>
          <w:rFonts w:hint="eastAsia" w:ascii="宋体" w:hAnsi="宋体"/>
          <w:color w:val="auto"/>
          <w:sz w:val="24"/>
          <w:szCs w:val="21"/>
          <w:highlight w:val="none"/>
          <w:u w:val="single"/>
        </w:rPr>
        <w:t xml:space="preserve">              </w:t>
      </w:r>
    </w:p>
    <w:tbl>
      <w:tblPr>
        <w:tblStyle w:val="18"/>
        <w:tblW w:w="6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047"/>
        <w:gridCol w:w="2256"/>
        <w:gridCol w:w="1554"/>
      </w:tblGrid>
      <w:tr w14:paraId="1331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1AF8CA0F">
            <w:pPr>
              <w:spacing w:line="440" w:lineRule="exact"/>
              <w:jc w:val="center"/>
              <w:rPr>
                <w:rFonts w:ascii="宋体" w:hAnsi="宋体"/>
                <w:b/>
                <w:color w:val="auto"/>
                <w:sz w:val="22"/>
                <w:szCs w:val="18"/>
                <w:highlight w:val="none"/>
              </w:rPr>
            </w:pPr>
            <w:r>
              <w:rPr>
                <w:rFonts w:hint="eastAsia" w:ascii="宋体" w:hAnsi="宋体" w:cs="宋体"/>
                <w:b/>
                <w:color w:val="auto"/>
                <w:sz w:val="24"/>
                <w:highlight w:val="none"/>
              </w:rPr>
              <w:t>序号</w:t>
            </w:r>
          </w:p>
        </w:tc>
        <w:tc>
          <w:tcPr>
            <w:tcW w:w="2047" w:type="dxa"/>
            <w:noWrap w:val="0"/>
            <w:vAlign w:val="center"/>
          </w:tcPr>
          <w:p w14:paraId="52C4A467">
            <w:pPr>
              <w:spacing w:line="440" w:lineRule="exact"/>
              <w:jc w:val="center"/>
              <w:rPr>
                <w:rFonts w:ascii="宋体" w:hAnsi="宋体"/>
                <w:b/>
                <w:color w:val="auto"/>
                <w:sz w:val="22"/>
                <w:szCs w:val="18"/>
                <w:highlight w:val="none"/>
              </w:rPr>
            </w:pPr>
            <w:r>
              <w:rPr>
                <w:rFonts w:hint="eastAsia" w:ascii="宋体" w:hAnsi="宋体" w:cs="宋体"/>
                <w:b/>
                <w:color w:val="auto"/>
                <w:sz w:val="24"/>
                <w:highlight w:val="none"/>
              </w:rPr>
              <w:t>名称</w:t>
            </w:r>
          </w:p>
        </w:tc>
        <w:tc>
          <w:tcPr>
            <w:tcW w:w="2256" w:type="dxa"/>
            <w:noWrap w:val="0"/>
            <w:vAlign w:val="center"/>
          </w:tcPr>
          <w:p w14:paraId="57FB112A">
            <w:pPr>
              <w:spacing w:line="440" w:lineRule="exact"/>
              <w:jc w:val="center"/>
              <w:rPr>
                <w:rFonts w:ascii="宋体" w:hAnsi="宋体"/>
                <w:b/>
                <w:color w:val="auto"/>
                <w:sz w:val="22"/>
                <w:szCs w:val="18"/>
                <w:highlight w:val="none"/>
              </w:rPr>
            </w:pPr>
            <w:r>
              <w:rPr>
                <w:rFonts w:hint="eastAsia" w:ascii="宋体" w:hAnsi="宋体" w:cs="宋体"/>
                <w:b/>
                <w:color w:val="auto"/>
                <w:sz w:val="24"/>
                <w:highlight w:val="none"/>
              </w:rPr>
              <w:t>内容</w:t>
            </w:r>
          </w:p>
        </w:tc>
        <w:tc>
          <w:tcPr>
            <w:tcW w:w="1554" w:type="dxa"/>
            <w:noWrap w:val="0"/>
            <w:vAlign w:val="center"/>
          </w:tcPr>
          <w:p w14:paraId="3BAF39DE">
            <w:pPr>
              <w:spacing w:line="440" w:lineRule="exact"/>
              <w:jc w:val="center"/>
              <w:rPr>
                <w:rFonts w:ascii="宋体" w:hAnsi="宋体"/>
                <w:b/>
                <w:color w:val="auto"/>
                <w:sz w:val="22"/>
                <w:szCs w:val="18"/>
                <w:highlight w:val="none"/>
              </w:rPr>
            </w:pPr>
            <w:r>
              <w:rPr>
                <w:rFonts w:hint="eastAsia" w:ascii="宋体" w:hAnsi="宋体" w:cs="宋体"/>
                <w:b/>
                <w:color w:val="auto"/>
                <w:sz w:val="24"/>
                <w:highlight w:val="none"/>
              </w:rPr>
              <w:t>备注</w:t>
            </w:r>
          </w:p>
        </w:tc>
      </w:tr>
      <w:tr w14:paraId="320C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012431C1">
            <w:pPr>
              <w:wordWrap w:val="0"/>
              <w:jc w:val="center"/>
              <w:rPr>
                <w:rFonts w:hint="eastAsia" w:ascii="宋体" w:hAnsi="宋体"/>
                <w:color w:val="auto"/>
                <w:sz w:val="22"/>
                <w:szCs w:val="18"/>
                <w:highlight w:val="none"/>
              </w:rPr>
            </w:pPr>
            <w:r>
              <w:rPr>
                <w:rFonts w:hint="eastAsia" w:ascii="宋体" w:hAnsi="宋体"/>
                <w:color w:val="auto"/>
                <w:sz w:val="22"/>
                <w:szCs w:val="18"/>
                <w:highlight w:val="none"/>
              </w:rPr>
              <w:t>1</w:t>
            </w:r>
          </w:p>
        </w:tc>
        <w:tc>
          <w:tcPr>
            <w:tcW w:w="2047" w:type="dxa"/>
            <w:noWrap w:val="0"/>
            <w:vAlign w:val="center"/>
          </w:tcPr>
          <w:p w14:paraId="08D2D8C8">
            <w:pPr>
              <w:wordWrap w:val="0"/>
              <w:jc w:val="center"/>
              <w:rPr>
                <w:rFonts w:ascii="宋体" w:hAnsi="宋体"/>
                <w:color w:val="auto"/>
                <w:sz w:val="22"/>
                <w:szCs w:val="18"/>
                <w:highlight w:val="none"/>
              </w:rPr>
            </w:pPr>
            <w:r>
              <w:rPr>
                <w:rFonts w:hint="eastAsia" w:ascii="宋体" w:hAnsi="宋体"/>
                <w:color w:val="auto"/>
                <w:sz w:val="22"/>
                <w:szCs w:val="18"/>
                <w:highlight w:val="none"/>
              </w:rPr>
              <w:t>项目负责人</w:t>
            </w:r>
          </w:p>
        </w:tc>
        <w:tc>
          <w:tcPr>
            <w:tcW w:w="2256" w:type="dxa"/>
            <w:noWrap w:val="0"/>
            <w:vAlign w:val="center"/>
          </w:tcPr>
          <w:p w14:paraId="5BF24AF9">
            <w:pPr>
              <w:wordWrap w:val="0"/>
              <w:jc w:val="left"/>
              <w:rPr>
                <w:rFonts w:ascii="宋体" w:hAnsi="宋体"/>
                <w:color w:val="auto"/>
                <w:sz w:val="22"/>
                <w:szCs w:val="18"/>
                <w:highlight w:val="none"/>
              </w:rPr>
            </w:pPr>
            <w:r>
              <w:rPr>
                <w:rFonts w:hint="eastAsia" w:ascii="宋体" w:hAnsi="宋体"/>
                <w:color w:val="auto"/>
                <w:sz w:val="22"/>
                <w:szCs w:val="18"/>
                <w:highlight w:val="none"/>
              </w:rPr>
              <w:t>姓名：</w:t>
            </w:r>
          </w:p>
        </w:tc>
        <w:tc>
          <w:tcPr>
            <w:tcW w:w="1554" w:type="dxa"/>
            <w:noWrap w:val="0"/>
            <w:vAlign w:val="center"/>
          </w:tcPr>
          <w:p w14:paraId="7120EC7A">
            <w:pPr>
              <w:wordWrap w:val="0"/>
              <w:jc w:val="center"/>
              <w:rPr>
                <w:rFonts w:ascii="宋体" w:hAnsi="宋体"/>
                <w:color w:val="auto"/>
                <w:sz w:val="22"/>
                <w:szCs w:val="18"/>
                <w:highlight w:val="none"/>
              </w:rPr>
            </w:pPr>
          </w:p>
        </w:tc>
      </w:tr>
      <w:tr w14:paraId="6871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737DC27D">
            <w:pPr>
              <w:wordWrap w:val="0"/>
              <w:jc w:val="center"/>
              <w:rPr>
                <w:rFonts w:hint="eastAsia" w:ascii="宋体" w:hAnsi="宋体"/>
                <w:color w:val="auto"/>
                <w:sz w:val="22"/>
                <w:szCs w:val="18"/>
                <w:highlight w:val="none"/>
              </w:rPr>
            </w:pPr>
            <w:r>
              <w:rPr>
                <w:rFonts w:hint="eastAsia" w:ascii="宋体" w:hAnsi="宋体"/>
                <w:color w:val="auto"/>
                <w:sz w:val="22"/>
                <w:szCs w:val="18"/>
                <w:highlight w:val="none"/>
              </w:rPr>
              <w:t>2</w:t>
            </w:r>
          </w:p>
        </w:tc>
        <w:tc>
          <w:tcPr>
            <w:tcW w:w="2047" w:type="dxa"/>
            <w:noWrap w:val="0"/>
            <w:vAlign w:val="center"/>
          </w:tcPr>
          <w:p w14:paraId="0C8F92C3">
            <w:pPr>
              <w:wordWrap w:val="0"/>
              <w:jc w:val="center"/>
              <w:rPr>
                <w:rFonts w:hint="eastAsia" w:ascii="宋体" w:hAnsi="宋体" w:eastAsia="宋体"/>
                <w:color w:val="auto"/>
                <w:sz w:val="22"/>
                <w:szCs w:val="18"/>
                <w:highlight w:val="none"/>
                <w:lang w:eastAsia="zh-CN"/>
              </w:rPr>
            </w:pPr>
            <w:r>
              <w:rPr>
                <w:rFonts w:hint="eastAsia" w:ascii="宋体" w:hAnsi="宋体"/>
                <w:color w:val="auto"/>
                <w:sz w:val="22"/>
                <w:szCs w:val="18"/>
                <w:highlight w:val="none"/>
                <w:lang w:val="en-US" w:eastAsia="zh-CN"/>
              </w:rPr>
              <w:t>供货期</w:t>
            </w:r>
          </w:p>
        </w:tc>
        <w:tc>
          <w:tcPr>
            <w:tcW w:w="2256" w:type="dxa"/>
            <w:noWrap w:val="0"/>
            <w:vAlign w:val="center"/>
          </w:tcPr>
          <w:p w14:paraId="0921B8AE">
            <w:pPr>
              <w:wordWrap w:val="0"/>
              <w:ind w:firstLine="440" w:firstLineChars="200"/>
              <w:jc w:val="left"/>
              <w:rPr>
                <w:rFonts w:hint="eastAsia" w:ascii="宋体" w:hAnsi="宋体"/>
                <w:color w:val="auto"/>
                <w:sz w:val="22"/>
                <w:szCs w:val="18"/>
                <w:highlight w:val="none"/>
              </w:rPr>
            </w:pPr>
          </w:p>
        </w:tc>
        <w:tc>
          <w:tcPr>
            <w:tcW w:w="1554" w:type="dxa"/>
            <w:noWrap w:val="0"/>
            <w:vAlign w:val="center"/>
          </w:tcPr>
          <w:p w14:paraId="654CC345">
            <w:pPr>
              <w:wordWrap w:val="0"/>
              <w:jc w:val="center"/>
              <w:rPr>
                <w:rFonts w:ascii="宋体" w:hAnsi="宋体"/>
                <w:color w:val="auto"/>
                <w:sz w:val="22"/>
                <w:szCs w:val="18"/>
                <w:highlight w:val="none"/>
              </w:rPr>
            </w:pPr>
          </w:p>
        </w:tc>
      </w:tr>
      <w:tr w14:paraId="231A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52D27E95">
            <w:pPr>
              <w:wordWrap w:val="0"/>
              <w:jc w:val="center"/>
              <w:rPr>
                <w:rFonts w:ascii="宋体" w:hAnsi="宋体"/>
                <w:color w:val="auto"/>
                <w:sz w:val="22"/>
                <w:szCs w:val="18"/>
                <w:highlight w:val="none"/>
              </w:rPr>
            </w:pPr>
            <w:r>
              <w:rPr>
                <w:rFonts w:hint="eastAsia" w:ascii="宋体" w:hAnsi="宋体"/>
                <w:color w:val="auto"/>
                <w:sz w:val="22"/>
                <w:szCs w:val="18"/>
                <w:highlight w:val="none"/>
              </w:rPr>
              <w:t>3</w:t>
            </w:r>
          </w:p>
        </w:tc>
        <w:tc>
          <w:tcPr>
            <w:tcW w:w="2047" w:type="dxa"/>
            <w:noWrap w:val="0"/>
            <w:vAlign w:val="center"/>
          </w:tcPr>
          <w:p w14:paraId="483D2D19">
            <w:pPr>
              <w:wordWrap w:val="0"/>
              <w:jc w:val="center"/>
              <w:rPr>
                <w:rFonts w:hint="eastAsia" w:ascii="宋体" w:hAnsi="宋体" w:eastAsia="宋体"/>
                <w:color w:val="auto"/>
                <w:sz w:val="22"/>
                <w:szCs w:val="18"/>
                <w:highlight w:val="none"/>
                <w:lang w:eastAsia="zh-CN"/>
              </w:rPr>
            </w:pPr>
            <w:r>
              <w:rPr>
                <w:rFonts w:hint="eastAsia" w:ascii="宋体" w:hAnsi="宋体"/>
                <w:color w:val="auto"/>
                <w:sz w:val="22"/>
                <w:szCs w:val="18"/>
                <w:highlight w:val="none"/>
                <w:lang w:eastAsia="zh-CN"/>
              </w:rPr>
              <w:t>质量要求</w:t>
            </w:r>
          </w:p>
        </w:tc>
        <w:tc>
          <w:tcPr>
            <w:tcW w:w="2256" w:type="dxa"/>
            <w:noWrap w:val="0"/>
            <w:vAlign w:val="center"/>
          </w:tcPr>
          <w:p w14:paraId="24379BA4">
            <w:pPr>
              <w:wordWrap w:val="0"/>
              <w:jc w:val="left"/>
              <w:rPr>
                <w:rFonts w:ascii="宋体" w:hAnsi="宋体"/>
                <w:color w:val="auto"/>
                <w:sz w:val="22"/>
                <w:szCs w:val="18"/>
                <w:highlight w:val="none"/>
              </w:rPr>
            </w:pPr>
          </w:p>
        </w:tc>
        <w:tc>
          <w:tcPr>
            <w:tcW w:w="1554" w:type="dxa"/>
            <w:noWrap w:val="0"/>
            <w:vAlign w:val="center"/>
          </w:tcPr>
          <w:p w14:paraId="5545BE07">
            <w:pPr>
              <w:wordWrap w:val="0"/>
              <w:jc w:val="center"/>
              <w:rPr>
                <w:rFonts w:ascii="宋体" w:hAnsi="宋体"/>
                <w:color w:val="auto"/>
                <w:sz w:val="22"/>
                <w:szCs w:val="18"/>
                <w:highlight w:val="none"/>
              </w:rPr>
            </w:pPr>
          </w:p>
        </w:tc>
      </w:tr>
      <w:tr w14:paraId="0EA2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691AA9AB">
            <w:pPr>
              <w:wordWrap w:val="0"/>
              <w:jc w:val="center"/>
              <w:rPr>
                <w:rFonts w:hint="eastAsia" w:ascii="宋体" w:hAnsi="宋体"/>
                <w:color w:val="auto"/>
                <w:sz w:val="22"/>
                <w:szCs w:val="18"/>
                <w:highlight w:val="none"/>
              </w:rPr>
            </w:pPr>
          </w:p>
        </w:tc>
        <w:tc>
          <w:tcPr>
            <w:tcW w:w="2047" w:type="dxa"/>
            <w:noWrap w:val="0"/>
            <w:vAlign w:val="center"/>
          </w:tcPr>
          <w:p w14:paraId="53C2AE52">
            <w:pPr>
              <w:wordWrap w:val="0"/>
              <w:jc w:val="center"/>
              <w:rPr>
                <w:rFonts w:hint="eastAsia" w:ascii="宋体" w:hAnsi="宋体" w:eastAsia="宋体"/>
                <w:color w:val="auto"/>
                <w:sz w:val="22"/>
                <w:szCs w:val="18"/>
                <w:highlight w:val="none"/>
                <w:lang w:eastAsia="zh-CN"/>
              </w:rPr>
            </w:pPr>
            <w:r>
              <w:rPr>
                <w:rFonts w:hint="eastAsia" w:ascii="宋体" w:hAnsi="宋体"/>
                <w:color w:val="auto"/>
                <w:sz w:val="22"/>
                <w:szCs w:val="18"/>
                <w:highlight w:val="none"/>
                <w:lang w:eastAsia="zh-CN"/>
              </w:rPr>
              <w:t>供货地点</w:t>
            </w:r>
          </w:p>
        </w:tc>
        <w:tc>
          <w:tcPr>
            <w:tcW w:w="2256" w:type="dxa"/>
            <w:noWrap w:val="0"/>
            <w:vAlign w:val="center"/>
          </w:tcPr>
          <w:p w14:paraId="1BA01F70">
            <w:pPr>
              <w:wordWrap w:val="0"/>
              <w:jc w:val="left"/>
              <w:rPr>
                <w:rFonts w:hint="eastAsia" w:ascii="宋体" w:hAnsi="宋体"/>
                <w:color w:val="auto"/>
                <w:sz w:val="22"/>
                <w:szCs w:val="18"/>
                <w:highlight w:val="none"/>
              </w:rPr>
            </w:pPr>
          </w:p>
        </w:tc>
        <w:tc>
          <w:tcPr>
            <w:tcW w:w="1554" w:type="dxa"/>
            <w:noWrap w:val="0"/>
            <w:vAlign w:val="center"/>
          </w:tcPr>
          <w:p w14:paraId="6E399FE7">
            <w:pPr>
              <w:wordWrap w:val="0"/>
              <w:jc w:val="center"/>
              <w:rPr>
                <w:rFonts w:ascii="宋体" w:hAnsi="宋体"/>
                <w:color w:val="auto"/>
                <w:sz w:val="22"/>
                <w:szCs w:val="18"/>
                <w:highlight w:val="none"/>
              </w:rPr>
            </w:pPr>
          </w:p>
        </w:tc>
      </w:tr>
      <w:tr w14:paraId="0717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22CC0199">
            <w:pPr>
              <w:wordWrap w:val="0"/>
              <w:jc w:val="center"/>
              <w:rPr>
                <w:rFonts w:ascii="宋体" w:hAnsi="宋体"/>
                <w:color w:val="auto"/>
                <w:sz w:val="22"/>
                <w:szCs w:val="18"/>
                <w:highlight w:val="none"/>
              </w:rPr>
            </w:pPr>
            <w:r>
              <w:rPr>
                <w:rFonts w:hint="eastAsia" w:ascii="宋体" w:hAnsi="宋体"/>
                <w:color w:val="auto"/>
                <w:sz w:val="22"/>
                <w:szCs w:val="18"/>
                <w:highlight w:val="none"/>
              </w:rPr>
              <w:t>4</w:t>
            </w:r>
          </w:p>
        </w:tc>
        <w:tc>
          <w:tcPr>
            <w:tcW w:w="2047" w:type="dxa"/>
            <w:noWrap w:val="0"/>
            <w:vAlign w:val="center"/>
          </w:tcPr>
          <w:p w14:paraId="4244F113">
            <w:pPr>
              <w:wordWrap w:val="0"/>
              <w:jc w:val="center"/>
              <w:rPr>
                <w:rFonts w:ascii="宋体" w:hAnsi="宋体"/>
                <w:color w:val="auto"/>
                <w:sz w:val="22"/>
                <w:szCs w:val="18"/>
                <w:highlight w:val="none"/>
              </w:rPr>
            </w:pPr>
            <w:r>
              <w:rPr>
                <w:rFonts w:hint="eastAsia" w:ascii="宋体" w:hAnsi="宋体"/>
                <w:color w:val="auto"/>
                <w:sz w:val="22"/>
                <w:szCs w:val="18"/>
                <w:highlight w:val="none"/>
              </w:rPr>
              <w:t>联合体投标</w:t>
            </w:r>
          </w:p>
        </w:tc>
        <w:tc>
          <w:tcPr>
            <w:tcW w:w="2256" w:type="dxa"/>
            <w:noWrap w:val="0"/>
            <w:vAlign w:val="center"/>
          </w:tcPr>
          <w:p w14:paraId="55C3D7D8">
            <w:pPr>
              <w:wordWrap w:val="0"/>
              <w:jc w:val="left"/>
              <w:rPr>
                <w:rFonts w:ascii="宋体" w:hAnsi="宋体"/>
                <w:color w:val="auto"/>
                <w:sz w:val="22"/>
                <w:szCs w:val="18"/>
                <w:highlight w:val="none"/>
              </w:rPr>
            </w:pPr>
            <w:r>
              <w:rPr>
                <w:rFonts w:hint="eastAsia" w:ascii="宋体" w:hAnsi="宋体"/>
                <w:color w:val="auto"/>
                <w:sz w:val="22"/>
                <w:szCs w:val="18"/>
                <w:highlight w:val="none"/>
              </w:rPr>
              <w:t>不接受</w:t>
            </w:r>
          </w:p>
        </w:tc>
        <w:tc>
          <w:tcPr>
            <w:tcW w:w="1554" w:type="dxa"/>
            <w:noWrap w:val="0"/>
            <w:vAlign w:val="center"/>
          </w:tcPr>
          <w:p w14:paraId="5A84DE57">
            <w:pPr>
              <w:wordWrap w:val="0"/>
              <w:jc w:val="center"/>
              <w:rPr>
                <w:rFonts w:ascii="宋体" w:hAnsi="宋体"/>
                <w:color w:val="auto"/>
                <w:sz w:val="22"/>
                <w:szCs w:val="18"/>
                <w:highlight w:val="none"/>
              </w:rPr>
            </w:pPr>
          </w:p>
        </w:tc>
      </w:tr>
      <w:tr w14:paraId="7DED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26" w:type="dxa"/>
            <w:noWrap w:val="0"/>
            <w:vAlign w:val="center"/>
          </w:tcPr>
          <w:p w14:paraId="4E64DC1F">
            <w:pPr>
              <w:wordWrap w:val="0"/>
              <w:jc w:val="center"/>
              <w:rPr>
                <w:rFonts w:ascii="宋体" w:hAnsi="宋体"/>
                <w:color w:val="auto"/>
                <w:sz w:val="22"/>
                <w:szCs w:val="18"/>
                <w:highlight w:val="none"/>
              </w:rPr>
            </w:pPr>
            <w:r>
              <w:rPr>
                <w:rFonts w:hint="eastAsia" w:ascii="宋体" w:hAnsi="宋体"/>
                <w:color w:val="auto"/>
                <w:sz w:val="22"/>
                <w:szCs w:val="18"/>
                <w:highlight w:val="none"/>
              </w:rPr>
              <w:t>5</w:t>
            </w:r>
          </w:p>
        </w:tc>
        <w:tc>
          <w:tcPr>
            <w:tcW w:w="2047" w:type="dxa"/>
            <w:noWrap w:val="0"/>
            <w:vAlign w:val="center"/>
          </w:tcPr>
          <w:p w14:paraId="1D328957">
            <w:pPr>
              <w:wordWrap w:val="0"/>
              <w:jc w:val="center"/>
              <w:rPr>
                <w:rFonts w:ascii="宋体" w:hAnsi="宋体"/>
                <w:color w:val="auto"/>
                <w:sz w:val="22"/>
                <w:szCs w:val="18"/>
                <w:highlight w:val="none"/>
              </w:rPr>
            </w:pPr>
            <w:r>
              <w:rPr>
                <w:rFonts w:hint="eastAsia" w:ascii="宋体" w:hAnsi="宋体"/>
                <w:color w:val="auto"/>
                <w:sz w:val="22"/>
                <w:szCs w:val="18"/>
                <w:highlight w:val="none"/>
              </w:rPr>
              <w:t>分包</w:t>
            </w:r>
          </w:p>
        </w:tc>
        <w:tc>
          <w:tcPr>
            <w:tcW w:w="2256" w:type="dxa"/>
            <w:noWrap w:val="0"/>
            <w:vAlign w:val="center"/>
          </w:tcPr>
          <w:p w14:paraId="2455DF29">
            <w:pPr>
              <w:wordWrap w:val="0"/>
              <w:jc w:val="left"/>
              <w:rPr>
                <w:rFonts w:ascii="宋体" w:hAnsi="宋体"/>
                <w:color w:val="auto"/>
                <w:sz w:val="22"/>
                <w:szCs w:val="18"/>
                <w:highlight w:val="none"/>
              </w:rPr>
            </w:pPr>
            <w:r>
              <w:rPr>
                <w:rFonts w:hint="eastAsia" w:ascii="宋体" w:hAnsi="宋体"/>
                <w:color w:val="auto"/>
                <w:sz w:val="22"/>
                <w:szCs w:val="18"/>
                <w:highlight w:val="none"/>
              </w:rPr>
              <w:t>不允许</w:t>
            </w:r>
          </w:p>
        </w:tc>
        <w:tc>
          <w:tcPr>
            <w:tcW w:w="1554" w:type="dxa"/>
            <w:noWrap w:val="0"/>
            <w:vAlign w:val="center"/>
          </w:tcPr>
          <w:p w14:paraId="43BC538D">
            <w:pPr>
              <w:wordWrap w:val="0"/>
              <w:jc w:val="center"/>
              <w:rPr>
                <w:rFonts w:ascii="宋体" w:hAnsi="宋体"/>
                <w:color w:val="auto"/>
                <w:sz w:val="22"/>
                <w:szCs w:val="18"/>
                <w:highlight w:val="none"/>
              </w:rPr>
            </w:pPr>
          </w:p>
        </w:tc>
      </w:tr>
      <w:tr w14:paraId="37A7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26" w:type="dxa"/>
            <w:noWrap w:val="0"/>
            <w:vAlign w:val="center"/>
          </w:tcPr>
          <w:p w14:paraId="0DC1778F">
            <w:pPr>
              <w:wordWrap w:val="0"/>
              <w:jc w:val="center"/>
              <w:rPr>
                <w:rFonts w:ascii="宋体" w:hAnsi="宋体"/>
                <w:color w:val="auto"/>
                <w:sz w:val="22"/>
                <w:szCs w:val="18"/>
                <w:highlight w:val="none"/>
              </w:rPr>
            </w:pPr>
            <w:r>
              <w:rPr>
                <w:rFonts w:hint="eastAsia" w:ascii="宋体" w:hAnsi="宋体"/>
                <w:color w:val="auto"/>
                <w:sz w:val="22"/>
                <w:szCs w:val="18"/>
                <w:highlight w:val="none"/>
              </w:rPr>
              <w:t>6</w:t>
            </w:r>
          </w:p>
        </w:tc>
        <w:tc>
          <w:tcPr>
            <w:tcW w:w="2047" w:type="dxa"/>
            <w:noWrap w:val="0"/>
            <w:vAlign w:val="center"/>
          </w:tcPr>
          <w:p w14:paraId="09E032AB">
            <w:pPr>
              <w:wordWrap w:val="0"/>
              <w:jc w:val="center"/>
              <w:rPr>
                <w:rFonts w:ascii="宋体" w:hAnsi="宋体"/>
                <w:color w:val="auto"/>
                <w:sz w:val="22"/>
                <w:szCs w:val="18"/>
                <w:highlight w:val="none"/>
              </w:rPr>
            </w:pPr>
            <w:r>
              <w:rPr>
                <w:rFonts w:hint="eastAsia" w:ascii="宋体" w:hAnsi="宋体"/>
                <w:color w:val="auto"/>
                <w:sz w:val="22"/>
                <w:szCs w:val="18"/>
                <w:highlight w:val="none"/>
                <w:lang w:eastAsia="zh-CN"/>
              </w:rPr>
              <w:t>谈判</w:t>
            </w:r>
            <w:r>
              <w:rPr>
                <w:rFonts w:hint="eastAsia" w:ascii="宋体" w:hAnsi="宋体"/>
                <w:color w:val="auto"/>
                <w:sz w:val="22"/>
                <w:szCs w:val="18"/>
                <w:highlight w:val="none"/>
              </w:rPr>
              <w:t>有效期</w:t>
            </w:r>
          </w:p>
        </w:tc>
        <w:tc>
          <w:tcPr>
            <w:tcW w:w="2256" w:type="dxa"/>
            <w:noWrap w:val="0"/>
            <w:vAlign w:val="center"/>
          </w:tcPr>
          <w:p w14:paraId="033981C1">
            <w:pPr>
              <w:wordWrap w:val="0"/>
              <w:jc w:val="left"/>
              <w:rPr>
                <w:rFonts w:ascii="宋体" w:hAnsi="宋体"/>
                <w:color w:val="auto"/>
                <w:sz w:val="22"/>
                <w:szCs w:val="18"/>
                <w:highlight w:val="none"/>
              </w:rPr>
            </w:pPr>
            <w:r>
              <w:rPr>
                <w:rFonts w:hint="eastAsia" w:ascii="宋体" w:hAnsi="宋体"/>
                <w:color w:val="auto"/>
                <w:sz w:val="22"/>
                <w:szCs w:val="18"/>
                <w:highlight w:val="none"/>
              </w:rPr>
              <w:t>响应文件截止之日后90天（日历天）</w:t>
            </w:r>
          </w:p>
        </w:tc>
        <w:tc>
          <w:tcPr>
            <w:tcW w:w="1554" w:type="dxa"/>
            <w:noWrap w:val="0"/>
            <w:vAlign w:val="center"/>
          </w:tcPr>
          <w:p w14:paraId="5F30CE61">
            <w:pPr>
              <w:wordWrap w:val="0"/>
              <w:jc w:val="center"/>
              <w:rPr>
                <w:rFonts w:ascii="宋体" w:hAnsi="宋体"/>
                <w:color w:val="auto"/>
                <w:sz w:val="22"/>
                <w:szCs w:val="18"/>
                <w:highlight w:val="none"/>
              </w:rPr>
            </w:pPr>
          </w:p>
        </w:tc>
      </w:tr>
      <w:tr w14:paraId="2F3F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6DF0AE78">
            <w:pPr>
              <w:wordWrap w:val="0"/>
              <w:jc w:val="center"/>
              <w:rPr>
                <w:rFonts w:hint="default" w:ascii="宋体" w:hAnsi="宋体" w:eastAsia="宋体"/>
                <w:color w:val="auto"/>
                <w:sz w:val="22"/>
                <w:szCs w:val="18"/>
                <w:highlight w:val="none"/>
                <w:lang w:val="en-US" w:eastAsia="zh-CN"/>
              </w:rPr>
            </w:pPr>
            <w:r>
              <w:rPr>
                <w:rFonts w:hint="eastAsia" w:ascii="宋体" w:hAnsi="宋体"/>
                <w:color w:val="auto"/>
                <w:sz w:val="22"/>
                <w:szCs w:val="18"/>
                <w:highlight w:val="none"/>
                <w:lang w:val="en-US" w:eastAsia="zh-CN"/>
              </w:rPr>
              <w:t>7</w:t>
            </w:r>
          </w:p>
        </w:tc>
        <w:tc>
          <w:tcPr>
            <w:tcW w:w="2047" w:type="dxa"/>
            <w:noWrap w:val="0"/>
            <w:vAlign w:val="center"/>
          </w:tcPr>
          <w:p w14:paraId="64750052">
            <w:pPr>
              <w:wordWrap w:val="0"/>
              <w:jc w:val="center"/>
              <w:rPr>
                <w:rFonts w:hint="eastAsia" w:ascii="宋体" w:hAnsi="宋体"/>
                <w:color w:val="auto"/>
                <w:sz w:val="22"/>
                <w:szCs w:val="18"/>
                <w:highlight w:val="none"/>
              </w:rPr>
            </w:pPr>
            <w:r>
              <w:rPr>
                <w:rFonts w:hint="eastAsia" w:ascii="宋体" w:hAnsi="宋体"/>
                <w:color w:val="auto"/>
                <w:sz w:val="22"/>
                <w:szCs w:val="18"/>
                <w:highlight w:val="none"/>
              </w:rPr>
              <w:t>权利义务</w:t>
            </w:r>
          </w:p>
        </w:tc>
        <w:tc>
          <w:tcPr>
            <w:tcW w:w="2256" w:type="dxa"/>
            <w:noWrap w:val="0"/>
            <w:vAlign w:val="center"/>
          </w:tcPr>
          <w:p w14:paraId="1E2B4293">
            <w:pPr>
              <w:wordWrap w:val="0"/>
              <w:jc w:val="left"/>
              <w:rPr>
                <w:rFonts w:hint="eastAsia" w:ascii="宋体" w:hAnsi="宋体"/>
                <w:color w:val="auto"/>
                <w:sz w:val="22"/>
                <w:szCs w:val="18"/>
                <w:highlight w:val="none"/>
              </w:rPr>
            </w:pPr>
            <w:r>
              <w:rPr>
                <w:rFonts w:hint="eastAsia" w:ascii="宋体" w:hAnsi="宋体"/>
                <w:color w:val="auto"/>
                <w:sz w:val="22"/>
                <w:szCs w:val="18"/>
                <w:highlight w:val="none"/>
              </w:rPr>
              <w:t>符合第</w:t>
            </w:r>
            <w:r>
              <w:rPr>
                <w:rFonts w:hint="eastAsia" w:ascii="宋体" w:hAnsi="宋体"/>
                <w:color w:val="auto"/>
                <w:sz w:val="22"/>
                <w:szCs w:val="18"/>
                <w:highlight w:val="none"/>
                <w:lang w:eastAsia="zh-CN"/>
              </w:rPr>
              <w:t>五</w:t>
            </w:r>
            <w:r>
              <w:rPr>
                <w:rFonts w:hint="eastAsia" w:ascii="宋体" w:hAnsi="宋体"/>
                <w:color w:val="auto"/>
                <w:sz w:val="22"/>
                <w:szCs w:val="18"/>
                <w:highlight w:val="none"/>
              </w:rPr>
              <w:t>章“合同</w:t>
            </w:r>
            <w:r>
              <w:rPr>
                <w:rFonts w:hint="eastAsia" w:ascii="宋体" w:hAnsi="宋体"/>
                <w:color w:val="auto"/>
                <w:sz w:val="22"/>
                <w:szCs w:val="18"/>
                <w:highlight w:val="none"/>
                <w:lang w:eastAsia="zh-CN"/>
              </w:rPr>
              <w:t>主要</w:t>
            </w:r>
            <w:r>
              <w:rPr>
                <w:rFonts w:hint="eastAsia" w:ascii="宋体" w:hAnsi="宋体"/>
                <w:color w:val="auto"/>
                <w:sz w:val="22"/>
                <w:szCs w:val="18"/>
                <w:highlight w:val="none"/>
              </w:rPr>
              <w:t>条款及格式”规定</w:t>
            </w:r>
          </w:p>
        </w:tc>
        <w:tc>
          <w:tcPr>
            <w:tcW w:w="1554" w:type="dxa"/>
            <w:noWrap w:val="0"/>
            <w:vAlign w:val="center"/>
          </w:tcPr>
          <w:p w14:paraId="36F62951">
            <w:pPr>
              <w:wordWrap w:val="0"/>
              <w:jc w:val="center"/>
              <w:rPr>
                <w:rFonts w:ascii="宋体" w:hAnsi="宋体"/>
                <w:color w:val="auto"/>
                <w:sz w:val="22"/>
                <w:szCs w:val="18"/>
                <w:highlight w:val="none"/>
              </w:rPr>
            </w:pPr>
          </w:p>
        </w:tc>
      </w:tr>
      <w:tr w14:paraId="28BC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04BAFBF7">
            <w:pPr>
              <w:wordWrap w:val="0"/>
              <w:jc w:val="center"/>
              <w:rPr>
                <w:rFonts w:ascii="宋体" w:hAnsi="宋体"/>
                <w:color w:val="auto"/>
                <w:sz w:val="22"/>
                <w:szCs w:val="18"/>
                <w:highlight w:val="none"/>
              </w:rPr>
            </w:pPr>
            <w:r>
              <w:rPr>
                <w:rFonts w:hint="eastAsia" w:ascii="宋体" w:hAnsi="宋体"/>
                <w:color w:val="auto"/>
                <w:sz w:val="22"/>
                <w:szCs w:val="18"/>
                <w:highlight w:val="none"/>
              </w:rPr>
              <w:t>……</w:t>
            </w:r>
          </w:p>
        </w:tc>
        <w:tc>
          <w:tcPr>
            <w:tcW w:w="2047" w:type="dxa"/>
            <w:noWrap w:val="0"/>
            <w:vAlign w:val="center"/>
          </w:tcPr>
          <w:p w14:paraId="57BC2CAE">
            <w:pPr>
              <w:wordWrap w:val="0"/>
              <w:jc w:val="center"/>
              <w:rPr>
                <w:rFonts w:ascii="宋体" w:hAnsi="宋体"/>
                <w:color w:val="auto"/>
                <w:sz w:val="22"/>
                <w:szCs w:val="18"/>
                <w:highlight w:val="none"/>
              </w:rPr>
            </w:pPr>
            <w:r>
              <w:rPr>
                <w:rFonts w:hint="eastAsia" w:ascii="宋体" w:hAnsi="宋体"/>
                <w:color w:val="auto"/>
                <w:sz w:val="22"/>
                <w:szCs w:val="18"/>
                <w:highlight w:val="none"/>
              </w:rPr>
              <w:t>……</w:t>
            </w:r>
          </w:p>
        </w:tc>
        <w:tc>
          <w:tcPr>
            <w:tcW w:w="2256" w:type="dxa"/>
            <w:noWrap w:val="0"/>
            <w:vAlign w:val="center"/>
          </w:tcPr>
          <w:p w14:paraId="4A89405C">
            <w:pPr>
              <w:wordWrap w:val="0"/>
              <w:jc w:val="center"/>
              <w:rPr>
                <w:rFonts w:ascii="宋体" w:hAnsi="宋体"/>
                <w:color w:val="auto"/>
                <w:sz w:val="22"/>
                <w:szCs w:val="18"/>
                <w:highlight w:val="none"/>
              </w:rPr>
            </w:pPr>
          </w:p>
        </w:tc>
        <w:tc>
          <w:tcPr>
            <w:tcW w:w="1554" w:type="dxa"/>
            <w:noWrap w:val="0"/>
            <w:vAlign w:val="center"/>
          </w:tcPr>
          <w:p w14:paraId="034C85D5">
            <w:pPr>
              <w:wordWrap w:val="0"/>
              <w:jc w:val="center"/>
              <w:rPr>
                <w:rFonts w:ascii="宋体" w:hAnsi="宋体"/>
                <w:color w:val="auto"/>
                <w:sz w:val="22"/>
                <w:szCs w:val="18"/>
                <w:highlight w:val="none"/>
              </w:rPr>
            </w:pPr>
          </w:p>
        </w:tc>
      </w:tr>
    </w:tbl>
    <w:p w14:paraId="67A3E2D2">
      <w:pPr>
        <w:wordWrap w:val="0"/>
        <w:spacing w:line="480" w:lineRule="auto"/>
        <w:ind w:firstLine="480" w:firstLineChars="200"/>
        <w:rPr>
          <w:rFonts w:hint="eastAsia" w:ascii="宋体" w:hAnsi="宋体"/>
          <w:color w:val="auto"/>
          <w:sz w:val="24"/>
          <w:highlight w:val="none"/>
        </w:rPr>
      </w:pPr>
    </w:p>
    <w:p w14:paraId="473CABF4">
      <w:pPr>
        <w:wordWrap w:val="0"/>
        <w:spacing w:line="480" w:lineRule="auto"/>
        <w:ind w:firstLine="480" w:firstLineChars="200"/>
        <w:rPr>
          <w:rFonts w:hint="eastAsia" w:ascii="宋体" w:hAnsi="宋体"/>
          <w:color w:val="auto"/>
          <w:sz w:val="24"/>
          <w:highlight w:val="none"/>
        </w:rPr>
      </w:pPr>
    </w:p>
    <w:p w14:paraId="03E3C4FA">
      <w:pPr>
        <w:wordWrap w:val="0"/>
        <w:spacing w:line="480" w:lineRule="auto"/>
        <w:ind w:firstLine="480" w:firstLineChars="200"/>
        <w:rPr>
          <w:rFonts w:hint="eastAsia" w:ascii="宋体" w:hAnsi="宋体"/>
          <w:color w:val="auto"/>
          <w:sz w:val="24"/>
          <w:highlight w:val="none"/>
        </w:rPr>
      </w:pPr>
    </w:p>
    <w:p w14:paraId="347C7CEA">
      <w:pPr>
        <w:wordWrap w:val="0"/>
        <w:spacing w:line="480" w:lineRule="auto"/>
        <w:ind w:firstLine="480" w:firstLineChars="200"/>
        <w:rPr>
          <w:rFonts w:hint="eastAsia" w:ascii="宋体" w:hAnsi="宋体"/>
          <w:color w:val="auto"/>
          <w:sz w:val="24"/>
          <w:highlight w:val="none"/>
        </w:rPr>
      </w:pPr>
    </w:p>
    <w:p w14:paraId="523AD68E">
      <w:pPr>
        <w:wordWrap w:val="0"/>
        <w:spacing w:line="480" w:lineRule="auto"/>
        <w:ind w:firstLine="480" w:firstLineChars="200"/>
        <w:rPr>
          <w:rFonts w:hint="eastAsia" w:ascii="宋体" w:hAnsi="宋体"/>
          <w:color w:val="auto"/>
          <w:sz w:val="24"/>
          <w:highlight w:val="none"/>
        </w:rPr>
      </w:pPr>
    </w:p>
    <w:p w14:paraId="39B05DFB">
      <w:pPr>
        <w:wordWrap w:val="0"/>
        <w:spacing w:line="480" w:lineRule="auto"/>
        <w:ind w:firstLine="480" w:firstLineChars="200"/>
        <w:rPr>
          <w:rFonts w:ascii="宋体" w:hAnsi="宋体"/>
          <w:color w:val="auto"/>
          <w:sz w:val="24"/>
          <w:highlight w:val="none"/>
        </w:rPr>
      </w:pPr>
      <w:r>
        <w:rPr>
          <w:rFonts w:hint="eastAsia" w:ascii="宋体" w:hAnsi="宋体"/>
          <w:color w:val="auto"/>
          <w:sz w:val="24"/>
          <w:highlight w:val="none"/>
        </w:rPr>
        <w:t>供应商名称：</w:t>
      </w:r>
      <w:r>
        <w:rPr>
          <w:rFonts w:hint="eastAsia" w:ascii="宋体" w:hAnsi="宋体"/>
          <w:color w:val="auto"/>
          <w:sz w:val="24"/>
          <w:szCs w:val="21"/>
          <w:highlight w:val="none"/>
          <w:u w:val="single"/>
        </w:rPr>
        <w:t xml:space="preserve">                                 </w:t>
      </w:r>
      <w:r>
        <w:rPr>
          <w:rFonts w:hint="eastAsia" w:ascii="宋体" w:hAnsi="宋体"/>
          <w:color w:val="auto"/>
          <w:sz w:val="24"/>
          <w:highlight w:val="none"/>
        </w:rPr>
        <w:t>（盖单位公章）</w:t>
      </w:r>
    </w:p>
    <w:p w14:paraId="71A9F314">
      <w:pPr>
        <w:wordWrap w:val="0"/>
        <w:spacing w:line="480" w:lineRule="auto"/>
        <w:ind w:firstLine="480" w:firstLineChars="200"/>
        <w:rPr>
          <w:rFonts w:ascii="宋体" w:hAnsi="宋体"/>
          <w:color w:val="auto"/>
          <w:sz w:val="24"/>
          <w:highlight w:val="none"/>
        </w:rPr>
      </w:pPr>
      <w:r>
        <w:rPr>
          <w:rFonts w:hint="eastAsia" w:ascii="宋体" w:hAnsi="宋体"/>
          <w:bCs/>
          <w:color w:val="auto"/>
          <w:sz w:val="24"/>
          <w:highlight w:val="none"/>
        </w:rPr>
        <w:t>法定代表人或委托代理人</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（签字或签章）</w:t>
      </w:r>
    </w:p>
    <w:p w14:paraId="3E760484">
      <w:pPr>
        <w:wordWrap w:val="0"/>
        <w:spacing w:line="480" w:lineRule="auto"/>
        <w:ind w:firstLine="480" w:firstLineChars="200"/>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A00F059">
      <w:pPr>
        <w:rPr>
          <w:rFonts w:hint="eastAsia" w:ascii="宋体" w:hAnsi="宋体" w:cs="宋体"/>
          <w:highlight w:val="none"/>
        </w:rPr>
      </w:pPr>
    </w:p>
    <w:p w14:paraId="286D887D">
      <w:pPr>
        <w:rPr>
          <w:rFonts w:hint="eastAsia" w:ascii="宋体" w:hAnsi="宋体" w:cs="宋体"/>
          <w:highlight w:val="none"/>
        </w:rPr>
      </w:pPr>
      <w:r>
        <w:rPr>
          <w:rFonts w:hint="eastAsia" w:ascii="宋体" w:hAnsi="宋体" w:cs="宋体"/>
          <w:highlight w:val="none"/>
        </w:rPr>
        <w:br w:type="page"/>
      </w:r>
    </w:p>
    <w:p w14:paraId="77CF33F8">
      <w:pPr>
        <w:pStyle w:val="3"/>
        <w:jc w:val="center"/>
        <w:rPr>
          <w:rFonts w:ascii="宋体" w:hAnsi="宋体" w:cs="宋体"/>
          <w:highlight w:val="none"/>
        </w:rPr>
      </w:pPr>
      <w:bookmarkStart w:id="57" w:name="_Toc14284"/>
      <w:r>
        <w:rPr>
          <w:rFonts w:hint="eastAsia" w:ascii="宋体" w:hAnsi="宋体" w:cs="宋体"/>
          <w:highlight w:val="none"/>
        </w:rPr>
        <w:t>二、法定代表人身份证明</w:t>
      </w:r>
      <w:bookmarkEnd w:id="47"/>
      <w:bookmarkEnd w:id="48"/>
      <w:bookmarkEnd w:id="49"/>
      <w:bookmarkEnd w:id="50"/>
      <w:bookmarkEnd w:id="51"/>
      <w:bookmarkEnd w:id="52"/>
      <w:bookmarkEnd w:id="53"/>
      <w:bookmarkEnd w:id="54"/>
      <w:bookmarkEnd w:id="55"/>
      <w:bookmarkEnd w:id="56"/>
      <w:bookmarkEnd w:id="57"/>
    </w:p>
    <w:p w14:paraId="1A6FFE71">
      <w:pPr>
        <w:spacing w:line="480" w:lineRule="auto"/>
        <w:ind w:firstLine="480" w:firstLineChars="200"/>
        <w:rPr>
          <w:rFonts w:ascii="宋体" w:hAnsi="宋体" w:cs="宋体"/>
          <w:szCs w:val="21"/>
          <w:highlight w:val="none"/>
          <w:u w:val="single"/>
        </w:rPr>
      </w:pPr>
      <w:r>
        <w:rPr>
          <w:rFonts w:hint="eastAsia" w:ascii="宋体" w:hAnsi="宋体"/>
          <w:color w:val="auto"/>
          <w:sz w:val="24"/>
          <w:szCs w:val="21"/>
          <w:highlight w:val="none"/>
        </w:rPr>
        <w:t>供应商名称</w:t>
      </w:r>
      <w:r>
        <w:rPr>
          <w:rFonts w:hint="eastAsia" w:ascii="宋体" w:hAnsi="宋体" w:cs="宋体"/>
          <w:szCs w:val="21"/>
          <w:highlight w:val="none"/>
        </w:rPr>
        <w:t>：</w:t>
      </w:r>
      <w:r>
        <w:rPr>
          <w:rFonts w:hint="eastAsia" w:ascii="宋体" w:hAnsi="宋体" w:cs="宋体"/>
          <w:szCs w:val="21"/>
          <w:highlight w:val="none"/>
          <w:u w:val="single"/>
        </w:rPr>
        <w:t xml:space="preserve">                             </w:t>
      </w:r>
    </w:p>
    <w:p w14:paraId="62360B09">
      <w:pPr>
        <w:tabs>
          <w:tab w:val="left" w:pos="1710"/>
        </w:tabs>
        <w:wordWrap w:val="0"/>
        <w:spacing w:line="480" w:lineRule="auto"/>
        <w:ind w:firstLine="480" w:firstLineChars="200"/>
        <w:rPr>
          <w:rFonts w:ascii="宋体" w:hAnsi="宋体"/>
          <w:color w:val="auto"/>
          <w:sz w:val="24"/>
          <w:szCs w:val="21"/>
          <w:highlight w:val="none"/>
        </w:rPr>
      </w:pPr>
      <w:bookmarkStart w:id="58" w:name="_Toc152045792"/>
      <w:bookmarkStart w:id="59" w:name="_Toc238797664"/>
      <w:bookmarkStart w:id="60" w:name="_Toc262740155"/>
      <w:bookmarkStart w:id="61" w:name="_Toc144974861"/>
      <w:bookmarkStart w:id="62" w:name="_Toc238552302"/>
      <w:bookmarkStart w:id="63" w:name="_Toc152042581"/>
      <w:r>
        <w:rPr>
          <w:rFonts w:hint="eastAsia" w:ascii="宋体" w:hAnsi="宋体"/>
          <w:color w:val="auto"/>
          <w:sz w:val="24"/>
          <w:szCs w:val="21"/>
          <w:highlight w:val="none"/>
        </w:rPr>
        <w:t>单位性质:</w:t>
      </w:r>
      <w:r>
        <w:rPr>
          <w:rFonts w:hint="eastAsia" w:ascii="宋体" w:hAnsi="宋体"/>
          <w:color w:val="auto"/>
          <w:sz w:val="24"/>
          <w:szCs w:val="21"/>
          <w:highlight w:val="none"/>
          <w:u w:val="single"/>
        </w:rPr>
        <w:t xml:space="preserve">                                            </w:t>
      </w:r>
    </w:p>
    <w:p w14:paraId="09B88FB0">
      <w:pPr>
        <w:tabs>
          <w:tab w:val="left" w:pos="1710"/>
        </w:tabs>
        <w:wordWrap w:val="0"/>
        <w:spacing w:line="48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地    址：</w:t>
      </w:r>
      <w:r>
        <w:rPr>
          <w:rFonts w:hint="eastAsia" w:ascii="宋体" w:hAnsi="宋体"/>
          <w:color w:val="auto"/>
          <w:sz w:val="24"/>
          <w:szCs w:val="21"/>
          <w:highlight w:val="none"/>
          <w:u w:val="single"/>
        </w:rPr>
        <w:t xml:space="preserve">                                           </w:t>
      </w:r>
    </w:p>
    <w:p w14:paraId="13CA95DC">
      <w:pPr>
        <w:tabs>
          <w:tab w:val="left" w:pos="1710"/>
        </w:tabs>
        <w:wordWrap w:val="0"/>
        <w:spacing w:line="48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成立时间：</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年</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月</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日</w:t>
      </w:r>
    </w:p>
    <w:p w14:paraId="37D86F0C">
      <w:pPr>
        <w:tabs>
          <w:tab w:val="left" w:pos="1710"/>
        </w:tabs>
        <w:wordWrap w:val="0"/>
        <w:spacing w:line="48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经营期限：</w:t>
      </w:r>
      <w:r>
        <w:rPr>
          <w:rFonts w:hint="eastAsia" w:ascii="宋体" w:hAnsi="宋体"/>
          <w:color w:val="auto"/>
          <w:sz w:val="24"/>
          <w:szCs w:val="21"/>
          <w:highlight w:val="none"/>
          <w:u w:val="single"/>
        </w:rPr>
        <w:t xml:space="preserve">                                           </w:t>
      </w:r>
    </w:p>
    <w:p w14:paraId="2CF35CA5">
      <w:pPr>
        <w:tabs>
          <w:tab w:val="left" w:pos="1710"/>
        </w:tabs>
        <w:wordWrap w:val="0"/>
        <w:spacing w:line="480" w:lineRule="auto"/>
        <w:ind w:firstLine="480" w:firstLineChars="200"/>
        <w:rPr>
          <w:rFonts w:ascii="宋体" w:hAnsi="宋体"/>
          <w:color w:val="auto"/>
          <w:sz w:val="24"/>
          <w:szCs w:val="21"/>
          <w:highlight w:val="none"/>
          <w:u w:val="single"/>
        </w:rPr>
      </w:pPr>
      <w:r>
        <w:rPr>
          <w:rFonts w:hint="eastAsia" w:ascii="宋体" w:hAnsi="宋体"/>
          <w:color w:val="auto"/>
          <w:sz w:val="24"/>
          <w:szCs w:val="21"/>
          <w:highlight w:val="none"/>
        </w:rPr>
        <w:t>姓    名：</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性     别：</w:t>
      </w:r>
      <w:r>
        <w:rPr>
          <w:rFonts w:hint="eastAsia" w:ascii="宋体" w:hAnsi="宋体"/>
          <w:color w:val="auto"/>
          <w:sz w:val="24"/>
          <w:szCs w:val="21"/>
          <w:highlight w:val="none"/>
          <w:u w:val="single"/>
        </w:rPr>
        <w:t xml:space="preserve">                </w:t>
      </w:r>
    </w:p>
    <w:p w14:paraId="3820229C">
      <w:pPr>
        <w:tabs>
          <w:tab w:val="left" w:pos="1710"/>
        </w:tabs>
        <w:wordWrap w:val="0"/>
        <w:spacing w:line="480" w:lineRule="auto"/>
        <w:ind w:firstLine="480" w:firstLineChars="200"/>
        <w:rPr>
          <w:rFonts w:ascii="宋体" w:hAnsi="宋体"/>
          <w:color w:val="auto"/>
          <w:sz w:val="24"/>
          <w:szCs w:val="21"/>
          <w:highlight w:val="none"/>
          <w:u w:val="single"/>
        </w:rPr>
      </w:pPr>
      <w:r>
        <w:rPr>
          <w:rFonts w:hint="eastAsia" w:ascii="宋体" w:hAnsi="宋体"/>
          <w:color w:val="auto"/>
          <w:sz w:val="24"/>
          <w:szCs w:val="21"/>
          <w:highlight w:val="none"/>
        </w:rPr>
        <w:t>年    龄：</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职     务：</w:t>
      </w:r>
      <w:r>
        <w:rPr>
          <w:rFonts w:hint="eastAsia" w:ascii="宋体" w:hAnsi="宋体"/>
          <w:color w:val="auto"/>
          <w:sz w:val="24"/>
          <w:szCs w:val="21"/>
          <w:highlight w:val="none"/>
          <w:u w:val="single"/>
        </w:rPr>
        <w:t xml:space="preserve">                </w:t>
      </w:r>
    </w:p>
    <w:p w14:paraId="1BC173D2">
      <w:pPr>
        <w:tabs>
          <w:tab w:val="left" w:pos="1710"/>
        </w:tabs>
        <w:wordWrap w:val="0"/>
        <w:spacing w:line="48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系</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名称</w:t>
      </w:r>
      <w:r>
        <w:rPr>
          <w:rFonts w:hint="eastAsia" w:ascii="宋体" w:hAnsi="宋体"/>
          <w:color w:val="auto"/>
          <w:sz w:val="24"/>
          <w:szCs w:val="21"/>
          <w:highlight w:val="none"/>
        </w:rPr>
        <w:t>）的法定代表人。</w:t>
      </w:r>
    </w:p>
    <w:p w14:paraId="35D632A2">
      <w:pPr>
        <w:tabs>
          <w:tab w:val="left" w:pos="1710"/>
        </w:tabs>
        <w:wordWrap w:val="0"/>
        <w:spacing w:line="480" w:lineRule="auto"/>
        <w:ind w:firstLine="480" w:firstLineChars="200"/>
        <w:rPr>
          <w:rFonts w:hint="eastAsia" w:ascii="宋体" w:hAnsi="宋体"/>
          <w:color w:val="auto"/>
          <w:sz w:val="24"/>
          <w:highlight w:val="none"/>
        </w:rPr>
      </w:pPr>
      <w:r>
        <w:rPr>
          <w:rFonts w:hint="eastAsia" w:ascii="宋体" w:hAnsi="宋体"/>
          <w:color w:val="auto"/>
          <w:sz w:val="24"/>
          <w:szCs w:val="21"/>
          <w:highlight w:val="none"/>
        </w:rPr>
        <w:t>特此证明。</w:t>
      </w:r>
    </w:p>
    <w:tbl>
      <w:tblPr>
        <w:tblStyle w:val="18"/>
        <w:tblW w:w="0" w:type="auto"/>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420"/>
      </w:tblGrid>
      <w:tr w14:paraId="23AAB5B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76" w:hRule="atLeast"/>
        </w:trPr>
        <w:tc>
          <w:tcPr>
            <w:tcW w:w="6420" w:type="dxa"/>
            <w:noWrap w:val="0"/>
            <w:vAlign w:val="center"/>
          </w:tcPr>
          <w:p w14:paraId="438939D8">
            <w:pPr>
              <w:spacing w:line="360" w:lineRule="auto"/>
              <w:jc w:val="center"/>
              <w:rPr>
                <w:rFonts w:ascii="宋体" w:hAnsi="宋体"/>
                <w:b/>
                <w:color w:val="auto"/>
                <w:sz w:val="24"/>
                <w:highlight w:val="none"/>
              </w:rPr>
            </w:pPr>
            <w:r>
              <w:rPr>
                <w:rFonts w:ascii="宋体" w:hAnsi="宋体"/>
                <w:b/>
                <w:color w:val="auto"/>
                <w:sz w:val="24"/>
                <w:highlight w:val="none"/>
              </w:rPr>
              <w:t>法定代表人居民身份证复印件（正面）</w:t>
            </w:r>
          </w:p>
        </w:tc>
      </w:tr>
      <w:tr w14:paraId="6E09F4B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76" w:hRule="atLeast"/>
        </w:trPr>
        <w:tc>
          <w:tcPr>
            <w:tcW w:w="6420" w:type="dxa"/>
            <w:noWrap w:val="0"/>
            <w:vAlign w:val="center"/>
          </w:tcPr>
          <w:p w14:paraId="5C8233E5">
            <w:pPr>
              <w:spacing w:line="360" w:lineRule="auto"/>
              <w:jc w:val="center"/>
              <w:rPr>
                <w:rFonts w:ascii="宋体" w:hAnsi="宋体"/>
                <w:b/>
                <w:color w:val="auto"/>
                <w:sz w:val="24"/>
                <w:highlight w:val="none"/>
              </w:rPr>
            </w:pPr>
            <w:r>
              <w:rPr>
                <w:rFonts w:ascii="宋体" w:hAnsi="宋体"/>
                <w:b/>
                <w:color w:val="auto"/>
                <w:sz w:val="24"/>
                <w:highlight w:val="none"/>
              </w:rPr>
              <w:t>法定代表人居民身份证复印件（反面）</w:t>
            </w:r>
          </w:p>
        </w:tc>
      </w:tr>
    </w:tbl>
    <w:p w14:paraId="6F2B38AE">
      <w:pPr>
        <w:wordWrap w:val="0"/>
        <w:spacing w:line="480" w:lineRule="auto"/>
        <w:ind w:firstLine="480" w:firstLineChars="200"/>
        <w:rPr>
          <w:rFonts w:hint="eastAsia" w:ascii="宋体" w:hAnsi="宋体"/>
          <w:color w:val="auto"/>
          <w:sz w:val="24"/>
          <w:highlight w:val="none"/>
        </w:rPr>
      </w:pPr>
    </w:p>
    <w:p w14:paraId="7470EAA9">
      <w:pPr>
        <w:wordWrap w:val="0"/>
        <w:spacing w:line="480" w:lineRule="auto"/>
        <w:ind w:firstLine="480" w:firstLineChars="200"/>
        <w:rPr>
          <w:rFonts w:ascii="宋体" w:hAnsi="宋体"/>
          <w:color w:val="auto"/>
          <w:sz w:val="24"/>
          <w:highlight w:val="none"/>
        </w:rPr>
      </w:pPr>
      <w:r>
        <w:rPr>
          <w:rFonts w:hint="eastAsia" w:ascii="宋体" w:hAnsi="宋体"/>
          <w:color w:val="auto"/>
          <w:sz w:val="24"/>
          <w:highlight w:val="none"/>
        </w:rPr>
        <w:t>供应商名称：</w:t>
      </w:r>
      <w:r>
        <w:rPr>
          <w:rFonts w:hint="eastAsia" w:ascii="宋体" w:hAnsi="宋体"/>
          <w:color w:val="auto"/>
          <w:sz w:val="24"/>
          <w:szCs w:val="21"/>
          <w:highlight w:val="none"/>
          <w:u w:val="single"/>
        </w:rPr>
        <w:t xml:space="preserve">                                </w:t>
      </w:r>
      <w:r>
        <w:rPr>
          <w:rFonts w:hint="eastAsia" w:ascii="宋体" w:hAnsi="宋体"/>
          <w:color w:val="auto"/>
          <w:sz w:val="24"/>
          <w:highlight w:val="none"/>
        </w:rPr>
        <w:t>（盖单位公章）</w:t>
      </w:r>
    </w:p>
    <w:p w14:paraId="10905A99">
      <w:pPr>
        <w:wordWrap w:val="0"/>
        <w:spacing w:line="480" w:lineRule="auto"/>
        <w:ind w:firstLine="480" w:firstLineChars="200"/>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szCs w:val="21"/>
          <w:highlight w:val="none"/>
          <w:u w:val="single"/>
        </w:rPr>
        <w:t xml:space="preserve">                                </w:t>
      </w:r>
      <w:r>
        <w:rPr>
          <w:rFonts w:hint="eastAsia" w:ascii="宋体" w:hAnsi="宋体"/>
          <w:color w:val="auto"/>
          <w:sz w:val="24"/>
          <w:highlight w:val="none"/>
        </w:rPr>
        <w:t>（签字</w:t>
      </w:r>
      <w:r>
        <w:rPr>
          <w:rFonts w:hint="eastAsia" w:ascii="宋体" w:hAnsi="宋体"/>
          <w:color w:val="auto"/>
          <w:sz w:val="24"/>
          <w:highlight w:val="none"/>
          <w:lang w:val="en-US" w:eastAsia="zh-CN"/>
        </w:rPr>
        <w:t>并</w:t>
      </w:r>
      <w:r>
        <w:rPr>
          <w:rFonts w:hint="eastAsia" w:ascii="宋体" w:hAnsi="宋体"/>
          <w:color w:val="auto"/>
          <w:sz w:val="24"/>
          <w:highlight w:val="none"/>
        </w:rPr>
        <w:t>签章）</w:t>
      </w:r>
    </w:p>
    <w:p w14:paraId="139D15F8">
      <w:pPr>
        <w:wordWrap w:val="0"/>
        <w:spacing w:line="480" w:lineRule="auto"/>
        <w:ind w:firstLine="480" w:firstLineChars="200"/>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8888EF6">
      <w:pPr>
        <w:jc w:val="center"/>
        <w:rPr>
          <w:rFonts w:ascii="宋体" w:hAnsi="宋体" w:cs="宋体"/>
          <w:highlight w:val="none"/>
        </w:rPr>
      </w:pPr>
      <w:r>
        <w:rPr>
          <w:rFonts w:hint="eastAsia" w:ascii="宋体" w:hAnsi="宋体" w:cs="宋体"/>
          <w:highlight w:val="none"/>
        </w:rPr>
        <w:br w:type="page"/>
      </w:r>
      <w:bookmarkStart w:id="64" w:name="_Toc285981646"/>
    </w:p>
    <w:p w14:paraId="3E03A3ED">
      <w:pPr>
        <w:pStyle w:val="3"/>
        <w:jc w:val="center"/>
        <w:rPr>
          <w:rFonts w:hint="eastAsia" w:ascii="宋体" w:hAnsi="宋体" w:eastAsia="宋体" w:cs="宋体"/>
          <w:highlight w:val="none"/>
          <w:lang w:eastAsia="zh-CN"/>
        </w:rPr>
      </w:pPr>
      <w:bookmarkStart w:id="65" w:name="_Toc6778"/>
      <w:bookmarkStart w:id="66" w:name="_Toc435802467"/>
      <w:bookmarkStart w:id="67" w:name="_Toc25608"/>
      <w:bookmarkStart w:id="68" w:name="_Toc1643"/>
      <w:r>
        <w:rPr>
          <w:rFonts w:hint="eastAsia" w:ascii="宋体" w:hAnsi="宋体" w:cs="宋体"/>
          <w:highlight w:val="none"/>
        </w:rPr>
        <w:t>三、授权委托书</w:t>
      </w:r>
      <w:bookmarkEnd w:id="58"/>
      <w:bookmarkEnd w:id="59"/>
      <w:bookmarkEnd w:id="60"/>
      <w:bookmarkEnd w:id="61"/>
      <w:bookmarkEnd w:id="62"/>
      <w:bookmarkEnd w:id="63"/>
      <w:bookmarkEnd w:id="64"/>
      <w:bookmarkEnd w:id="65"/>
      <w:bookmarkEnd w:id="66"/>
      <w:bookmarkEnd w:id="67"/>
      <w:bookmarkEnd w:id="68"/>
      <w:r>
        <w:rPr>
          <w:rFonts w:hint="eastAsia" w:ascii="宋体" w:hAnsi="宋体" w:cs="宋体"/>
          <w:highlight w:val="none"/>
          <w:lang w:eastAsia="zh-CN"/>
        </w:rPr>
        <w:t>（</w:t>
      </w:r>
      <w:r>
        <w:rPr>
          <w:rFonts w:hint="eastAsia" w:ascii="宋体" w:hAnsi="宋体" w:cs="宋体"/>
          <w:highlight w:val="none"/>
          <w:lang w:val="en-US" w:eastAsia="zh-CN"/>
        </w:rPr>
        <w:t>无授权人可不填写</w:t>
      </w:r>
      <w:r>
        <w:rPr>
          <w:rFonts w:hint="eastAsia" w:ascii="宋体" w:hAnsi="宋体" w:cs="宋体"/>
          <w:highlight w:val="none"/>
          <w:lang w:eastAsia="zh-CN"/>
        </w:rPr>
        <w:t>）</w:t>
      </w:r>
    </w:p>
    <w:p w14:paraId="65E7E7D7">
      <w:pPr>
        <w:pStyle w:val="8"/>
        <w:snapToGrid w:val="0"/>
        <w:spacing w:line="480" w:lineRule="auto"/>
        <w:ind w:firstLine="840" w:firstLineChars="400"/>
        <w:rPr>
          <w:rFonts w:hAnsi="宋体" w:cs="宋体"/>
          <w:highlight w:val="none"/>
        </w:rPr>
      </w:pPr>
      <w:r>
        <w:rPr>
          <w:rFonts w:hint="eastAsia" w:hAnsi="宋体" w:cs="宋体"/>
          <w:highlight w:val="none"/>
        </w:rPr>
        <w:t xml:space="preserve">本人 </w:t>
      </w:r>
      <w:r>
        <w:rPr>
          <w:rFonts w:hint="eastAsia" w:hAnsi="宋体" w:cs="宋体"/>
          <w:highlight w:val="none"/>
          <w:u w:val="single"/>
        </w:rPr>
        <w:t xml:space="preserve">          </w:t>
      </w:r>
      <w:r>
        <w:rPr>
          <w:rFonts w:hint="eastAsia" w:hAnsi="宋体" w:cs="宋体"/>
          <w:highlight w:val="none"/>
        </w:rPr>
        <w:t>（姓名）系</w:t>
      </w:r>
      <w:r>
        <w:rPr>
          <w:rFonts w:hint="eastAsia" w:hAnsi="宋体" w:cs="宋体"/>
          <w:highlight w:val="none"/>
          <w:u w:val="single"/>
        </w:rPr>
        <w:t xml:space="preserve">                    </w:t>
      </w:r>
      <w:r>
        <w:rPr>
          <w:rFonts w:hint="eastAsia" w:hAnsi="宋体" w:cs="宋体"/>
          <w:highlight w:val="none"/>
        </w:rPr>
        <w:t>（</w:t>
      </w:r>
      <w:r>
        <w:rPr>
          <w:rFonts w:hint="eastAsia" w:hAnsi="宋体" w:cs="宋体"/>
          <w:szCs w:val="21"/>
          <w:highlight w:val="none"/>
        </w:rPr>
        <w:t>供应商</w:t>
      </w:r>
      <w:r>
        <w:rPr>
          <w:rFonts w:hint="eastAsia" w:hAnsi="宋体" w:cs="宋体"/>
          <w:highlight w:val="none"/>
        </w:rPr>
        <w:t>名称）的法定代表人，现委托</w:t>
      </w:r>
      <w:r>
        <w:rPr>
          <w:rFonts w:hint="eastAsia" w:hAnsi="宋体" w:cs="宋体"/>
          <w:highlight w:val="none"/>
          <w:u w:val="single"/>
        </w:rPr>
        <w:t xml:space="preserve">           </w:t>
      </w:r>
      <w:r>
        <w:rPr>
          <w:rFonts w:hint="eastAsia" w:hAnsi="宋体" w:cs="宋体"/>
          <w:highlight w:val="none"/>
        </w:rPr>
        <w:t>（姓名）为我方代理人。代理人根据授权，以我方名义签署、澄清确认、递交、撤回、修改</w:t>
      </w:r>
      <w:r>
        <w:rPr>
          <w:rFonts w:hint="eastAsia" w:hAnsi="宋体" w:cs="宋体"/>
          <w:highlight w:val="none"/>
          <w:u w:val="single"/>
        </w:rPr>
        <w:t>（</w:t>
      </w:r>
      <w:r>
        <w:rPr>
          <w:rFonts w:hint="eastAsia" w:hAnsi="宋体" w:cs="宋体"/>
          <w:highlight w:val="none"/>
          <w:u w:val="single"/>
          <w:lang w:eastAsia="zh-CN"/>
        </w:rPr>
        <w:t>谈判</w:t>
      </w:r>
      <w:r>
        <w:rPr>
          <w:rFonts w:hint="eastAsia" w:hAnsi="宋体" w:cs="宋体"/>
          <w:highlight w:val="none"/>
          <w:u w:val="single"/>
        </w:rPr>
        <w:t>项目名称）</w:t>
      </w:r>
      <w:r>
        <w:rPr>
          <w:rFonts w:hint="eastAsia" w:hAnsi="宋体" w:cs="宋体"/>
          <w:highlight w:val="none"/>
        </w:rPr>
        <w:t>招标项目响应文件、签订合同和处理有关事宜，其法律后果由我方承担。</w:t>
      </w:r>
    </w:p>
    <w:p w14:paraId="017906D0">
      <w:pPr>
        <w:pStyle w:val="8"/>
        <w:snapToGrid w:val="0"/>
        <w:spacing w:line="480" w:lineRule="auto"/>
        <w:ind w:firstLine="420"/>
        <w:rPr>
          <w:rFonts w:hAnsi="宋体" w:cs="宋体"/>
          <w:highlight w:val="none"/>
        </w:rPr>
      </w:pPr>
      <w:r>
        <w:rPr>
          <w:rFonts w:hint="eastAsia" w:hAnsi="宋体" w:cs="宋体"/>
          <w:highlight w:val="none"/>
        </w:rPr>
        <w:t>委托期限：</w:t>
      </w:r>
      <w:r>
        <w:rPr>
          <w:rFonts w:hint="eastAsia" w:hAnsi="宋体" w:cs="宋体"/>
          <w:highlight w:val="none"/>
          <w:u w:val="single"/>
        </w:rPr>
        <w:t xml:space="preserve">                     </w:t>
      </w:r>
      <w:r>
        <w:rPr>
          <w:rFonts w:hint="eastAsia" w:hAnsi="宋体" w:cs="宋体"/>
          <w:highlight w:val="none"/>
        </w:rPr>
        <w:t xml:space="preserve"> </w:t>
      </w:r>
    </w:p>
    <w:p w14:paraId="03DC6D9D">
      <w:pPr>
        <w:pStyle w:val="8"/>
        <w:snapToGrid w:val="0"/>
        <w:spacing w:line="480" w:lineRule="auto"/>
        <w:ind w:firstLine="420"/>
        <w:rPr>
          <w:rFonts w:hAnsi="宋体" w:cs="宋体"/>
          <w:highlight w:val="none"/>
        </w:rPr>
      </w:pPr>
      <w:r>
        <w:rPr>
          <w:rFonts w:hint="eastAsia" w:hAnsi="宋体" w:cs="宋体"/>
          <w:highlight w:val="none"/>
        </w:rPr>
        <w:t>代理人无转委托权。</w:t>
      </w:r>
    </w:p>
    <w:p w14:paraId="30FB110F">
      <w:pPr>
        <w:pStyle w:val="8"/>
        <w:snapToGrid w:val="0"/>
        <w:spacing w:line="480" w:lineRule="auto"/>
        <w:ind w:firstLine="420"/>
        <w:rPr>
          <w:rFonts w:hAnsi="宋体" w:cs="宋体"/>
          <w:highlight w:val="none"/>
        </w:rPr>
      </w:pPr>
      <w:r>
        <w:rPr>
          <w:rFonts w:hint="eastAsia" w:hAnsi="宋体" w:cs="宋体"/>
          <w:highlight w:val="none"/>
        </w:rPr>
        <w:t>附：法定代表人身份证复印件及委托代理人身份证复印件</w:t>
      </w:r>
    </w:p>
    <w:p w14:paraId="0E5B6B49">
      <w:pPr>
        <w:pStyle w:val="8"/>
        <w:snapToGrid w:val="0"/>
        <w:spacing w:line="480" w:lineRule="auto"/>
        <w:ind w:firstLine="420"/>
        <w:rPr>
          <w:rFonts w:hAnsi="宋体" w:cs="宋体"/>
          <w:highlight w:val="none"/>
        </w:rPr>
      </w:pPr>
      <w:r>
        <w:rPr>
          <w:rFonts w:hint="eastAsia" w:hAnsi="宋体" w:cs="宋体"/>
          <w:highlight w:val="none"/>
        </w:rPr>
        <w:t>注：本授权委托书需由供应商加盖单位公章并由其法定代表人和委托代理人签字</w:t>
      </w:r>
    </w:p>
    <w:p w14:paraId="023D72FF">
      <w:pPr>
        <w:pStyle w:val="8"/>
        <w:snapToGrid w:val="0"/>
        <w:spacing w:line="360" w:lineRule="auto"/>
        <w:ind w:firstLine="400"/>
        <w:rPr>
          <w:rFonts w:hAnsi="宋体" w:cs="宋体"/>
          <w:highlight w:val="none"/>
        </w:rPr>
      </w:pPr>
    </w:p>
    <w:p w14:paraId="226D95DD">
      <w:pPr>
        <w:pStyle w:val="8"/>
        <w:snapToGrid w:val="0"/>
        <w:spacing w:line="360" w:lineRule="auto"/>
        <w:ind w:firstLine="400"/>
        <w:rPr>
          <w:rFonts w:hAnsi="宋体" w:cs="宋体"/>
          <w:highlight w:val="none"/>
        </w:rPr>
      </w:pPr>
    </w:p>
    <w:p w14:paraId="1AFDABF0">
      <w:pPr>
        <w:pStyle w:val="8"/>
        <w:snapToGrid w:val="0"/>
        <w:spacing w:line="720" w:lineRule="auto"/>
        <w:ind w:firstLine="3120" w:firstLineChars="1300"/>
        <w:rPr>
          <w:rFonts w:hAnsi="宋体" w:cs="宋体"/>
          <w:highlight w:val="none"/>
        </w:rPr>
      </w:pPr>
      <w:r>
        <w:rPr>
          <w:rFonts w:hint="eastAsia" w:ascii="宋体" w:hAnsi="宋体"/>
          <w:color w:val="auto"/>
          <w:sz w:val="24"/>
          <w:highlight w:val="none"/>
        </w:rPr>
        <w:t>供应商名称</w:t>
      </w:r>
      <w:r>
        <w:rPr>
          <w:rFonts w:hint="eastAsia" w:hAnsi="宋体" w:cs="宋体"/>
          <w:highlight w:val="none"/>
        </w:rPr>
        <w:t>：</w:t>
      </w:r>
      <w:r>
        <w:rPr>
          <w:rFonts w:hint="eastAsia" w:hAnsi="宋体" w:cs="宋体"/>
          <w:highlight w:val="none"/>
          <w:u w:val="single"/>
        </w:rPr>
        <w:t xml:space="preserve">                      </w:t>
      </w:r>
      <w:r>
        <w:rPr>
          <w:rFonts w:hint="eastAsia" w:hAnsi="宋体" w:cs="宋体"/>
          <w:highlight w:val="none"/>
        </w:rPr>
        <w:t>（盖单位</w:t>
      </w:r>
      <w:r>
        <w:rPr>
          <w:rFonts w:hint="eastAsia" w:hAnsi="宋体" w:cs="宋体"/>
          <w:highlight w:val="none"/>
          <w:lang w:eastAsia="zh-CN"/>
        </w:rPr>
        <w:t>公</w:t>
      </w:r>
      <w:r>
        <w:rPr>
          <w:rFonts w:hint="eastAsia" w:hAnsi="宋体" w:cs="宋体"/>
          <w:highlight w:val="none"/>
        </w:rPr>
        <w:t>章）</w:t>
      </w:r>
    </w:p>
    <w:p w14:paraId="40761749">
      <w:pPr>
        <w:pStyle w:val="8"/>
        <w:snapToGrid w:val="0"/>
        <w:spacing w:line="720" w:lineRule="auto"/>
        <w:ind w:firstLine="3158" w:firstLineChars="1504"/>
        <w:rPr>
          <w:rFonts w:hAnsi="宋体" w:cs="宋体"/>
          <w:highlight w:val="none"/>
        </w:rPr>
      </w:pPr>
      <w:r>
        <w:rPr>
          <w:rFonts w:hint="eastAsia" w:hAnsi="宋体" w:cs="宋体"/>
          <w:highlight w:val="none"/>
        </w:rPr>
        <w:t>法定代表人：</w:t>
      </w:r>
      <w:r>
        <w:rPr>
          <w:rFonts w:hint="eastAsia" w:hAnsi="宋体" w:cs="宋体"/>
          <w:highlight w:val="none"/>
          <w:u w:val="single"/>
        </w:rPr>
        <w:t xml:space="preserve">                      </w:t>
      </w:r>
      <w:r>
        <w:rPr>
          <w:rFonts w:hint="eastAsia" w:hAnsi="宋体" w:cs="宋体"/>
          <w:highlight w:val="none"/>
        </w:rPr>
        <w:t>（</w:t>
      </w:r>
      <w:r>
        <w:rPr>
          <w:rFonts w:hint="eastAsia" w:ascii="宋体" w:hAnsi="宋体"/>
          <w:color w:val="auto"/>
          <w:sz w:val="24"/>
          <w:highlight w:val="none"/>
        </w:rPr>
        <w:t>签字或签章</w:t>
      </w:r>
      <w:r>
        <w:rPr>
          <w:rFonts w:hint="eastAsia" w:hAnsi="宋体" w:cs="宋体"/>
          <w:highlight w:val="none"/>
        </w:rPr>
        <w:t>）</w:t>
      </w:r>
    </w:p>
    <w:p w14:paraId="1BB0DD86">
      <w:pPr>
        <w:pStyle w:val="8"/>
        <w:snapToGrid w:val="0"/>
        <w:spacing w:line="720" w:lineRule="auto"/>
        <w:ind w:firstLine="3158" w:firstLineChars="1504"/>
        <w:rPr>
          <w:rFonts w:hAnsi="宋体" w:cs="宋体"/>
          <w:highlight w:val="none"/>
          <w:u w:val="single"/>
        </w:rPr>
      </w:pPr>
      <w:r>
        <w:rPr>
          <w:rFonts w:hint="eastAsia" w:hAnsi="宋体" w:cs="宋体"/>
          <w:highlight w:val="none"/>
        </w:rPr>
        <w:t>身份证号码：</w:t>
      </w:r>
      <w:r>
        <w:rPr>
          <w:rFonts w:hint="eastAsia" w:hAnsi="宋体" w:cs="宋体"/>
          <w:highlight w:val="none"/>
          <w:u w:val="single"/>
        </w:rPr>
        <w:t xml:space="preserve">                      </w:t>
      </w:r>
    </w:p>
    <w:p w14:paraId="6E2A5191">
      <w:pPr>
        <w:pStyle w:val="8"/>
        <w:snapToGrid w:val="0"/>
        <w:spacing w:line="720" w:lineRule="auto"/>
        <w:ind w:firstLine="3158" w:firstLineChars="1504"/>
        <w:rPr>
          <w:rFonts w:hAnsi="宋体" w:cs="宋体"/>
          <w:highlight w:val="none"/>
        </w:rPr>
      </w:pPr>
      <w:r>
        <w:rPr>
          <w:rFonts w:hint="eastAsia" w:hAnsi="宋体" w:cs="宋体"/>
          <w:highlight w:val="none"/>
        </w:rPr>
        <w:t>授权代理人：</w:t>
      </w:r>
      <w:r>
        <w:rPr>
          <w:rFonts w:hint="eastAsia" w:hAnsi="宋体" w:cs="宋体"/>
          <w:highlight w:val="none"/>
          <w:u w:val="single"/>
        </w:rPr>
        <w:t xml:space="preserve">                      </w:t>
      </w:r>
      <w:r>
        <w:rPr>
          <w:rFonts w:hint="eastAsia" w:hAnsi="宋体" w:cs="宋体"/>
          <w:highlight w:val="none"/>
        </w:rPr>
        <w:t>（签字）</w:t>
      </w:r>
    </w:p>
    <w:p w14:paraId="35D3F5B8">
      <w:pPr>
        <w:pStyle w:val="8"/>
        <w:snapToGrid w:val="0"/>
        <w:spacing w:line="720" w:lineRule="auto"/>
        <w:ind w:firstLine="3158" w:firstLineChars="1504"/>
        <w:rPr>
          <w:rFonts w:hAnsi="宋体" w:cs="宋体"/>
          <w:highlight w:val="none"/>
          <w:u w:val="single"/>
        </w:rPr>
      </w:pPr>
      <w:r>
        <w:rPr>
          <w:rFonts w:hint="eastAsia" w:hAnsi="宋体" w:cs="宋体"/>
          <w:highlight w:val="none"/>
        </w:rPr>
        <w:t>身份证号码：</w:t>
      </w:r>
      <w:r>
        <w:rPr>
          <w:rFonts w:hint="eastAsia" w:hAnsi="宋体" w:cs="宋体"/>
          <w:highlight w:val="none"/>
          <w:u w:val="single"/>
        </w:rPr>
        <w:t xml:space="preserve">                      </w:t>
      </w:r>
    </w:p>
    <w:p w14:paraId="703C90F3">
      <w:pPr>
        <w:spacing w:line="360" w:lineRule="auto"/>
        <w:ind w:firstLine="3998" w:firstLineChars="1904"/>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49BE6473">
      <w:pPr>
        <w:spacing w:line="319" w:lineRule="exact"/>
        <w:rPr>
          <w:rFonts w:ascii="宋体" w:hAnsi="宋体" w:cs="宋体"/>
          <w:color w:val="000000"/>
          <w:sz w:val="30"/>
          <w:highlight w:val="none"/>
        </w:rPr>
      </w:pPr>
    </w:p>
    <w:p w14:paraId="0D3DC8C6">
      <w:pPr>
        <w:spacing w:line="319" w:lineRule="exact"/>
        <w:rPr>
          <w:rFonts w:ascii="宋体" w:hAnsi="宋体" w:cs="宋体"/>
          <w:color w:val="000000"/>
          <w:sz w:val="30"/>
          <w:highlight w:val="none"/>
        </w:rPr>
      </w:pPr>
    </w:p>
    <w:p w14:paraId="644F5083">
      <w:pPr>
        <w:spacing w:line="319" w:lineRule="exact"/>
        <w:rPr>
          <w:rFonts w:ascii="宋体" w:hAnsi="宋体" w:cs="宋体"/>
          <w:color w:val="000000"/>
          <w:sz w:val="30"/>
          <w:highlight w:val="none"/>
        </w:rPr>
      </w:pPr>
    </w:p>
    <w:p w14:paraId="1548BF5F">
      <w:pPr>
        <w:spacing w:line="319" w:lineRule="exact"/>
        <w:rPr>
          <w:rFonts w:ascii="宋体" w:hAnsi="宋体" w:cs="宋体"/>
          <w:color w:val="000000"/>
          <w:sz w:val="30"/>
          <w:highlight w:val="none"/>
        </w:rPr>
      </w:pPr>
      <w:r>
        <w:rPr>
          <w:rFonts w:ascii="宋体" w:hAnsi="宋体" w:eastAsia="宋体"/>
          <w:color w:val="auto"/>
          <w:sz w:val="21"/>
          <w:szCs w:val="21"/>
          <w:highlight w:val="none"/>
        </w:rPr>
        <w:br w:type="page"/>
      </w:r>
    </w:p>
    <w:p w14:paraId="1ECB2A20">
      <w:pPr>
        <w:pStyle w:val="3"/>
        <w:bidi w:val="0"/>
        <w:jc w:val="center"/>
        <w:rPr>
          <w:rFonts w:hint="eastAsia"/>
          <w:highlight w:val="none"/>
          <w:lang w:val="en-US" w:eastAsia="zh-CN"/>
        </w:rPr>
      </w:pPr>
      <w:bookmarkStart w:id="69" w:name="_Toc14200"/>
      <w:r>
        <w:rPr>
          <w:rFonts w:hint="eastAsia"/>
          <w:highlight w:val="none"/>
          <w:lang w:val="en-US" w:eastAsia="zh-CN"/>
        </w:rPr>
        <w:t>四、首次报价一览表</w:t>
      </w:r>
      <w:bookmarkEnd w:id="69"/>
    </w:p>
    <w:p w14:paraId="4BFF37C0">
      <w:pPr>
        <w:widowControl/>
        <w:wordWrap w:val="0"/>
        <w:autoSpaceDE w:val="0"/>
        <w:autoSpaceDN w:val="0"/>
        <w:spacing w:line="360" w:lineRule="auto"/>
        <w:ind w:right="890"/>
        <w:textAlignment w:val="bottom"/>
        <w:rPr>
          <w:rFonts w:asciiTheme="minorEastAsia" w:hAnsiTheme="minorEastAsia" w:eastAsiaTheme="minorEastAsia" w:cstheme="minorEastAsia"/>
          <w:color w:val="auto"/>
          <w:highlight w:val="none"/>
          <w:lang w:eastAsia="zh-CN"/>
        </w:rPr>
      </w:pPr>
    </w:p>
    <w:p w14:paraId="73A24942">
      <w:pPr>
        <w:widowControl/>
        <w:wordWrap w:val="0"/>
        <w:autoSpaceDE w:val="0"/>
        <w:autoSpaceDN w:val="0"/>
        <w:spacing w:line="360" w:lineRule="auto"/>
        <w:textAlignment w:val="bottom"/>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lang w:eastAsia="zh-CN"/>
        </w:rPr>
        <w:t xml:space="preserve">   </w:t>
      </w:r>
    </w:p>
    <w:p w14:paraId="08335E71">
      <w:pPr>
        <w:widowControl/>
        <w:wordWrap w:val="0"/>
        <w:autoSpaceDE w:val="0"/>
        <w:autoSpaceDN w:val="0"/>
        <w:spacing w:line="360" w:lineRule="auto"/>
        <w:textAlignment w:val="bottom"/>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rPr>
        <w:t>编号：</w:t>
      </w:r>
      <w:r>
        <w:rPr>
          <w:rFonts w:hint="eastAsia" w:asciiTheme="minorEastAsia" w:hAnsiTheme="minorEastAsia" w:eastAsiaTheme="minorEastAsia" w:cstheme="minorEastAsia"/>
          <w:color w:val="auto"/>
          <w:sz w:val="24"/>
          <w:szCs w:val="24"/>
          <w:highlight w:val="none"/>
          <w:u w:val="single"/>
        </w:rPr>
        <w:t xml:space="preserve">                    </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1"/>
        <w:gridCol w:w="1493"/>
        <w:gridCol w:w="1915"/>
        <w:gridCol w:w="1017"/>
        <w:gridCol w:w="1297"/>
        <w:gridCol w:w="1298"/>
      </w:tblGrid>
      <w:tr w14:paraId="26F1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04" w:type="pct"/>
            <w:vAlign w:val="center"/>
          </w:tcPr>
          <w:p w14:paraId="320839A6">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lang w:val="zh-CN"/>
              </w:rPr>
              <w:t>名称</w:t>
            </w:r>
          </w:p>
        </w:tc>
        <w:tc>
          <w:tcPr>
            <w:tcW w:w="828" w:type="pct"/>
            <w:vAlign w:val="center"/>
          </w:tcPr>
          <w:p w14:paraId="3FFCC6AA">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报价</w:t>
            </w:r>
          </w:p>
          <w:p w14:paraId="6D9ED770">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w:t>
            </w:r>
            <w:r>
              <w:rPr>
                <w:rFonts w:hint="eastAsia" w:asciiTheme="minorEastAsia" w:hAnsiTheme="minorEastAsia" w:eastAsiaTheme="minorEastAsia" w:cstheme="minorEastAsia"/>
                <w:bCs/>
                <w:color w:val="auto"/>
                <w:sz w:val="24"/>
                <w:szCs w:val="24"/>
                <w:highlight w:val="none"/>
                <w:lang w:eastAsia="zh-CN"/>
              </w:rPr>
              <w:t>元</w:t>
            </w:r>
            <w:r>
              <w:rPr>
                <w:rFonts w:hint="eastAsia" w:asciiTheme="minorEastAsia" w:hAnsiTheme="minorEastAsia" w:eastAsiaTheme="minorEastAsia" w:cstheme="minorEastAsia"/>
                <w:bCs/>
                <w:color w:val="auto"/>
                <w:sz w:val="24"/>
                <w:szCs w:val="24"/>
                <w:highlight w:val="none"/>
                <w:lang w:val="zh-CN"/>
              </w:rPr>
              <w:t>）</w:t>
            </w:r>
          </w:p>
        </w:tc>
        <w:tc>
          <w:tcPr>
            <w:tcW w:w="1062" w:type="pct"/>
            <w:vAlign w:val="center"/>
          </w:tcPr>
          <w:p w14:paraId="08CA2CD3">
            <w:pPr>
              <w:pStyle w:val="17"/>
              <w:spacing w:after="0"/>
              <w:ind w:left="0" w:leftChars="0" w:firstLine="0" w:firstLineChars="0"/>
              <w:jc w:val="center"/>
              <w:rPr>
                <w:color w:val="auto"/>
                <w:sz w:val="24"/>
                <w:highlight w:val="none"/>
                <w:lang w:val="zh-CN" w:eastAsia="zh-CN"/>
              </w:rPr>
            </w:pPr>
            <w:r>
              <w:rPr>
                <w:rFonts w:hint="eastAsia" w:asciiTheme="minorEastAsia" w:hAnsiTheme="minorEastAsia" w:eastAsiaTheme="minorEastAsia" w:cstheme="minorEastAsia"/>
                <w:bCs/>
                <w:color w:val="auto"/>
                <w:sz w:val="24"/>
                <w:highlight w:val="none"/>
                <w:lang w:val="zh-CN" w:eastAsia="zh-CN"/>
              </w:rPr>
              <w:t>供货期</w:t>
            </w:r>
          </w:p>
        </w:tc>
        <w:tc>
          <w:tcPr>
            <w:tcW w:w="564" w:type="pct"/>
            <w:vAlign w:val="center"/>
          </w:tcPr>
          <w:p w14:paraId="0471FC08">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r>
              <w:rPr>
                <w:rFonts w:hint="eastAsia" w:asciiTheme="minorEastAsia" w:hAnsiTheme="minorEastAsia" w:eastAsiaTheme="minorEastAsia" w:cstheme="minorEastAsia"/>
                <w:bCs/>
                <w:color w:val="auto"/>
                <w:sz w:val="24"/>
                <w:szCs w:val="24"/>
                <w:highlight w:val="none"/>
                <w:lang w:val="zh-CN" w:eastAsia="zh-CN"/>
              </w:rPr>
              <w:t>质量</w:t>
            </w:r>
          </w:p>
          <w:p w14:paraId="0A431BD7">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eastAsia="zh-CN"/>
              </w:rPr>
              <w:t>标准</w:t>
            </w:r>
          </w:p>
        </w:tc>
        <w:tc>
          <w:tcPr>
            <w:tcW w:w="719" w:type="pct"/>
            <w:vAlign w:val="center"/>
          </w:tcPr>
          <w:p w14:paraId="32EADA3E">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投标保证金</w:t>
            </w:r>
          </w:p>
        </w:tc>
        <w:tc>
          <w:tcPr>
            <w:tcW w:w="720" w:type="pct"/>
            <w:vAlign w:val="center"/>
          </w:tcPr>
          <w:p w14:paraId="13C4BBE7">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备注</w:t>
            </w:r>
          </w:p>
        </w:tc>
      </w:tr>
      <w:tr w14:paraId="1ABA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1104" w:type="pct"/>
            <w:vAlign w:val="center"/>
          </w:tcPr>
          <w:p w14:paraId="68411FD1">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p>
        </w:tc>
        <w:tc>
          <w:tcPr>
            <w:tcW w:w="828" w:type="pct"/>
            <w:vAlign w:val="center"/>
          </w:tcPr>
          <w:p w14:paraId="7F962AEB">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p>
        </w:tc>
        <w:tc>
          <w:tcPr>
            <w:tcW w:w="1062" w:type="pct"/>
            <w:vAlign w:val="center"/>
          </w:tcPr>
          <w:p w14:paraId="37FDEC70">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p>
        </w:tc>
        <w:tc>
          <w:tcPr>
            <w:tcW w:w="564" w:type="pct"/>
            <w:vAlign w:val="center"/>
          </w:tcPr>
          <w:p w14:paraId="1E6C14E5">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p>
        </w:tc>
        <w:tc>
          <w:tcPr>
            <w:tcW w:w="719" w:type="pct"/>
            <w:vAlign w:val="center"/>
          </w:tcPr>
          <w:p w14:paraId="571A128D">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r>
              <w:rPr>
                <w:rFonts w:hint="eastAsia"/>
                <w:color w:val="auto"/>
                <w:sz w:val="24"/>
                <w:szCs w:val="24"/>
                <w:highlight w:val="none"/>
              </w:rPr>
              <w:t>（有/无）</w:t>
            </w:r>
          </w:p>
        </w:tc>
        <w:tc>
          <w:tcPr>
            <w:tcW w:w="720" w:type="pct"/>
            <w:vAlign w:val="center"/>
          </w:tcPr>
          <w:p w14:paraId="59C1EBF1">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p>
        </w:tc>
      </w:tr>
    </w:tbl>
    <w:p w14:paraId="1CFAB751">
      <w:pPr>
        <w:widowControl/>
        <w:wordWrap w:val="0"/>
        <w:autoSpaceDE w:val="0"/>
        <w:autoSpaceDN w:val="0"/>
        <w:spacing w:line="360" w:lineRule="auto"/>
        <w:ind w:right="893"/>
        <w:textAlignment w:val="bottom"/>
        <w:rPr>
          <w:rFonts w:asciiTheme="minorEastAsia" w:hAnsiTheme="minorEastAsia" w:eastAsiaTheme="minorEastAsia" w:cstheme="minorEastAsia"/>
          <w:color w:val="auto"/>
          <w:sz w:val="24"/>
          <w:szCs w:val="24"/>
          <w:highlight w:val="none"/>
          <w:u w:val="single"/>
          <w:lang w:eastAsia="zh-CN"/>
        </w:rPr>
      </w:pPr>
    </w:p>
    <w:p w14:paraId="467BAAD5">
      <w:pPr>
        <w:widowControl/>
        <w:wordWrap w:val="0"/>
        <w:autoSpaceDE w:val="0"/>
        <w:autoSpaceDN w:val="0"/>
        <w:spacing w:line="360" w:lineRule="auto"/>
        <w:ind w:right="893"/>
        <w:textAlignment w:val="bottom"/>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p>
    <w:p w14:paraId="486C7D7F">
      <w:pPr>
        <w:widowControl/>
        <w:numPr>
          <w:ilvl w:val="3"/>
          <w:numId w:val="8"/>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具体格式以政采云系统为准；</w:t>
      </w:r>
    </w:p>
    <w:p w14:paraId="6943F7C9">
      <w:pPr>
        <w:widowControl/>
        <w:numPr>
          <w:ilvl w:val="3"/>
          <w:numId w:val="8"/>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货币</w:t>
      </w:r>
      <w:r>
        <w:rPr>
          <w:rFonts w:hint="eastAsia" w:asciiTheme="minorEastAsia" w:hAnsiTheme="minorEastAsia" w:eastAsiaTheme="minorEastAsia" w:cstheme="minorEastAsia"/>
          <w:color w:val="auto"/>
          <w:sz w:val="24"/>
          <w:szCs w:val="24"/>
          <w:highlight w:val="none"/>
        </w:rPr>
        <w:t>为人民币</w:t>
      </w:r>
      <w:r>
        <w:rPr>
          <w:rFonts w:hint="eastAsia" w:asciiTheme="minorEastAsia" w:hAnsiTheme="minorEastAsia" w:eastAsiaTheme="minorEastAsia" w:cstheme="minorEastAsia"/>
          <w:color w:val="auto"/>
          <w:sz w:val="24"/>
          <w:szCs w:val="24"/>
          <w:highlight w:val="none"/>
          <w:lang w:eastAsia="zh-CN"/>
        </w:rPr>
        <w:t>，报价保留小数点后两位</w:t>
      </w:r>
      <w:r>
        <w:rPr>
          <w:rFonts w:hint="eastAsia" w:asciiTheme="minorEastAsia" w:hAnsiTheme="minorEastAsia" w:eastAsiaTheme="minorEastAsia" w:cstheme="minorEastAsia"/>
          <w:color w:val="auto"/>
          <w:sz w:val="24"/>
          <w:szCs w:val="24"/>
          <w:highlight w:val="none"/>
        </w:rPr>
        <w:t>；</w:t>
      </w:r>
    </w:p>
    <w:p w14:paraId="12972D49">
      <w:pPr>
        <w:widowControl/>
        <w:wordWrap w:val="0"/>
        <w:autoSpaceDE w:val="0"/>
        <w:autoSpaceDN w:val="0"/>
        <w:spacing w:line="360" w:lineRule="auto"/>
        <w:ind w:right="893"/>
        <w:textAlignment w:val="bottom"/>
        <w:rPr>
          <w:rFonts w:asciiTheme="minorEastAsia" w:hAnsiTheme="minorEastAsia" w:eastAsiaTheme="minorEastAsia" w:cstheme="minorEastAsia"/>
          <w:color w:val="auto"/>
          <w:sz w:val="24"/>
          <w:szCs w:val="24"/>
          <w:highlight w:val="none"/>
          <w:lang w:eastAsia="zh-CN"/>
        </w:rPr>
      </w:pPr>
    </w:p>
    <w:p w14:paraId="1B7C05DD">
      <w:pPr>
        <w:pStyle w:val="6"/>
        <w:tabs>
          <w:tab w:val="left" w:pos="7321"/>
        </w:tabs>
        <w:wordWrap w:val="0"/>
        <w:spacing w:before="36"/>
        <w:ind w:left="2701"/>
        <w:rPr>
          <w:rFonts w:asciiTheme="minorEastAsia" w:hAnsiTheme="minorEastAsia" w:eastAsiaTheme="minorEastAsia" w:cstheme="minorEastAsia"/>
          <w:color w:val="auto"/>
          <w:sz w:val="24"/>
          <w:szCs w:val="24"/>
          <w:highlight w:val="none"/>
          <w:lang w:eastAsia="zh-CN"/>
        </w:rPr>
      </w:pPr>
      <w:r>
        <w:rPr>
          <w:rFonts w:hint="eastAsia" w:ascii="宋体" w:hAnsi="宋体"/>
          <w:color w:val="auto"/>
          <w:sz w:val="24"/>
          <w:highlight w:val="none"/>
        </w:rPr>
        <w:t>供应商名称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lang w:eastAsia="zh-CN"/>
        </w:rPr>
        <w:t>（盖单位公章）</w:t>
      </w:r>
    </w:p>
    <w:p w14:paraId="479A5272">
      <w:pPr>
        <w:pStyle w:val="6"/>
        <w:wordWrap w:val="0"/>
        <w:spacing w:before="12"/>
        <w:rPr>
          <w:rFonts w:asciiTheme="minorEastAsia" w:hAnsiTheme="minorEastAsia" w:eastAsiaTheme="minorEastAsia" w:cstheme="minorEastAsia"/>
          <w:color w:val="auto"/>
          <w:sz w:val="24"/>
          <w:szCs w:val="24"/>
          <w:highlight w:val="none"/>
          <w:lang w:eastAsia="zh-CN"/>
        </w:rPr>
      </w:pPr>
    </w:p>
    <w:p w14:paraId="3996087A">
      <w:pPr>
        <w:pStyle w:val="6"/>
        <w:tabs>
          <w:tab w:val="left" w:pos="6481"/>
        </w:tabs>
        <w:wordWrap w:val="0"/>
        <w:spacing w:before="37"/>
        <w:ind w:left="2701"/>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法定代表人或其委托代理人：</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color w:val="auto"/>
          <w:sz w:val="24"/>
          <w:highlight w:val="none"/>
        </w:rPr>
        <w:t>签字或签章</w:t>
      </w:r>
      <w:r>
        <w:rPr>
          <w:rFonts w:hint="eastAsia" w:asciiTheme="minorEastAsia" w:hAnsiTheme="minorEastAsia" w:eastAsiaTheme="minorEastAsia" w:cstheme="minorEastAsia"/>
          <w:color w:val="auto"/>
          <w:sz w:val="24"/>
          <w:szCs w:val="24"/>
          <w:highlight w:val="none"/>
          <w:lang w:eastAsia="zh-CN"/>
        </w:rPr>
        <w:t>）</w:t>
      </w:r>
    </w:p>
    <w:p w14:paraId="51CD1D02">
      <w:pPr>
        <w:pStyle w:val="6"/>
        <w:wordWrap w:val="0"/>
        <w:spacing w:before="10"/>
        <w:rPr>
          <w:rFonts w:asciiTheme="minorEastAsia" w:hAnsiTheme="minorEastAsia" w:eastAsiaTheme="minorEastAsia" w:cstheme="minorEastAsia"/>
          <w:color w:val="auto"/>
          <w:sz w:val="24"/>
          <w:szCs w:val="24"/>
          <w:highlight w:val="none"/>
          <w:lang w:eastAsia="zh-CN"/>
        </w:rPr>
      </w:pPr>
    </w:p>
    <w:p w14:paraId="2B73F86C">
      <w:pPr>
        <w:wordWrap w:val="0"/>
        <w:jc w:val="right"/>
        <w:rPr>
          <w:rFonts w:asciiTheme="minorEastAsia" w:hAnsiTheme="minorEastAsia" w:eastAsiaTheme="minorEastAsia" w:cstheme="minorEastAsia"/>
          <w:color w:val="auto"/>
          <w:sz w:val="24"/>
          <w:szCs w:val="24"/>
          <w:highlight w:val="none"/>
          <w:u w:val="single"/>
          <w:lang w:eastAsia="zh-CN"/>
        </w:rPr>
      </w:pPr>
    </w:p>
    <w:p w14:paraId="1748A595">
      <w:pPr>
        <w:wordWrap w:val="0"/>
        <w:jc w:val="righ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日</w:t>
      </w:r>
    </w:p>
    <w:p w14:paraId="3806A3FC">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6FA1D006">
      <w:pPr>
        <w:spacing w:line="360" w:lineRule="auto"/>
        <w:jc w:val="center"/>
        <w:rPr>
          <w:rFonts w:ascii="宋体" w:hAnsi="宋体" w:cs="宋体"/>
          <w:b/>
          <w:kern w:val="0"/>
          <w:sz w:val="32"/>
          <w:szCs w:val="32"/>
          <w:highlight w:val="none"/>
          <w:lang w:eastAsia="en-US"/>
        </w:rPr>
      </w:pPr>
      <w:r>
        <w:rPr>
          <w:rFonts w:hint="eastAsia" w:ascii="宋体" w:hAnsi="宋体" w:cs="宋体"/>
          <w:b/>
          <w:kern w:val="0"/>
          <w:sz w:val="32"/>
          <w:szCs w:val="32"/>
          <w:highlight w:val="none"/>
        </w:rPr>
        <w:t>报价明细表</w:t>
      </w:r>
    </w:p>
    <w:tbl>
      <w:tblPr>
        <w:tblStyle w:val="18"/>
        <w:tblW w:w="9276"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281"/>
        <w:gridCol w:w="728"/>
        <w:gridCol w:w="788"/>
        <w:gridCol w:w="739"/>
        <w:gridCol w:w="1623"/>
        <w:gridCol w:w="2249"/>
      </w:tblGrid>
      <w:tr w14:paraId="6972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276" w:type="dxa"/>
            <w:gridSpan w:val="7"/>
            <w:noWrap w:val="0"/>
            <w:vAlign w:val="center"/>
          </w:tcPr>
          <w:p w14:paraId="23F03F19">
            <w:pPr>
              <w:spacing w:line="288" w:lineRule="auto"/>
              <w:jc w:val="left"/>
              <w:rPr>
                <w:rFonts w:ascii="宋体" w:hAnsi="宋体" w:cs="宋体"/>
                <w:b/>
                <w:kern w:val="0"/>
                <w:sz w:val="24"/>
                <w:highlight w:val="none"/>
              </w:rPr>
            </w:pPr>
            <w:r>
              <w:rPr>
                <w:rFonts w:hint="eastAsia" w:ascii="宋体" w:hAnsi="宋体" w:cs="宋体"/>
                <w:b/>
                <w:bCs/>
                <w:kern w:val="0"/>
                <w:sz w:val="24"/>
                <w:highlight w:val="none"/>
              </w:rPr>
              <w:t xml:space="preserve">项目名称：                                         </w:t>
            </w:r>
            <w:r>
              <w:rPr>
                <w:rFonts w:hint="eastAsia" w:ascii="宋体" w:hAnsi="宋体" w:cs="宋体"/>
                <w:b/>
                <w:kern w:val="0"/>
                <w:sz w:val="24"/>
                <w:highlight w:val="none"/>
              </w:rPr>
              <w:t>项目编号：</w:t>
            </w:r>
          </w:p>
        </w:tc>
      </w:tr>
      <w:tr w14:paraId="34B7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276" w:type="dxa"/>
            <w:gridSpan w:val="7"/>
            <w:noWrap w:val="0"/>
            <w:vAlign w:val="center"/>
          </w:tcPr>
          <w:p w14:paraId="56E38AFC">
            <w:pPr>
              <w:spacing w:line="288" w:lineRule="auto"/>
              <w:jc w:val="left"/>
              <w:rPr>
                <w:rFonts w:ascii="宋体" w:hAnsi="宋体" w:cs="宋体"/>
                <w:kern w:val="0"/>
                <w:sz w:val="24"/>
                <w:highlight w:val="none"/>
              </w:rPr>
            </w:pPr>
            <w:r>
              <w:rPr>
                <w:rFonts w:hint="eastAsia" w:ascii="宋体" w:hAnsi="宋体" w:cs="宋体"/>
                <w:kern w:val="0"/>
                <w:sz w:val="24"/>
                <w:highlight w:val="none"/>
              </w:rPr>
              <w:t>货物明细表：（单位：元）</w:t>
            </w:r>
          </w:p>
        </w:tc>
      </w:tr>
      <w:tr w14:paraId="401B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noWrap w:val="0"/>
            <w:vAlign w:val="center"/>
          </w:tcPr>
          <w:p w14:paraId="26F62AD1">
            <w:pPr>
              <w:spacing w:line="288"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序号</w:t>
            </w:r>
          </w:p>
        </w:tc>
        <w:tc>
          <w:tcPr>
            <w:tcW w:w="2281" w:type="dxa"/>
            <w:noWrap w:val="0"/>
            <w:vAlign w:val="center"/>
          </w:tcPr>
          <w:p w14:paraId="352F204B">
            <w:pPr>
              <w:spacing w:line="288"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货物名称</w:t>
            </w:r>
          </w:p>
        </w:tc>
        <w:tc>
          <w:tcPr>
            <w:tcW w:w="728" w:type="dxa"/>
            <w:noWrap w:val="0"/>
            <w:vAlign w:val="center"/>
          </w:tcPr>
          <w:p w14:paraId="1A7C88F0">
            <w:pPr>
              <w:spacing w:line="288"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制造厂商</w:t>
            </w:r>
          </w:p>
        </w:tc>
        <w:tc>
          <w:tcPr>
            <w:tcW w:w="788" w:type="dxa"/>
            <w:noWrap w:val="0"/>
            <w:vAlign w:val="center"/>
          </w:tcPr>
          <w:p w14:paraId="69E58B06">
            <w:pPr>
              <w:spacing w:line="288"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品牌型号</w:t>
            </w:r>
          </w:p>
        </w:tc>
        <w:tc>
          <w:tcPr>
            <w:tcW w:w="739" w:type="dxa"/>
            <w:noWrap w:val="0"/>
            <w:vAlign w:val="center"/>
          </w:tcPr>
          <w:p w14:paraId="1FB742A0">
            <w:pPr>
              <w:spacing w:line="288"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数量</w:t>
            </w:r>
          </w:p>
        </w:tc>
        <w:tc>
          <w:tcPr>
            <w:tcW w:w="1623" w:type="dxa"/>
            <w:noWrap w:val="0"/>
            <w:vAlign w:val="center"/>
          </w:tcPr>
          <w:p w14:paraId="4DAF4BA9">
            <w:pPr>
              <w:spacing w:line="288"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单价</w:t>
            </w:r>
          </w:p>
        </w:tc>
        <w:tc>
          <w:tcPr>
            <w:tcW w:w="2249" w:type="dxa"/>
            <w:noWrap w:val="0"/>
            <w:vAlign w:val="center"/>
          </w:tcPr>
          <w:p w14:paraId="277924B4">
            <w:pPr>
              <w:spacing w:line="288"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分项总价</w:t>
            </w:r>
          </w:p>
        </w:tc>
      </w:tr>
      <w:tr w14:paraId="0710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noWrap w:val="0"/>
            <w:vAlign w:val="center"/>
          </w:tcPr>
          <w:p w14:paraId="69F95E69">
            <w:pPr>
              <w:spacing w:line="288" w:lineRule="auto"/>
              <w:jc w:val="center"/>
              <w:rPr>
                <w:rFonts w:ascii="宋体" w:hAnsi="宋体" w:cs="宋体"/>
                <w:kern w:val="0"/>
                <w:sz w:val="24"/>
                <w:highlight w:val="none"/>
                <w:lang w:eastAsia="en-US"/>
              </w:rPr>
            </w:pPr>
          </w:p>
        </w:tc>
        <w:tc>
          <w:tcPr>
            <w:tcW w:w="2281" w:type="dxa"/>
            <w:noWrap w:val="0"/>
            <w:vAlign w:val="center"/>
          </w:tcPr>
          <w:p w14:paraId="0116C425">
            <w:pPr>
              <w:spacing w:line="288" w:lineRule="auto"/>
              <w:jc w:val="center"/>
              <w:rPr>
                <w:rFonts w:ascii="宋体" w:hAnsi="宋体" w:cs="宋体"/>
                <w:kern w:val="0"/>
                <w:sz w:val="24"/>
                <w:highlight w:val="none"/>
                <w:lang w:eastAsia="en-US"/>
              </w:rPr>
            </w:pPr>
          </w:p>
        </w:tc>
        <w:tc>
          <w:tcPr>
            <w:tcW w:w="728" w:type="dxa"/>
            <w:noWrap w:val="0"/>
            <w:vAlign w:val="center"/>
          </w:tcPr>
          <w:p w14:paraId="657A50DB">
            <w:pPr>
              <w:spacing w:line="288" w:lineRule="auto"/>
              <w:jc w:val="center"/>
              <w:rPr>
                <w:rFonts w:ascii="宋体" w:hAnsi="宋体" w:cs="宋体"/>
                <w:kern w:val="0"/>
                <w:sz w:val="24"/>
                <w:highlight w:val="none"/>
                <w:lang w:eastAsia="en-US"/>
              </w:rPr>
            </w:pPr>
          </w:p>
        </w:tc>
        <w:tc>
          <w:tcPr>
            <w:tcW w:w="788" w:type="dxa"/>
            <w:noWrap w:val="0"/>
            <w:vAlign w:val="center"/>
          </w:tcPr>
          <w:p w14:paraId="32CF48ED">
            <w:pPr>
              <w:spacing w:line="288" w:lineRule="auto"/>
              <w:jc w:val="center"/>
              <w:rPr>
                <w:rFonts w:ascii="宋体" w:hAnsi="宋体" w:cs="宋体"/>
                <w:kern w:val="0"/>
                <w:sz w:val="24"/>
                <w:highlight w:val="none"/>
                <w:lang w:eastAsia="en-US"/>
              </w:rPr>
            </w:pPr>
          </w:p>
        </w:tc>
        <w:tc>
          <w:tcPr>
            <w:tcW w:w="739" w:type="dxa"/>
            <w:noWrap w:val="0"/>
            <w:vAlign w:val="center"/>
          </w:tcPr>
          <w:p w14:paraId="5E5EB4ED">
            <w:pPr>
              <w:spacing w:line="288" w:lineRule="auto"/>
              <w:jc w:val="center"/>
              <w:rPr>
                <w:rFonts w:ascii="宋体" w:hAnsi="宋体" w:cs="宋体"/>
                <w:kern w:val="0"/>
                <w:sz w:val="24"/>
                <w:highlight w:val="none"/>
                <w:lang w:eastAsia="en-US"/>
              </w:rPr>
            </w:pPr>
          </w:p>
        </w:tc>
        <w:tc>
          <w:tcPr>
            <w:tcW w:w="1623" w:type="dxa"/>
            <w:noWrap w:val="0"/>
            <w:vAlign w:val="center"/>
          </w:tcPr>
          <w:p w14:paraId="3B1DB476">
            <w:pPr>
              <w:spacing w:line="288" w:lineRule="auto"/>
              <w:jc w:val="center"/>
              <w:rPr>
                <w:rFonts w:ascii="宋体" w:hAnsi="宋体" w:cs="宋体"/>
                <w:kern w:val="0"/>
                <w:sz w:val="24"/>
                <w:highlight w:val="none"/>
                <w:lang w:eastAsia="en-US"/>
              </w:rPr>
            </w:pPr>
          </w:p>
        </w:tc>
        <w:tc>
          <w:tcPr>
            <w:tcW w:w="2249" w:type="dxa"/>
            <w:noWrap w:val="0"/>
            <w:vAlign w:val="center"/>
          </w:tcPr>
          <w:p w14:paraId="09C59682">
            <w:pPr>
              <w:spacing w:line="288" w:lineRule="auto"/>
              <w:jc w:val="center"/>
              <w:rPr>
                <w:rFonts w:ascii="宋体" w:hAnsi="宋体" w:cs="宋体"/>
                <w:kern w:val="0"/>
                <w:sz w:val="24"/>
                <w:highlight w:val="none"/>
                <w:lang w:eastAsia="en-US"/>
              </w:rPr>
            </w:pPr>
          </w:p>
        </w:tc>
      </w:tr>
      <w:tr w14:paraId="6C35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noWrap w:val="0"/>
            <w:vAlign w:val="center"/>
          </w:tcPr>
          <w:p w14:paraId="367174B5">
            <w:pPr>
              <w:spacing w:line="288"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w:t>
            </w:r>
          </w:p>
        </w:tc>
        <w:tc>
          <w:tcPr>
            <w:tcW w:w="2281" w:type="dxa"/>
            <w:noWrap w:val="0"/>
            <w:vAlign w:val="center"/>
          </w:tcPr>
          <w:p w14:paraId="3F941476">
            <w:pPr>
              <w:spacing w:line="288" w:lineRule="auto"/>
              <w:jc w:val="center"/>
              <w:rPr>
                <w:rFonts w:ascii="宋体" w:hAnsi="宋体" w:cs="宋体"/>
                <w:kern w:val="0"/>
                <w:sz w:val="24"/>
                <w:highlight w:val="none"/>
                <w:lang w:eastAsia="en-US"/>
              </w:rPr>
            </w:pPr>
          </w:p>
        </w:tc>
        <w:tc>
          <w:tcPr>
            <w:tcW w:w="728" w:type="dxa"/>
            <w:noWrap w:val="0"/>
            <w:vAlign w:val="center"/>
          </w:tcPr>
          <w:p w14:paraId="1D752A0B">
            <w:pPr>
              <w:spacing w:line="288" w:lineRule="auto"/>
              <w:jc w:val="center"/>
              <w:rPr>
                <w:rFonts w:ascii="宋体" w:hAnsi="宋体" w:cs="宋体"/>
                <w:kern w:val="0"/>
                <w:sz w:val="24"/>
                <w:highlight w:val="none"/>
                <w:lang w:eastAsia="en-US"/>
              </w:rPr>
            </w:pPr>
          </w:p>
        </w:tc>
        <w:tc>
          <w:tcPr>
            <w:tcW w:w="788" w:type="dxa"/>
            <w:noWrap w:val="0"/>
            <w:vAlign w:val="center"/>
          </w:tcPr>
          <w:p w14:paraId="55E90CBF">
            <w:pPr>
              <w:spacing w:line="288" w:lineRule="auto"/>
              <w:jc w:val="center"/>
              <w:rPr>
                <w:rFonts w:ascii="宋体" w:hAnsi="宋体" w:cs="宋体"/>
                <w:kern w:val="0"/>
                <w:sz w:val="24"/>
                <w:highlight w:val="none"/>
                <w:lang w:eastAsia="en-US"/>
              </w:rPr>
            </w:pPr>
          </w:p>
        </w:tc>
        <w:tc>
          <w:tcPr>
            <w:tcW w:w="739" w:type="dxa"/>
            <w:noWrap w:val="0"/>
            <w:vAlign w:val="center"/>
          </w:tcPr>
          <w:p w14:paraId="29E85EAA">
            <w:pPr>
              <w:spacing w:line="288" w:lineRule="auto"/>
              <w:jc w:val="center"/>
              <w:rPr>
                <w:rFonts w:ascii="宋体" w:hAnsi="宋体" w:cs="宋体"/>
                <w:kern w:val="0"/>
                <w:sz w:val="24"/>
                <w:highlight w:val="none"/>
                <w:lang w:eastAsia="en-US"/>
              </w:rPr>
            </w:pPr>
          </w:p>
        </w:tc>
        <w:tc>
          <w:tcPr>
            <w:tcW w:w="1623" w:type="dxa"/>
            <w:noWrap w:val="0"/>
            <w:vAlign w:val="center"/>
          </w:tcPr>
          <w:p w14:paraId="6B078C17">
            <w:pPr>
              <w:spacing w:line="288" w:lineRule="auto"/>
              <w:jc w:val="center"/>
              <w:rPr>
                <w:rFonts w:ascii="宋体" w:hAnsi="宋体" w:cs="宋体"/>
                <w:kern w:val="0"/>
                <w:sz w:val="24"/>
                <w:highlight w:val="none"/>
                <w:lang w:eastAsia="en-US"/>
              </w:rPr>
            </w:pPr>
          </w:p>
        </w:tc>
        <w:tc>
          <w:tcPr>
            <w:tcW w:w="2249" w:type="dxa"/>
            <w:noWrap w:val="0"/>
            <w:vAlign w:val="center"/>
          </w:tcPr>
          <w:p w14:paraId="535AC6D9">
            <w:pPr>
              <w:spacing w:line="288" w:lineRule="auto"/>
              <w:jc w:val="center"/>
              <w:rPr>
                <w:rFonts w:ascii="宋体" w:hAnsi="宋体" w:cs="宋体"/>
                <w:kern w:val="0"/>
                <w:sz w:val="24"/>
                <w:highlight w:val="none"/>
                <w:lang w:eastAsia="en-US"/>
              </w:rPr>
            </w:pPr>
          </w:p>
        </w:tc>
      </w:tr>
      <w:tr w14:paraId="132A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noWrap w:val="0"/>
            <w:vAlign w:val="center"/>
          </w:tcPr>
          <w:p w14:paraId="1ECAA3C5">
            <w:pPr>
              <w:spacing w:line="288" w:lineRule="auto"/>
              <w:jc w:val="center"/>
              <w:rPr>
                <w:rFonts w:ascii="宋体" w:hAnsi="宋体" w:cs="宋体"/>
                <w:kern w:val="0"/>
                <w:sz w:val="24"/>
                <w:highlight w:val="none"/>
                <w:lang w:eastAsia="en-US"/>
              </w:rPr>
            </w:pPr>
          </w:p>
        </w:tc>
        <w:tc>
          <w:tcPr>
            <w:tcW w:w="2281" w:type="dxa"/>
            <w:noWrap w:val="0"/>
            <w:vAlign w:val="center"/>
          </w:tcPr>
          <w:p w14:paraId="5F86845F">
            <w:pPr>
              <w:spacing w:line="288"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合计</w:t>
            </w:r>
          </w:p>
        </w:tc>
        <w:tc>
          <w:tcPr>
            <w:tcW w:w="728" w:type="dxa"/>
            <w:noWrap w:val="0"/>
            <w:vAlign w:val="center"/>
          </w:tcPr>
          <w:p w14:paraId="231ED07F">
            <w:pPr>
              <w:spacing w:line="288" w:lineRule="auto"/>
              <w:jc w:val="center"/>
              <w:rPr>
                <w:rFonts w:ascii="宋体" w:hAnsi="宋体" w:cs="宋体"/>
                <w:kern w:val="0"/>
                <w:sz w:val="24"/>
                <w:highlight w:val="none"/>
                <w:lang w:eastAsia="en-US"/>
              </w:rPr>
            </w:pPr>
          </w:p>
        </w:tc>
        <w:tc>
          <w:tcPr>
            <w:tcW w:w="788" w:type="dxa"/>
            <w:noWrap w:val="0"/>
            <w:vAlign w:val="center"/>
          </w:tcPr>
          <w:p w14:paraId="52970559">
            <w:pPr>
              <w:spacing w:line="288" w:lineRule="auto"/>
              <w:jc w:val="center"/>
              <w:rPr>
                <w:rFonts w:ascii="宋体" w:hAnsi="宋体" w:cs="宋体"/>
                <w:kern w:val="0"/>
                <w:sz w:val="24"/>
                <w:highlight w:val="none"/>
                <w:lang w:eastAsia="en-US"/>
              </w:rPr>
            </w:pPr>
          </w:p>
        </w:tc>
        <w:tc>
          <w:tcPr>
            <w:tcW w:w="739" w:type="dxa"/>
            <w:noWrap w:val="0"/>
            <w:vAlign w:val="center"/>
          </w:tcPr>
          <w:p w14:paraId="55688171">
            <w:pPr>
              <w:spacing w:line="288" w:lineRule="auto"/>
              <w:jc w:val="center"/>
              <w:rPr>
                <w:rFonts w:ascii="宋体" w:hAnsi="宋体" w:cs="宋体"/>
                <w:kern w:val="0"/>
                <w:sz w:val="24"/>
                <w:highlight w:val="none"/>
                <w:lang w:eastAsia="en-US"/>
              </w:rPr>
            </w:pPr>
          </w:p>
        </w:tc>
        <w:tc>
          <w:tcPr>
            <w:tcW w:w="1623" w:type="dxa"/>
            <w:noWrap w:val="0"/>
            <w:vAlign w:val="center"/>
          </w:tcPr>
          <w:p w14:paraId="58327038">
            <w:pPr>
              <w:spacing w:line="288" w:lineRule="auto"/>
              <w:jc w:val="center"/>
              <w:rPr>
                <w:rFonts w:ascii="宋体" w:hAnsi="宋体" w:cs="宋体"/>
                <w:kern w:val="0"/>
                <w:sz w:val="24"/>
                <w:highlight w:val="none"/>
                <w:lang w:eastAsia="en-US"/>
              </w:rPr>
            </w:pPr>
          </w:p>
        </w:tc>
        <w:tc>
          <w:tcPr>
            <w:tcW w:w="2249" w:type="dxa"/>
            <w:noWrap w:val="0"/>
            <w:vAlign w:val="center"/>
          </w:tcPr>
          <w:p w14:paraId="6156D40D">
            <w:pPr>
              <w:spacing w:line="288" w:lineRule="auto"/>
              <w:jc w:val="center"/>
              <w:rPr>
                <w:rFonts w:ascii="宋体" w:hAnsi="宋体" w:cs="宋体"/>
                <w:kern w:val="0"/>
                <w:sz w:val="24"/>
                <w:highlight w:val="none"/>
                <w:lang w:eastAsia="en-US"/>
              </w:rPr>
            </w:pPr>
          </w:p>
        </w:tc>
      </w:tr>
      <w:tr w14:paraId="5CE8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276" w:type="dxa"/>
            <w:gridSpan w:val="7"/>
            <w:noWrap w:val="0"/>
            <w:vAlign w:val="center"/>
          </w:tcPr>
          <w:p w14:paraId="68ADEA3D">
            <w:pPr>
              <w:spacing w:line="288" w:lineRule="auto"/>
              <w:jc w:val="left"/>
              <w:rPr>
                <w:rFonts w:ascii="宋体" w:hAnsi="宋体" w:cs="宋体"/>
                <w:kern w:val="0"/>
                <w:sz w:val="24"/>
                <w:highlight w:val="none"/>
                <w:lang w:eastAsia="en-US"/>
              </w:rPr>
            </w:pPr>
            <w:r>
              <w:rPr>
                <w:rFonts w:hint="eastAsia" w:ascii="宋体" w:hAnsi="宋体" w:cs="宋体"/>
                <w:kern w:val="0"/>
                <w:sz w:val="24"/>
                <w:highlight w:val="none"/>
                <w:lang w:eastAsia="en-US"/>
              </w:rPr>
              <w:t>其他费用明细表：</w:t>
            </w:r>
          </w:p>
        </w:tc>
      </w:tr>
      <w:tr w14:paraId="7515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68" w:type="dxa"/>
            <w:noWrap w:val="0"/>
            <w:vAlign w:val="center"/>
          </w:tcPr>
          <w:p w14:paraId="67DD4A22">
            <w:pPr>
              <w:spacing w:line="288"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序号</w:t>
            </w:r>
          </w:p>
        </w:tc>
        <w:tc>
          <w:tcPr>
            <w:tcW w:w="2281" w:type="dxa"/>
            <w:noWrap w:val="0"/>
            <w:vAlign w:val="center"/>
          </w:tcPr>
          <w:p w14:paraId="0F229B72">
            <w:pPr>
              <w:spacing w:line="288"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项目</w:t>
            </w:r>
          </w:p>
        </w:tc>
        <w:tc>
          <w:tcPr>
            <w:tcW w:w="2255" w:type="dxa"/>
            <w:gridSpan w:val="3"/>
            <w:noWrap w:val="0"/>
            <w:vAlign w:val="center"/>
          </w:tcPr>
          <w:p w14:paraId="6ADF2E2D">
            <w:pPr>
              <w:spacing w:line="288"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内容和标准</w:t>
            </w:r>
          </w:p>
        </w:tc>
        <w:tc>
          <w:tcPr>
            <w:tcW w:w="1623" w:type="dxa"/>
            <w:noWrap w:val="0"/>
            <w:vAlign w:val="center"/>
          </w:tcPr>
          <w:p w14:paraId="54A85D29">
            <w:pPr>
              <w:spacing w:line="288"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报价</w:t>
            </w:r>
          </w:p>
        </w:tc>
        <w:tc>
          <w:tcPr>
            <w:tcW w:w="2249" w:type="dxa"/>
            <w:noWrap w:val="0"/>
            <w:vAlign w:val="center"/>
          </w:tcPr>
          <w:p w14:paraId="7627EAD3">
            <w:pPr>
              <w:spacing w:line="288"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备注</w:t>
            </w:r>
          </w:p>
        </w:tc>
      </w:tr>
      <w:tr w14:paraId="7A01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8" w:type="dxa"/>
            <w:noWrap w:val="0"/>
            <w:vAlign w:val="center"/>
          </w:tcPr>
          <w:p w14:paraId="69F3A789">
            <w:pPr>
              <w:spacing w:line="288" w:lineRule="auto"/>
              <w:jc w:val="center"/>
              <w:rPr>
                <w:rFonts w:ascii="宋体" w:hAnsi="宋体" w:cs="宋体"/>
                <w:kern w:val="0"/>
                <w:sz w:val="24"/>
                <w:highlight w:val="none"/>
                <w:lang w:eastAsia="en-US"/>
              </w:rPr>
            </w:pPr>
          </w:p>
        </w:tc>
        <w:tc>
          <w:tcPr>
            <w:tcW w:w="2281" w:type="dxa"/>
            <w:noWrap w:val="0"/>
            <w:vAlign w:val="center"/>
          </w:tcPr>
          <w:p w14:paraId="4D71279A">
            <w:pPr>
              <w:spacing w:line="288" w:lineRule="auto"/>
              <w:jc w:val="center"/>
              <w:rPr>
                <w:rFonts w:ascii="宋体" w:hAnsi="宋体" w:cs="宋体"/>
                <w:kern w:val="0"/>
                <w:sz w:val="24"/>
                <w:highlight w:val="none"/>
                <w:lang w:eastAsia="en-US"/>
              </w:rPr>
            </w:pPr>
          </w:p>
        </w:tc>
        <w:tc>
          <w:tcPr>
            <w:tcW w:w="2255" w:type="dxa"/>
            <w:gridSpan w:val="3"/>
            <w:noWrap w:val="0"/>
            <w:vAlign w:val="center"/>
          </w:tcPr>
          <w:p w14:paraId="13964487">
            <w:pPr>
              <w:spacing w:line="288" w:lineRule="auto"/>
              <w:jc w:val="center"/>
              <w:rPr>
                <w:rFonts w:ascii="宋体" w:hAnsi="宋体" w:cs="宋体"/>
                <w:kern w:val="0"/>
                <w:sz w:val="24"/>
                <w:highlight w:val="none"/>
                <w:lang w:eastAsia="en-US"/>
              </w:rPr>
            </w:pPr>
          </w:p>
        </w:tc>
        <w:tc>
          <w:tcPr>
            <w:tcW w:w="1623" w:type="dxa"/>
            <w:noWrap w:val="0"/>
            <w:vAlign w:val="center"/>
          </w:tcPr>
          <w:p w14:paraId="585F1B68">
            <w:pPr>
              <w:spacing w:line="288" w:lineRule="auto"/>
              <w:jc w:val="center"/>
              <w:rPr>
                <w:rFonts w:ascii="宋体" w:hAnsi="宋体" w:cs="宋体"/>
                <w:kern w:val="0"/>
                <w:sz w:val="24"/>
                <w:highlight w:val="none"/>
                <w:lang w:eastAsia="en-US"/>
              </w:rPr>
            </w:pPr>
          </w:p>
        </w:tc>
        <w:tc>
          <w:tcPr>
            <w:tcW w:w="2249" w:type="dxa"/>
            <w:noWrap w:val="0"/>
            <w:vAlign w:val="center"/>
          </w:tcPr>
          <w:p w14:paraId="0C5DB9F0">
            <w:pPr>
              <w:spacing w:line="288" w:lineRule="auto"/>
              <w:jc w:val="center"/>
              <w:rPr>
                <w:rFonts w:ascii="宋体" w:hAnsi="宋体" w:cs="宋体"/>
                <w:kern w:val="0"/>
                <w:sz w:val="24"/>
                <w:highlight w:val="none"/>
                <w:lang w:eastAsia="en-US"/>
              </w:rPr>
            </w:pPr>
          </w:p>
        </w:tc>
      </w:tr>
      <w:tr w14:paraId="70AD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noWrap w:val="0"/>
            <w:vAlign w:val="center"/>
          </w:tcPr>
          <w:p w14:paraId="4AC5564B">
            <w:pPr>
              <w:spacing w:line="288"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w:t>
            </w:r>
          </w:p>
        </w:tc>
        <w:tc>
          <w:tcPr>
            <w:tcW w:w="2281" w:type="dxa"/>
            <w:noWrap w:val="0"/>
            <w:vAlign w:val="center"/>
          </w:tcPr>
          <w:p w14:paraId="4B54B61F">
            <w:pPr>
              <w:spacing w:line="288" w:lineRule="auto"/>
              <w:jc w:val="center"/>
              <w:rPr>
                <w:rFonts w:ascii="宋体" w:hAnsi="宋体" w:cs="宋体"/>
                <w:kern w:val="0"/>
                <w:sz w:val="24"/>
                <w:highlight w:val="none"/>
                <w:lang w:eastAsia="en-US"/>
              </w:rPr>
            </w:pPr>
          </w:p>
        </w:tc>
        <w:tc>
          <w:tcPr>
            <w:tcW w:w="2255" w:type="dxa"/>
            <w:gridSpan w:val="3"/>
            <w:noWrap w:val="0"/>
            <w:vAlign w:val="center"/>
          </w:tcPr>
          <w:p w14:paraId="40A76F09">
            <w:pPr>
              <w:spacing w:line="288" w:lineRule="auto"/>
              <w:jc w:val="center"/>
              <w:rPr>
                <w:rFonts w:ascii="宋体" w:hAnsi="宋体" w:cs="宋体"/>
                <w:kern w:val="0"/>
                <w:sz w:val="24"/>
                <w:highlight w:val="none"/>
                <w:lang w:eastAsia="en-US"/>
              </w:rPr>
            </w:pPr>
          </w:p>
        </w:tc>
        <w:tc>
          <w:tcPr>
            <w:tcW w:w="1623" w:type="dxa"/>
            <w:noWrap w:val="0"/>
            <w:vAlign w:val="center"/>
          </w:tcPr>
          <w:p w14:paraId="0BBE5AA6">
            <w:pPr>
              <w:spacing w:line="288" w:lineRule="auto"/>
              <w:jc w:val="center"/>
              <w:rPr>
                <w:rFonts w:ascii="宋体" w:hAnsi="宋体" w:cs="宋体"/>
                <w:kern w:val="0"/>
                <w:sz w:val="24"/>
                <w:highlight w:val="none"/>
                <w:lang w:eastAsia="en-US"/>
              </w:rPr>
            </w:pPr>
          </w:p>
        </w:tc>
        <w:tc>
          <w:tcPr>
            <w:tcW w:w="2249" w:type="dxa"/>
            <w:noWrap w:val="0"/>
            <w:vAlign w:val="center"/>
          </w:tcPr>
          <w:p w14:paraId="0338F746">
            <w:pPr>
              <w:spacing w:line="288" w:lineRule="auto"/>
              <w:jc w:val="center"/>
              <w:rPr>
                <w:rFonts w:ascii="宋体" w:hAnsi="宋体" w:cs="宋体"/>
                <w:kern w:val="0"/>
                <w:sz w:val="24"/>
                <w:highlight w:val="none"/>
                <w:lang w:eastAsia="en-US"/>
              </w:rPr>
            </w:pPr>
          </w:p>
        </w:tc>
      </w:tr>
      <w:tr w14:paraId="0DBC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276" w:type="dxa"/>
            <w:gridSpan w:val="7"/>
            <w:noWrap w:val="0"/>
            <w:vAlign w:val="center"/>
          </w:tcPr>
          <w:p w14:paraId="74CD0712">
            <w:pPr>
              <w:spacing w:line="288" w:lineRule="auto"/>
              <w:jc w:val="left"/>
              <w:rPr>
                <w:rFonts w:ascii="宋体" w:hAnsi="宋体" w:cs="宋体"/>
                <w:kern w:val="0"/>
                <w:sz w:val="24"/>
                <w:highlight w:val="none"/>
                <w:lang w:eastAsia="en-US"/>
              </w:rPr>
            </w:pPr>
            <w:r>
              <w:rPr>
                <w:rFonts w:hint="eastAsia" w:ascii="宋体" w:hAnsi="宋体" w:cs="宋体"/>
                <w:kern w:val="0"/>
                <w:sz w:val="24"/>
                <w:highlight w:val="none"/>
                <w:lang w:eastAsia="en-US"/>
              </w:rPr>
              <w:t>明细报价汇总表：</w:t>
            </w:r>
          </w:p>
        </w:tc>
      </w:tr>
      <w:tr w14:paraId="2C87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404" w:type="dxa"/>
            <w:gridSpan w:val="5"/>
            <w:noWrap w:val="0"/>
            <w:vAlign w:val="center"/>
          </w:tcPr>
          <w:p w14:paraId="4F73C7CC">
            <w:pPr>
              <w:spacing w:line="288" w:lineRule="auto"/>
              <w:jc w:val="center"/>
              <w:rPr>
                <w:rFonts w:ascii="宋体" w:hAnsi="宋体" w:cs="宋体"/>
                <w:kern w:val="0"/>
                <w:sz w:val="24"/>
                <w:highlight w:val="none"/>
              </w:rPr>
            </w:pPr>
            <w:r>
              <w:rPr>
                <w:rFonts w:hint="eastAsia" w:ascii="宋体" w:hAnsi="宋体" w:cs="宋体"/>
                <w:kern w:val="0"/>
                <w:sz w:val="24"/>
                <w:highlight w:val="none"/>
              </w:rPr>
              <w:t>报价总计（货物报价合计+其他费用合计）</w:t>
            </w:r>
          </w:p>
        </w:tc>
        <w:tc>
          <w:tcPr>
            <w:tcW w:w="3872" w:type="dxa"/>
            <w:gridSpan w:val="2"/>
            <w:noWrap w:val="0"/>
            <w:vAlign w:val="center"/>
          </w:tcPr>
          <w:p w14:paraId="354ED6D7">
            <w:pPr>
              <w:spacing w:line="288" w:lineRule="auto"/>
              <w:jc w:val="left"/>
              <w:rPr>
                <w:rFonts w:ascii="宋体" w:hAnsi="宋体" w:cs="宋体"/>
                <w:kern w:val="0"/>
                <w:sz w:val="24"/>
                <w:highlight w:val="none"/>
              </w:rPr>
            </w:pPr>
            <w:r>
              <w:rPr>
                <w:rFonts w:hint="eastAsia" w:ascii="宋体" w:hAnsi="宋体" w:cs="宋体"/>
                <w:kern w:val="0"/>
                <w:sz w:val="24"/>
                <w:highlight w:val="none"/>
              </w:rPr>
              <w:t>大写：人民币</w:t>
            </w:r>
            <w:r>
              <w:rPr>
                <w:rFonts w:hint="eastAsia" w:ascii="宋体" w:hAnsi="宋体" w:cs="宋体"/>
                <w:kern w:val="0"/>
                <w:sz w:val="24"/>
                <w:highlight w:val="none"/>
                <w:u w:val="single"/>
              </w:rPr>
              <w:t xml:space="preserve">          元</w:t>
            </w:r>
          </w:p>
          <w:p w14:paraId="017D20D9">
            <w:pPr>
              <w:spacing w:line="288" w:lineRule="auto"/>
              <w:jc w:val="left"/>
              <w:rPr>
                <w:rFonts w:ascii="宋体" w:hAnsi="宋体" w:cs="宋体"/>
                <w:kern w:val="0"/>
                <w:sz w:val="24"/>
                <w:highlight w:val="none"/>
                <w:u w:val="single"/>
              </w:rPr>
            </w:pPr>
            <w:r>
              <w:rPr>
                <w:rFonts w:hint="eastAsia" w:ascii="宋体" w:hAnsi="宋体" w:cs="宋体"/>
                <w:kern w:val="0"/>
                <w:sz w:val="24"/>
                <w:highlight w:val="none"/>
              </w:rPr>
              <w:t xml:space="preserve">小写：￥ </w:t>
            </w:r>
            <w:r>
              <w:rPr>
                <w:rFonts w:hint="eastAsia" w:ascii="宋体" w:hAnsi="宋体" w:cs="宋体"/>
                <w:kern w:val="0"/>
                <w:sz w:val="24"/>
                <w:highlight w:val="none"/>
                <w:u w:val="single"/>
              </w:rPr>
              <w:t xml:space="preserve">             元</w:t>
            </w:r>
          </w:p>
        </w:tc>
      </w:tr>
    </w:tbl>
    <w:p w14:paraId="16DC3DD0">
      <w:pPr>
        <w:spacing w:before="240" w:beforeLines="100" w:line="288" w:lineRule="auto"/>
        <w:jc w:val="left"/>
        <w:rPr>
          <w:rFonts w:ascii="宋体" w:hAnsi="宋体" w:cs="宋体"/>
          <w:kern w:val="0"/>
          <w:sz w:val="24"/>
          <w:highlight w:val="none"/>
          <w:lang w:eastAsia="en-US"/>
        </w:rPr>
      </w:pPr>
      <w:r>
        <w:rPr>
          <w:rFonts w:hint="eastAsia" w:ascii="宋体" w:hAnsi="宋体" w:cs="宋体"/>
          <w:kern w:val="0"/>
          <w:sz w:val="24"/>
          <w:highlight w:val="none"/>
          <w:lang w:eastAsia="en-US"/>
        </w:rPr>
        <w:t>注明：</w:t>
      </w:r>
    </w:p>
    <w:p w14:paraId="36826DC1">
      <w:pPr>
        <w:numPr>
          <w:ilvl w:val="0"/>
          <w:numId w:val="9"/>
        </w:numPr>
        <w:spacing w:line="288" w:lineRule="auto"/>
        <w:rPr>
          <w:rFonts w:ascii="宋体" w:hAnsi="宋体" w:cs="宋体"/>
          <w:sz w:val="24"/>
          <w:highlight w:val="none"/>
        </w:rPr>
      </w:pPr>
      <w:r>
        <w:rPr>
          <w:rFonts w:hint="eastAsia" w:ascii="宋体" w:hAnsi="宋体" w:cs="宋体"/>
          <w:sz w:val="24"/>
          <w:highlight w:val="none"/>
        </w:rPr>
        <w:t>此表为报价总表的明细表。</w:t>
      </w:r>
    </w:p>
    <w:p w14:paraId="61AE228D">
      <w:pPr>
        <w:numPr>
          <w:ilvl w:val="0"/>
          <w:numId w:val="9"/>
        </w:numPr>
        <w:spacing w:line="288" w:lineRule="auto"/>
        <w:rPr>
          <w:rFonts w:ascii="宋体" w:hAnsi="宋体" w:cs="宋体"/>
          <w:sz w:val="24"/>
          <w:highlight w:val="none"/>
        </w:rPr>
      </w:pPr>
      <w:r>
        <w:rPr>
          <w:rFonts w:hint="eastAsia" w:ascii="宋体" w:hAnsi="宋体" w:cs="宋体"/>
          <w:sz w:val="24"/>
          <w:highlight w:val="none"/>
        </w:rPr>
        <w:t>如果单价和总价不符时，以单价为准，修正总价。</w:t>
      </w:r>
    </w:p>
    <w:p w14:paraId="1E11CD07">
      <w:pPr>
        <w:numPr>
          <w:ilvl w:val="0"/>
          <w:numId w:val="9"/>
        </w:numPr>
        <w:spacing w:line="288" w:lineRule="auto"/>
        <w:rPr>
          <w:rFonts w:ascii="宋体" w:hAnsi="宋体" w:cs="宋体"/>
          <w:sz w:val="24"/>
          <w:highlight w:val="none"/>
        </w:rPr>
      </w:pPr>
      <w:r>
        <w:rPr>
          <w:rFonts w:hint="eastAsia" w:ascii="宋体" w:hAnsi="宋体" w:cs="宋体"/>
          <w:sz w:val="24"/>
          <w:highlight w:val="none"/>
        </w:rPr>
        <w:t>供应商应列明按“采购需求”所要求提供的所有报价项的价格明细。</w:t>
      </w:r>
    </w:p>
    <w:p w14:paraId="26DD2A30">
      <w:pPr>
        <w:spacing w:line="288" w:lineRule="auto"/>
        <w:jc w:val="left"/>
        <w:rPr>
          <w:rFonts w:ascii="宋体" w:hAnsi="宋体" w:cs="宋体"/>
          <w:kern w:val="0"/>
          <w:sz w:val="24"/>
          <w:highlight w:val="none"/>
        </w:rPr>
      </w:pPr>
    </w:p>
    <w:tbl>
      <w:tblPr>
        <w:tblStyle w:val="18"/>
        <w:tblW w:w="9345" w:type="dxa"/>
        <w:tblInd w:w="0" w:type="dxa"/>
        <w:tblLayout w:type="fixed"/>
        <w:tblCellMar>
          <w:top w:w="0" w:type="dxa"/>
          <w:left w:w="108" w:type="dxa"/>
          <w:bottom w:w="0" w:type="dxa"/>
          <w:right w:w="108" w:type="dxa"/>
        </w:tblCellMar>
      </w:tblPr>
      <w:tblGrid>
        <w:gridCol w:w="5353"/>
        <w:gridCol w:w="3992"/>
      </w:tblGrid>
      <w:tr w14:paraId="5F8470F1">
        <w:tblPrEx>
          <w:tblCellMar>
            <w:top w:w="0" w:type="dxa"/>
            <w:left w:w="108" w:type="dxa"/>
            <w:bottom w:w="0" w:type="dxa"/>
            <w:right w:w="108" w:type="dxa"/>
          </w:tblCellMar>
        </w:tblPrEx>
        <w:tc>
          <w:tcPr>
            <w:tcW w:w="5353" w:type="dxa"/>
            <w:noWrap w:val="0"/>
            <w:vAlign w:val="top"/>
          </w:tcPr>
          <w:p w14:paraId="0118848F">
            <w:pPr>
              <w:overflowPunct w:val="0"/>
              <w:adjustRightInd w:val="0"/>
              <w:spacing w:line="288" w:lineRule="auto"/>
              <w:jc w:val="left"/>
              <w:rPr>
                <w:rFonts w:ascii="宋体" w:hAnsi="宋体" w:cs="宋体"/>
                <w:kern w:val="0"/>
                <w:sz w:val="24"/>
                <w:highlight w:val="none"/>
              </w:rPr>
            </w:pPr>
            <w:r>
              <w:rPr>
                <w:rFonts w:hint="eastAsia" w:ascii="宋体" w:hAnsi="宋体" w:cs="宋体"/>
                <w:kern w:val="0"/>
                <w:sz w:val="24"/>
                <w:highlight w:val="none"/>
              </w:rPr>
              <w:t>供应商名称（加盖公章）：</w:t>
            </w:r>
          </w:p>
        </w:tc>
        <w:tc>
          <w:tcPr>
            <w:tcW w:w="3992" w:type="dxa"/>
            <w:noWrap w:val="0"/>
            <w:vAlign w:val="top"/>
          </w:tcPr>
          <w:p w14:paraId="35E06385">
            <w:pPr>
              <w:spacing w:line="288" w:lineRule="auto"/>
              <w:jc w:val="left"/>
              <w:rPr>
                <w:rFonts w:ascii="宋体" w:hAnsi="宋体" w:cs="宋体"/>
                <w:kern w:val="0"/>
                <w:sz w:val="24"/>
                <w:highlight w:val="none"/>
              </w:rPr>
            </w:pPr>
          </w:p>
        </w:tc>
      </w:tr>
      <w:tr w14:paraId="7D9302A3">
        <w:tblPrEx>
          <w:tblCellMar>
            <w:top w:w="0" w:type="dxa"/>
            <w:left w:w="108" w:type="dxa"/>
            <w:bottom w:w="0" w:type="dxa"/>
            <w:right w:w="108" w:type="dxa"/>
          </w:tblCellMar>
        </w:tblPrEx>
        <w:tc>
          <w:tcPr>
            <w:tcW w:w="5353" w:type="dxa"/>
            <w:noWrap w:val="0"/>
            <w:vAlign w:val="top"/>
          </w:tcPr>
          <w:p w14:paraId="50598272">
            <w:pPr>
              <w:spacing w:line="288" w:lineRule="auto"/>
              <w:jc w:val="left"/>
              <w:rPr>
                <w:rFonts w:ascii="宋体" w:hAnsi="宋体" w:cs="宋体"/>
                <w:kern w:val="0"/>
                <w:sz w:val="24"/>
                <w:highlight w:val="none"/>
              </w:rPr>
            </w:pPr>
          </w:p>
          <w:p w14:paraId="313D17D1">
            <w:pPr>
              <w:spacing w:line="288" w:lineRule="auto"/>
              <w:jc w:val="left"/>
              <w:rPr>
                <w:rFonts w:ascii="宋体" w:hAnsi="宋体" w:cs="宋体"/>
                <w:kern w:val="0"/>
                <w:sz w:val="24"/>
                <w:highlight w:val="none"/>
                <w:lang w:eastAsia="en-US"/>
              </w:rPr>
            </w:pPr>
            <w:r>
              <w:rPr>
                <w:rFonts w:hint="eastAsia" w:ascii="宋体" w:hAnsi="宋体" w:cs="宋体"/>
                <w:kern w:val="0"/>
                <w:sz w:val="24"/>
                <w:highlight w:val="none"/>
                <w:lang w:eastAsia="en-US"/>
              </w:rPr>
              <w:t>日期：         年         月          日</w:t>
            </w:r>
          </w:p>
        </w:tc>
        <w:tc>
          <w:tcPr>
            <w:tcW w:w="3992" w:type="dxa"/>
            <w:noWrap w:val="0"/>
            <w:vAlign w:val="top"/>
          </w:tcPr>
          <w:p w14:paraId="35EB2672">
            <w:pPr>
              <w:spacing w:line="288" w:lineRule="auto"/>
              <w:jc w:val="left"/>
              <w:rPr>
                <w:rFonts w:ascii="宋体" w:hAnsi="宋体" w:cs="宋体"/>
                <w:kern w:val="0"/>
                <w:sz w:val="24"/>
                <w:highlight w:val="none"/>
                <w:lang w:eastAsia="en-US"/>
              </w:rPr>
            </w:pPr>
          </w:p>
        </w:tc>
      </w:tr>
    </w:tbl>
    <w:p w14:paraId="7721D54C">
      <w:pPr>
        <w:autoSpaceDE w:val="0"/>
        <w:autoSpaceDN w:val="0"/>
        <w:adjustRightInd w:val="0"/>
        <w:spacing w:before="120" w:beforeLines="50" w:after="120" w:afterLines="50" w:line="288" w:lineRule="auto"/>
        <w:jc w:val="center"/>
        <w:rPr>
          <w:rFonts w:ascii="宋体" w:hAnsi="宋体" w:cs="宋体"/>
          <w:b/>
          <w:kern w:val="0"/>
          <w:sz w:val="24"/>
          <w:highlight w:val="none"/>
          <w:lang w:eastAsia="en-US"/>
        </w:rPr>
      </w:pPr>
    </w:p>
    <w:p w14:paraId="649F4325">
      <w:pPr>
        <w:wordWrap w:val="0"/>
        <w:jc w:val="right"/>
        <w:rPr>
          <w:rFonts w:hint="eastAsia" w:asciiTheme="minorEastAsia" w:hAnsiTheme="minorEastAsia" w:eastAsiaTheme="minorEastAsia" w:cstheme="minorEastAsia"/>
          <w:color w:val="auto"/>
          <w:sz w:val="24"/>
          <w:szCs w:val="24"/>
          <w:highlight w:val="none"/>
          <w:lang w:eastAsia="zh-CN"/>
        </w:rPr>
      </w:pPr>
    </w:p>
    <w:p w14:paraId="719A773F">
      <w:pPr>
        <w:spacing w:line="319" w:lineRule="exact"/>
        <w:rPr>
          <w:rFonts w:ascii="宋体" w:hAnsi="宋体" w:cs="宋体"/>
          <w:color w:val="000000"/>
          <w:sz w:val="30"/>
          <w:highlight w:val="none"/>
        </w:rPr>
      </w:pPr>
    </w:p>
    <w:p w14:paraId="7A414129">
      <w:pPr>
        <w:rPr>
          <w:rFonts w:hint="eastAsia" w:ascii="宋体" w:hAnsi="宋体" w:eastAsia="宋体"/>
          <w:b/>
          <w:bCs/>
          <w:color w:val="auto"/>
          <w:sz w:val="32"/>
          <w:szCs w:val="32"/>
          <w:highlight w:val="none"/>
          <w:lang w:eastAsia="zh-CN"/>
        </w:rPr>
      </w:pPr>
      <w:r>
        <w:rPr>
          <w:rFonts w:hint="eastAsia" w:ascii="宋体" w:hAnsi="宋体" w:eastAsia="宋体"/>
          <w:b/>
          <w:bCs/>
          <w:color w:val="auto"/>
          <w:sz w:val="32"/>
          <w:szCs w:val="32"/>
          <w:highlight w:val="none"/>
          <w:lang w:eastAsia="zh-CN"/>
        </w:rPr>
        <w:br w:type="page"/>
      </w:r>
    </w:p>
    <w:p w14:paraId="5E77B5EC">
      <w:pPr>
        <w:jc w:val="center"/>
        <w:rPr>
          <w:rFonts w:ascii="宋体" w:hAnsi="宋体"/>
          <w:b/>
          <w:color w:val="auto"/>
          <w:sz w:val="32"/>
          <w:szCs w:val="32"/>
          <w:highlight w:val="none"/>
        </w:rPr>
      </w:pPr>
      <w:r>
        <w:rPr>
          <w:rFonts w:hint="eastAsia" w:ascii="宋体" w:hAnsi="宋体"/>
          <w:b/>
          <w:bCs/>
          <w:color w:val="auto"/>
          <w:sz w:val="32"/>
          <w:szCs w:val="32"/>
          <w:highlight w:val="none"/>
          <w:lang w:eastAsia="zh-CN"/>
        </w:rPr>
        <w:t>五</w:t>
      </w:r>
      <w:r>
        <w:rPr>
          <w:rFonts w:hint="eastAsia" w:ascii="宋体" w:hAnsi="宋体" w:eastAsia="宋体"/>
          <w:b/>
          <w:bCs/>
          <w:color w:val="auto"/>
          <w:sz w:val="32"/>
          <w:szCs w:val="32"/>
          <w:highlight w:val="none"/>
          <w:lang w:eastAsia="zh-CN"/>
        </w:rPr>
        <w:t>、</w:t>
      </w:r>
      <w:r>
        <w:rPr>
          <w:rFonts w:hint="eastAsia" w:ascii="宋体" w:hAnsi="宋体"/>
          <w:b/>
          <w:bCs/>
          <w:color w:val="auto"/>
          <w:sz w:val="32"/>
          <w:szCs w:val="32"/>
          <w:highlight w:val="none"/>
        </w:rPr>
        <w:t>投标保证金</w:t>
      </w:r>
    </w:p>
    <w:p w14:paraId="4685E85D">
      <w:pPr>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采购</w:t>
      </w:r>
      <w:r>
        <w:rPr>
          <w:rFonts w:hint="eastAsia" w:ascii="宋体" w:hAnsi="宋体" w:cs="宋体"/>
          <w:color w:val="auto"/>
          <w:sz w:val="24"/>
          <w:highlight w:val="none"/>
          <w:u w:val="single"/>
        </w:rPr>
        <w:t>人名称}</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14:paraId="0384A567">
      <w:pPr>
        <w:rPr>
          <w:rFonts w:hint="eastAsia" w:ascii="宋体" w:hAnsi="宋体" w:cs="宋体"/>
          <w:color w:val="auto"/>
          <w:sz w:val="24"/>
          <w:highlight w:val="none"/>
        </w:rPr>
      </w:pPr>
    </w:p>
    <w:p w14:paraId="2F355859">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供应商</w:t>
      </w:r>
      <w:r>
        <w:rPr>
          <w:rFonts w:hint="eastAsia" w:ascii="宋体" w:hAnsi="宋体" w:cs="宋体"/>
          <w:color w:val="auto"/>
          <w:sz w:val="24"/>
          <w:highlight w:val="none"/>
          <w:u w:val="single"/>
        </w:rPr>
        <w:t>名称）</w:t>
      </w:r>
      <w:r>
        <w:rPr>
          <w:rFonts w:hint="eastAsia" w:ascii="宋体" w:hAnsi="宋体" w:cs="宋体"/>
          <w:color w:val="auto"/>
          <w:sz w:val="24"/>
          <w:highlight w:val="none"/>
        </w:rPr>
        <w:t>（以下称“</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”）于年月日递交了</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谈判</w:t>
      </w:r>
      <w:r>
        <w:rPr>
          <w:rFonts w:hint="eastAsia" w:ascii="宋体" w:hAnsi="宋体" w:cs="宋体"/>
          <w:color w:val="auto"/>
          <w:sz w:val="24"/>
          <w:highlight w:val="none"/>
          <w:u w:val="single"/>
        </w:rPr>
        <w:t xml:space="preserve">项目名称、项目编号}    </w:t>
      </w:r>
      <w:r>
        <w:rPr>
          <w:rFonts w:hint="eastAsia" w:ascii="宋体" w:hAnsi="宋体" w:cs="宋体"/>
          <w:color w:val="auto"/>
          <w:sz w:val="24"/>
          <w:highlight w:val="none"/>
        </w:rPr>
        <w:t>的投标保证金人民币</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小写</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1B377EFE">
      <w:pPr>
        <w:spacing w:line="360" w:lineRule="auto"/>
        <w:jc w:val="center"/>
        <w:rPr>
          <w:rFonts w:hint="eastAsia" w:ascii="宋体" w:hAnsi="宋体" w:cs="宋体"/>
          <w:color w:val="auto"/>
          <w:sz w:val="24"/>
          <w:highlight w:val="none"/>
        </w:rPr>
      </w:pPr>
    </w:p>
    <w:p w14:paraId="17D701D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如果我方在投标有效期内收到你方的</w:t>
      </w:r>
      <w:r>
        <w:rPr>
          <w:rFonts w:hint="eastAsia" w:ascii="宋体" w:hAnsi="宋体" w:cs="宋体"/>
          <w:color w:val="auto"/>
          <w:sz w:val="24"/>
          <w:highlight w:val="none"/>
          <w:lang w:eastAsia="zh-CN"/>
        </w:rPr>
        <w:t>成交通知书</w:t>
      </w:r>
      <w:r>
        <w:rPr>
          <w:rFonts w:hint="eastAsia" w:ascii="宋体" w:hAnsi="宋体" w:cs="宋体"/>
          <w:color w:val="auto"/>
          <w:sz w:val="24"/>
          <w:highlight w:val="none"/>
        </w:rPr>
        <w:t>后</w:t>
      </w:r>
    </w:p>
    <w:p w14:paraId="02FAD27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1、不能或拒绝按投标须知的要求签署合同协议书；</w:t>
      </w:r>
    </w:p>
    <w:p w14:paraId="327E785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2、不能在</w:t>
      </w:r>
      <w:r>
        <w:rPr>
          <w:rFonts w:hint="eastAsia" w:ascii="宋体" w:hAnsi="宋体" w:cs="宋体"/>
          <w:color w:val="auto"/>
          <w:sz w:val="24"/>
          <w:highlight w:val="none"/>
          <w:lang w:eastAsia="zh-CN"/>
        </w:rPr>
        <w:t>谈判</w:t>
      </w:r>
      <w:r>
        <w:rPr>
          <w:rFonts w:hint="eastAsia" w:ascii="宋体" w:hAnsi="宋体" w:cs="宋体"/>
          <w:color w:val="auto"/>
          <w:sz w:val="24"/>
          <w:highlight w:val="none"/>
        </w:rPr>
        <w:t>有效期内撤回</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w:t>
      </w:r>
    </w:p>
    <w:p w14:paraId="53E9533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否则你方有权没收我方的投标保证金。</w:t>
      </w:r>
    </w:p>
    <w:p w14:paraId="123B4E1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我方同意</w:t>
      </w:r>
      <w:r>
        <w:rPr>
          <w:rFonts w:hint="eastAsia" w:ascii="宋体" w:hAnsi="宋体" w:cs="宋体"/>
          <w:color w:val="auto"/>
          <w:sz w:val="24"/>
          <w:highlight w:val="none"/>
          <w:lang w:eastAsia="zh-CN"/>
        </w:rPr>
        <w:t>谈判</w:t>
      </w:r>
      <w:r>
        <w:rPr>
          <w:rFonts w:hint="eastAsia" w:ascii="宋体" w:hAnsi="宋体" w:cs="宋体"/>
          <w:color w:val="auto"/>
          <w:sz w:val="24"/>
          <w:highlight w:val="none"/>
        </w:rPr>
        <w:t>文件有关投标保证金规定，并对我方有约束力。</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6"/>
      </w:tblGrid>
      <w:tr w14:paraId="3FD6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8916" w:type="dxa"/>
            <w:noWrap/>
            <w:vAlign w:val="top"/>
          </w:tcPr>
          <w:p w14:paraId="4E6A9581">
            <w:pPr>
              <w:rPr>
                <w:rFonts w:hint="eastAsia" w:ascii="宋体" w:hAnsi="宋体" w:cs="宋体"/>
                <w:b/>
                <w:color w:val="auto"/>
                <w:highlight w:val="none"/>
              </w:rPr>
            </w:pPr>
          </w:p>
          <w:p w14:paraId="0DC2112A">
            <w:pPr>
              <w:rPr>
                <w:rFonts w:hint="eastAsia" w:ascii="宋体" w:hAnsi="宋体" w:cs="宋体"/>
                <w:color w:val="auto"/>
                <w:highlight w:val="none"/>
              </w:rPr>
            </w:pPr>
            <w:r>
              <w:rPr>
                <w:rFonts w:hint="eastAsia" w:ascii="宋体" w:hAnsi="宋体" w:cs="宋体"/>
                <w:b/>
                <w:color w:val="auto"/>
                <w:highlight w:val="none"/>
              </w:rPr>
              <w:t>附:投标保证金到账证明</w:t>
            </w:r>
          </w:p>
          <w:p w14:paraId="4E50140C">
            <w:pPr>
              <w:rPr>
                <w:rFonts w:hint="eastAsia" w:ascii="宋体" w:hAnsi="宋体" w:cs="宋体"/>
                <w:color w:val="auto"/>
                <w:highlight w:val="none"/>
              </w:rPr>
            </w:pPr>
          </w:p>
          <w:p w14:paraId="7EB0F492">
            <w:pPr>
              <w:rPr>
                <w:rFonts w:hint="eastAsia" w:ascii="宋体" w:hAnsi="宋体" w:cs="宋体"/>
                <w:color w:val="auto"/>
                <w:highlight w:val="none"/>
              </w:rPr>
            </w:pPr>
          </w:p>
          <w:p w14:paraId="276C4924">
            <w:pPr>
              <w:rPr>
                <w:rFonts w:hint="eastAsia" w:ascii="宋体" w:hAnsi="宋体" w:cs="宋体"/>
                <w:b/>
                <w:color w:val="auto"/>
                <w:highlight w:val="none"/>
              </w:rPr>
            </w:pPr>
            <w:r>
              <w:rPr>
                <w:rFonts w:hint="eastAsia" w:ascii="宋体" w:hAnsi="宋体" w:cs="宋体"/>
                <w:b/>
                <w:color w:val="auto"/>
                <w:highlight w:val="none"/>
              </w:rPr>
              <w:t>附：基本账户开户许可证复印件（加盖公章）</w:t>
            </w:r>
          </w:p>
          <w:p w14:paraId="399C94E1">
            <w:pPr>
              <w:rPr>
                <w:rFonts w:hint="eastAsia" w:ascii="宋体" w:hAnsi="宋体" w:cs="宋体"/>
                <w:color w:val="auto"/>
                <w:highlight w:val="none"/>
              </w:rPr>
            </w:pPr>
          </w:p>
          <w:p w14:paraId="51210496">
            <w:pPr>
              <w:rPr>
                <w:rFonts w:hint="eastAsia" w:ascii="宋体" w:hAnsi="宋体" w:cs="宋体"/>
                <w:color w:val="auto"/>
                <w:highlight w:val="none"/>
              </w:rPr>
            </w:pPr>
          </w:p>
          <w:p w14:paraId="38B59D16">
            <w:pPr>
              <w:rPr>
                <w:rFonts w:hint="eastAsia" w:ascii="宋体" w:hAnsi="宋体" w:cs="宋体"/>
                <w:color w:val="auto"/>
                <w:highlight w:val="none"/>
              </w:rPr>
            </w:pPr>
          </w:p>
        </w:tc>
      </w:tr>
    </w:tbl>
    <w:p w14:paraId="4829995E">
      <w:pPr>
        <w:rPr>
          <w:rFonts w:hint="eastAsia" w:ascii="宋体" w:hAnsi="宋体" w:cs="宋体"/>
          <w:color w:val="auto"/>
          <w:highlight w:val="none"/>
        </w:rPr>
      </w:pPr>
    </w:p>
    <w:p w14:paraId="5ECD303D">
      <w:pPr>
        <w:rPr>
          <w:rFonts w:hint="eastAsia" w:ascii="宋体" w:hAnsi="宋体" w:cs="宋体"/>
          <w:color w:val="auto"/>
          <w:sz w:val="24"/>
          <w:highlight w:val="none"/>
        </w:rPr>
      </w:pPr>
    </w:p>
    <w:p w14:paraId="72BE821F">
      <w:pPr>
        <w:tabs>
          <w:tab w:val="left" w:pos="1365"/>
        </w:tabs>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供应商名称</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p>
    <w:p w14:paraId="797A7E81">
      <w:pPr>
        <w:tabs>
          <w:tab w:val="left" w:pos="1365"/>
        </w:tabs>
        <w:wordWrap w:val="0"/>
        <w:spacing w:line="360" w:lineRule="auto"/>
        <w:ind w:firstLine="480" w:firstLineChars="200"/>
        <w:rPr>
          <w:rFonts w:ascii="宋体" w:hAnsi="宋体"/>
          <w:color w:val="auto"/>
          <w:sz w:val="24"/>
          <w:highlight w:val="none"/>
        </w:rPr>
      </w:pPr>
      <w:r>
        <w:rPr>
          <w:rFonts w:hint="eastAsia" w:ascii="宋体" w:hAnsi="宋体"/>
          <w:bCs/>
          <w:color w:val="auto"/>
          <w:sz w:val="24"/>
          <w:highlight w:val="none"/>
        </w:rPr>
        <w:t>法定代表人或委托代理人</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（签字或签章）</w:t>
      </w:r>
    </w:p>
    <w:p w14:paraId="270010FF">
      <w:pPr>
        <w:tabs>
          <w:tab w:val="left" w:pos="1365"/>
        </w:tabs>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30EE9A1">
      <w:pPr>
        <w:pStyle w:val="5"/>
        <w:ind w:left="2940"/>
        <w:rPr>
          <w:rFonts w:ascii="宋体" w:hAnsi="宋体" w:cs="宋体"/>
          <w:highlight w:val="none"/>
        </w:rPr>
      </w:pPr>
    </w:p>
    <w:p w14:paraId="0E3AFBFF">
      <w:pPr>
        <w:rPr>
          <w:rFonts w:ascii="宋体" w:hAnsi="宋体" w:cs="宋体"/>
          <w:highlight w:val="none"/>
        </w:rPr>
      </w:pPr>
    </w:p>
    <w:p w14:paraId="774053E0">
      <w:pPr>
        <w:rPr>
          <w:rFonts w:ascii="宋体" w:hAnsi="宋体" w:cs="宋体"/>
          <w:highlight w:val="none"/>
        </w:rPr>
      </w:pPr>
      <w:r>
        <w:rPr>
          <w:rFonts w:ascii="宋体" w:hAnsi="宋体" w:cs="宋体"/>
          <w:highlight w:val="none"/>
        </w:rPr>
        <w:br w:type="page"/>
      </w:r>
    </w:p>
    <w:p w14:paraId="73C98526">
      <w:pPr>
        <w:pStyle w:val="3"/>
        <w:bidi w:val="0"/>
        <w:jc w:val="center"/>
        <w:rPr>
          <w:rFonts w:hint="eastAsia"/>
          <w:highlight w:val="none"/>
          <w:lang w:val="zh-CN"/>
        </w:rPr>
      </w:pPr>
      <w:bookmarkStart w:id="70" w:name="_Toc25412"/>
      <w:r>
        <w:rPr>
          <w:rFonts w:hint="eastAsia" w:ascii="宋体" w:hAnsi="宋体" w:eastAsia="宋体" w:cs="Times New Roman"/>
          <w:b/>
          <w:bCs/>
          <w:color w:val="auto"/>
          <w:kern w:val="2"/>
          <w:sz w:val="32"/>
          <w:szCs w:val="32"/>
          <w:highlight w:val="none"/>
          <w:lang w:val="zh-CN" w:eastAsia="zh-CN" w:bidi="ar-SA"/>
        </w:rPr>
        <w:t>六、商务条款偏离表</w:t>
      </w:r>
      <w:bookmarkEnd w:id="70"/>
    </w:p>
    <w:p w14:paraId="00FD501C">
      <w:pPr>
        <w:snapToGrid w:val="0"/>
        <w:spacing w:line="30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项目名称：</w:t>
      </w:r>
    </w:p>
    <w:p w14:paraId="42F9FB7B">
      <w:pPr>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项目编号：                          </w:t>
      </w:r>
    </w:p>
    <w:tbl>
      <w:tblPr>
        <w:tblStyle w:val="18"/>
        <w:tblW w:w="995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2"/>
        <w:gridCol w:w="3050"/>
        <w:gridCol w:w="3060"/>
        <w:gridCol w:w="1390"/>
        <w:gridCol w:w="1391"/>
      </w:tblGrid>
      <w:tr w14:paraId="0FF8CB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607" w:hRule="atLeast"/>
          <w:jc w:val="center"/>
        </w:trPr>
        <w:tc>
          <w:tcPr>
            <w:tcW w:w="1062" w:type="dxa"/>
            <w:noWrap w:val="0"/>
            <w:tcMar>
              <w:top w:w="15" w:type="dxa"/>
              <w:left w:w="15" w:type="dxa"/>
              <w:bottom w:w="0" w:type="dxa"/>
              <w:right w:w="15" w:type="dxa"/>
            </w:tcMar>
            <w:vAlign w:val="center"/>
          </w:tcPr>
          <w:p w14:paraId="5C357260">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050" w:type="dxa"/>
            <w:noWrap w:val="0"/>
            <w:tcMar>
              <w:top w:w="15" w:type="dxa"/>
              <w:left w:w="15" w:type="dxa"/>
              <w:bottom w:w="0" w:type="dxa"/>
              <w:right w:w="15" w:type="dxa"/>
            </w:tcMar>
            <w:vAlign w:val="center"/>
          </w:tcPr>
          <w:p w14:paraId="2BCD4F70">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商务条款内容</w:t>
            </w:r>
          </w:p>
        </w:tc>
        <w:tc>
          <w:tcPr>
            <w:tcW w:w="3060" w:type="dxa"/>
            <w:noWrap w:val="0"/>
            <w:tcMar>
              <w:top w:w="15" w:type="dxa"/>
              <w:left w:w="15" w:type="dxa"/>
              <w:bottom w:w="0" w:type="dxa"/>
              <w:right w:w="15" w:type="dxa"/>
            </w:tcMar>
            <w:vAlign w:val="center"/>
          </w:tcPr>
          <w:p w14:paraId="6F82ACCE">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商务条款应答</w:t>
            </w:r>
          </w:p>
        </w:tc>
        <w:tc>
          <w:tcPr>
            <w:tcW w:w="1390" w:type="dxa"/>
            <w:noWrap w:val="0"/>
            <w:tcMar>
              <w:top w:w="15" w:type="dxa"/>
              <w:left w:w="15" w:type="dxa"/>
              <w:bottom w:w="0" w:type="dxa"/>
              <w:right w:w="15" w:type="dxa"/>
            </w:tcMar>
            <w:vAlign w:val="center"/>
          </w:tcPr>
          <w:p w14:paraId="4DAF2C2D">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偏离情况</w:t>
            </w:r>
          </w:p>
        </w:tc>
        <w:tc>
          <w:tcPr>
            <w:tcW w:w="1391" w:type="dxa"/>
            <w:noWrap w:val="0"/>
            <w:vAlign w:val="center"/>
          </w:tcPr>
          <w:p w14:paraId="409786F8">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tc>
      </w:tr>
      <w:tr w14:paraId="19E9A8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31" w:hRule="atLeast"/>
          <w:jc w:val="center"/>
        </w:trPr>
        <w:tc>
          <w:tcPr>
            <w:tcW w:w="1062" w:type="dxa"/>
            <w:noWrap w:val="0"/>
            <w:tcMar>
              <w:top w:w="15" w:type="dxa"/>
              <w:left w:w="15" w:type="dxa"/>
              <w:bottom w:w="0" w:type="dxa"/>
              <w:right w:w="15" w:type="dxa"/>
            </w:tcMar>
            <w:vAlign w:val="center"/>
          </w:tcPr>
          <w:p w14:paraId="555AC688">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050" w:type="dxa"/>
            <w:noWrap w:val="0"/>
            <w:tcMar>
              <w:top w:w="15" w:type="dxa"/>
              <w:left w:w="15" w:type="dxa"/>
              <w:bottom w:w="0" w:type="dxa"/>
              <w:right w:w="15" w:type="dxa"/>
            </w:tcMar>
            <w:vAlign w:val="center"/>
          </w:tcPr>
          <w:p w14:paraId="6EDAAA64">
            <w:pPr>
              <w:snapToGrid w:val="0"/>
              <w:spacing w:line="30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供货期</w:t>
            </w:r>
          </w:p>
        </w:tc>
        <w:tc>
          <w:tcPr>
            <w:tcW w:w="3060" w:type="dxa"/>
            <w:noWrap w:val="0"/>
            <w:tcMar>
              <w:top w:w="15" w:type="dxa"/>
              <w:left w:w="15" w:type="dxa"/>
              <w:bottom w:w="0" w:type="dxa"/>
              <w:right w:w="15" w:type="dxa"/>
            </w:tcMar>
            <w:vAlign w:val="center"/>
          </w:tcPr>
          <w:p w14:paraId="26AA1E83">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top"/>
          </w:tcPr>
          <w:p w14:paraId="50A62039">
            <w:pPr>
              <w:snapToGrid w:val="0"/>
              <w:spacing w:line="300" w:lineRule="auto"/>
              <w:jc w:val="center"/>
              <w:rPr>
                <w:rFonts w:hint="eastAsia" w:ascii="宋体" w:hAnsi="宋体" w:eastAsia="宋体" w:cs="宋体"/>
                <w:sz w:val="24"/>
                <w:szCs w:val="24"/>
                <w:highlight w:val="none"/>
              </w:rPr>
            </w:pPr>
          </w:p>
        </w:tc>
        <w:tc>
          <w:tcPr>
            <w:tcW w:w="1391" w:type="dxa"/>
            <w:noWrap w:val="0"/>
            <w:vAlign w:val="top"/>
          </w:tcPr>
          <w:p w14:paraId="4D2B36BE">
            <w:pPr>
              <w:snapToGrid w:val="0"/>
              <w:spacing w:line="300" w:lineRule="auto"/>
              <w:jc w:val="center"/>
              <w:rPr>
                <w:rFonts w:hint="eastAsia" w:ascii="宋体" w:hAnsi="宋体" w:eastAsia="宋体" w:cs="宋体"/>
                <w:sz w:val="24"/>
                <w:szCs w:val="24"/>
                <w:highlight w:val="none"/>
              </w:rPr>
            </w:pPr>
          </w:p>
        </w:tc>
      </w:tr>
      <w:tr w14:paraId="0CC5AD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73218475">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050" w:type="dxa"/>
            <w:noWrap w:val="0"/>
            <w:tcMar>
              <w:top w:w="15" w:type="dxa"/>
              <w:left w:w="15" w:type="dxa"/>
              <w:bottom w:w="0" w:type="dxa"/>
              <w:right w:w="15" w:type="dxa"/>
            </w:tcMar>
            <w:vAlign w:val="center"/>
          </w:tcPr>
          <w:p w14:paraId="6833F9AB">
            <w:pPr>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质量要求</w:t>
            </w:r>
          </w:p>
        </w:tc>
        <w:tc>
          <w:tcPr>
            <w:tcW w:w="3060" w:type="dxa"/>
            <w:noWrap w:val="0"/>
            <w:tcMar>
              <w:top w:w="15" w:type="dxa"/>
              <w:left w:w="15" w:type="dxa"/>
              <w:bottom w:w="0" w:type="dxa"/>
              <w:right w:w="15" w:type="dxa"/>
            </w:tcMar>
            <w:vAlign w:val="center"/>
          </w:tcPr>
          <w:p w14:paraId="207822F5">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top"/>
          </w:tcPr>
          <w:p w14:paraId="0728E3D8">
            <w:pPr>
              <w:snapToGrid w:val="0"/>
              <w:spacing w:line="300" w:lineRule="auto"/>
              <w:jc w:val="center"/>
              <w:rPr>
                <w:rFonts w:hint="eastAsia" w:ascii="宋体" w:hAnsi="宋体" w:eastAsia="宋体" w:cs="宋体"/>
                <w:sz w:val="24"/>
                <w:szCs w:val="24"/>
                <w:highlight w:val="none"/>
              </w:rPr>
            </w:pPr>
          </w:p>
        </w:tc>
        <w:tc>
          <w:tcPr>
            <w:tcW w:w="1391" w:type="dxa"/>
            <w:noWrap w:val="0"/>
            <w:vAlign w:val="top"/>
          </w:tcPr>
          <w:p w14:paraId="0F0FD474">
            <w:pPr>
              <w:snapToGrid w:val="0"/>
              <w:spacing w:line="300" w:lineRule="auto"/>
              <w:jc w:val="center"/>
              <w:rPr>
                <w:rFonts w:hint="eastAsia" w:ascii="宋体" w:hAnsi="宋体" w:eastAsia="宋体" w:cs="宋体"/>
                <w:sz w:val="24"/>
                <w:szCs w:val="24"/>
                <w:highlight w:val="none"/>
              </w:rPr>
            </w:pPr>
          </w:p>
        </w:tc>
      </w:tr>
      <w:tr w14:paraId="16BD82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1DBA6806">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050" w:type="dxa"/>
            <w:noWrap w:val="0"/>
            <w:tcMar>
              <w:top w:w="15" w:type="dxa"/>
              <w:left w:w="15" w:type="dxa"/>
              <w:bottom w:w="0" w:type="dxa"/>
              <w:right w:w="15" w:type="dxa"/>
            </w:tcMar>
            <w:vAlign w:val="center"/>
          </w:tcPr>
          <w:p w14:paraId="08365C95">
            <w:pPr>
              <w:spacing w:line="288"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060" w:type="dxa"/>
            <w:noWrap w:val="0"/>
            <w:tcMar>
              <w:top w:w="15" w:type="dxa"/>
              <w:left w:w="15" w:type="dxa"/>
              <w:bottom w:w="0" w:type="dxa"/>
              <w:right w:w="15" w:type="dxa"/>
            </w:tcMar>
            <w:vAlign w:val="center"/>
          </w:tcPr>
          <w:p w14:paraId="29D50823">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10739C15">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6D6C1217">
            <w:pPr>
              <w:snapToGrid w:val="0"/>
              <w:spacing w:line="300" w:lineRule="auto"/>
              <w:jc w:val="center"/>
              <w:rPr>
                <w:rFonts w:hint="eastAsia" w:ascii="宋体" w:hAnsi="宋体" w:eastAsia="宋体" w:cs="宋体"/>
                <w:sz w:val="24"/>
                <w:szCs w:val="24"/>
                <w:highlight w:val="none"/>
              </w:rPr>
            </w:pPr>
          </w:p>
        </w:tc>
      </w:tr>
      <w:tr w14:paraId="514753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5D91B270">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050" w:type="dxa"/>
            <w:noWrap w:val="0"/>
            <w:tcMar>
              <w:top w:w="15" w:type="dxa"/>
              <w:left w:w="15" w:type="dxa"/>
              <w:bottom w:w="0" w:type="dxa"/>
              <w:right w:w="15" w:type="dxa"/>
            </w:tcMar>
            <w:vAlign w:val="center"/>
          </w:tcPr>
          <w:p w14:paraId="5332E623">
            <w:pPr>
              <w:spacing w:line="288"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060" w:type="dxa"/>
            <w:noWrap w:val="0"/>
            <w:tcMar>
              <w:top w:w="15" w:type="dxa"/>
              <w:left w:w="15" w:type="dxa"/>
              <w:bottom w:w="0" w:type="dxa"/>
              <w:right w:w="15" w:type="dxa"/>
            </w:tcMar>
            <w:vAlign w:val="center"/>
          </w:tcPr>
          <w:p w14:paraId="06876700">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1B0A5257">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437B4C16">
            <w:pPr>
              <w:snapToGrid w:val="0"/>
              <w:spacing w:line="300" w:lineRule="auto"/>
              <w:jc w:val="center"/>
              <w:rPr>
                <w:rFonts w:hint="eastAsia" w:ascii="宋体" w:hAnsi="宋体" w:eastAsia="宋体" w:cs="宋体"/>
                <w:sz w:val="24"/>
                <w:szCs w:val="24"/>
                <w:highlight w:val="none"/>
              </w:rPr>
            </w:pPr>
          </w:p>
        </w:tc>
      </w:tr>
      <w:tr w14:paraId="1BDE1C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20D0E7D3">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050" w:type="dxa"/>
            <w:noWrap w:val="0"/>
            <w:tcMar>
              <w:top w:w="15" w:type="dxa"/>
              <w:left w:w="15" w:type="dxa"/>
              <w:bottom w:w="0" w:type="dxa"/>
              <w:right w:w="15" w:type="dxa"/>
            </w:tcMar>
            <w:vAlign w:val="center"/>
          </w:tcPr>
          <w:p w14:paraId="151455B5">
            <w:pPr>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060" w:type="dxa"/>
            <w:noWrap w:val="0"/>
            <w:tcMar>
              <w:top w:w="15" w:type="dxa"/>
              <w:left w:w="15" w:type="dxa"/>
              <w:bottom w:w="0" w:type="dxa"/>
              <w:right w:w="15" w:type="dxa"/>
            </w:tcMar>
            <w:vAlign w:val="center"/>
          </w:tcPr>
          <w:p w14:paraId="4D750DB5">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65C2CFF2">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77F945AB">
            <w:pPr>
              <w:snapToGrid w:val="0"/>
              <w:spacing w:line="300" w:lineRule="auto"/>
              <w:jc w:val="center"/>
              <w:rPr>
                <w:rFonts w:hint="eastAsia" w:ascii="宋体" w:hAnsi="宋体" w:eastAsia="宋体" w:cs="宋体"/>
                <w:sz w:val="24"/>
                <w:szCs w:val="24"/>
                <w:highlight w:val="none"/>
              </w:rPr>
            </w:pPr>
          </w:p>
        </w:tc>
      </w:tr>
      <w:tr w14:paraId="740147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12116BD2">
            <w:pPr>
              <w:snapToGrid w:val="0"/>
              <w:spacing w:line="300" w:lineRule="auto"/>
              <w:jc w:val="center"/>
              <w:rPr>
                <w:rFonts w:hint="eastAsia" w:ascii="宋体" w:hAnsi="宋体" w:eastAsia="宋体" w:cs="宋体"/>
                <w:sz w:val="24"/>
                <w:szCs w:val="24"/>
                <w:highlight w:val="none"/>
              </w:rPr>
            </w:pPr>
          </w:p>
        </w:tc>
        <w:tc>
          <w:tcPr>
            <w:tcW w:w="3050" w:type="dxa"/>
            <w:noWrap w:val="0"/>
            <w:tcMar>
              <w:top w:w="15" w:type="dxa"/>
              <w:left w:w="15" w:type="dxa"/>
              <w:bottom w:w="0" w:type="dxa"/>
              <w:right w:w="15" w:type="dxa"/>
            </w:tcMar>
            <w:vAlign w:val="center"/>
          </w:tcPr>
          <w:p w14:paraId="0B3A45B1">
            <w:pPr>
              <w:jc w:val="center"/>
              <w:rPr>
                <w:rFonts w:hint="eastAsia" w:ascii="宋体" w:hAnsi="宋体" w:eastAsia="宋体" w:cs="宋体"/>
                <w:sz w:val="24"/>
                <w:szCs w:val="24"/>
                <w:highlight w:val="none"/>
              </w:rPr>
            </w:pPr>
          </w:p>
        </w:tc>
        <w:tc>
          <w:tcPr>
            <w:tcW w:w="3060" w:type="dxa"/>
            <w:noWrap w:val="0"/>
            <w:tcMar>
              <w:top w:w="15" w:type="dxa"/>
              <w:left w:w="15" w:type="dxa"/>
              <w:bottom w:w="0" w:type="dxa"/>
              <w:right w:w="15" w:type="dxa"/>
            </w:tcMar>
            <w:vAlign w:val="center"/>
          </w:tcPr>
          <w:p w14:paraId="7AB1268F">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1AC5AA2E">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241BD799">
            <w:pPr>
              <w:snapToGrid w:val="0"/>
              <w:spacing w:line="300" w:lineRule="auto"/>
              <w:jc w:val="center"/>
              <w:rPr>
                <w:rFonts w:hint="eastAsia" w:ascii="宋体" w:hAnsi="宋体" w:eastAsia="宋体" w:cs="宋体"/>
                <w:sz w:val="24"/>
                <w:szCs w:val="24"/>
                <w:highlight w:val="none"/>
              </w:rPr>
            </w:pPr>
          </w:p>
        </w:tc>
      </w:tr>
      <w:tr w14:paraId="673927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417FF25A">
            <w:pPr>
              <w:snapToGrid w:val="0"/>
              <w:spacing w:line="300" w:lineRule="auto"/>
              <w:jc w:val="center"/>
              <w:rPr>
                <w:rFonts w:hint="eastAsia" w:ascii="宋体" w:hAnsi="宋体" w:eastAsia="宋体" w:cs="宋体"/>
                <w:sz w:val="24"/>
                <w:szCs w:val="24"/>
                <w:highlight w:val="none"/>
              </w:rPr>
            </w:pPr>
          </w:p>
        </w:tc>
        <w:tc>
          <w:tcPr>
            <w:tcW w:w="3050" w:type="dxa"/>
            <w:noWrap w:val="0"/>
            <w:tcMar>
              <w:top w:w="15" w:type="dxa"/>
              <w:left w:w="15" w:type="dxa"/>
              <w:bottom w:w="0" w:type="dxa"/>
              <w:right w:w="15" w:type="dxa"/>
            </w:tcMar>
            <w:vAlign w:val="center"/>
          </w:tcPr>
          <w:p w14:paraId="392B0FD7">
            <w:pPr>
              <w:jc w:val="center"/>
              <w:rPr>
                <w:rFonts w:hint="eastAsia" w:ascii="宋体" w:hAnsi="宋体" w:eastAsia="宋体" w:cs="宋体"/>
                <w:sz w:val="24"/>
                <w:szCs w:val="24"/>
                <w:highlight w:val="none"/>
              </w:rPr>
            </w:pPr>
          </w:p>
        </w:tc>
        <w:tc>
          <w:tcPr>
            <w:tcW w:w="3060" w:type="dxa"/>
            <w:noWrap w:val="0"/>
            <w:tcMar>
              <w:top w:w="15" w:type="dxa"/>
              <w:left w:w="15" w:type="dxa"/>
              <w:bottom w:w="0" w:type="dxa"/>
              <w:right w:w="15" w:type="dxa"/>
            </w:tcMar>
            <w:vAlign w:val="center"/>
          </w:tcPr>
          <w:p w14:paraId="788B48D9">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50B0C989">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37FD96A1">
            <w:pPr>
              <w:snapToGrid w:val="0"/>
              <w:spacing w:line="300" w:lineRule="auto"/>
              <w:jc w:val="center"/>
              <w:rPr>
                <w:rFonts w:hint="eastAsia" w:ascii="宋体" w:hAnsi="宋体" w:eastAsia="宋体" w:cs="宋体"/>
                <w:sz w:val="24"/>
                <w:szCs w:val="24"/>
                <w:highlight w:val="none"/>
              </w:rPr>
            </w:pPr>
          </w:p>
        </w:tc>
      </w:tr>
      <w:tr w14:paraId="771BF4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51" w:hRule="atLeast"/>
          <w:jc w:val="center"/>
        </w:trPr>
        <w:tc>
          <w:tcPr>
            <w:tcW w:w="1062" w:type="dxa"/>
            <w:noWrap w:val="0"/>
            <w:tcMar>
              <w:top w:w="15" w:type="dxa"/>
              <w:left w:w="15" w:type="dxa"/>
              <w:bottom w:w="0" w:type="dxa"/>
              <w:right w:w="15" w:type="dxa"/>
            </w:tcMar>
            <w:vAlign w:val="center"/>
          </w:tcPr>
          <w:p w14:paraId="4B04AEDC">
            <w:pPr>
              <w:snapToGrid w:val="0"/>
              <w:spacing w:line="300" w:lineRule="auto"/>
              <w:jc w:val="center"/>
              <w:rPr>
                <w:rFonts w:hint="eastAsia" w:ascii="宋体" w:hAnsi="宋体" w:eastAsia="宋体" w:cs="宋体"/>
                <w:sz w:val="24"/>
                <w:szCs w:val="24"/>
                <w:highlight w:val="none"/>
              </w:rPr>
            </w:pPr>
          </w:p>
        </w:tc>
        <w:tc>
          <w:tcPr>
            <w:tcW w:w="3050" w:type="dxa"/>
            <w:noWrap w:val="0"/>
            <w:tcMar>
              <w:top w:w="15" w:type="dxa"/>
              <w:left w:w="15" w:type="dxa"/>
              <w:bottom w:w="0" w:type="dxa"/>
              <w:right w:w="15" w:type="dxa"/>
            </w:tcMar>
            <w:vAlign w:val="center"/>
          </w:tcPr>
          <w:p w14:paraId="6A92D216">
            <w:pPr>
              <w:jc w:val="center"/>
              <w:rPr>
                <w:rFonts w:hint="eastAsia" w:ascii="宋体" w:hAnsi="宋体" w:eastAsia="宋体" w:cs="宋体"/>
                <w:sz w:val="24"/>
                <w:szCs w:val="24"/>
                <w:highlight w:val="none"/>
              </w:rPr>
            </w:pPr>
          </w:p>
        </w:tc>
        <w:tc>
          <w:tcPr>
            <w:tcW w:w="3060" w:type="dxa"/>
            <w:noWrap w:val="0"/>
            <w:tcMar>
              <w:top w:w="15" w:type="dxa"/>
              <w:left w:w="15" w:type="dxa"/>
              <w:bottom w:w="0" w:type="dxa"/>
              <w:right w:w="15" w:type="dxa"/>
            </w:tcMar>
            <w:vAlign w:val="center"/>
          </w:tcPr>
          <w:p w14:paraId="3AA3C819">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295673FA">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337CBDEB">
            <w:pPr>
              <w:snapToGrid w:val="0"/>
              <w:spacing w:line="300" w:lineRule="auto"/>
              <w:jc w:val="center"/>
              <w:rPr>
                <w:rFonts w:hint="eastAsia" w:ascii="宋体" w:hAnsi="宋体" w:eastAsia="宋体" w:cs="宋体"/>
                <w:sz w:val="24"/>
                <w:szCs w:val="24"/>
                <w:highlight w:val="none"/>
              </w:rPr>
            </w:pPr>
          </w:p>
        </w:tc>
      </w:tr>
    </w:tbl>
    <w:p w14:paraId="0A64D2B7">
      <w:pPr>
        <w:pStyle w:val="40"/>
        <w:spacing w:line="360" w:lineRule="auto"/>
        <w:ind w:left="-181" w:firstLine="181"/>
        <w:rPr>
          <w:rFonts w:hint="eastAsia" w:ascii="宋体" w:hAnsi="宋体" w:eastAsia="宋体" w:cs="宋体"/>
          <w:b/>
          <w:bCs/>
          <w:snapToGrid w:val="0"/>
          <w:kern w:val="0"/>
          <w:sz w:val="24"/>
          <w:szCs w:val="24"/>
          <w:highlight w:val="none"/>
        </w:rPr>
      </w:pPr>
    </w:p>
    <w:p w14:paraId="4627E560">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注：1.本部分内容均为实质性条款，供应商的投标(响应)必须完全满足，</w:t>
      </w:r>
      <w:r>
        <w:rPr>
          <w:rFonts w:hint="eastAsia" w:ascii="宋体" w:hAnsi="宋体" w:eastAsia="宋体" w:cs="宋体"/>
          <w:sz w:val="24"/>
          <w:szCs w:val="24"/>
          <w:highlight w:val="none"/>
          <w:lang w:eastAsia="zh-CN"/>
        </w:rPr>
        <w:t>无负偏离</w:t>
      </w:r>
      <w:r>
        <w:rPr>
          <w:rFonts w:hint="eastAsia" w:ascii="宋体" w:hAnsi="宋体" w:eastAsia="宋体" w:cs="宋体"/>
          <w:sz w:val="24"/>
          <w:szCs w:val="24"/>
          <w:highlight w:val="none"/>
        </w:rPr>
        <w:t>，否则按照投标(响应)无效处理；</w:t>
      </w:r>
    </w:p>
    <w:p w14:paraId="528B760E">
      <w:pPr>
        <w:pStyle w:val="17"/>
        <w:rPr>
          <w:rFonts w:hint="eastAsia" w:ascii="宋体" w:hAnsi="宋体" w:eastAsia="宋体" w:cs="宋体"/>
          <w:sz w:val="24"/>
          <w:szCs w:val="24"/>
          <w:highlight w:val="none"/>
        </w:rPr>
      </w:pPr>
      <w:r>
        <w:rPr>
          <w:rFonts w:hint="eastAsia" w:ascii="宋体" w:hAnsi="宋体" w:eastAsia="宋体" w:cs="宋体"/>
          <w:sz w:val="24"/>
          <w:szCs w:val="24"/>
          <w:highlight w:val="none"/>
        </w:rPr>
        <w:t>2.供应商如实填写“</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商务条款应答”内容，可优于</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规定，视为正偏离；</w:t>
      </w:r>
    </w:p>
    <w:p w14:paraId="323F5A54">
      <w:pPr>
        <w:pStyle w:val="17"/>
        <w:rPr>
          <w:rFonts w:hint="eastAsia" w:ascii="宋体" w:hAnsi="宋体" w:eastAsia="宋体" w:cs="宋体"/>
          <w:sz w:val="24"/>
          <w:szCs w:val="24"/>
          <w:highlight w:val="none"/>
        </w:rPr>
      </w:pPr>
      <w:r>
        <w:rPr>
          <w:rFonts w:hint="eastAsia" w:ascii="宋体" w:hAnsi="宋体" w:eastAsia="宋体" w:cs="宋体"/>
          <w:sz w:val="24"/>
          <w:szCs w:val="24"/>
          <w:highlight w:val="none"/>
        </w:rPr>
        <w:t>3.“偏离情况”一栏中必须如实并按照商务要求的内容逐项填写“正偏离”、“负偏离”或“无偏离”；</w:t>
      </w:r>
    </w:p>
    <w:p w14:paraId="0B069800">
      <w:pPr>
        <w:pStyle w:val="17"/>
        <w:rPr>
          <w:rFonts w:hint="eastAsia" w:ascii="宋体" w:hAnsi="宋体" w:eastAsia="宋体" w:cs="宋体"/>
          <w:sz w:val="24"/>
          <w:szCs w:val="24"/>
          <w:highlight w:val="none"/>
        </w:rPr>
      </w:pPr>
      <w:r>
        <w:rPr>
          <w:rFonts w:hint="eastAsia" w:ascii="宋体" w:hAnsi="宋体" w:eastAsia="宋体" w:cs="宋体"/>
          <w:sz w:val="24"/>
          <w:szCs w:val="24"/>
          <w:highlight w:val="none"/>
        </w:rPr>
        <w:t>4.“说明”一栏中为除以上所述内容外，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认为本表格需要提供的其他内容自行填写。</w:t>
      </w:r>
    </w:p>
    <w:p w14:paraId="0224E00B">
      <w:pPr>
        <w:pStyle w:val="17"/>
        <w:rPr>
          <w:rFonts w:hint="eastAsia" w:ascii="宋体" w:hAnsi="宋体" w:eastAsia="宋体" w:cs="宋体"/>
          <w:sz w:val="24"/>
          <w:szCs w:val="24"/>
          <w:highlight w:val="none"/>
        </w:rPr>
      </w:pPr>
    </w:p>
    <w:p w14:paraId="4E9B89C9">
      <w:pPr>
        <w:rPr>
          <w:rFonts w:hint="eastAsia" w:ascii="宋体" w:hAnsi="宋体" w:eastAsia="宋体" w:cs="宋体"/>
          <w:snapToGrid w:val="0"/>
          <w:sz w:val="24"/>
          <w:szCs w:val="24"/>
          <w:highlight w:val="none"/>
        </w:rPr>
      </w:pPr>
    </w:p>
    <w:p w14:paraId="2392682D">
      <w:pPr>
        <w:rPr>
          <w:rFonts w:hint="eastAsia" w:ascii="宋体" w:hAnsi="宋体" w:eastAsia="宋体" w:cs="宋体"/>
          <w:snapToGrid w:val="0"/>
          <w:sz w:val="24"/>
          <w:szCs w:val="24"/>
          <w:highlight w:val="none"/>
        </w:rPr>
      </w:pPr>
    </w:p>
    <w:p w14:paraId="637FF298">
      <w:pPr>
        <w:spacing w:line="360" w:lineRule="auto"/>
        <w:jc w:val="right"/>
        <w:rPr>
          <w:rFonts w:hint="eastAsia" w:ascii="宋体" w:hAnsi="宋体" w:eastAsia="宋体" w:cs="宋体"/>
          <w:bCs/>
          <w:sz w:val="24"/>
          <w:szCs w:val="24"/>
          <w:highlight w:val="none"/>
        </w:rPr>
      </w:pPr>
      <w:r>
        <w:rPr>
          <w:rFonts w:hint="eastAsia" w:ascii="宋体" w:hAnsi="宋体" w:eastAsia="宋体" w:cs="宋体"/>
          <w:sz w:val="24"/>
          <w:szCs w:val="24"/>
          <w:highlight w:val="none"/>
          <w:lang w:val="zh-CN"/>
        </w:rPr>
        <w:t xml:space="preserve">                             </w:t>
      </w:r>
      <w:r>
        <w:rPr>
          <w:rFonts w:hint="eastAsia" w:ascii="宋体" w:hAnsi="宋体"/>
          <w:color w:val="auto"/>
          <w:sz w:val="24"/>
          <w:highlight w:val="none"/>
          <w:lang w:eastAsia="zh-CN"/>
        </w:rPr>
        <w:t>供应商名称</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u w:val="single"/>
          <w:lang w:val="zh-CN"/>
        </w:rPr>
        <w:t xml:space="preserve">                    </w:t>
      </w:r>
      <w:r>
        <w:rPr>
          <w:rFonts w:hint="eastAsia" w:ascii="宋体" w:hAnsi="宋体" w:eastAsia="宋体" w:cs="宋体"/>
          <w:bCs/>
          <w:sz w:val="24"/>
          <w:szCs w:val="24"/>
          <w:highlight w:val="none"/>
          <w:lang w:val="zh-CN"/>
        </w:rPr>
        <w:t>(盖单位公章)</w:t>
      </w:r>
    </w:p>
    <w:p w14:paraId="3730FAD2">
      <w:pPr>
        <w:spacing w:line="480" w:lineRule="auto"/>
        <w:ind w:right="-1"/>
        <w:jc w:val="righ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法定代表人或授权委托代理人：</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w:t>
      </w:r>
      <w:r>
        <w:rPr>
          <w:rFonts w:hint="eastAsia" w:ascii="宋体" w:hAnsi="宋体"/>
          <w:color w:val="auto"/>
          <w:sz w:val="24"/>
          <w:highlight w:val="none"/>
        </w:rPr>
        <w:t>签字或签章</w:t>
      </w:r>
      <w:r>
        <w:rPr>
          <w:rFonts w:hint="eastAsia" w:ascii="宋体" w:hAnsi="宋体" w:eastAsia="宋体" w:cs="宋体"/>
          <w:sz w:val="24"/>
          <w:szCs w:val="24"/>
          <w:highlight w:val="none"/>
          <w:lang w:val="zh-CN"/>
        </w:rPr>
        <w:t>)</w:t>
      </w:r>
    </w:p>
    <w:p w14:paraId="61E3967E">
      <w:pPr>
        <w:jc w:val="right"/>
        <w:rPr>
          <w:rFonts w:hint="eastAsia" w:ascii="宋体" w:hAnsi="宋体" w:eastAsia="宋体" w:cs="宋体"/>
          <w:sz w:val="24"/>
          <w:szCs w:val="24"/>
          <w:highlight w:val="none"/>
        </w:rPr>
      </w:pPr>
    </w:p>
    <w:p w14:paraId="2EA8595D">
      <w:pPr>
        <w:spacing w:line="480" w:lineRule="exact"/>
        <w:ind w:firstLine="480" w:firstLineChars="200"/>
        <w:jc w:val="right"/>
        <w:rPr>
          <w:rFonts w:hint="eastAsia" w:ascii="宋体" w:hAnsi="宋体" w:eastAsia="宋体" w:cs="宋体"/>
          <w:b/>
          <w:highlight w:val="none"/>
        </w:rPr>
      </w:pPr>
      <w:r>
        <w:rPr>
          <w:rFonts w:hint="eastAsia" w:ascii="宋体" w:hAnsi="宋体" w:eastAsia="宋体" w:cs="宋体"/>
          <w:bCs/>
          <w:sz w:val="24"/>
          <w:szCs w:val="24"/>
          <w:highlight w:val="none"/>
        </w:rPr>
        <w:t xml:space="preserve">                           日期</w:t>
      </w:r>
      <w:r>
        <w:rPr>
          <w:rFonts w:hint="eastAsia" w:ascii="宋体" w:hAnsi="宋体" w:eastAsia="宋体" w:cs="宋体"/>
          <w:b/>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7F0C7B5">
      <w:pPr>
        <w:pStyle w:val="3"/>
        <w:bidi w:val="0"/>
        <w:jc w:val="center"/>
        <w:rPr>
          <w:rFonts w:hint="eastAsia" w:ascii="宋体" w:hAnsi="宋体" w:eastAsia="宋体" w:cs="宋体"/>
          <w:b/>
          <w:szCs w:val="32"/>
          <w:highlight w:val="none"/>
          <w:lang w:val="zh-CN"/>
        </w:rPr>
      </w:pPr>
      <w:r>
        <w:rPr>
          <w:rFonts w:hint="eastAsia" w:ascii="宋体" w:hAnsi="宋体" w:eastAsia="宋体" w:cs="宋体"/>
          <w:b/>
          <w:bCs/>
          <w:highlight w:val="none"/>
        </w:rPr>
        <w:br w:type="page"/>
      </w:r>
      <w:bookmarkStart w:id="71" w:name="_Toc8694"/>
      <w:r>
        <w:rPr>
          <w:rFonts w:hint="eastAsia"/>
          <w:highlight w:val="none"/>
          <w:lang w:val="zh-CN"/>
        </w:rPr>
        <w:t>七、技术规格偏离表</w:t>
      </w:r>
      <w:bookmarkEnd w:id="71"/>
    </w:p>
    <w:p w14:paraId="3D323ADE">
      <w:pPr>
        <w:rPr>
          <w:rFonts w:hint="eastAsia" w:ascii="宋体" w:hAnsi="宋体" w:eastAsia="宋体" w:cs="宋体"/>
          <w:highlight w:val="none"/>
        </w:rPr>
      </w:pPr>
    </w:p>
    <w:p w14:paraId="6819A70B">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项目名称： </w:t>
      </w:r>
      <w:r>
        <w:rPr>
          <w:rFonts w:hint="eastAsia" w:ascii="宋体" w:hAnsi="宋体" w:eastAsia="宋体" w:cs="宋体"/>
          <w:sz w:val="24"/>
          <w:szCs w:val="24"/>
          <w:highlight w:val="none"/>
          <w:u w:val="single"/>
        </w:rPr>
        <w:t xml:space="preserve">                       </w:t>
      </w:r>
    </w:p>
    <w:p w14:paraId="5DD1AA6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r>
        <w:rPr>
          <w:rFonts w:hint="eastAsia" w:ascii="宋体" w:hAnsi="宋体" w:eastAsia="宋体" w:cs="宋体"/>
          <w:i/>
          <w:iCs/>
          <w:sz w:val="24"/>
          <w:szCs w:val="24"/>
          <w:highlight w:val="none"/>
        </w:rPr>
        <w:t xml:space="preserve"> </w:t>
      </w:r>
      <w:r>
        <w:rPr>
          <w:rFonts w:hint="eastAsia" w:ascii="宋体" w:hAnsi="宋体" w:eastAsia="宋体" w:cs="宋体"/>
          <w:sz w:val="24"/>
          <w:szCs w:val="24"/>
          <w:highlight w:val="none"/>
          <w:u w:val="single"/>
        </w:rPr>
        <w:t xml:space="preserve">                       </w:t>
      </w:r>
    </w:p>
    <w:tbl>
      <w:tblPr>
        <w:tblStyle w:val="18"/>
        <w:tblW w:w="101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028"/>
        <w:gridCol w:w="2449"/>
        <w:gridCol w:w="1980"/>
        <w:gridCol w:w="2223"/>
        <w:gridCol w:w="1253"/>
        <w:gridCol w:w="1253"/>
      </w:tblGrid>
      <w:tr w14:paraId="092FA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28" w:hRule="atLeast"/>
          <w:jc w:val="center"/>
        </w:trPr>
        <w:tc>
          <w:tcPr>
            <w:tcW w:w="1028" w:type="dxa"/>
            <w:tcBorders>
              <w:top w:val="single" w:color="auto" w:sz="12" w:space="0"/>
            </w:tcBorders>
            <w:noWrap w:val="0"/>
            <w:tcMar>
              <w:top w:w="15" w:type="dxa"/>
              <w:left w:w="15" w:type="dxa"/>
              <w:bottom w:w="0" w:type="dxa"/>
              <w:right w:w="15" w:type="dxa"/>
            </w:tcMar>
            <w:vAlign w:val="center"/>
          </w:tcPr>
          <w:p w14:paraId="073C8B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449" w:type="dxa"/>
            <w:tcBorders>
              <w:top w:val="single" w:color="auto" w:sz="12" w:space="0"/>
            </w:tcBorders>
            <w:noWrap w:val="0"/>
            <w:tcMar>
              <w:top w:w="15" w:type="dxa"/>
              <w:left w:w="15" w:type="dxa"/>
              <w:bottom w:w="0" w:type="dxa"/>
              <w:right w:w="15" w:type="dxa"/>
            </w:tcMar>
            <w:vAlign w:val="center"/>
          </w:tcPr>
          <w:p w14:paraId="7E2762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1980" w:type="dxa"/>
            <w:tcBorders>
              <w:top w:val="single" w:color="auto" w:sz="12" w:space="0"/>
            </w:tcBorders>
            <w:noWrap w:val="0"/>
            <w:tcMar>
              <w:top w:w="15" w:type="dxa"/>
              <w:left w:w="15" w:type="dxa"/>
              <w:bottom w:w="0" w:type="dxa"/>
              <w:right w:w="15" w:type="dxa"/>
            </w:tcMar>
            <w:vAlign w:val="center"/>
          </w:tcPr>
          <w:p w14:paraId="639646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技术参数</w:t>
            </w:r>
          </w:p>
          <w:p w14:paraId="4F2378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w:t>
            </w:r>
          </w:p>
        </w:tc>
        <w:tc>
          <w:tcPr>
            <w:tcW w:w="2223" w:type="dxa"/>
            <w:tcBorders>
              <w:top w:val="single" w:color="auto" w:sz="12" w:space="0"/>
              <w:right w:val="single" w:color="auto" w:sz="4" w:space="0"/>
            </w:tcBorders>
            <w:noWrap w:val="0"/>
            <w:tcMar>
              <w:top w:w="15" w:type="dxa"/>
              <w:left w:w="15" w:type="dxa"/>
              <w:bottom w:w="0" w:type="dxa"/>
              <w:right w:w="15" w:type="dxa"/>
            </w:tcMar>
            <w:vAlign w:val="center"/>
          </w:tcPr>
          <w:p w14:paraId="4D554C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对应技术参数</w:t>
            </w:r>
          </w:p>
        </w:tc>
        <w:tc>
          <w:tcPr>
            <w:tcW w:w="1253" w:type="dxa"/>
            <w:tcBorders>
              <w:top w:val="single" w:color="auto" w:sz="12" w:space="0"/>
            </w:tcBorders>
            <w:noWrap w:val="0"/>
            <w:tcMar>
              <w:top w:w="15" w:type="dxa"/>
              <w:left w:w="15" w:type="dxa"/>
              <w:bottom w:w="0" w:type="dxa"/>
              <w:right w:w="15" w:type="dxa"/>
            </w:tcMar>
            <w:vAlign w:val="center"/>
          </w:tcPr>
          <w:p w14:paraId="262DF4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偏离情况</w:t>
            </w:r>
          </w:p>
        </w:tc>
        <w:tc>
          <w:tcPr>
            <w:tcW w:w="1253" w:type="dxa"/>
            <w:tcBorders>
              <w:top w:val="single" w:color="auto" w:sz="12" w:space="0"/>
            </w:tcBorders>
            <w:noWrap w:val="0"/>
            <w:tcMar>
              <w:top w:w="15" w:type="dxa"/>
              <w:left w:w="15" w:type="dxa"/>
              <w:bottom w:w="0" w:type="dxa"/>
              <w:right w:w="15" w:type="dxa"/>
            </w:tcMar>
            <w:vAlign w:val="center"/>
          </w:tcPr>
          <w:p w14:paraId="1DD029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tc>
      </w:tr>
      <w:tr w14:paraId="068BD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76F9C4FF">
            <w:pPr>
              <w:keepNext w:val="0"/>
              <w:keepLines w:val="0"/>
              <w:pageBreakBefore w:val="0"/>
              <w:widowControl w:val="0"/>
              <w:kinsoku/>
              <w:wordWrap/>
              <w:overflowPunct/>
              <w:topLinePunct w:val="0"/>
              <w:autoSpaceDE/>
              <w:autoSpaceDN/>
              <w:bidi w:val="0"/>
              <w:adjustRightInd/>
              <w:snapToGrid/>
              <w:spacing w:line="240" w:lineRule="auto"/>
              <w:ind w:firstLine="38" w:firstLineChars="16"/>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449" w:type="dxa"/>
            <w:noWrap w:val="0"/>
            <w:tcMar>
              <w:top w:w="15" w:type="dxa"/>
              <w:left w:w="15" w:type="dxa"/>
              <w:bottom w:w="0" w:type="dxa"/>
              <w:right w:w="15" w:type="dxa"/>
            </w:tcMar>
            <w:vAlign w:val="center"/>
          </w:tcPr>
          <w:p w14:paraId="2A4B45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p>
        </w:tc>
        <w:tc>
          <w:tcPr>
            <w:tcW w:w="1980" w:type="dxa"/>
            <w:noWrap w:val="0"/>
            <w:tcMar>
              <w:top w:w="15" w:type="dxa"/>
              <w:left w:w="15" w:type="dxa"/>
              <w:bottom w:w="0" w:type="dxa"/>
              <w:right w:w="15" w:type="dxa"/>
            </w:tcMar>
            <w:vAlign w:val="center"/>
          </w:tcPr>
          <w:p w14:paraId="6F27073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2223" w:type="dxa"/>
            <w:tcBorders>
              <w:right w:val="single" w:color="auto" w:sz="4" w:space="0"/>
            </w:tcBorders>
            <w:noWrap w:val="0"/>
            <w:tcMar>
              <w:top w:w="15" w:type="dxa"/>
              <w:left w:w="15" w:type="dxa"/>
              <w:bottom w:w="0" w:type="dxa"/>
              <w:right w:w="15" w:type="dxa"/>
            </w:tcMar>
            <w:vAlign w:val="center"/>
          </w:tcPr>
          <w:p w14:paraId="278B29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53" w:type="dxa"/>
            <w:noWrap w:val="0"/>
            <w:tcMar>
              <w:top w:w="15" w:type="dxa"/>
              <w:left w:w="15" w:type="dxa"/>
              <w:bottom w:w="0" w:type="dxa"/>
              <w:right w:w="15" w:type="dxa"/>
            </w:tcMar>
            <w:vAlign w:val="center"/>
          </w:tcPr>
          <w:p w14:paraId="1769AD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4E411C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14:paraId="156A9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66" w:hRule="atLeast"/>
          <w:jc w:val="center"/>
        </w:trPr>
        <w:tc>
          <w:tcPr>
            <w:tcW w:w="1028" w:type="dxa"/>
            <w:noWrap w:val="0"/>
            <w:tcMar>
              <w:top w:w="15" w:type="dxa"/>
              <w:left w:w="15" w:type="dxa"/>
              <w:bottom w:w="0" w:type="dxa"/>
              <w:right w:w="15" w:type="dxa"/>
            </w:tcMar>
            <w:vAlign w:val="center"/>
          </w:tcPr>
          <w:p w14:paraId="4A9E8317">
            <w:pPr>
              <w:keepNext w:val="0"/>
              <w:keepLines w:val="0"/>
              <w:pageBreakBefore w:val="0"/>
              <w:widowControl w:val="0"/>
              <w:kinsoku/>
              <w:wordWrap/>
              <w:overflowPunct/>
              <w:topLinePunct w:val="0"/>
              <w:autoSpaceDE/>
              <w:autoSpaceDN/>
              <w:bidi w:val="0"/>
              <w:adjustRightInd/>
              <w:snapToGrid/>
              <w:spacing w:line="240" w:lineRule="auto"/>
              <w:ind w:firstLine="38" w:firstLineChars="16"/>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449" w:type="dxa"/>
            <w:noWrap w:val="0"/>
            <w:tcMar>
              <w:top w:w="15" w:type="dxa"/>
              <w:left w:w="15" w:type="dxa"/>
              <w:bottom w:w="0" w:type="dxa"/>
              <w:right w:w="15" w:type="dxa"/>
            </w:tcMar>
            <w:vAlign w:val="center"/>
          </w:tcPr>
          <w:p w14:paraId="569880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p>
        </w:tc>
        <w:tc>
          <w:tcPr>
            <w:tcW w:w="1980" w:type="dxa"/>
            <w:noWrap w:val="0"/>
            <w:tcMar>
              <w:top w:w="15" w:type="dxa"/>
              <w:left w:w="15" w:type="dxa"/>
              <w:bottom w:w="0" w:type="dxa"/>
              <w:right w:w="15" w:type="dxa"/>
            </w:tcMar>
            <w:vAlign w:val="center"/>
          </w:tcPr>
          <w:p w14:paraId="1ABF80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2223" w:type="dxa"/>
            <w:tcBorders>
              <w:right w:val="single" w:color="auto" w:sz="4" w:space="0"/>
            </w:tcBorders>
            <w:noWrap w:val="0"/>
            <w:tcMar>
              <w:top w:w="15" w:type="dxa"/>
              <w:left w:w="15" w:type="dxa"/>
              <w:bottom w:w="0" w:type="dxa"/>
              <w:right w:w="15" w:type="dxa"/>
            </w:tcMar>
            <w:vAlign w:val="center"/>
          </w:tcPr>
          <w:p w14:paraId="355732C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53" w:type="dxa"/>
            <w:noWrap w:val="0"/>
            <w:tcMar>
              <w:top w:w="15" w:type="dxa"/>
              <w:left w:w="15" w:type="dxa"/>
              <w:bottom w:w="0" w:type="dxa"/>
              <w:right w:w="15" w:type="dxa"/>
            </w:tcMar>
            <w:vAlign w:val="center"/>
          </w:tcPr>
          <w:p w14:paraId="016E59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461334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14:paraId="65823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122F4AA3">
            <w:pPr>
              <w:keepNext w:val="0"/>
              <w:keepLines w:val="0"/>
              <w:pageBreakBefore w:val="0"/>
              <w:widowControl w:val="0"/>
              <w:kinsoku/>
              <w:wordWrap/>
              <w:overflowPunct/>
              <w:topLinePunct w:val="0"/>
              <w:autoSpaceDE/>
              <w:autoSpaceDN/>
              <w:bidi w:val="0"/>
              <w:adjustRightInd/>
              <w:snapToGrid/>
              <w:spacing w:line="240" w:lineRule="auto"/>
              <w:ind w:firstLine="38" w:firstLineChars="16"/>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449" w:type="dxa"/>
            <w:noWrap w:val="0"/>
            <w:tcMar>
              <w:top w:w="15" w:type="dxa"/>
              <w:left w:w="15" w:type="dxa"/>
              <w:bottom w:w="0" w:type="dxa"/>
              <w:right w:w="15" w:type="dxa"/>
            </w:tcMar>
            <w:vAlign w:val="center"/>
          </w:tcPr>
          <w:p w14:paraId="232379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szCs w:val="24"/>
                <w:highlight w:val="none"/>
              </w:rPr>
            </w:pPr>
          </w:p>
        </w:tc>
        <w:tc>
          <w:tcPr>
            <w:tcW w:w="1980" w:type="dxa"/>
            <w:noWrap w:val="0"/>
            <w:tcMar>
              <w:top w:w="15" w:type="dxa"/>
              <w:left w:w="15" w:type="dxa"/>
              <w:bottom w:w="0" w:type="dxa"/>
              <w:right w:w="15" w:type="dxa"/>
            </w:tcMar>
            <w:vAlign w:val="center"/>
          </w:tcPr>
          <w:p w14:paraId="07C87A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2223" w:type="dxa"/>
            <w:tcBorders>
              <w:right w:val="single" w:color="auto" w:sz="4" w:space="0"/>
            </w:tcBorders>
            <w:noWrap w:val="0"/>
            <w:tcMar>
              <w:top w:w="15" w:type="dxa"/>
              <w:left w:w="15" w:type="dxa"/>
              <w:bottom w:w="0" w:type="dxa"/>
              <w:right w:w="15" w:type="dxa"/>
            </w:tcMar>
            <w:vAlign w:val="center"/>
          </w:tcPr>
          <w:p w14:paraId="3A27E27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53" w:type="dxa"/>
            <w:noWrap w:val="0"/>
            <w:tcMar>
              <w:top w:w="15" w:type="dxa"/>
              <w:left w:w="15" w:type="dxa"/>
              <w:bottom w:w="0" w:type="dxa"/>
              <w:right w:w="15" w:type="dxa"/>
            </w:tcMar>
            <w:vAlign w:val="center"/>
          </w:tcPr>
          <w:p w14:paraId="61BA34A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6ED803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14:paraId="44855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266F4B6B">
            <w:pPr>
              <w:keepNext w:val="0"/>
              <w:keepLines w:val="0"/>
              <w:pageBreakBefore w:val="0"/>
              <w:widowControl w:val="0"/>
              <w:kinsoku/>
              <w:wordWrap/>
              <w:overflowPunct/>
              <w:topLinePunct w:val="0"/>
              <w:autoSpaceDE/>
              <w:autoSpaceDN/>
              <w:bidi w:val="0"/>
              <w:adjustRightInd/>
              <w:snapToGrid/>
              <w:spacing w:line="240" w:lineRule="auto"/>
              <w:ind w:firstLine="38" w:firstLineChars="16"/>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449" w:type="dxa"/>
            <w:noWrap w:val="0"/>
            <w:tcMar>
              <w:top w:w="15" w:type="dxa"/>
              <w:left w:w="15" w:type="dxa"/>
              <w:bottom w:w="0" w:type="dxa"/>
              <w:right w:w="15" w:type="dxa"/>
            </w:tcMar>
            <w:vAlign w:val="center"/>
          </w:tcPr>
          <w:p w14:paraId="0AC2A35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980" w:type="dxa"/>
            <w:noWrap w:val="0"/>
            <w:tcMar>
              <w:top w:w="15" w:type="dxa"/>
              <w:left w:w="15" w:type="dxa"/>
              <w:bottom w:w="0" w:type="dxa"/>
              <w:right w:w="15" w:type="dxa"/>
            </w:tcMar>
            <w:vAlign w:val="center"/>
          </w:tcPr>
          <w:p w14:paraId="45E91A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2223" w:type="dxa"/>
            <w:tcBorders>
              <w:right w:val="single" w:color="auto" w:sz="4" w:space="0"/>
            </w:tcBorders>
            <w:noWrap w:val="0"/>
            <w:tcMar>
              <w:top w:w="15" w:type="dxa"/>
              <w:left w:w="15" w:type="dxa"/>
              <w:bottom w:w="0" w:type="dxa"/>
              <w:right w:w="15" w:type="dxa"/>
            </w:tcMar>
            <w:vAlign w:val="center"/>
          </w:tcPr>
          <w:p w14:paraId="269ACF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53" w:type="dxa"/>
            <w:noWrap w:val="0"/>
            <w:tcMar>
              <w:top w:w="15" w:type="dxa"/>
              <w:left w:w="15" w:type="dxa"/>
              <w:bottom w:w="0" w:type="dxa"/>
              <w:right w:w="15" w:type="dxa"/>
            </w:tcMar>
            <w:vAlign w:val="center"/>
          </w:tcPr>
          <w:p w14:paraId="56DDF01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07D6D2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14:paraId="4619CA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6376EBFB">
            <w:pPr>
              <w:spacing w:line="360" w:lineRule="auto"/>
              <w:ind w:firstLine="38" w:firstLineChars="16"/>
              <w:jc w:val="center"/>
              <w:rPr>
                <w:rFonts w:hint="eastAsia" w:ascii="宋体" w:hAnsi="宋体" w:eastAsia="宋体" w:cs="宋体"/>
                <w:sz w:val="24"/>
                <w:szCs w:val="24"/>
                <w:highlight w:val="none"/>
              </w:rPr>
            </w:pPr>
          </w:p>
        </w:tc>
        <w:tc>
          <w:tcPr>
            <w:tcW w:w="2449" w:type="dxa"/>
            <w:noWrap w:val="0"/>
            <w:tcMar>
              <w:top w:w="15" w:type="dxa"/>
              <w:left w:w="15" w:type="dxa"/>
              <w:bottom w:w="0" w:type="dxa"/>
              <w:right w:w="15" w:type="dxa"/>
            </w:tcMar>
            <w:vAlign w:val="center"/>
          </w:tcPr>
          <w:p w14:paraId="60C67547">
            <w:pPr>
              <w:spacing w:line="360" w:lineRule="auto"/>
              <w:rPr>
                <w:rFonts w:hint="eastAsia" w:ascii="宋体" w:hAnsi="宋体" w:eastAsia="宋体" w:cs="宋体"/>
                <w:sz w:val="24"/>
                <w:szCs w:val="24"/>
                <w:highlight w:val="none"/>
              </w:rPr>
            </w:pPr>
          </w:p>
        </w:tc>
        <w:tc>
          <w:tcPr>
            <w:tcW w:w="1980" w:type="dxa"/>
            <w:noWrap w:val="0"/>
            <w:tcMar>
              <w:top w:w="15" w:type="dxa"/>
              <w:left w:w="15" w:type="dxa"/>
              <w:bottom w:w="0" w:type="dxa"/>
              <w:right w:w="15" w:type="dxa"/>
            </w:tcMar>
            <w:vAlign w:val="center"/>
          </w:tcPr>
          <w:p w14:paraId="701BC199">
            <w:pPr>
              <w:spacing w:line="360" w:lineRule="auto"/>
              <w:rPr>
                <w:rFonts w:hint="eastAsia" w:ascii="宋体" w:hAnsi="宋体" w:eastAsia="宋体" w:cs="宋体"/>
                <w:sz w:val="24"/>
                <w:szCs w:val="24"/>
                <w:highlight w:val="none"/>
              </w:rPr>
            </w:pPr>
          </w:p>
        </w:tc>
        <w:tc>
          <w:tcPr>
            <w:tcW w:w="2223" w:type="dxa"/>
            <w:tcBorders>
              <w:right w:val="single" w:color="auto" w:sz="4" w:space="0"/>
            </w:tcBorders>
            <w:noWrap w:val="0"/>
            <w:tcMar>
              <w:top w:w="15" w:type="dxa"/>
              <w:left w:w="15" w:type="dxa"/>
              <w:bottom w:w="0" w:type="dxa"/>
              <w:right w:w="15" w:type="dxa"/>
            </w:tcMar>
            <w:vAlign w:val="center"/>
          </w:tcPr>
          <w:p w14:paraId="2F6F6A8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53" w:type="dxa"/>
            <w:noWrap w:val="0"/>
            <w:tcMar>
              <w:top w:w="15" w:type="dxa"/>
              <w:left w:w="15" w:type="dxa"/>
              <w:bottom w:w="0" w:type="dxa"/>
              <w:right w:w="15" w:type="dxa"/>
            </w:tcMar>
            <w:vAlign w:val="center"/>
          </w:tcPr>
          <w:p w14:paraId="465FCB57">
            <w:pPr>
              <w:spacing w:line="360" w:lineRule="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49433D2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14:paraId="459ECF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2B1C33EC">
            <w:pPr>
              <w:spacing w:line="360" w:lineRule="auto"/>
              <w:ind w:firstLine="38" w:firstLineChars="16"/>
              <w:rPr>
                <w:rFonts w:hint="eastAsia" w:ascii="宋体" w:hAnsi="宋体" w:eastAsia="宋体" w:cs="宋体"/>
                <w:sz w:val="24"/>
                <w:szCs w:val="24"/>
                <w:highlight w:val="none"/>
              </w:rPr>
            </w:pPr>
          </w:p>
        </w:tc>
        <w:tc>
          <w:tcPr>
            <w:tcW w:w="2449" w:type="dxa"/>
            <w:noWrap w:val="0"/>
            <w:tcMar>
              <w:top w:w="15" w:type="dxa"/>
              <w:left w:w="15" w:type="dxa"/>
              <w:bottom w:w="0" w:type="dxa"/>
              <w:right w:w="15" w:type="dxa"/>
            </w:tcMar>
            <w:vAlign w:val="center"/>
          </w:tcPr>
          <w:p w14:paraId="5E039D75">
            <w:pPr>
              <w:spacing w:line="360" w:lineRule="auto"/>
              <w:rPr>
                <w:rFonts w:hint="eastAsia" w:ascii="宋体" w:hAnsi="宋体" w:eastAsia="宋体" w:cs="宋体"/>
                <w:sz w:val="24"/>
                <w:szCs w:val="24"/>
                <w:highlight w:val="none"/>
              </w:rPr>
            </w:pPr>
          </w:p>
        </w:tc>
        <w:tc>
          <w:tcPr>
            <w:tcW w:w="1980" w:type="dxa"/>
            <w:noWrap w:val="0"/>
            <w:tcMar>
              <w:top w:w="15" w:type="dxa"/>
              <w:left w:w="15" w:type="dxa"/>
              <w:bottom w:w="0" w:type="dxa"/>
              <w:right w:w="15" w:type="dxa"/>
            </w:tcMar>
            <w:vAlign w:val="center"/>
          </w:tcPr>
          <w:p w14:paraId="29DC4E24">
            <w:pPr>
              <w:spacing w:line="360" w:lineRule="auto"/>
              <w:rPr>
                <w:rFonts w:hint="eastAsia" w:ascii="宋体" w:hAnsi="宋体" w:eastAsia="宋体" w:cs="宋体"/>
                <w:sz w:val="24"/>
                <w:szCs w:val="24"/>
                <w:highlight w:val="none"/>
              </w:rPr>
            </w:pPr>
          </w:p>
        </w:tc>
        <w:tc>
          <w:tcPr>
            <w:tcW w:w="2223" w:type="dxa"/>
            <w:tcBorders>
              <w:right w:val="single" w:color="auto" w:sz="4" w:space="0"/>
            </w:tcBorders>
            <w:noWrap w:val="0"/>
            <w:tcMar>
              <w:top w:w="15" w:type="dxa"/>
              <w:left w:w="15" w:type="dxa"/>
              <w:bottom w:w="0" w:type="dxa"/>
              <w:right w:w="15" w:type="dxa"/>
            </w:tcMar>
            <w:vAlign w:val="center"/>
          </w:tcPr>
          <w:p w14:paraId="24FE0168">
            <w:pPr>
              <w:spacing w:line="360" w:lineRule="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78A5F631">
            <w:pPr>
              <w:spacing w:line="360" w:lineRule="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16667DCC">
            <w:pPr>
              <w:spacing w:line="360" w:lineRule="auto"/>
              <w:rPr>
                <w:rFonts w:hint="eastAsia" w:ascii="宋体" w:hAnsi="宋体" w:eastAsia="宋体" w:cs="宋体"/>
                <w:sz w:val="24"/>
                <w:szCs w:val="24"/>
                <w:highlight w:val="none"/>
              </w:rPr>
            </w:pPr>
          </w:p>
        </w:tc>
      </w:tr>
      <w:tr w14:paraId="0BC7A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1A6CC48D">
            <w:pPr>
              <w:spacing w:line="360" w:lineRule="auto"/>
              <w:ind w:firstLine="38" w:firstLineChars="16"/>
              <w:rPr>
                <w:rFonts w:hint="eastAsia" w:ascii="宋体" w:hAnsi="宋体" w:eastAsia="宋体" w:cs="宋体"/>
                <w:sz w:val="24"/>
                <w:szCs w:val="24"/>
                <w:highlight w:val="none"/>
              </w:rPr>
            </w:pPr>
          </w:p>
        </w:tc>
        <w:tc>
          <w:tcPr>
            <w:tcW w:w="2449" w:type="dxa"/>
            <w:noWrap w:val="0"/>
            <w:tcMar>
              <w:top w:w="15" w:type="dxa"/>
              <w:left w:w="15" w:type="dxa"/>
              <w:bottom w:w="0" w:type="dxa"/>
              <w:right w:w="15" w:type="dxa"/>
            </w:tcMar>
            <w:vAlign w:val="center"/>
          </w:tcPr>
          <w:p w14:paraId="126403DB">
            <w:pPr>
              <w:spacing w:line="360" w:lineRule="auto"/>
              <w:rPr>
                <w:rFonts w:hint="eastAsia" w:ascii="宋体" w:hAnsi="宋体" w:eastAsia="宋体" w:cs="宋体"/>
                <w:sz w:val="24"/>
                <w:szCs w:val="24"/>
                <w:highlight w:val="none"/>
              </w:rPr>
            </w:pPr>
          </w:p>
        </w:tc>
        <w:tc>
          <w:tcPr>
            <w:tcW w:w="1980" w:type="dxa"/>
            <w:noWrap w:val="0"/>
            <w:tcMar>
              <w:top w:w="15" w:type="dxa"/>
              <w:left w:w="15" w:type="dxa"/>
              <w:bottom w:w="0" w:type="dxa"/>
              <w:right w:w="15" w:type="dxa"/>
            </w:tcMar>
            <w:vAlign w:val="center"/>
          </w:tcPr>
          <w:p w14:paraId="47CEB1E5">
            <w:pPr>
              <w:spacing w:line="360" w:lineRule="auto"/>
              <w:rPr>
                <w:rFonts w:hint="eastAsia" w:ascii="宋体" w:hAnsi="宋体" w:eastAsia="宋体" w:cs="宋体"/>
                <w:sz w:val="24"/>
                <w:szCs w:val="24"/>
                <w:highlight w:val="none"/>
              </w:rPr>
            </w:pPr>
          </w:p>
        </w:tc>
        <w:tc>
          <w:tcPr>
            <w:tcW w:w="2223" w:type="dxa"/>
            <w:tcBorders>
              <w:right w:val="single" w:color="auto" w:sz="4" w:space="0"/>
            </w:tcBorders>
            <w:noWrap w:val="0"/>
            <w:tcMar>
              <w:top w:w="15" w:type="dxa"/>
              <w:left w:w="15" w:type="dxa"/>
              <w:bottom w:w="0" w:type="dxa"/>
              <w:right w:w="15" w:type="dxa"/>
            </w:tcMar>
            <w:vAlign w:val="center"/>
          </w:tcPr>
          <w:p w14:paraId="5D1657F6">
            <w:pPr>
              <w:spacing w:line="360" w:lineRule="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488EE0B6">
            <w:pPr>
              <w:spacing w:line="360" w:lineRule="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253D955B">
            <w:pPr>
              <w:spacing w:line="360" w:lineRule="auto"/>
              <w:rPr>
                <w:rFonts w:hint="eastAsia" w:ascii="宋体" w:hAnsi="宋体" w:eastAsia="宋体" w:cs="宋体"/>
                <w:sz w:val="24"/>
                <w:szCs w:val="24"/>
                <w:highlight w:val="none"/>
              </w:rPr>
            </w:pPr>
          </w:p>
        </w:tc>
      </w:tr>
      <w:tr w14:paraId="37DC2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4" w:hRule="atLeast"/>
          <w:jc w:val="center"/>
        </w:trPr>
        <w:tc>
          <w:tcPr>
            <w:tcW w:w="1028" w:type="dxa"/>
            <w:tcBorders>
              <w:bottom w:val="single" w:color="auto" w:sz="12" w:space="0"/>
            </w:tcBorders>
            <w:noWrap w:val="0"/>
            <w:tcMar>
              <w:top w:w="15" w:type="dxa"/>
              <w:left w:w="15" w:type="dxa"/>
              <w:bottom w:w="0" w:type="dxa"/>
              <w:right w:w="15" w:type="dxa"/>
            </w:tcMar>
            <w:vAlign w:val="center"/>
          </w:tcPr>
          <w:p w14:paraId="0770EC5C">
            <w:pPr>
              <w:spacing w:line="360" w:lineRule="auto"/>
              <w:ind w:firstLine="38" w:firstLineChars="16"/>
              <w:rPr>
                <w:rFonts w:hint="eastAsia" w:ascii="宋体" w:hAnsi="宋体" w:eastAsia="宋体" w:cs="宋体"/>
                <w:sz w:val="24"/>
                <w:szCs w:val="24"/>
                <w:highlight w:val="none"/>
              </w:rPr>
            </w:pPr>
          </w:p>
        </w:tc>
        <w:tc>
          <w:tcPr>
            <w:tcW w:w="2449" w:type="dxa"/>
            <w:tcBorders>
              <w:bottom w:val="single" w:color="auto" w:sz="12" w:space="0"/>
            </w:tcBorders>
            <w:noWrap w:val="0"/>
            <w:tcMar>
              <w:top w:w="15" w:type="dxa"/>
              <w:left w:w="15" w:type="dxa"/>
              <w:bottom w:w="0" w:type="dxa"/>
              <w:right w:w="15" w:type="dxa"/>
            </w:tcMar>
            <w:vAlign w:val="center"/>
          </w:tcPr>
          <w:p w14:paraId="13E18B4A">
            <w:pPr>
              <w:spacing w:line="360" w:lineRule="auto"/>
              <w:rPr>
                <w:rFonts w:hint="eastAsia" w:ascii="宋体" w:hAnsi="宋体" w:eastAsia="宋体" w:cs="宋体"/>
                <w:sz w:val="24"/>
                <w:szCs w:val="24"/>
                <w:highlight w:val="none"/>
              </w:rPr>
            </w:pPr>
          </w:p>
        </w:tc>
        <w:tc>
          <w:tcPr>
            <w:tcW w:w="1980" w:type="dxa"/>
            <w:tcBorders>
              <w:bottom w:val="single" w:color="auto" w:sz="12" w:space="0"/>
            </w:tcBorders>
            <w:noWrap w:val="0"/>
            <w:tcMar>
              <w:top w:w="15" w:type="dxa"/>
              <w:left w:w="15" w:type="dxa"/>
              <w:bottom w:w="0" w:type="dxa"/>
              <w:right w:w="15" w:type="dxa"/>
            </w:tcMar>
            <w:vAlign w:val="center"/>
          </w:tcPr>
          <w:p w14:paraId="412D523C">
            <w:pPr>
              <w:spacing w:line="360" w:lineRule="auto"/>
              <w:rPr>
                <w:rFonts w:hint="eastAsia" w:ascii="宋体" w:hAnsi="宋体" w:eastAsia="宋体" w:cs="宋体"/>
                <w:sz w:val="24"/>
                <w:szCs w:val="24"/>
                <w:highlight w:val="none"/>
              </w:rPr>
            </w:pPr>
          </w:p>
        </w:tc>
        <w:tc>
          <w:tcPr>
            <w:tcW w:w="2223" w:type="dxa"/>
            <w:tcBorders>
              <w:bottom w:val="single" w:color="auto" w:sz="12" w:space="0"/>
              <w:right w:val="single" w:color="auto" w:sz="4" w:space="0"/>
            </w:tcBorders>
            <w:noWrap w:val="0"/>
            <w:tcMar>
              <w:top w:w="15" w:type="dxa"/>
              <w:left w:w="15" w:type="dxa"/>
              <w:bottom w:w="0" w:type="dxa"/>
              <w:right w:w="15" w:type="dxa"/>
            </w:tcMar>
            <w:vAlign w:val="center"/>
          </w:tcPr>
          <w:p w14:paraId="0BF4DD95">
            <w:pPr>
              <w:spacing w:line="360" w:lineRule="auto"/>
              <w:rPr>
                <w:rFonts w:hint="eastAsia" w:ascii="宋体" w:hAnsi="宋体" w:eastAsia="宋体" w:cs="宋体"/>
                <w:sz w:val="24"/>
                <w:szCs w:val="24"/>
                <w:highlight w:val="none"/>
              </w:rPr>
            </w:pPr>
          </w:p>
        </w:tc>
        <w:tc>
          <w:tcPr>
            <w:tcW w:w="1253" w:type="dxa"/>
            <w:tcBorders>
              <w:bottom w:val="single" w:color="auto" w:sz="12" w:space="0"/>
            </w:tcBorders>
            <w:noWrap w:val="0"/>
            <w:tcMar>
              <w:top w:w="15" w:type="dxa"/>
              <w:left w:w="15" w:type="dxa"/>
              <w:bottom w:w="0" w:type="dxa"/>
              <w:right w:w="15" w:type="dxa"/>
            </w:tcMar>
            <w:vAlign w:val="center"/>
          </w:tcPr>
          <w:p w14:paraId="3CF2087E">
            <w:pPr>
              <w:spacing w:line="360" w:lineRule="auto"/>
              <w:rPr>
                <w:rFonts w:hint="eastAsia" w:ascii="宋体" w:hAnsi="宋体" w:eastAsia="宋体" w:cs="宋体"/>
                <w:sz w:val="24"/>
                <w:szCs w:val="24"/>
                <w:highlight w:val="none"/>
              </w:rPr>
            </w:pPr>
          </w:p>
        </w:tc>
        <w:tc>
          <w:tcPr>
            <w:tcW w:w="1253" w:type="dxa"/>
            <w:tcBorders>
              <w:bottom w:val="single" w:color="auto" w:sz="12" w:space="0"/>
            </w:tcBorders>
            <w:noWrap w:val="0"/>
            <w:tcMar>
              <w:top w:w="15" w:type="dxa"/>
              <w:left w:w="15" w:type="dxa"/>
              <w:bottom w:w="0" w:type="dxa"/>
              <w:right w:w="15" w:type="dxa"/>
            </w:tcMar>
            <w:vAlign w:val="center"/>
          </w:tcPr>
          <w:p w14:paraId="434EE75D">
            <w:pPr>
              <w:spacing w:line="360" w:lineRule="auto"/>
              <w:rPr>
                <w:rFonts w:hint="eastAsia" w:ascii="宋体" w:hAnsi="宋体" w:eastAsia="宋体" w:cs="宋体"/>
                <w:sz w:val="24"/>
                <w:szCs w:val="24"/>
                <w:highlight w:val="none"/>
              </w:rPr>
            </w:pPr>
          </w:p>
        </w:tc>
      </w:tr>
    </w:tbl>
    <w:p w14:paraId="0E9F6520">
      <w:pPr>
        <w:pStyle w:val="40"/>
        <w:spacing w:line="360" w:lineRule="auto"/>
        <w:rPr>
          <w:rFonts w:hint="eastAsia" w:ascii="宋体" w:hAnsi="宋体" w:eastAsia="宋体" w:cs="宋体"/>
          <w:b/>
          <w:bCs/>
          <w:snapToGrid w:val="0"/>
          <w:kern w:val="0"/>
          <w:sz w:val="24"/>
          <w:szCs w:val="24"/>
          <w:highlight w:val="none"/>
        </w:rPr>
      </w:pPr>
    </w:p>
    <w:p w14:paraId="43DD27DA">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注：1.本部分内容均为实质性条款，供应商的投标(响应)必须完全满足，</w:t>
      </w:r>
      <w:r>
        <w:rPr>
          <w:rFonts w:hint="eastAsia" w:ascii="宋体" w:hAnsi="宋体" w:eastAsia="宋体" w:cs="宋体"/>
          <w:sz w:val="24"/>
          <w:szCs w:val="24"/>
          <w:highlight w:val="none"/>
          <w:lang w:eastAsia="zh-CN"/>
        </w:rPr>
        <w:t>无负偏离</w:t>
      </w:r>
      <w:r>
        <w:rPr>
          <w:rFonts w:hint="eastAsia" w:ascii="宋体" w:hAnsi="宋体" w:eastAsia="宋体" w:cs="宋体"/>
          <w:sz w:val="24"/>
          <w:szCs w:val="24"/>
          <w:highlight w:val="none"/>
        </w:rPr>
        <w:t>，否则按照投标(响应)无效处理；</w:t>
      </w:r>
    </w:p>
    <w:p w14:paraId="6831ADA5">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2.供应商如实填写“</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对应技术参数”内容，可优于</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规定，视为正偏离；</w:t>
      </w:r>
    </w:p>
    <w:p w14:paraId="7D974B4D">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3.“偏离情况”一栏中必须如实逐项填写“正偏离”、“负偏离”或“无偏离”；</w:t>
      </w:r>
    </w:p>
    <w:p w14:paraId="09367C5D">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4.“说明”一栏中为除以上所述内容外，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认为本表格需要提供的其他内容,此表可自行扩展。</w:t>
      </w:r>
    </w:p>
    <w:p w14:paraId="3ACB00A9">
      <w:pPr>
        <w:rPr>
          <w:rFonts w:hint="eastAsia" w:ascii="宋体" w:hAnsi="宋体" w:eastAsia="宋体" w:cs="宋体"/>
          <w:snapToGrid w:val="0"/>
          <w:sz w:val="24"/>
          <w:szCs w:val="24"/>
          <w:highlight w:val="none"/>
        </w:rPr>
      </w:pPr>
    </w:p>
    <w:p w14:paraId="0EFEC468">
      <w:pPr>
        <w:spacing w:line="360" w:lineRule="auto"/>
        <w:jc w:val="left"/>
        <w:rPr>
          <w:rFonts w:hint="eastAsia" w:ascii="宋体" w:hAnsi="宋体" w:eastAsia="宋体" w:cs="宋体"/>
          <w:bCs/>
          <w:sz w:val="24"/>
          <w:szCs w:val="24"/>
          <w:highlight w:val="none"/>
        </w:rPr>
      </w:pP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lang w:val="en-US" w:eastAsia="zh-CN"/>
        </w:rPr>
        <w:t xml:space="preserve">            </w:t>
      </w:r>
      <w:r>
        <w:rPr>
          <w:rFonts w:hint="eastAsia" w:ascii="宋体" w:hAnsi="宋体"/>
          <w:color w:val="auto"/>
          <w:sz w:val="24"/>
          <w:highlight w:val="none"/>
          <w:lang w:eastAsia="zh-CN"/>
        </w:rPr>
        <w:t>供应商名称</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u w:val="single"/>
          <w:lang w:val="zh-CN"/>
        </w:rPr>
        <w:t xml:space="preserve">                     </w:t>
      </w:r>
      <w:r>
        <w:rPr>
          <w:rFonts w:hint="eastAsia" w:ascii="宋体" w:hAnsi="宋体" w:eastAsia="宋体" w:cs="宋体"/>
          <w:bCs/>
          <w:sz w:val="24"/>
          <w:szCs w:val="24"/>
          <w:highlight w:val="none"/>
          <w:lang w:val="zh-CN"/>
        </w:rPr>
        <w:t>(盖单位公章)</w:t>
      </w:r>
    </w:p>
    <w:p w14:paraId="2F2FE2FF">
      <w:pPr>
        <w:spacing w:line="480" w:lineRule="auto"/>
        <w:ind w:right="-1"/>
        <w:jc w:val="righ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法定代表人或其委托代理人：</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(签字或盖章)</w:t>
      </w:r>
    </w:p>
    <w:p w14:paraId="21A9BE54">
      <w:pPr>
        <w:jc w:val="right"/>
        <w:rPr>
          <w:rFonts w:hint="eastAsia" w:ascii="宋体" w:hAnsi="宋体" w:eastAsia="宋体" w:cs="宋体"/>
          <w:sz w:val="24"/>
          <w:szCs w:val="24"/>
          <w:highlight w:val="none"/>
        </w:rPr>
      </w:pPr>
    </w:p>
    <w:p w14:paraId="2A194AFC">
      <w:pPr>
        <w:pStyle w:val="6"/>
        <w:rPr>
          <w:highlight w:val="none"/>
        </w:rPr>
      </w:pPr>
      <w:r>
        <w:rPr>
          <w:rFonts w:hint="eastAsia" w:ascii="宋体" w:hAnsi="宋体" w:eastAsia="宋体" w:cs="宋体"/>
          <w:bCs/>
          <w:sz w:val="24"/>
          <w:szCs w:val="24"/>
          <w:highlight w:val="none"/>
        </w:rPr>
        <w:t xml:space="preserve">                           日期</w:t>
      </w:r>
      <w:r>
        <w:rPr>
          <w:rFonts w:hint="eastAsia" w:ascii="宋体" w:hAnsi="宋体" w:eastAsia="宋体" w:cs="宋体"/>
          <w:b/>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C972303">
      <w:pPr>
        <w:rPr>
          <w:rFonts w:hint="eastAsia"/>
          <w:highlight w:val="none"/>
        </w:rPr>
      </w:pPr>
      <w:bookmarkStart w:id="72" w:name="_Toc24063"/>
      <w:bookmarkStart w:id="73" w:name="_Toc435802476"/>
      <w:bookmarkStart w:id="74" w:name="_Toc3586"/>
      <w:r>
        <w:rPr>
          <w:rFonts w:hint="eastAsia"/>
          <w:highlight w:val="none"/>
        </w:rPr>
        <w:br w:type="page"/>
      </w:r>
    </w:p>
    <w:p w14:paraId="3979D472">
      <w:pPr>
        <w:pStyle w:val="3"/>
        <w:bidi w:val="0"/>
        <w:jc w:val="center"/>
        <w:rPr>
          <w:highlight w:val="none"/>
        </w:rPr>
      </w:pPr>
      <w:bookmarkStart w:id="75" w:name="_Toc25293"/>
      <w:r>
        <w:rPr>
          <w:rFonts w:hint="eastAsia"/>
          <w:highlight w:val="none"/>
          <w:lang w:val="en-US" w:eastAsia="zh-CN"/>
        </w:rPr>
        <w:t>八</w:t>
      </w:r>
      <w:r>
        <w:rPr>
          <w:rFonts w:hint="eastAsia"/>
          <w:highlight w:val="none"/>
        </w:rPr>
        <w:t>、投标人资格声明</w:t>
      </w:r>
      <w:bookmarkEnd w:id="75"/>
    </w:p>
    <w:p w14:paraId="6233D1EC">
      <w:pPr>
        <w:wordWrap w:val="0"/>
        <w:autoSpaceDE w:val="0"/>
        <w:autoSpaceDN w:val="0"/>
        <w:adjustRightInd w:val="0"/>
        <w:spacing w:line="500" w:lineRule="exact"/>
        <w:rPr>
          <w:rFonts w:ascii="宋体" w:hAnsi="宋体"/>
          <w:color w:val="auto"/>
          <w:sz w:val="24"/>
          <w:highlight w:val="none"/>
        </w:rPr>
      </w:pPr>
      <w:r>
        <w:rPr>
          <w:rFonts w:hint="eastAsia" w:ascii="宋体" w:hAnsi="宋体"/>
          <w:color w:val="auto"/>
          <w:sz w:val="24"/>
          <w:highlight w:val="none"/>
          <w:lang w:val="zh-CN"/>
        </w:rPr>
        <w:t>致：</w:t>
      </w:r>
      <w:r>
        <w:rPr>
          <w:rFonts w:hint="eastAsia" w:ascii="宋体" w:hAnsi="宋体"/>
          <w:color w:val="auto"/>
          <w:sz w:val="24"/>
          <w:highlight w:val="none"/>
          <w:u w:val="single"/>
          <w:lang w:val="zh-CN"/>
        </w:rPr>
        <w:t xml:space="preserve">                  （采购人、采购代理机构）</w:t>
      </w:r>
    </w:p>
    <w:p w14:paraId="1D4982FB">
      <w:pPr>
        <w:wordWrap w:val="0"/>
        <w:autoSpaceDE w:val="0"/>
        <w:autoSpaceDN w:val="0"/>
        <w:adjustRightIn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w:t>
      </w:r>
      <w:r>
        <w:rPr>
          <w:rFonts w:hint="eastAsia" w:ascii="宋体" w:hAnsi="宋体"/>
          <w:color w:val="auto"/>
          <w:sz w:val="24"/>
          <w:highlight w:val="none"/>
          <w:lang w:val="zh-CN"/>
        </w:rPr>
        <w:t>按照《中华人民共和国政府采购法》第</w:t>
      </w:r>
      <w:r>
        <w:rPr>
          <w:rFonts w:ascii="宋体" w:hAnsi="宋体"/>
          <w:color w:val="auto"/>
          <w:sz w:val="24"/>
          <w:highlight w:val="none"/>
        </w:rPr>
        <w:t>22</w:t>
      </w:r>
      <w:r>
        <w:rPr>
          <w:rFonts w:hint="eastAsia" w:ascii="宋体" w:hAnsi="宋体"/>
          <w:color w:val="auto"/>
          <w:sz w:val="24"/>
          <w:highlight w:val="none"/>
          <w:lang w:val="zh-CN"/>
        </w:rPr>
        <w:t>条和你公司发布的</w:t>
      </w:r>
      <w:r>
        <w:rPr>
          <w:rFonts w:hint="eastAsia" w:ascii="宋体" w:hAnsi="宋体"/>
          <w:color w:val="auto"/>
          <w:sz w:val="24"/>
          <w:highlight w:val="none"/>
          <w:u w:val="single"/>
          <w:lang w:val="zh-CN"/>
        </w:rPr>
        <w:t xml:space="preserve"> （项目名称、项目编号）</w:t>
      </w:r>
      <w:r>
        <w:rPr>
          <w:rFonts w:hint="eastAsia" w:ascii="宋体" w:hAnsi="宋体"/>
          <w:color w:val="auto"/>
          <w:sz w:val="24"/>
          <w:highlight w:val="none"/>
          <w:lang w:val="zh-CN"/>
        </w:rPr>
        <w:t>谈判文件的规定，我</w:t>
      </w:r>
      <w:r>
        <w:rPr>
          <w:rFonts w:hint="eastAsia" w:ascii="宋体" w:hAnsi="宋体"/>
          <w:color w:val="auto"/>
          <w:sz w:val="24"/>
          <w:highlight w:val="none"/>
          <w:lang w:val="en-US" w:eastAsia="zh-CN"/>
        </w:rPr>
        <w:t>方</w:t>
      </w:r>
      <w:r>
        <w:rPr>
          <w:rFonts w:hint="eastAsia" w:ascii="宋体" w:hAnsi="宋体"/>
          <w:color w:val="auto"/>
          <w:sz w:val="24"/>
          <w:highlight w:val="none"/>
          <w:lang w:val="zh-CN"/>
        </w:rPr>
        <w:t>郑重声明如下：</w:t>
      </w:r>
    </w:p>
    <w:p w14:paraId="75AF95B5">
      <w:pPr>
        <w:wordWrap w:val="0"/>
        <w:autoSpaceDE w:val="0"/>
        <w:autoSpaceDN w:val="0"/>
        <w:adjustRightInd w:val="0"/>
        <w:spacing w:line="500" w:lineRule="exact"/>
        <w:ind w:firstLine="480" w:firstLineChars="20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zh-CN"/>
        </w:rPr>
        <w:t>、我</w:t>
      </w:r>
      <w:r>
        <w:rPr>
          <w:rFonts w:hint="eastAsia" w:ascii="宋体" w:hAnsi="宋体"/>
          <w:color w:val="auto"/>
          <w:sz w:val="24"/>
          <w:highlight w:val="none"/>
          <w:lang w:val="en-US" w:eastAsia="zh-CN"/>
        </w:rPr>
        <w:t>方</w:t>
      </w:r>
      <w:r>
        <w:rPr>
          <w:rFonts w:hint="eastAsia" w:ascii="宋体" w:hAnsi="宋体"/>
          <w:color w:val="auto"/>
          <w:sz w:val="24"/>
          <w:highlight w:val="none"/>
          <w:lang w:val="zh-CN"/>
        </w:rPr>
        <w:t>具有独立承担民事责任的能力。</w:t>
      </w:r>
    </w:p>
    <w:p w14:paraId="7580C31D">
      <w:pPr>
        <w:wordWrap w:val="0"/>
        <w:autoSpaceDE w:val="0"/>
        <w:autoSpaceDN w:val="0"/>
        <w:adjustRightInd w:val="0"/>
        <w:spacing w:line="5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zh-CN"/>
        </w:rPr>
        <w:t>、我</w:t>
      </w:r>
      <w:r>
        <w:rPr>
          <w:rFonts w:hint="eastAsia" w:ascii="宋体" w:hAnsi="宋体"/>
          <w:color w:val="auto"/>
          <w:sz w:val="24"/>
          <w:highlight w:val="none"/>
          <w:lang w:val="en-US" w:eastAsia="zh-CN"/>
        </w:rPr>
        <w:t>方</w:t>
      </w:r>
      <w:r>
        <w:rPr>
          <w:rFonts w:hint="eastAsia" w:ascii="宋体" w:hAnsi="宋体"/>
          <w:color w:val="auto"/>
          <w:sz w:val="24"/>
          <w:highlight w:val="none"/>
          <w:lang w:val="zh-CN"/>
        </w:rPr>
        <w:t>具有良好的商业信誉和健全的财务会计制度。</w:t>
      </w:r>
    </w:p>
    <w:p w14:paraId="201EF4E9">
      <w:pPr>
        <w:wordWrap w:val="0"/>
        <w:autoSpaceDE w:val="0"/>
        <w:autoSpaceDN w:val="0"/>
        <w:adjustRightInd w:val="0"/>
        <w:spacing w:line="50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zh-CN"/>
        </w:rPr>
        <w:t>、我</w:t>
      </w:r>
      <w:r>
        <w:rPr>
          <w:rFonts w:hint="eastAsia" w:ascii="宋体" w:hAnsi="宋体"/>
          <w:color w:val="auto"/>
          <w:sz w:val="24"/>
          <w:highlight w:val="none"/>
          <w:lang w:val="en-US" w:eastAsia="zh-CN"/>
        </w:rPr>
        <w:t>方</w:t>
      </w:r>
      <w:r>
        <w:rPr>
          <w:rFonts w:hint="eastAsia" w:ascii="宋体" w:hAnsi="宋体"/>
          <w:color w:val="auto"/>
          <w:sz w:val="24"/>
          <w:highlight w:val="none"/>
          <w:lang w:val="zh-CN"/>
        </w:rPr>
        <w:t>具有履行本项目采购合同所必需的设备和专业技术能力。</w:t>
      </w:r>
    </w:p>
    <w:p w14:paraId="7E416770">
      <w:pPr>
        <w:wordWrap w:val="0"/>
        <w:autoSpaceDE w:val="0"/>
        <w:autoSpaceDN w:val="0"/>
        <w:adjustRightInd w:val="0"/>
        <w:spacing w:line="50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lang w:val="zh-CN"/>
        </w:rPr>
        <w:t>、我</w:t>
      </w:r>
      <w:r>
        <w:rPr>
          <w:rFonts w:hint="eastAsia" w:ascii="宋体" w:hAnsi="宋体"/>
          <w:color w:val="auto"/>
          <w:sz w:val="24"/>
          <w:highlight w:val="none"/>
          <w:lang w:val="en-US" w:eastAsia="zh-CN"/>
        </w:rPr>
        <w:t>方</w:t>
      </w:r>
      <w:r>
        <w:rPr>
          <w:rFonts w:hint="eastAsia" w:ascii="宋体" w:hAnsi="宋体"/>
          <w:color w:val="auto"/>
          <w:sz w:val="24"/>
          <w:highlight w:val="none"/>
          <w:lang w:val="zh-CN"/>
        </w:rPr>
        <w:t>具有依法缴纳税收和社会保障资金的良好记录。</w:t>
      </w:r>
    </w:p>
    <w:p w14:paraId="5560591B">
      <w:pPr>
        <w:wordWrap w:val="0"/>
        <w:autoSpaceDE w:val="0"/>
        <w:autoSpaceDN w:val="0"/>
        <w:adjustRightInd w:val="0"/>
        <w:spacing w:line="50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lang w:val="zh-CN"/>
        </w:rPr>
        <w:t>、我</w:t>
      </w:r>
      <w:r>
        <w:rPr>
          <w:rFonts w:hint="eastAsia" w:ascii="宋体" w:hAnsi="宋体"/>
          <w:color w:val="auto"/>
          <w:sz w:val="24"/>
          <w:highlight w:val="none"/>
          <w:lang w:val="en-US" w:eastAsia="zh-CN"/>
        </w:rPr>
        <w:t>方</w:t>
      </w:r>
      <w:r>
        <w:rPr>
          <w:rFonts w:hint="eastAsia" w:ascii="宋体" w:hAnsi="宋体"/>
          <w:color w:val="auto"/>
          <w:sz w:val="24"/>
          <w:highlight w:val="none"/>
          <w:lang w:val="zh-CN"/>
        </w:rPr>
        <w:t>在参与本次政府采购活动之前三年内，在经营活动中无重大违法记录。</w:t>
      </w:r>
    </w:p>
    <w:p w14:paraId="399CD4F6">
      <w:pPr>
        <w:wordWrap w:val="0"/>
        <w:autoSpaceDE w:val="0"/>
        <w:autoSpaceDN w:val="0"/>
        <w:adjustRightInd w:val="0"/>
        <w:spacing w:line="500" w:lineRule="exact"/>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lang w:val="zh-CN"/>
        </w:rPr>
        <w:t>、我</w:t>
      </w:r>
      <w:r>
        <w:rPr>
          <w:rFonts w:hint="eastAsia" w:ascii="宋体" w:hAnsi="宋体"/>
          <w:color w:val="auto"/>
          <w:sz w:val="24"/>
          <w:highlight w:val="none"/>
          <w:lang w:val="en-US" w:eastAsia="zh-CN"/>
        </w:rPr>
        <w:t>方</w:t>
      </w:r>
      <w:r>
        <w:rPr>
          <w:rFonts w:hint="eastAsia" w:ascii="宋体" w:hAnsi="宋体"/>
          <w:color w:val="auto"/>
          <w:sz w:val="24"/>
          <w:highlight w:val="none"/>
          <w:lang w:val="zh-CN"/>
        </w:rPr>
        <w:t>在参与本次政府采购活动时未受到任何地方政府采购部门作出的暂停参加政府采购活动的处罚。</w:t>
      </w:r>
    </w:p>
    <w:p w14:paraId="6FDE8659">
      <w:pPr>
        <w:wordWrap w:val="0"/>
        <w:autoSpaceDE w:val="0"/>
        <w:autoSpaceDN w:val="0"/>
        <w:adjustRightInd w:val="0"/>
        <w:spacing w:line="500" w:lineRule="exact"/>
        <w:ind w:firstLine="480" w:firstLineChars="200"/>
        <w:rPr>
          <w:rFonts w:ascii="宋体" w:hAnsi="宋体"/>
          <w:color w:val="auto"/>
          <w:sz w:val="24"/>
          <w:highlight w:val="none"/>
        </w:rPr>
      </w:pPr>
      <w:r>
        <w:rPr>
          <w:rFonts w:hint="eastAsia" w:ascii="宋体" w:hAnsi="宋体"/>
          <w:color w:val="auto"/>
          <w:sz w:val="24"/>
          <w:highlight w:val="none"/>
          <w:lang w:val="zh-CN"/>
        </w:rPr>
        <w:t>二、我</w:t>
      </w:r>
      <w:r>
        <w:rPr>
          <w:rFonts w:hint="eastAsia" w:ascii="宋体" w:hAnsi="宋体"/>
          <w:color w:val="auto"/>
          <w:sz w:val="24"/>
          <w:highlight w:val="none"/>
          <w:lang w:val="en-US" w:eastAsia="zh-CN"/>
        </w:rPr>
        <w:t>方</w:t>
      </w:r>
      <w:r>
        <w:rPr>
          <w:rFonts w:hint="eastAsia" w:ascii="宋体" w:hAnsi="宋体"/>
          <w:color w:val="auto"/>
          <w:sz w:val="24"/>
          <w:highlight w:val="none"/>
          <w:lang w:val="zh-CN"/>
        </w:rPr>
        <w:t>保证上述声明的事项都是真实的，如有虚假，我</w:t>
      </w:r>
      <w:r>
        <w:rPr>
          <w:rFonts w:hint="eastAsia" w:ascii="宋体" w:hAnsi="宋体"/>
          <w:color w:val="auto"/>
          <w:sz w:val="24"/>
          <w:highlight w:val="none"/>
          <w:lang w:val="en-US" w:eastAsia="zh-CN"/>
        </w:rPr>
        <w:t>单位</w:t>
      </w:r>
      <w:r>
        <w:rPr>
          <w:rFonts w:hint="eastAsia" w:ascii="宋体" w:hAnsi="宋体"/>
          <w:color w:val="auto"/>
          <w:sz w:val="24"/>
          <w:highlight w:val="none"/>
          <w:lang w:val="zh-CN"/>
        </w:rPr>
        <w:t>承担相应的法律责任，并承担因此给本项目采购人所造成的损失。</w:t>
      </w:r>
    </w:p>
    <w:p w14:paraId="1E8FE473">
      <w:pPr>
        <w:wordWrap w:val="0"/>
        <w:autoSpaceDE w:val="0"/>
        <w:autoSpaceDN w:val="0"/>
        <w:adjustRightIn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w:t>
      </w:r>
      <w:r>
        <w:rPr>
          <w:rFonts w:hint="eastAsia" w:ascii="宋体" w:hAnsi="宋体"/>
          <w:color w:val="auto"/>
          <w:sz w:val="24"/>
          <w:highlight w:val="none"/>
          <w:lang w:val="zh-CN"/>
        </w:rPr>
        <w:t>我</w:t>
      </w:r>
      <w:r>
        <w:rPr>
          <w:rFonts w:hint="eastAsia" w:ascii="宋体" w:hAnsi="宋体"/>
          <w:color w:val="auto"/>
          <w:sz w:val="24"/>
          <w:highlight w:val="none"/>
          <w:lang w:val="en-US" w:eastAsia="zh-CN"/>
        </w:rPr>
        <w:t>方</w:t>
      </w:r>
      <w:r>
        <w:rPr>
          <w:rFonts w:hint="eastAsia" w:ascii="宋体" w:hAnsi="宋体"/>
          <w:color w:val="auto"/>
          <w:sz w:val="24"/>
          <w:highlight w:val="none"/>
          <w:lang w:val="zh-CN"/>
        </w:rPr>
        <w:t>已经按照你公司谈判文件的要求提交了所要求提交的能够证明上述声明事项真实性的全部文件材料，并保证随时按照你公司的要求提供能够证明上述声明事项真实性的任何有效文件。</w:t>
      </w:r>
    </w:p>
    <w:p w14:paraId="50E51E05">
      <w:pPr>
        <w:wordWrap w:val="0"/>
        <w:spacing w:line="480" w:lineRule="auto"/>
        <w:ind w:firstLine="480" w:firstLineChars="200"/>
        <w:rPr>
          <w:rFonts w:hint="eastAsia" w:ascii="宋体" w:hAnsi="宋体"/>
          <w:color w:val="auto"/>
          <w:sz w:val="24"/>
          <w:highlight w:val="none"/>
          <w:lang w:eastAsia="zh-CN"/>
        </w:rPr>
      </w:pPr>
    </w:p>
    <w:p w14:paraId="32B3A760">
      <w:pPr>
        <w:wordWrap w:val="0"/>
        <w:spacing w:line="480" w:lineRule="auto"/>
        <w:ind w:firstLine="480" w:firstLineChars="200"/>
        <w:rPr>
          <w:rFonts w:hint="eastAsia" w:ascii="宋体" w:hAnsi="宋体"/>
          <w:color w:val="auto"/>
          <w:sz w:val="24"/>
          <w:highlight w:val="none"/>
          <w:lang w:eastAsia="zh-CN"/>
        </w:rPr>
      </w:pPr>
    </w:p>
    <w:p w14:paraId="0973399E">
      <w:pPr>
        <w:wordWrap w:val="0"/>
        <w:spacing w:line="48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供应商名称</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p>
    <w:p w14:paraId="02C601A2">
      <w:pPr>
        <w:wordWrap w:val="0"/>
        <w:spacing w:line="480" w:lineRule="auto"/>
        <w:ind w:firstLine="480" w:firstLineChars="200"/>
        <w:rPr>
          <w:rFonts w:ascii="宋体" w:hAnsi="宋体"/>
          <w:color w:val="auto"/>
          <w:sz w:val="24"/>
          <w:highlight w:val="none"/>
        </w:rPr>
      </w:pPr>
      <w:r>
        <w:rPr>
          <w:rFonts w:hint="eastAsia" w:ascii="宋体" w:hAnsi="宋体"/>
          <w:bCs/>
          <w:color w:val="auto"/>
          <w:sz w:val="24"/>
          <w:highlight w:val="none"/>
        </w:rPr>
        <w:t>法定代表人或</w:t>
      </w:r>
      <w:r>
        <w:rPr>
          <w:rFonts w:hint="eastAsia" w:ascii="宋体" w:hAnsi="宋体"/>
          <w:color w:val="auto"/>
          <w:sz w:val="24"/>
          <w:highlight w:val="none"/>
        </w:rPr>
        <w:t>投标人代表：</w:t>
      </w:r>
      <w:r>
        <w:rPr>
          <w:rFonts w:hint="eastAsia" w:ascii="宋体" w:hAnsi="宋体"/>
          <w:color w:val="auto"/>
          <w:sz w:val="24"/>
          <w:highlight w:val="none"/>
          <w:u w:val="single"/>
        </w:rPr>
        <w:t xml:space="preserve">                     </w:t>
      </w:r>
      <w:r>
        <w:rPr>
          <w:rFonts w:hint="eastAsia" w:ascii="宋体" w:hAnsi="宋体"/>
          <w:color w:val="auto"/>
          <w:sz w:val="24"/>
          <w:highlight w:val="none"/>
        </w:rPr>
        <w:t>（签字或签章）</w:t>
      </w:r>
    </w:p>
    <w:p w14:paraId="267B8780">
      <w:pPr>
        <w:tabs>
          <w:tab w:val="left" w:pos="0"/>
        </w:tabs>
        <w:wordWrap w:val="0"/>
        <w:spacing w:line="360" w:lineRule="auto"/>
        <w:ind w:firstLine="480" w:firstLineChars="200"/>
        <w:jc w:val="left"/>
        <w:rPr>
          <w:rFonts w:ascii="宋体" w:hAnsi="宋体"/>
          <w:color w:val="auto"/>
          <w:sz w:val="24"/>
          <w:highlight w:val="none"/>
          <w:lang w:val="zh-CN"/>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0601412">
      <w:pPr>
        <w:rPr>
          <w:rFonts w:hint="eastAsia"/>
          <w:highlight w:val="none"/>
        </w:rPr>
      </w:pPr>
    </w:p>
    <w:p w14:paraId="7D548A15">
      <w:pPr>
        <w:rPr>
          <w:rFonts w:hint="eastAsia"/>
          <w:highlight w:val="none"/>
        </w:rPr>
      </w:pPr>
      <w:r>
        <w:rPr>
          <w:rFonts w:hint="eastAsia"/>
          <w:highlight w:val="none"/>
        </w:rPr>
        <w:br w:type="page"/>
      </w:r>
    </w:p>
    <w:p w14:paraId="6345FAC2">
      <w:pPr>
        <w:tabs>
          <w:tab w:val="left" w:pos="0"/>
        </w:tabs>
        <w:wordWrap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lang w:eastAsia="zh-CN"/>
        </w:rPr>
        <w:t>九、</w:t>
      </w:r>
      <w:r>
        <w:rPr>
          <w:rFonts w:hint="eastAsia" w:ascii="宋体" w:hAnsi="宋体"/>
          <w:b/>
          <w:color w:val="auto"/>
          <w:sz w:val="32"/>
          <w:szCs w:val="32"/>
          <w:highlight w:val="none"/>
        </w:rPr>
        <w:t>投标人基本情况</w:t>
      </w:r>
    </w:p>
    <w:tbl>
      <w:tblPr>
        <w:tblStyle w:val="18"/>
        <w:tblW w:w="0" w:type="auto"/>
        <w:jc w:val="center"/>
        <w:tblLayout w:type="fixed"/>
        <w:tblCellMar>
          <w:top w:w="0" w:type="dxa"/>
          <w:left w:w="108" w:type="dxa"/>
          <w:bottom w:w="0" w:type="dxa"/>
          <w:right w:w="108" w:type="dxa"/>
        </w:tblCellMar>
      </w:tblPr>
      <w:tblGrid>
        <w:gridCol w:w="4056"/>
        <w:gridCol w:w="5754"/>
      </w:tblGrid>
      <w:tr w14:paraId="467D4D26">
        <w:tblPrEx>
          <w:tblCellMar>
            <w:top w:w="0" w:type="dxa"/>
            <w:left w:w="108" w:type="dxa"/>
            <w:bottom w:w="0" w:type="dxa"/>
            <w:right w:w="108" w:type="dxa"/>
          </w:tblCellMar>
        </w:tblPrEx>
        <w:trPr>
          <w:trHeight w:val="791" w:hRule="atLeast"/>
          <w:jc w:val="center"/>
        </w:trPr>
        <w:tc>
          <w:tcPr>
            <w:tcW w:w="9810" w:type="dxa"/>
            <w:gridSpan w:val="2"/>
            <w:tcBorders>
              <w:top w:val="nil"/>
              <w:left w:val="nil"/>
              <w:bottom w:val="nil"/>
              <w:right w:val="nil"/>
            </w:tcBorders>
            <w:noWrap w:val="0"/>
            <w:vAlign w:val="bottom"/>
          </w:tcPr>
          <w:p w14:paraId="677B9F65">
            <w:pPr>
              <w:widowControl/>
              <w:wordWrap w:val="0"/>
              <w:spacing w:after="240" w:afterLines="100" w:line="360"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单位名称：</w:t>
            </w:r>
            <w:r>
              <w:rPr>
                <w:rFonts w:hint="eastAsia" w:ascii="宋体" w:hAnsi="宋体"/>
                <w:b/>
                <w:color w:val="auto"/>
                <w:sz w:val="24"/>
                <w:highlight w:val="none"/>
                <w:u w:val="single"/>
              </w:rPr>
              <w:t xml:space="preserve">                                 </w:t>
            </w:r>
            <w:r>
              <w:rPr>
                <w:rFonts w:hint="eastAsia" w:ascii="宋体" w:hAnsi="宋体"/>
                <w:b/>
                <w:color w:val="auto"/>
                <w:sz w:val="24"/>
                <w:highlight w:val="none"/>
              </w:rPr>
              <w:t>（盖单位公章）</w:t>
            </w:r>
          </w:p>
        </w:tc>
      </w:tr>
      <w:tr w14:paraId="1F66CCDE">
        <w:tblPrEx>
          <w:tblCellMar>
            <w:top w:w="0" w:type="dxa"/>
            <w:left w:w="108" w:type="dxa"/>
            <w:bottom w:w="0" w:type="dxa"/>
            <w:right w:w="108" w:type="dxa"/>
          </w:tblCellMar>
        </w:tblPrEx>
        <w:trPr>
          <w:trHeight w:val="619" w:hRule="atLeast"/>
          <w:jc w:val="center"/>
        </w:trPr>
        <w:tc>
          <w:tcPr>
            <w:tcW w:w="4056" w:type="dxa"/>
            <w:tcBorders>
              <w:top w:val="single" w:color="auto" w:sz="12" w:space="0"/>
              <w:left w:val="single" w:color="auto" w:sz="12" w:space="0"/>
              <w:bottom w:val="single" w:color="auto" w:sz="4" w:space="0"/>
              <w:right w:val="single" w:color="auto" w:sz="4" w:space="0"/>
            </w:tcBorders>
            <w:noWrap w:val="0"/>
            <w:vAlign w:val="center"/>
          </w:tcPr>
          <w:p w14:paraId="050CFD17">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注册资金</w:t>
            </w:r>
          </w:p>
        </w:tc>
        <w:tc>
          <w:tcPr>
            <w:tcW w:w="5754" w:type="dxa"/>
            <w:tcBorders>
              <w:top w:val="single" w:color="auto" w:sz="12" w:space="0"/>
              <w:left w:val="nil"/>
              <w:bottom w:val="single" w:color="auto" w:sz="4" w:space="0"/>
              <w:right w:val="single" w:color="auto" w:sz="12" w:space="0"/>
            </w:tcBorders>
            <w:noWrap w:val="0"/>
            <w:vAlign w:val="center"/>
          </w:tcPr>
          <w:p w14:paraId="737F8FCD">
            <w:pPr>
              <w:widowControl/>
              <w:wordWrap w:val="0"/>
              <w:spacing w:line="360" w:lineRule="auto"/>
              <w:jc w:val="right"/>
              <w:rPr>
                <w:rFonts w:ascii="宋体" w:hAnsi="宋体" w:cs="宋体"/>
                <w:b/>
                <w:color w:val="auto"/>
                <w:kern w:val="0"/>
                <w:sz w:val="24"/>
                <w:highlight w:val="none"/>
              </w:rPr>
            </w:pPr>
            <w:r>
              <w:rPr>
                <w:rFonts w:hint="eastAsia" w:ascii="宋体" w:hAnsi="宋体" w:cs="宋体"/>
                <w:b/>
                <w:color w:val="auto"/>
                <w:kern w:val="0"/>
                <w:sz w:val="24"/>
                <w:highlight w:val="none"/>
              </w:rPr>
              <w:t>（万元）</w:t>
            </w:r>
          </w:p>
        </w:tc>
      </w:tr>
      <w:tr w14:paraId="7DD715F1">
        <w:tblPrEx>
          <w:tblCellMar>
            <w:top w:w="0" w:type="dxa"/>
            <w:left w:w="108" w:type="dxa"/>
            <w:bottom w:w="0" w:type="dxa"/>
            <w:right w:w="108" w:type="dxa"/>
          </w:tblCellMar>
        </w:tblPrEx>
        <w:trPr>
          <w:trHeight w:val="663" w:hRule="atLeast"/>
          <w:jc w:val="center"/>
        </w:trPr>
        <w:tc>
          <w:tcPr>
            <w:tcW w:w="4056" w:type="dxa"/>
            <w:tcBorders>
              <w:top w:val="single" w:color="auto" w:sz="12" w:space="0"/>
              <w:left w:val="single" w:color="auto" w:sz="12" w:space="0"/>
              <w:bottom w:val="single" w:color="auto" w:sz="4" w:space="0"/>
              <w:right w:val="single" w:color="auto" w:sz="4" w:space="0"/>
            </w:tcBorders>
            <w:noWrap w:val="0"/>
            <w:vAlign w:val="center"/>
          </w:tcPr>
          <w:p w14:paraId="4F8D2D99">
            <w:pPr>
              <w:widowControl/>
              <w:wordWrap w:val="0"/>
              <w:spacing w:line="360" w:lineRule="auto"/>
              <w:ind w:firstLine="482" w:firstLineChars="20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行业类别</w:t>
            </w:r>
          </w:p>
          <w:p w14:paraId="4DA8CD4B">
            <w:pPr>
              <w:widowControl/>
              <w:wordWrap w:val="0"/>
              <w:spacing w:line="360" w:lineRule="auto"/>
              <w:ind w:firstLine="482" w:firstLineChars="20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（对应“□”画“√”）</w:t>
            </w:r>
          </w:p>
        </w:tc>
        <w:tc>
          <w:tcPr>
            <w:tcW w:w="5754" w:type="dxa"/>
            <w:tcBorders>
              <w:top w:val="single" w:color="auto" w:sz="12" w:space="0"/>
              <w:left w:val="nil"/>
              <w:bottom w:val="single" w:color="auto" w:sz="4" w:space="0"/>
              <w:right w:val="single" w:color="auto" w:sz="12" w:space="0"/>
            </w:tcBorders>
            <w:noWrap w:val="0"/>
            <w:vAlign w:val="bottom"/>
          </w:tcPr>
          <w:p w14:paraId="6FEEC25C">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□（一）农、林、牧、渔业 </w:t>
            </w:r>
          </w:p>
          <w:p w14:paraId="6ED9ACD0">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□（二）工业 </w:t>
            </w:r>
          </w:p>
          <w:p w14:paraId="16C48763">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□（三）建筑业 </w:t>
            </w:r>
          </w:p>
          <w:p w14:paraId="476F0127">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□（四）批发业 </w:t>
            </w:r>
          </w:p>
          <w:p w14:paraId="2A666F9F">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□（五）零售业 </w:t>
            </w:r>
          </w:p>
          <w:p w14:paraId="51C3E2A8">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□（六）交通运输业 </w:t>
            </w:r>
          </w:p>
          <w:p w14:paraId="733990BF">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□（七）仓储业 </w:t>
            </w:r>
          </w:p>
          <w:p w14:paraId="7857FC9C">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□（八）邮政业 </w:t>
            </w:r>
          </w:p>
          <w:p w14:paraId="1FEAF285">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□（九）住宿业 </w:t>
            </w:r>
          </w:p>
          <w:p w14:paraId="7EE65F23">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□（十）餐饮业 </w:t>
            </w:r>
          </w:p>
          <w:p w14:paraId="7E5300B2">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□（十一）信息传输业 </w:t>
            </w:r>
          </w:p>
          <w:p w14:paraId="09D69907">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（十二）软件和信息信息技术服务业 </w:t>
            </w:r>
          </w:p>
          <w:p w14:paraId="722501D4">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□（十三）房地产开发经营 </w:t>
            </w:r>
          </w:p>
          <w:p w14:paraId="0EBB45D4">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□（十四）物业管理 </w:t>
            </w:r>
          </w:p>
          <w:p w14:paraId="2AD88960">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□（十五）租赁和商务服务业 </w:t>
            </w:r>
          </w:p>
          <w:p w14:paraId="7D4C6D83">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□（十六）其他未列明行业</w:t>
            </w:r>
          </w:p>
        </w:tc>
      </w:tr>
      <w:tr w14:paraId="78DC38AE">
        <w:tblPrEx>
          <w:tblCellMar>
            <w:top w:w="0" w:type="dxa"/>
            <w:left w:w="108" w:type="dxa"/>
            <w:bottom w:w="0" w:type="dxa"/>
            <w:right w:w="108" w:type="dxa"/>
          </w:tblCellMar>
        </w:tblPrEx>
        <w:trPr>
          <w:trHeight w:val="641" w:hRule="atLeast"/>
          <w:jc w:val="center"/>
        </w:trPr>
        <w:tc>
          <w:tcPr>
            <w:tcW w:w="4056" w:type="dxa"/>
            <w:tcBorders>
              <w:top w:val="nil"/>
              <w:left w:val="single" w:color="auto" w:sz="12" w:space="0"/>
              <w:bottom w:val="single" w:color="auto" w:sz="4" w:space="0"/>
              <w:right w:val="single" w:color="auto" w:sz="4" w:space="0"/>
            </w:tcBorders>
            <w:noWrap w:val="0"/>
            <w:vAlign w:val="center"/>
          </w:tcPr>
          <w:p w14:paraId="093F488D">
            <w:pPr>
              <w:widowControl/>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职工人数</w:t>
            </w:r>
          </w:p>
        </w:tc>
        <w:tc>
          <w:tcPr>
            <w:tcW w:w="5754" w:type="dxa"/>
            <w:tcBorders>
              <w:top w:val="nil"/>
              <w:left w:val="nil"/>
              <w:bottom w:val="single" w:color="auto" w:sz="4" w:space="0"/>
              <w:right w:val="single" w:color="auto" w:sz="12" w:space="0"/>
            </w:tcBorders>
            <w:noWrap w:val="0"/>
            <w:vAlign w:val="center"/>
          </w:tcPr>
          <w:p w14:paraId="30F051A9">
            <w:pPr>
              <w:widowControl/>
              <w:wordWrap w:val="0"/>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（人）</w:t>
            </w:r>
          </w:p>
        </w:tc>
      </w:tr>
      <w:tr w14:paraId="6FC5C1C9">
        <w:tblPrEx>
          <w:tblCellMar>
            <w:top w:w="0" w:type="dxa"/>
            <w:left w:w="108" w:type="dxa"/>
            <w:bottom w:w="0" w:type="dxa"/>
            <w:right w:w="108" w:type="dxa"/>
          </w:tblCellMar>
        </w:tblPrEx>
        <w:trPr>
          <w:trHeight w:val="588" w:hRule="atLeast"/>
          <w:jc w:val="center"/>
        </w:trPr>
        <w:tc>
          <w:tcPr>
            <w:tcW w:w="4056" w:type="dxa"/>
            <w:tcBorders>
              <w:top w:val="nil"/>
              <w:left w:val="single" w:color="auto" w:sz="12" w:space="0"/>
              <w:bottom w:val="single" w:color="auto" w:sz="4" w:space="0"/>
              <w:right w:val="single" w:color="auto" w:sz="4" w:space="0"/>
            </w:tcBorders>
            <w:noWrap w:val="0"/>
            <w:vAlign w:val="center"/>
          </w:tcPr>
          <w:p w14:paraId="32CE938F">
            <w:pPr>
              <w:widowControl/>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专业技术人员人数</w:t>
            </w:r>
          </w:p>
        </w:tc>
        <w:tc>
          <w:tcPr>
            <w:tcW w:w="5754" w:type="dxa"/>
            <w:tcBorders>
              <w:top w:val="nil"/>
              <w:left w:val="nil"/>
              <w:bottom w:val="single" w:color="auto" w:sz="4" w:space="0"/>
              <w:right w:val="single" w:color="auto" w:sz="12" w:space="0"/>
            </w:tcBorders>
            <w:noWrap w:val="0"/>
            <w:vAlign w:val="center"/>
          </w:tcPr>
          <w:p w14:paraId="3FFF16B4">
            <w:pPr>
              <w:widowControl/>
              <w:wordWrap w:val="0"/>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（人）</w:t>
            </w:r>
          </w:p>
        </w:tc>
      </w:tr>
      <w:tr w14:paraId="01C1A480">
        <w:tblPrEx>
          <w:tblCellMar>
            <w:top w:w="0" w:type="dxa"/>
            <w:left w:w="108" w:type="dxa"/>
            <w:bottom w:w="0" w:type="dxa"/>
            <w:right w:w="108" w:type="dxa"/>
          </w:tblCellMar>
        </w:tblPrEx>
        <w:trPr>
          <w:trHeight w:val="641" w:hRule="atLeast"/>
          <w:jc w:val="center"/>
        </w:trPr>
        <w:tc>
          <w:tcPr>
            <w:tcW w:w="4056" w:type="dxa"/>
            <w:tcBorders>
              <w:top w:val="nil"/>
              <w:left w:val="single" w:color="auto" w:sz="12" w:space="0"/>
              <w:bottom w:val="single" w:color="auto" w:sz="4" w:space="0"/>
              <w:right w:val="single" w:color="auto" w:sz="4" w:space="0"/>
            </w:tcBorders>
            <w:noWrap w:val="0"/>
            <w:vAlign w:val="center"/>
          </w:tcPr>
          <w:p w14:paraId="39260B67">
            <w:pPr>
              <w:widowControl/>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上年度营业收入</w:t>
            </w:r>
          </w:p>
        </w:tc>
        <w:tc>
          <w:tcPr>
            <w:tcW w:w="5754" w:type="dxa"/>
            <w:tcBorders>
              <w:top w:val="nil"/>
              <w:left w:val="nil"/>
              <w:bottom w:val="single" w:color="auto" w:sz="4" w:space="0"/>
              <w:right w:val="single" w:color="auto" w:sz="12" w:space="0"/>
            </w:tcBorders>
            <w:noWrap w:val="0"/>
            <w:vAlign w:val="center"/>
          </w:tcPr>
          <w:p w14:paraId="514D29AC">
            <w:pPr>
              <w:widowControl/>
              <w:wordWrap w:val="0"/>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（万元）</w:t>
            </w:r>
          </w:p>
        </w:tc>
      </w:tr>
      <w:tr w14:paraId="4C8CD81B">
        <w:tblPrEx>
          <w:tblCellMar>
            <w:top w:w="0" w:type="dxa"/>
            <w:left w:w="108" w:type="dxa"/>
            <w:bottom w:w="0" w:type="dxa"/>
            <w:right w:w="108" w:type="dxa"/>
          </w:tblCellMar>
        </w:tblPrEx>
        <w:trPr>
          <w:trHeight w:val="690" w:hRule="atLeast"/>
          <w:jc w:val="center"/>
        </w:trPr>
        <w:tc>
          <w:tcPr>
            <w:tcW w:w="4056" w:type="dxa"/>
            <w:tcBorders>
              <w:top w:val="nil"/>
              <w:left w:val="single" w:color="auto" w:sz="12" w:space="0"/>
              <w:bottom w:val="nil"/>
              <w:right w:val="single" w:color="auto" w:sz="4" w:space="0"/>
            </w:tcBorders>
            <w:noWrap w:val="0"/>
            <w:vAlign w:val="center"/>
          </w:tcPr>
          <w:p w14:paraId="28F0F1B5">
            <w:pPr>
              <w:widowControl/>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社会保障资金情况</w:t>
            </w:r>
          </w:p>
        </w:tc>
        <w:tc>
          <w:tcPr>
            <w:tcW w:w="5754" w:type="dxa"/>
            <w:tcBorders>
              <w:top w:val="nil"/>
              <w:left w:val="nil"/>
              <w:bottom w:val="nil"/>
              <w:right w:val="single" w:color="auto" w:sz="12" w:space="0"/>
            </w:tcBorders>
            <w:noWrap w:val="0"/>
            <w:vAlign w:val="center"/>
          </w:tcPr>
          <w:p w14:paraId="6878CE4E">
            <w:pPr>
              <w:widowControl/>
              <w:wordWrap w:val="0"/>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附缴费证明复印件</w:t>
            </w:r>
          </w:p>
        </w:tc>
      </w:tr>
      <w:tr w14:paraId="32179D5F">
        <w:tblPrEx>
          <w:tblCellMar>
            <w:top w:w="0" w:type="dxa"/>
            <w:left w:w="108" w:type="dxa"/>
            <w:bottom w:w="0" w:type="dxa"/>
            <w:right w:w="108" w:type="dxa"/>
          </w:tblCellMar>
        </w:tblPrEx>
        <w:trPr>
          <w:trHeight w:val="641" w:hRule="atLeast"/>
          <w:jc w:val="center"/>
        </w:trPr>
        <w:tc>
          <w:tcPr>
            <w:tcW w:w="4056" w:type="dxa"/>
            <w:tcBorders>
              <w:top w:val="single" w:color="auto" w:sz="4" w:space="0"/>
              <w:left w:val="single" w:color="auto" w:sz="12" w:space="0"/>
              <w:bottom w:val="nil"/>
              <w:right w:val="single" w:color="auto" w:sz="4" w:space="0"/>
            </w:tcBorders>
            <w:noWrap w:val="0"/>
            <w:vAlign w:val="center"/>
          </w:tcPr>
          <w:p w14:paraId="63FA2E8E">
            <w:pPr>
              <w:widowControl/>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缴税情况</w:t>
            </w:r>
          </w:p>
        </w:tc>
        <w:tc>
          <w:tcPr>
            <w:tcW w:w="5754" w:type="dxa"/>
            <w:tcBorders>
              <w:top w:val="single" w:color="auto" w:sz="4" w:space="0"/>
              <w:left w:val="nil"/>
              <w:bottom w:val="nil"/>
              <w:right w:val="single" w:color="auto" w:sz="12" w:space="0"/>
            </w:tcBorders>
            <w:noWrap w:val="0"/>
            <w:vAlign w:val="center"/>
          </w:tcPr>
          <w:p w14:paraId="6FD25C7B">
            <w:pPr>
              <w:widowControl/>
              <w:wordWrap w:val="0"/>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有/无（有，附近期的缴费证明复印件）</w:t>
            </w:r>
          </w:p>
        </w:tc>
      </w:tr>
      <w:tr w14:paraId="57976396">
        <w:tblPrEx>
          <w:tblCellMar>
            <w:top w:w="0" w:type="dxa"/>
            <w:left w:w="108" w:type="dxa"/>
            <w:bottom w:w="0" w:type="dxa"/>
            <w:right w:w="108" w:type="dxa"/>
          </w:tblCellMar>
        </w:tblPrEx>
        <w:trPr>
          <w:trHeight w:val="663" w:hRule="atLeast"/>
          <w:jc w:val="center"/>
        </w:trPr>
        <w:tc>
          <w:tcPr>
            <w:tcW w:w="4056" w:type="dxa"/>
            <w:tcBorders>
              <w:top w:val="single" w:color="auto" w:sz="4" w:space="0"/>
              <w:left w:val="single" w:color="auto" w:sz="12" w:space="0"/>
              <w:bottom w:val="single" w:color="auto" w:sz="12" w:space="0"/>
              <w:right w:val="single" w:color="auto" w:sz="4" w:space="0"/>
            </w:tcBorders>
            <w:noWrap w:val="0"/>
            <w:vAlign w:val="center"/>
          </w:tcPr>
          <w:p w14:paraId="1371AB0F">
            <w:pPr>
              <w:widowControl/>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上年利润</w:t>
            </w:r>
          </w:p>
        </w:tc>
        <w:tc>
          <w:tcPr>
            <w:tcW w:w="5754" w:type="dxa"/>
            <w:tcBorders>
              <w:top w:val="single" w:color="auto" w:sz="4" w:space="0"/>
              <w:left w:val="nil"/>
              <w:bottom w:val="single" w:color="auto" w:sz="12" w:space="0"/>
              <w:right w:val="single" w:color="auto" w:sz="12" w:space="0"/>
            </w:tcBorders>
            <w:noWrap w:val="0"/>
            <w:vAlign w:val="center"/>
          </w:tcPr>
          <w:p w14:paraId="32718D4D">
            <w:pPr>
              <w:widowControl/>
              <w:wordWrap w:val="0"/>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（万元）</w:t>
            </w:r>
          </w:p>
        </w:tc>
      </w:tr>
    </w:tbl>
    <w:p w14:paraId="12713EB5">
      <w:pPr>
        <w:tabs>
          <w:tab w:val="left" w:pos="1365"/>
        </w:tabs>
        <w:wordWrap w:val="0"/>
        <w:spacing w:line="360" w:lineRule="auto"/>
        <w:ind w:left="525" w:leftChars="250" w:firstLine="480" w:firstLineChars="200"/>
        <w:rPr>
          <w:rFonts w:ascii="宋体" w:hAnsi="宋体" w:cs="宋体"/>
          <w:color w:val="auto"/>
          <w:kern w:val="0"/>
          <w:sz w:val="24"/>
          <w:highlight w:val="none"/>
        </w:rPr>
      </w:pPr>
      <w:r>
        <w:rPr>
          <w:rFonts w:hint="eastAsia" w:ascii="宋体" w:hAnsi="宋体"/>
          <w:color w:val="auto"/>
          <w:sz w:val="24"/>
          <w:highlight w:val="none"/>
        </w:rPr>
        <w:t>后附：营业执照副本等相关证件。</w:t>
      </w:r>
    </w:p>
    <w:p w14:paraId="304E0A71">
      <w:pPr>
        <w:tabs>
          <w:tab w:val="left" w:pos="1365"/>
        </w:tabs>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供应商名称</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p>
    <w:p w14:paraId="7B946AA8">
      <w:pPr>
        <w:tabs>
          <w:tab w:val="left" w:pos="1365"/>
        </w:tabs>
        <w:wordWrap w:val="0"/>
        <w:spacing w:line="360" w:lineRule="auto"/>
        <w:ind w:firstLine="480" w:firstLineChars="200"/>
        <w:rPr>
          <w:rFonts w:ascii="宋体" w:hAnsi="宋体"/>
          <w:color w:val="auto"/>
          <w:sz w:val="24"/>
          <w:highlight w:val="none"/>
        </w:rPr>
      </w:pPr>
      <w:r>
        <w:rPr>
          <w:rFonts w:hint="eastAsia" w:ascii="宋体" w:hAnsi="宋体"/>
          <w:bCs/>
          <w:color w:val="auto"/>
          <w:sz w:val="24"/>
          <w:highlight w:val="none"/>
        </w:rPr>
        <w:t>法定代表人或委托代理人</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（签字或签章）</w:t>
      </w:r>
    </w:p>
    <w:p w14:paraId="71C7B50C">
      <w:pPr>
        <w:tabs>
          <w:tab w:val="left" w:pos="1365"/>
        </w:tabs>
        <w:wordWrap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C506860">
      <w:pPr>
        <w:pStyle w:val="3"/>
        <w:pageBreakBefore w:val="0"/>
        <w:widowControl w:val="0"/>
        <w:kinsoku/>
        <w:overflowPunct/>
        <w:topLinePunct w:val="0"/>
        <w:autoSpaceDE/>
        <w:autoSpaceDN/>
        <w:bidi w:val="0"/>
        <w:adjustRightInd/>
        <w:snapToGrid/>
        <w:spacing w:line="440" w:lineRule="exact"/>
        <w:jc w:val="center"/>
        <w:textAlignment w:val="auto"/>
        <w:rPr>
          <w:rFonts w:hint="eastAsia"/>
          <w:highlight w:val="none"/>
          <w:lang w:val="en-US" w:eastAsia="zh-CN"/>
        </w:rPr>
      </w:pPr>
      <w:bookmarkStart w:id="76" w:name="_Toc8182"/>
      <w:r>
        <w:rPr>
          <w:rFonts w:hint="eastAsia"/>
          <w:highlight w:val="none"/>
          <w:lang w:eastAsia="zh-CN"/>
        </w:rPr>
        <w:t>十、</w:t>
      </w:r>
      <w:r>
        <w:rPr>
          <w:rFonts w:hint="eastAsia"/>
          <w:highlight w:val="none"/>
        </w:rPr>
        <w:t>财务状况</w:t>
      </w:r>
      <w:bookmarkEnd w:id="76"/>
    </w:p>
    <w:p w14:paraId="4C3D317A">
      <w:pPr>
        <w:rPr>
          <w:rFonts w:hint="eastAsia"/>
          <w:highlight w:val="none"/>
        </w:rPr>
      </w:pPr>
      <w:r>
        <w:rPr>
          <w:rFonts w:hint="eastAsia"/>
          <w:highlight w:val="none"/>
        </w:rPr>
        <w:br w:type="page"/>
      </w:r>
    </w:p>
    <w:p w14:paraId="281E189D">
      <w:pPr>
        <w:pStyle w:val="3"/>
        <w:bidi w:val="0"/>
        <w:jc w:val="center"/>
        <w:rPr>
          <w:rFonts w:hint="eastAsia" w:ascii="宋体" w:hAnsi="宋体" w:eastAsia="宋体" w:cs="宋体"/>
          <w:color w:val="auto"/>
          <w:szCs w:val="32"/>
          <w:highlight w:val="none"/>
        </w:rPr>
      </w:pPr>
      <w:bookmarkStart w:id="77" w:name="_Toc17949"/>
      <w:r>
        <w:rPr>
          <w:rFonts w:hint="eastAsia"/>
          <w:highlight w:val="none"/>
          <w:lang w:eastAsia="zh-CN"/>
        </w:rPr>
        <w:t>十一、</w:t>
      </w:r>
      <w:r>
        <w:rPr>
          <w:rFonts w:hint="eastAsia"/>
          <w:highlight w:val="none"/>
        </w:rPr>
        <w:t>依法缴纳税收证明材料</w:t>
      </w:r>
      <w:bookmarkEnd w:id="77"/>
    </w:p>
    <w:p w14:paraId="06734352">
      <w:pPr>
        <w:pStyle w:val="35"/>
        <w:ind w:firstLine="480"/>
        <w:jc w:val="both"/>
        <w:rPr>
          <w:rFonts w:hint="eastAsia" w:ascii="宋体" w:hAnsi="宋体" w:eastAsia="宋体" w:cs="宋体"/>
          <w:color w:val="auto"/>
          <w:sz w:val="24"/>
          <w:szCs w:val="24"/>
          <w:highlight w:val="none"/>
        </w:rPr>
      </w:pPr>
    </w:p>
    <w:p w14:paraId="45EE207A">
      <w:pPr>
        <w:pStyle w:val="35"/>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color w:val="auto"/>
          <w:highlight w:val="none"/>
        </w:rPr>
      </w:pPr>
      <w:r>
        <w:rPr>
          <w:color w:val="auto"/>
          <w:highlight w:val="none"/>
        </w:rPr>
        <w:t xml:space="preserve"> </w:t>
      </w:r>
    </w:p>
    <w:p w14:paraId="30B8A2AB">
      <w:pPr>
        <w:rPr>
          <w:rFonts w:hint="eastAsia"/>
          <w:highlight w:val="none"/>
          <w:lang w:eastAsia="zh-CN"/>
        </w:rPr>
      </w:pPr>
      <w:r>
        <w:rPr>
          <w:rFonts w:hint="eastAsia"/>
          <w:highlight w:val="none"/>
          <w:lang w:eastAsia="zh-CN"/>
        </w:rPr>
        <w:br w:type="page"/>
      </w:r>
    </w:p>
    <w:p w14:paraId="2BBAA5A0">
      <w:pPr>
        <w:pStyle w:val="3"/>
        <w:bidi w:val="0"/>
        <w:jc w:val="center"/>
        <w:rPr>
          <w:rFonts w:hint="eastAsia" w:ascii="宋体" w:hAnsi="宋体" w:eastAsia="宋体" w:cs="宋体"/>
          <w:b/>
          <w:color w:val="auto"/>
          <w:szCs w:val="32"/>
          <w:highlight w:val="none"/>
        </w:rPr>
      </w:pPr>
      <w:bookmarkStart w:id="78" w:name="_Toc25780"/>
      <w:r>
        <w:rPr>
          <w:rFonts w:hint="eastAsia"/>
          <w:highlight w:val="none"/>
          <w:lang w:eastAsia="zh-CN"/>
        </w:rPr>
        <w:t>十二、</w:t>
      </w:r>
      <w:r>
        <w:rPr>
          <w:rFonts w:hint="eastAsia"/>
          <w:highlight w:val="none"/>
        </w:rPr>
        <w:t>依法缴纳社会保障资金证明材料</w:t>
      </w:r>
      <w:bookmarkEnd w:id="78"/>
    </w:p>
    <w:p w14:paraId="0F20D069">
      <w:pPr>
        <w:rPr>
          <w:color w:val="auto"/>
          <w:highlight w:val="none"/>
        </w:rPr>
      </w:pPr>
      <w:r>
        <w:rPr>
          <w:color w:val="auto"/>
          <w:highlight w:val="none"/>
        </w:rPr>
        <w:br w:type="page"/>
      </w:r>
    </w:p>
    <w:p w14:paraId="6B637573">
      <w:pPr>
        <w:pStyle w:val="3"/>
        <w:bidi w:val="0"/>
        <w:jc w:val="center"/>
        <w:rPr>
          <w:rFonts w:hint="eastAsia" w:ascii="宋体" w:hAnsi="宋体" w:eastAsia="宋体" w:cs="宋体"/>
          <w:b/>
          <w:color w:val="auto"/>
          <w:szCs w:val="32"/>
          <w:highlight w:val="none"/>
        </w:rPr>
      </w:pPr>
      <w:bookmarkStart w:id="79" w:name="_Toc6140"/>
      <w:r>
        <w:rPr>
          <w:rFonts w:hint="eastAsia"/>
          <w:highlight w:val="none"/>
          <w:lang w:val="en-US" w:eastAsia="zh-CN"/>
        </w:rPr>
        <w:t>十三、具</w:t>
      </w:r>
      <w:r>
        <w:rPr>
          <w:rFonts w:hint="eastAsia"/>
          <w:highlight w:val="none"/>
        </w:rPr>
        <w:t>备履行合同所必需设备和专业技术能力的声明函（若有）</w:t>
      </w:r>
      <w:bookmarkEnd w:id="79"/>
    </w:p>
    <w:p w14:paraId="762CE6C3">
      <w:pPr>
        <w:pStyle w:val="35"/>
        <w:ind w:firstLine="480"/>
        <w:jc w:val="both"/>
        <w:rPr>
          <w:color w:val="auto"/>
          <w:highlight w:val="none"/>
        </w:rPr>
      </w:pPr>
    </w:p>
    <w:p w14:paraId="54785995">
      <w:pPr>
        <w:pStyle w:val="35"/>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43DFFC5E">
      <w:pPr>
        <w:pStyle w:val="35"/>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我方具备履行合同所必需的设备和专业技术能力，否则产生不利后果由我方承担责任。</w:t>
      </w:r>
    </w:p>
    <w:p w14:paraId="2E6C6F21">
      <w:pPr>
        <w:pStyle w:val="35"/>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344B3832">
      <w:pPr>
        <w:pStyle w:val="35"/>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1B5879AB">
      <w:pPr>
        <w:pStyle w:val="35"/>
        <w:ind w:firstLine="48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根据实际情况如实声明，否则视为提供虚假材料。</w:t>
      </w:r>
    </w:p>
    <w:p w14:paraId="1EC7D071">
      <w:pPr>
        <w:pStyle w:val="35"/>
        <w:ind w:firstLine="480"/>
        <w:jc w:val="right"/>
        <w:rPr>
          <w:rFonts w:hint="eastAsia" w:ascii="宋体" w:hAnsi="宋体" w:eastAsia="宋体" w:cs="宋体"/>
          <w:color w:val="auto"/>
          <w:sz w:val="24"/>
          <w:szCs w:val="24"/>
          <w:highlight w:val="none"/>
        </w:rPr>
      </w:pPr>
      <w:r>
        <w:rPr>
          <w:rFonts w:hint="eastAsia" w:ascii="宋体" w:hAnsi="宋体"/>
          <w:color w:val="auto"/>
          <w:sz w:val="24"/>
          <w:highlight w:val="none"/>
          <w:lang w:eastAsia="zh-CN"/>
        </w:rPr>
        <w:t>供应商名称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（全称并加盖单位公章）</w:t>
      </w:r>
    </w:p>
    <w:p w14:paraId="67D0EC28">
      <w:pPr>
        <w:pStyle w:val="35"/>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7A3FEFB7">
      <w:pPr>
        <w:pStyle w:val="35"/>
        <w:ind w:firstLine="480"/>
        <w:jc w:val="center"/>
        <w:rPr>
          <w:rFonts w:hint="eastAsia" w:ascii="宋体" w:hAnsi="宋体" w:eastAsia="宋体" w:cs="宋体"/>
          <w:b/>
          <w:color w:val="auto"/>
          <w:sz w:val="32"/>
          <w:szCs w:val="32"/>
          <w:highlight w:val="none"/>
          <w:lang w:val="en-US" w:eastAsia="zh-CN"/>
        </w:rPr>
      </w:pPr>
    </w:p>
    <w:p w14:paraId="421C4497">
      <w:pPr>
        <w:pStyle w:val="35"/>
        <w:ind w:firstLine="480"/>
        <w:jc w:val="center"/>
        <w:rPr>
          <w:rFonts w:hint="eastAsia" w:ascii="宋体" w:hAnsi="宋体" w:eastAsia="宋体" w:cs="宋体"/>
          <w:b/>
          <w:color w:val="auto"/>
          <w:sz w:val="32"/>
          <w:szCs w:val="32"/>
          <w:highlight w:val="none"/>
          <w:lang w:val="en-US" w:eastAsia="zh-CN"/>
        </w:rPr>
      </w:pPr>
    </w:p>
    <w:p w14:paraId="49823871">
      <w:pPr>
        <w:pStyle w:val="35"/>
        <w:ind w:firstLine="480"/>
        <w:jc w:val="center"/>
        <w:rPr>
          <w:rFonts w:hint="eastAsia" w:ascii="宋体" w:hAnsi="宋体" w:eastAsia="宋体" w:cs="宋体"/>
          <w:b/>
          <w:color w:val="auto"/>
          <w:sz w:val="32"/>
          <w:szCs w:val="32"/>
          <w:highlight w:val="none"/>
          <w:lang w:val="en-US" w:eastAsia="zh-CN"/>
        </w:rPr>
      </w:pPr>
    </w:p>
    <w:p w14:paraId="34DA3F1C">
      <w:pPr>
        <w:pStyle w:val="35"/>
        <w:ind w:firstLine="480"/>
        <w:jc w:val="center"/>
        <w:rPr>
          <w:rFonts w:hint="eastAsia" w:ascii="宋体" w:hAnsi="宋体" w:eastAsia="宋体" w:cs="宋体"/>
          <w:b/>
          <w:color w:val="auto"/>
          <w:sz w:val="32"/>
          <w:szCs w:val="32"/>
          <w:highlight w:val="none"/>
          <w:lang w:val="en-US" w:eastAsia="zh-CN"/>
        </w:rPr>
      </w:pPr>
    </w:p>
    <w:p w14:paraId="12D9AC75">
      <w:pPr>
        <w:pStyle w:val="35"/>
        <w:ind w:firstLine="480"/>
        <w:jc w:val="center"/>
        <w:rPr>
          <w:rFonts w:hint="eastAsia" w:ascii="宋体" w:hAnsi="宋体" w:eastAsia="宋体" w:cs="宋体"/>
          <w:b/>
          <w:color w:val="auto"/>
          <w:sz w:val="32"/>
          <w:szCs w:val="32"/>
          <w:highlight w:val="none"/>
          <w:lang w:val="en-US" w:eastAsia="zh-CN"/>
        </w:rPr>
      </w:pPr>
    </w:p>
    <w:p w14:paraId="533FE5D9">
      <w:pPr>
        <w:pStyle w:val="35"/>
        <w:ind w:firstLine="480"/>
        <w:jc w:val="center"/>
        <w:rPr>
          <w:rFonts w:hint="eastAsia" w:ascii="宋体" w:hAnsi="宋体" w:eastAsia="宋体" w:cs="宋体"/>
          <w:b/>
          <w:color w:val="auto"/>
          <w:sz w:val="32"/>
          <w:szCs w:val="32"/>
          <w:highlight w:val="none"/>
          <w:lang w:val="en-US" w:eastAsia="zh-CN"/>
        </w:rPr>
      </w:pPr>
    </w:p>
    <w:p w14:paraId="1A165767">
      <w:pPr>
        <w:pStyle w:val="35"/>
        <w:ind w:firstLine="480"/>
        <w:jc w:val="center"/>
        <w:rPr>
          <w:rFonts w:hint="eastAsia" w:ascii="宋体" w:hAnsi="宋体" w:eastAsia="宋体" w:cs="宋体"/>
          <w:b/>
          <w:color w:val="auto"/>
          <w:sz w:val="32"/>
          <w:szCs w:val="32"/>
          <w:highlight w:val="none"/>
          <w:lang w:val="en-US" w:eastAsia="zh-CN"/>
        </w:rPr>
      </w:pPr>
    </w:p>
    <w:p w14:paraId="2BF8702E">
      <w:pPr>
        <w:pStyle w:val="35"/>
        <w:ind w:firstLine="480"/>
        <w:jc w:val="center"/>
        <w:rPr>
          <w:rFonts w:hint="eastAsia" w:ascii="宋体" w:hAnsi="宋体" w:eastAsia="宋体" w:cs="宋体"/>
          <w:b/>
          <w:color w:val="auto"/>
          <w:sz w:val="32"/>
          <w:szCs w:val="32"/>
          <w:highlight w:val="none"/>
          <w:lang w:val="en-US" w:eastAsia="zh-CN"/>
        </w:rPr>
      </w:pPr>
    </w:p>
    <w:p w14:paraId="335DEE25">
      <w:pPr>
        <w:pStyle w:val="35"/>
        <w:ind w:firstLine="480"/>
        <w:jc w:val="center"/>
        <w:rPr>
          <w:rFonts w:hint="eastAsia" w:ascii="宋体" w:hAnsi="宋体" w:eastAsia="宋体" w:cs="宋体"/>
          <w:b/>
          <w:color w:val="auto"/>
          <w:sz w:val="32"/>
          <w:szCs w:val="32"/>
          <w:highlight w:val="none"/>
          <w:lang w:val="en-US" w:eastAsia="zh-CN"/>
        </w:rPr>
      </w:pPr>
    </w:p>
    <w:p w14:paraId="2D052120">
      <w:pPr>
        <w:pStyle w:val="35"/>
        <w:ind w:firstLine="480"/>
        <w:jc w:val="center"/>
        <w:rPr>
          <w:rFonts w:hint="eastAsia" w:ascii="宋体" w:hAnsi="宋体" w:eastAsia="宋体" w:cs="宋体"/>
          <w:b/>
          <w:color w:val="auto"/>
          <w:sz w:val="32"/>
          <w:szCs w:val="32"/>
          <w:highlight w:val="none"/>
          <w:lang w:val="en-US" w:eastAsia="zh-CN"/>
        </w:rPr>
      </w:pPr>
    </w:p>
    <w:p w14:paraId="57834270">
      <w:pPr>
        <w:pStyle w:val="35"/>
        <w:ind w:firstLine="480"/>
        <w:jc w:val="center"/>
        <w:rPr>
          <w:rFonts w:hint="eastAsia" w:ascii="宋体" w:hAnsi="宋体" w:eastAsia="宋体" w:cs="宋体"/>
          <w:b/>
          <w:color w:val="auto"/>
          <w:sz w:val="32"/>
          <w:szCs w:val="32"/>
          <w:highlight w:val="none"/>
          <w:lang w:val="en-US" w:eastAsia="zh-CN"/>
        </w:rPr>
      </w:pPr>
    </w:p>
    <w:p w14:paraId="18327B10">
      <w:pPr>
        <w:pStyle w:val="35"/>
        <w:ind w:firstLine="480"/>
        <w:jc w:val="center"/>
        <w:rPr>
          <w:rFonts w:hint="eastAsia" w:ascii="宋体" w:hAnsi="宋体" w:eastAsia="宋体" w:cs="宋体"/>
          <w:b/>
          <w:color w:val="auto"/>
          <w:sz w:val="32"/>
          <w:szCs w:val="32"/>
          <w:highlight w:val="none"/>
          <w:lang w:val="en-US" w:eastAsia="zh-CN"/>
        </w:rPr>
      </w:pPr>
    </w:p>
    <w:p w14:paraId="2C8DD7BF">
      <w:pPr>
        <w:pStyle w:val="35"/>
        <w:ind w:firstLine="480"/>
        <w:jc w:val="center"/>
        <w:rPr>
          <w:rFonts w:hint="eastAsia" w:ascii="宋体" w:hAnsi="宋体" w:eastAsia="宋体" w:cs="宋体"/>
          <w:b/>
          <w:color w:val="auto"/>
          <w:sz w:val="32"/>
          <w:szCs w:val="32"/>
          <w:highlight w:val="none"/>
          <w:lang w:val="en-US" w:eastAsia="zh-CN"/>
        </w:rPr>
      </w:pPr>
    </w:p>
    <w:p w14:paraId="303F0AD5">
      <w:pPr>
        <w:pStyle w:val="35"/>
        <w:ind w:firstLine="480"/>
        <w:jc w:val="center"/>
        <w:rPr>
          <w:rFonts w:hint="eastAsia" w:ascii="宋体" w:hAnsi="宋体" w:eastAsia="宋体" w:cs="宋体"/>
          <w:b/>
          <w:color w:val="auto"/>
          <w:sz w:val="32"/>
          <w:szCs w:val="32"/>
          <w:highlight w:val="none"/>
          <w:lang w:val="en-US" w:eastAsia="zh-CN"/>
        </w:rPr>
      </w:pPr>
    </w:p>
    <w:p w14:paraId="6202EDEC">
      <w:pPr>
        <w:pStyle w:val="35"/>
        <w:ind w:firstLine="480"/>
        <w:jc w:val="center"/>
        <w:rPr>
          <w:rFonts w:hint="eastAsia" w:ascii="宋体" w:hAnsi="宋体" w:eastAsia="宋体" w:cs="宋体"/>
          <w:b/>
          <w:color w:val="auto"/>
          <w:sz w:val="32"/>
          <w:szCs w:val="32"/>
          <w:highlight w:val="none"/>
          <w:lang w:val="en-US" w:eastAsia="zh-CN"/>
        </w:rPr>
      </w:pPr>
    </w:p>
    <w:p w14:paraId="38608E3F">
      <w:pPr>
        <w:pStyle w:val="35"/>
        <w:ind w:firstLine="480"/>
        <w:jc w:val="center"/>
        <w:rPr>
          <w:rFonts w:hint="eastAsia" w:ascii="宋体" w:hAnsi="宋体" w:eastAsia="宋体" w:cs="宋体"/>
          <w:b/>
          <w:color w:val="auto"/>
          <w:sz w:val="32"/>
          <w:szCs w:val="32"/>
          <w:highlight w:val="none"/>
          <w:lang w:val="en-US" w:eastAsia="zh-CN"/>
        </w:rPr>
      </w:pPr>
    </w:p>
    <w:p w14:paraId="7B7AF1A3">
      <w:pPr>
        <w:pStyle w:val="35"/>
        <w:ind w:firstLine="480"/>
        <w:jc w:val="center"/>
        <w:rPr>
          <w:rFonts w:hint="eastAsia" w:ascii="宋体" w:hAnsi="宋体" w:eastAsia="宋体" w:cs="宋体"/>
          <w:b/>
          <w:color w:val="auto"/>
          <w:sz w:val="32"/>
          <w:szCs w:val="32"/>
          <w:highlight w:val="none"/>
          <w:lang w:val="en-US" w:eastAsia="zh-CN"/>
        </w:rPr>
      </w:pPr>
    </w:p>
    <w:p w14:paraId="0616649E">
      <w:pPr>
        <w:pStyle w:val="35"/>
        <w:ind w:firstLine="480"/>
        <w:jc w:val="center"/>
        <w:rPr>
          <w:rFonts w:hint="eastAsia" w:ascii="宋体" w:hAnsi="宋体" w:eastAsia="宋体" w:cs="宋体"/>
          <w:b/>
          <w:color w:val="auto"/>
          <w:sz w:val="32"/>
          <w:szCs w:val="32"/>
          <w:highlight w:val="none"/>
          <w:lang w:val="en-US" w:eastAsia="zh-CN"/>
        </w:rPr>
      </w:pPr>
    </w:p>
    <w:p w14:paraId="0C4B8A68">
      <w:pPr>
        <w:pStyle w:val="35"/>
        <w:ind w:firstLine="480"/>
        <w:jc w:val="center"/>
        <w:rPr>
          <w:rFonts w:hint="eastAsia" w:ascii="宋体" w:hAnsi="宋体" w:eastAsia="宋体" w:cs="宋体"/>
          <w:b/>
          <w:color w:val="auto"/>
          <w:sz w:val="32"/>
          <w:szCs w:val="32"/>
          <w:highlight w:val="none"/>
          <w:lang w:val="en-US" w:eastAsia="zh-CN"/>
        </w:rPr>
      </w:pPr>
    </w:p>
    <w:p w14:paraId="183AC105">
      <w:pPr>
        <w:pStyle w:val="35"/>
        <w:ind w:firstLine="480"/>
        <w:jc w:val="center"/>
        <w:rPr>
          <w:rFonts w:hint="eastAsia" w:ascii="宋体" w:hAnsi="宋体" w:eastAsia="宋体" w:cs="宋体"/>
          <w:b/>
          <w:color w:val="auto"/>
          <w:sz w:val="32"/>
          <w:szCs w:val="32"/>
          <w:highlight w:val="none"/>
          <w:lang w:val="en-US" w:eastAsia="zh-CN"/>
        </w:rPr>
      </w:pPr>
    </w:p>
    <w:p w14:paraId="5AE0F947">
      <w:pPr>
        <w:pStyle w:val="35"/>
        <w:ind w:firstLine="480"/>
        <w:jc w:val="center"/>
        <w:rPr>
          <w:rFonts w:hint="eastAsia" w:ascii="宋体" w:hAnsi="宋体" w:eastAsia="宋体" w:cs="宋体"/>
          <w:b/>
          <w:color w:val="auto"/>
          <w:sz w:val="32"/>
          <w:szCs w:val="32"/>
          <w:highlight w:val="none"/>
          <w:lang w:val="en-US" w:eastAsia="zh-CN"/>
        </w:rPr>
      </w:pPr>
    </w:p>
    <w:p w14:paraId="73D6FC25">
      <w:pPr>
        <w:pStyle w:val="3"/>
        <w:bidi w:val="0"/>
        <w:jc w:val="center"/>
        <w:rPr>
          <w:rFonts w:hint="eastAsia"/>
          <w:highlight w:val="none"/>
        </w:rPr>
      </w:pPr>
      <w:bookmarkStart w:id="80" w:name="_Toc19046"/>
      <w:r>
        <w:rPr>
          <w:rFonts w:hint="eastAsia"/>
          <w:highlight w:val="none"/>
          <w:lang w:val="en-US" w:eastAsia="zh-CN"/>
        </w:rPr>
        <w:t>十四、</w:t>
      </w:r>
      <w:r>
        <w:rPr>
          <w:rFonts w:hint="eastAsia"/>
          <w:highlight w:val="none"/>
        </w:rPr>
        <w:t>参加采购活动前三年内在经营活动中没有重大违法记录书面声明</w:t>
      </w:r>
      <w:bookmarkEnd w:id="80"/>
    </w:p>
    <w:p w14:paraId="0CA55F21">
      <w:pPr>
        <w:pStyle w:val="35"/>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2F1F0CBD">
      <w:pPr>
        <w:pStyle w:val="35"/>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年内，我方在经营活动中没有重大违法记录，即没有因违法经营受到刑事处罚或责令停产停业、吊销许可证或执照、较大数额罚款等行政处罚。否则产生不利后果由我方承担责任。</w:t>
      </w:r>
    </w:p>
    <w:p w14:paraId="34236F35">
      <w:pPr>
        <w:pStyle w:val="35"/>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32639298">
      <w:pPr>
        <w:pStyle w:val="35"/>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3AB56F2D">
      <w:pPr>
        <w:pStyle w:val="35"/>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“重大违法记录”指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C8FD5D2">
      <w:pPr>
        <w:pStyle w:val="35"/>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根据实际情况如实声明，否则视为提供虚假材料。</w:t>
      </w:r>
    </w:p>
    <w:p w14:paraId="38BDE2D0">
      <w:pPr>
        <w:pStyle w:val="35"/>
        <w:ind w:firstLine="960"/>
        <w:jc w:val="center"/>
        <w:outlineLvl w:val="3"/>
        <w:rPr>
          <w:rFonts w:hint="eastAsia" w:ascii="宋体" w:hAnsi="宋体" w:eastAsia="宋体" w:cs="宋体"/>
          <w:b/>
          <w:color w:val="auto"/>
          <w:sz w:val="32"/>
          <w:szCs w:val="32"/>
          <w:highlight w:val="none"/>
          <w:lang w:val="en-US" w:eastAsia="zh-CN"/>
        </w:rPr>
      </w:pPr>
    </w:p>
    <w:p w14:paraId="5E544D98">
      <w:pPr>
        <w:pStyle w:val="35"/>
        <w:ind w:firstLine="960"/>
        <w:jc w:val="center"/>
        <w:outlineLvl w:val="3"/>
        <w:rPr>
          <w:rFonts w:hint="eastAsia" w:ascii="宋体" w:hAnsi="宋体" w:eastAsia="宋体" w:cs="宋体"/>
          <w:b/>
          <w:color w:val="auto"/>
          <w:sz w:val="32"/>
          <w:szCs w:val="32"/>
          <w:highlight w:val="none"/>
          <w:lang w:val="en-US" w:eastAsia="zh-CN"/>
        </w:rPr>
      </w:pPr>
    </w:p>
    <w:p w14:paraId="1BDCDF0E">
      <w:pPr>
        <w:pStyle w:val="35"/>
        <w:ind w:firstLine="960"/>
        <w:jc w:val="center"/>
        <w:outlineLvl w:val="3"/>
        <w:rPr>
          <w:rFonts w:hint="eastAsia" w:ascii="宋体" w:hAnsi="宋体" w:eastAsia="宋体" w:cs="宋体"/>
          <w:b/>
          <w:color w:val="auto"/>
          <w:sz w:val="32"/>
          <w:szCs w:val="32"/>
          <w:highlight w:val="none"/>
          <w:lang w:val="en-US" w:eastAsia="zh-CN"/>
        </w:rPr>
      </w:pPr>
    </w:p>
    <w:p w14:paraId="082D46B9">
      <w:pPr>
        <w:pStyle w:val="35"/>
        <w:ind w:firstLine="960"/>
        <w:jc w:val="center"/>
        <w:outlineLvl w:val="3"/>
        <w:rPr>
          <w:rFonts w:hint="eastAsia" w:ascii="宋体" w:hAnsi="宋体" w:eastAsia="宋体" w:cs="宋体"/>
          <w:b/>
          <w:color w:val="auto"/>
          <w:sz w:val="32"/>
          <w:szCs w:val="32"/>
          <w:highlight w:val="none"/>
          <w:lang w:val="en-US" w:eastAsia="zh-CN"/>
        </w:rPr>
      </w:pPr>
    </w:p>
    <w:p w14:paraId="5F1675DE">
      <w:pPr>
        <w:pStyle w:val="35"/>
        <w:ind w:firstLine="960"/>
        <w:jc w:val="center"/>
        <w:outlineLvl w:val="3"/>
        <w:rPr>
          <w:rFonts w:hint="eastAsia" w:ascii="宋体" w:hAnsi="宋体" w:eastAsia="宋体" w:cs="宋体"/>
          <w:b/>
          <w:color w:val="auto"/>
          <w:sz w:val="32"/>
          <w:szCs w:val="32"/>
          <w:highlight w:val="none"/>
          <w:lang w:val="en-US" w:eastAsia="zh-CN"/>
        </w:rPr>
      </w:pPr>
    </w:p>
    <w:p w14:paraId="5D0D4C26">
      <w:pPr>
        <w:pStyle w:val="35"/>
        <w:ind w:firstLine="960"/>
        <w:jc w:val="center"/>
        <w:outlineLvl w:val="3"/>
        <w:rPr>
          <w:rFonts w:hint="eastAsia" w:ascii="宋体" w:hAnsi="宋体" w:eastAsia="宋体" w:cs="宋体"/>
          <w:b/>
          <w:color w:val="auto"/>
          <w:sz w:val="32"/>
          <w:szCs w:val="32"/>
          <w:highlight w:val="none"/>
          <w:lang w:val="en-US" w:eastAsia="zh-CN"/>
        </w:rPr>
      </w:pPr>
    </w:p>
    <w:p w14:paraId="7859348B">
      <w:pPr>
        <w:pStyle w:val="35"/>
        <w:ind w:firstLine="960"/>
        <w:jc w:val="center"/>
        <w:outlineLvl w:val="3"/>
        <w:rPr>
          <w:rFonts w:hint="eastAsia" w:ascii="宋体" w:hAnsi="宋体" w:eastAsia="宋体" w:cs="宋体"/>
          <w:b/>
          <w:color w:val="auto"/>
          <w:sz w:val="32"/>
          <w:szCs w:val="32"/>
          <w:highlight w:val="none"/>
          <w:lang w:val="en-US" w:eastAsia="zh-CN"/>
        </w:rPr>
      </w:pPr>
    </w:p>
    <w:p w14:paraId="3F1DBCB7">
      <w:pPr>
        <w:pStyle w:val="35"/>
        <w:ind w:firstLine="960"/>
        <w:jc w:val="center"/>
        <w:outlineLvl w:val="3"/>
        <w:rPr>
          <w:rFonts w:hint="eastAsia" w:ascii="宋体" w:hAnsi="宋体" w:eastAsia="宋体" w:cs="宋体"/>
          <w:b/>
          <w:color w:val="auto"/>
          <w:sz w:val="32"/>
          <w:szCs w:val="32"/>
          <w:highlight w:val="none"/>
          <w:lang w:val="en-US" w:eastAsia="zh-CN"/>
        </w:rPr>
      </w:pPr>
    </w:p>
    <w:p w14:paraId="1541268E">
      <w:pPr>
        <w:pStyle w:val="35"/>
        <w:ind w:firstLine="960"/>
        <w:jc w:val="center"/>
        <w:outlineLvl w:val="3"/>
        <w:rPr>
          <w:rFonts w:hint="eastAsia" w:ascii="宋体" w:hAnsi="宋体" w:eastAsia="宋体" w:cs="宋体"/>
          <w:b/>
          <w:color w:val="auto"/>
          <w:sz w:val="32"/>
          <w:szCs w:val="32"/>
          <w:highlight w:val="none"/>
          <w:lang w:val="en-US" w:eastAsia="zh-CN"/>
        </w:rPr>
      </w:pPr>
    </w:p>
    <w:p w14:paraId="47EF2701">
      <w:pPr>
        <w:pStyle w:val="35"/>
        <w:ind w:firstLine="960"/>
        <w:jc w:val="center"/>
        <w:outlineLvl w:val="3"/>
        <w:rPr>
          <w:rFonts w:hint="eastAsia" w:ascii="宋体" w:hAnsi="宋体" w:eastAsia="宋体" w:cs="宋体"/>
          <w:b/>
          <w:color w:val="auto"/>
          <w:sz w:val="32"/>
          <w:szCs w:val="32"/>
          <w:highlight w:val="none"/>
          <w:lang w:val="en-US" w:eastAsia="zh-CN"/>
        </w:rPr>
      </w:pPr>
    </w:p>
    <w:p w14:paraId="343F9E66">
      <w:pPr>
        <w:pStyle w:val="35"/>
        <w:ind w:firstLine="960"/>
        <w:jc w:val="center"/>
        <w:outlineLvl w:val="3"/>
        <w:rPr>
          <w:rFonts w:hint="eastAsia" w:ascii="宋体" w:hAnsi="宋体" w:eastAsia="宋体" w:cs="宋体"/>
          <w:b/>
          <w:color w:val="auto"/>
          <w:sz w:val="32"/>
          <w:szCs w:val="32"/>
          <w:highlight w:val="none"/>
          <w:lang w:val="en-US" w:eastAsia="zh-CN"/>
        </w:rPr>
      </w:pPr>
    </w:p>
    <w:p w14:paraId="7B41F6B9">
      <w:pPr>
        <w:pStyle w:val="35"/>
        <w:ind w:firstLine="960"/>
        <w:jc w:val="center"/>
        <w:outlineLvl w:val="3"/>
        <w:rPr>
          <w:rFonts w:hint="eastAsia" w:ascii="宋体" w:hAnsi="宋体" w:eastAsia="宋体" w:cs="宋体"/>
          <w:b/>
          <w:color w:val="auto"/>
          <w:sz w:val="32"/>
          <w:szCs w:val="32"/>
          <w:highlight w:val="none"/>
          <w:lang w:val="en-US" w:eastAsia="zh-CN"/>
        </w:rPr>
      </w:pPr>
    </w:p>
    <w:p w14:paraId="2592CA8E">
      <w:pPr>
        <w:pStyle w:val="35"/>
        <w:ind w:firstLine="960"/>
        <w:jc w:val="center"/>
        <w:outlineLvl w:val="3"/>
        <w:rPr>
          <w:rFonts w:hint="eastAsia" w:ascii="宋体" w:hAnsi="宋体" w:eastAsia="宋体" w:cs="宋体"/>
          <w:b/>
          <w:color w:val="auto"/>
          <w:sz w:val="32"/>
          <w:szCs w:val="32"/>
          <w:highlight w:val="none"/>
          <w:lang w:val="en-US" w:eastAsia="zh-CN"/>
        </w:rPr>
      </w:pPr>
    </w:p>
    <w:p w14:paraId="402793A5">
      <w:pPr>
        <w:pStyle w:val="35"/>
        <w:ind w:firstLine="960"/>
        <w:jc w:val="center"/>
        <w:outlineLvl w:val="3"/>
        <w:rPr>
          <w:rFonts w:hint="eastAsia" w:ascii="宋体" w:hAnsi="宋体" w:eastAsia="宋体" w:cs="宋体"/>
          <w:b/>
          <w:color w:val="auto"/>
          <w:sz w:val="32"/>
          <w:szCs w:val="32"/>
          <w:highlight w:val="none"/>
          <w:lang w:val="en-US" w:eastAsia="zh-CN"/>
        </w:rPr>
      </w:pPr>
    </w:p>
    <w:p w14:paraId="51E35BD3">
      <w:pPr>
        <w:pStyle w:val="3"/>
        <w:bidi w:val="0"/>
        <w:jc w:val="center"/>
        <w:rPr>
          <w:rFonts w:hint="eastAsia" w:eastAsia="宋体"/>
          <w:color w:val="auto"/>
          <w:highlight w:val="none"/>
          <w:lang w:val="en-US" w:eastAsia="zh-CN"/>
        </w:rPr>
      </w:pPr>
      <w:bookmarkStart w:id="81" w:name="_Toc8726"/>
      <w:r>
        <w:rPr>
          <w:rFonts w:hint="eastAsia"/>
          <w:highlight w:val="none"/>
          <w:lang w:val="en-US" w:eastAsia="zh-CN"/>
        </w:rPr>
        <w:t>十五、</w:t>
      </w:r>
      <w:r>
        <w:rPr>
          <w:rFonts w:hint="eastAsia"/>
          <w:highlight w:val="none"/>
        </w:rPr>
        <w:t>信用记录查询</w:t>
      </w:r>
      <w:r>
        <w:rPr>
          <w:rFonts w:hint="eastAsia"/>
          <w:highlight w:val="none"/>
          <w:lang w:val="en-US" w:eastAsia="zh-CN"/>
        </w:rPr>
        <w:t>截图</w:t>
      </w:r>
      <w:bookmarkEnd w:id="81"/>
    </w:p>
    <w:p w14:paraId="5F233F2D">
      <w:pPr>
        <w:wordWrap/>
        <w:spacing w:line="360" w:lineRule="auto"/>
        <w:ind w:firstLine="643" w:firstLineChars="200"/>
        <w:jc w:val="center"/>
        <w:outlineLvl w:val="2"/>
        <w:rPr>
          <w:rFonts w:hint="eastAsia" w:ascii="宋体" w:hAnsi="宋体"/>
          <w:b/>
          <w:color w:val="auto"/>
          <w:sz w:val="32"/>
          <w:szCs w:val="32"/>
          <w:highlight w:val="none"/>
        </w:rPr>
      </w:pPr>
    </w:p>
    <w:p w14:paraId="0683CA32">
      <w:pPr>
        <w:wordWrap/>
        <w:spacing w:line="360" w:lineRule="auto"/>
        <w:ind w:firstLine="643" w:firstLineChars="200"/>
        <w:jc w:val="center"/>
        <w:outlineLvl w:val="2"/>
        <w:rPr>
          <w:rFonts w:hint="eastAsia" w:ascii="宋体" w:hAnsi="宋体"/>
          <w:b/>
          <w:color w:val="auto"/>
          <w:sz w:val="32"/>
          <w:szCs w:val="32"/>
          <w:highlight w:val="none"/>
        </w:rPr>
      </w:pPr>
    </w:p>
    <w:p w14:paraId="02ADF2EC">
      <w:pPr>
        <w:wordWrap/>
        <w:spacing w:line="360" w:lineRule="auto"/>
        <w:ind w:firstLine="643" w:firstLineChars="200"/>
        <w:jc w:val="center"/>
        <w:outlineLvl w:val="2"/>
        <w:rPr>
          <w:rFonts w:hint="eastAsia" w:ascii="宋体" w:hAnsi="宋体"/>
          <w:b/>
          <w:color w:val="auto"/>
          <w:sz w:val="32"/>
          <w:szCs w:val="32"/>
          <w:highlight w:val="none"/>
        </w:rPr>
      </w:pPr>
    </w:p>
    <w:p w14:paraId="6579C300">
      <w:pPr>
        <w:wordWrap/>
        <w:spacing w:line="360" w:lineRule="auto"/>
        <w:ind w:firstLine="643" w:firstLineChars="200"/>
        <w:jc w:val="center"/>
        <w:outlineLvl w:val="2"/>
        <w:rPr>
          <w:rFonts w:hint="eastAsia" w:ascii="宋体" w:hAnsi="宋体"/>
          <w:b/>
          <w:color w:val="auto"/>
          <w:sz w:val="32"/>
          <w:szCs w:val="32"/>
          <w:highlight w:val="none"/>
        </w:rPr>
      </w:pPr>
    </w:p>
    <w:p w14:paraId="6481412B">
      <w:pPr>
        <w:wordWrap/>
        <w:spacing w:line="360" w:lineRule="auto"/>
        <w:ind w:firstLine="643" w:firstLineChars="200"/>
        <w:jc w:val="center"/>
        <w:outlineLvl w:val="2"/>
        <w:rPr>
          <w:rFonts w:hint="eastAsia" w:ascii="宋体" w:hAnsi="宋体"/>
          <w:b/>
          <w:color w:val="auto"/>
          <w:sz w:val="32"/>
          <w:szCs w:val="32"/>
          <w:highlight w:val="none"/>
        </w:rPr>
      </w:pPr>
    </w:p>
    <w:p w14:paraId="45597122">
      <w:pPr>
        <w:wordWrap/>
        <w:spacing w:line="360" w:lineRule="auto"/>
        <w:ind w:firstLine="643" w:firstLineChars="200"/>
        <w:jc w:val="center"/>
        <w:outlineLvl w:val="2"/>
        <w:rPr>
          <w:rFonts w:hint="eastAsia" w:ascii="宋体" w:hAnsi="宋体"/>
          <w:b/>
          <w:color w:val="auto"/>
          <w:sz w:val="32"/>
          <w:szCs w:val="32"/>
          <w:highlight w:val="none"/>
        </w:rPr>
      </w:pPr>
    </w:p>
    <w:p w14:paraId="6A59511D">
      <w:pPr>
        <w:wordWrap/>
        <w:spacing w:line="360" w:lineRule="auto"/>
        <w:ind w:firstLine="643" w:firstLineChars="200"/>
        <w:jc w:val="center"/>
        <w:outlineLvl w:val="2"/>
        <w:rPr>
          <w:rFonts w:hint="eastAsia" w:ascii="宋体" w:hAnsi="宋体"/>
          <w:b/>
          <w:color w:val="auto"/>
          <w:sz w:val="32"/>
          <w:szCs w:val="32"/>
          <w:highlight w:val="none"/>
        </w:rPr>
      </w:pPr>
    </w:p>
    <w:p w14:paraId="0FB26576">
      <w:pPr>
        <w:wordWrap/>
        <w:spacing w:line="360" w:lineRule="auto"/>
        <w:ind w:firstLine="643" w:firstLineChars="200"/>
        <w:jc w:val="center"/>
        <w:outlineLvl w:val="2"/>
        <w:rPr>
          <w:rFonts w:hint="eastAsia" w:ascii="宋体" w:hAnsi="宋体"/>
          <w:b/>
          <w:color w:val="auto"/>
          <w:sz w:val="32"/>
          <w:szCs w:val="32"/>
          <w:highlight w:val="none"/>
        </w:rPr>
      </w:pPr>
    </w:p>
    <w:p w14:paraId="178750AB">
      <w:pPr>
        <w:wordWrap/>
        <w:spacing w:line="360" w:lineRule="auto"/>
        <w:ind w:firstLine="643" w:firstLineChars="200"/>
        <w:jc w:val="center"/>
        <w:outlineLvl w:val="2"/>
        <w:rPr>
          <w:rFonts w:hint="eastAsia" w:ascii="宋体" w:hAnsi="宋体"/>
          <w:b/>
          <w:color w:val="auto"/>
          <w:sz w:val="32"/>
          <w:szCs w:val="32"/>
          <w:highlight w:val="none"/>
        </w:rPr>
      </w:pPr>
    </w:p>
    <w:p w14:paraId="5DF2F326">
      <w:pPr>
        <w:wordWrap/>
        <w:spacing w:line="360" w:lineRule="auto"/>
        <w:ind w:firstLine="643" w:firstLineChars="200"/>
        <w:jc w:val="center"/>
        <w:outlineLvl w:val="2"/>
        <w:rPr>
          <w:rFonts w:hint="eastAsia" w:ascii="宋体" w:hAnsi="宋体"/>
          <w:b/>
          <w:color w:val="auto"/>
          <w:sz w:val="32"/>
          <w:szCs w:val="32"/>
          <w:highlight w:val="none"/>
        </w:rPr>
      </w:pPr>
    </w:p>
    <w:p w14:paraId="14ED562C">
      <w:pPr>
        <w:wordWrap/>
        <w:spacing w:line="360" w:lineRule="auto"/>
        <w:ind w:firstLine="643" w:firstLineChars="200"/>
        <w:jc w:val="center"/>
        <w:outlineLvl w:val="2"/>
        <w:rPr>
          <w:rFonts w:hint="eastAsia" w:ascii="宋体" w:hAnsi="宋体"/>
          <w:b/>
          <w:color w:val="auto"/>
          <w:sz w:val="32"/>
          <w:szCs w:val="32"/>
          <w:highlight w:val="none"/>
        </w:rPr>
      </w:pPr>
    </w:p>
    <w:p w14:paraId="2F975832">
      <w:pPr>
        <w:wordWrap/>
        <w:spacing w:line="360" w:lineRule="auto"/>
        <w:ind w:firstLine="643" w:firstLineChars="200"/>
        <w:jc w:val="center"/>
        <w:outlineLvl w:val="2"/>
        <w:rPr>
          <w:rFonts w:hint="eastAsia" w:ascii="宋体" w:hAnsi="宋体"/>
          <w:b/>
          <w:color w:val="auto"/>
          <w:sz w:val="32"/>
          <w:szCs w:val="32"/>
          <w:highlight w:val="none"/>
        </w:rPr>
      </w:pPr>
    </w:p>
    <w:p w14:paraId="03B56725">
      <w:pPr>
        <w:wordWrap/>
        <w:spacing w:line="360" w:lineRule="auto"/>
        <w:ind w:firstLine="643" w:firstLineChars="200"/>
        <w:jc w:val="center"/>
        <w:outlineLvl w:val="2"/>
        <w:rPr>
          <w:rFonts w:hint="eastAsia" w:ascii="宋体" w:hAnsi="宋体"/>
          <w:b/>
          <w:color w:val="auto"/>
          <w:sz w:val="32"/>
          <w:szCs w:val="32"/>
          <w:highlight w:val="none"/>
        </w:rPr>
      </w:pPr>
    </w:p>
    <w:p w14:paraId="44AC61EF">
      <w:pPr>
        <w:wordWrap/>
        <w:spacing w:line="360" w:lineRule="auto"/>
        <w:ind w:firstLine="643" w:firstLineChars="200"/>
        <w:jc w:val="center"/>
        <w:outlineLvl w:val="2"/>
        <w:rPr>
          <w:rFonts w:hint="eastAsia" w:ascii="宋体" w:hAnsi="宋体"/>
          <w:b/>
          <w:color w:val="auto"/>
          <w:sz w:val="32"/>
          <w:szCs w:val="32"/>
          <w:highlight w:val="none"/>
        </w:rPr>
      </w:pPr>
    </w:p>
    <w:p w14:paraId="59C6FC4E">
      <w:pPr>
        <w:rPr>
          <w:rFonts w:hint="eastAsia"/>
          <w:highlight w:val="none"/>
          <w:lang w:eastAsia="zh-CN"/>
        </w:rPr>
      </w:pPr>
      <w:bookmarkStart w:id="82" w:name="_Toc4912"/>
      <w:r>
        <w:rPr>
          <w:rFonts w:hint="eastAsia"/>
          <w:highlight w:val="none"/>
          <w:lang w:eastAsia="zh-CN"/>
        </w:rPr>
        <w:br w:type="page"/>
      </w:r>
    </w:p>
    <w:p w14:paraId="6B9283B5">
      <w:pPr>
        <w:pStyle w:val="3"/>
        <w:bidi w:val="0"/>
        <w:jc w:val="center"/>
        <w:rPr>
          <w:highlight w:val="none"/>
        </w:rPr>
      </w:pPr>
      <w:r>
        <w:rPr>
          <w:rFonts w:hint="eastAsia"/>
          <w:highlight w:val="none"/>
          <w:lang w:eastAsia="zh-CN"/>
        </w:rPr>
        <w:t>十六、</w:t>
      </w:r>
      <w:r>
        <w:rPr>
          <w:rFonts w:hint="eastAsia"/>
          <w:highlight w:val="none"/>
        </w:rPr>
        <w:t>类似项目经验（如有）</w:t>
      </w:r>
      <w:bookmarkEnd w:id="82"/>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365"/>
        <w:gridCol w:w="1620"/>
        <w:gridCol w:w="1620"/>
        <w:gridCol w:w="1430"/>
        <w:gridCol w:w="1345"/>
        <w:gridCol w:w="1260"/>
      </w:tblGrid>
      <w:tr w14:paraId="2591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28" w:type="dxa"/>
            <w:noWrap w:val="0"/>
            <w:vAlign w:val="center"/>
          </w:tcPr>
          <w:p w14:paraId="7FC8F213">
            <w:pPr>
              <w:wordWrap w:val="0"/>
              <w:spacing w:line="360" w:lineRule="auto"/>
              <w:jc w:val="center"/>
              <w:rPr>
                <w:rFonts w:ascii="宋体" w:hAnsi="宋体"/>
                <w:b/>
                <w:color w:val="auto"/>
                <w:sz w:val="24"/>
                <w:highlight w:val="none"/>
              </w:rPr>
            </w:pPr>
            <w:r>
              <w:rPr>
                <w:rFonts w:ascii="宋体" w:hAnsi="宋体"/>
                <w:b/>
                <w:color w:val="auto"/>
                <w:sz w:val="24"/>
                <w:highlight w:val="none"/>
              </w:rPr>
              <w:t>序号</w:t>
            </w:r>
          </w:p>
        </w:tc>
        <w:tc>
          <w:tcPr>
            <w:tcW w:w="1365" w:type="dxa"/>
            <w:noWrap w:val="0"/>
            <w:vAlign w:val="center"/>
          </w:tcPr>
          <w:p w14:paraId="38D4F73B">
            <w:pPr>
              <w:wordWrap w:val="0"/>
              <w:spacing w:line="360" w:lineRule="auto"/>
              <w:jc w:val="center"/>
              <w:rPr>
                <w:rFonts w:ascii="宋体" w:hAnsi="宋体"/>
                <w:b/>
                <w:color w:val="auto"/>
                <w:sz w:val="24"/>
                <w:highlight w:val="none"/>
              </w:rPr>
            </w:pPr>
            <w:r>
              <w:rPr>
                <w:rFonts w:hint="eastAsia" w:ascii="宋体" w:hAnsi="宋体"/>
                <w:b/>
                <w:color w:val="auto"/>
                <w:sz w:val="24"/>
                <w:highlight w:val="none"/>
              </w:rPr>
              <w:t>采购人</w:t>
            </w:r>
          </w:p>
        </w:tc>
        <w:tc>
          <w:tcPr>
            <w:tcW w:w="1620" w:type="dxa"/>
            <w:noWrap w:val="0"/>
            <w:vAlign w:val="center"/>
          </w:tcPr>
          <w:p w14:paraId="502216EE">
            <w:pPr>
              <w:wordWrap w:val="0"/>
              <w:spacing w:line="360" w:lineRule="auto"/>
              <w:jc w:val="center"/>
              <w:rPr>
                <w:rFonts w:ascii="宋体" w:hAnsi="宋体"/>
                <w:b/>
                <w:color w:val="auto"/>
                <w:sz w:val="24"/>
                <w:highlight w:val="none"/>
              </w:rPr>
            </w:pPr>
            <w:r>
              <w:rPr>
                <w:rFonts w:ascii="宋体" w:hAnsi="宋体"/>
                <w:b/>
                <w:color w:val="auto"/>
                <w:sz w:val="24"/>
                <w:highlight w:val="none"/>
              </w:rPr>
              <w:t>项目名称</w:t>
            </w:r>
          </w:p>
        </w:tc>
        <w:tc>
          <w:tcPr>
            <w:tcW w:w="1620" w:type="dxa"/>
            <w:noWrap w:val="0"/>
            <w:vAlign w:val="center"/>
          </w:tcPr>
          <w:p w14:paraId="22D1E474">
            <w:pPr>
              <w:wordWrap w:val="0"/>
              <w:spacing w:line="360" w:lineRule="auto"/>
              <w:jc w:val="center"/>
              <w:rPr>
                <w:rFonts w:ascii="宋体" w:hAnsi="宋体"/>
                <w:b/>
                <w:color w:val="auto"/>
                <w:sz w:val="24"/>
                <w:highlight w:val="none"/>
              </w:rPr>
            </w:pPr>
            <w:r>
              <w:rPr>
                <w:rFonts w:hint="eastAsia" w:ascii="宋体" w:hAnsi="宋体"/>
                <w:b/>
                <w:color w:val="auto"/>
                <w:sz w:val="24"/>
                <w:highlight w:val="none"/>
              </w:rPr>
              <w:t>采购内容</w:t>
            </w:r>
          </w:p>
        </w:tc>
        <w:tc>
          <w:tcPr>
            <w:tcW w:w="1430" w:type="dxa"/>
            <w:noWrap w:val="0"/>
            <w:vAlign w:val="center"/>
          </w:tcPr>
          <w:p w14:paraId="2834FA24">
            <w:pPr>
              <w:wordWrap w:val="0"/>
              <w:spacing w:line="360" w:lineRule="auto"/>
              <w:jc w:val="center"/>
              <w:rPr>
                <w:rFonts w:ascii="宋体" w:hAnsi="宋体"/>
                <w:b/>
                <w:color w:val="auto"/>
                <w:sz w:val="24"/>
                <w:highlight w:val="none"/>
              </w:rPr>
            </w:pPr>
            <w:r>
              <w:rPr>
                <w:rFonts w:hint="eastAsia" w:ascii="宋体" w:hAnsi="宋体"/>
                <w:b/>
                <w:color w:val="auto"/>
                <w:sz w:val="24"/>
                <w:highlight w:val="none"/>
              </w:rPr>
              <w:t>中标金额</w:t>
            </w:r>
          </w:p>
        </w:tc>
        <w:tc>
          <w:tcPr>
            <w:tcW w:w="1345" w:type="dxa"/>
            <w:noWrap w:val="0"/>
            <w:vAlign w:val="center"/>
          </w:tcPr>
          <w:p w14:paraId="05DF771F">
            <w:pPr>
              <w:wordWrap w:val="0"/>
              <w:spacing w:line="360" w:lineRule="auto"/>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服务期</w:t>
            </w:r>
          </w:p>
        </w:tc>
        <w:tc>
          <w:tcPr>
            <w:tcW w:w="1260" w:type="dxa"/>
            <w:noWrap w:val="0"/>
            <w:vAlign w:val="center"/>
          </w:tcPr>
          <w:p w14:paraId="3EE2DE15">
            <w:pPr>
              <w:wordWrap w:val="0"/>
              <w:spacing w:line="360" w:lineRule="auto"/>
              <w:jc w:val="center"/>
              <w:rPr>
                <w:rFonts w:ascii="宋体" w:hAnsi="宋体"/>
                <w:b/>
                <w:color w:val="auto"/>
                <w:sz w:val="24"/>
                <w:highlight w:val="none"/>
              </w:rPr>
            </w:pPr>
            <w:r>
              <w:rPr>
                <w:rFonts w:hint="eastAsia" w:ascii="宋体" w:hAnsi="宋体"/>
                <w:b/>
                <w:color w:val="auto"/>
                <w:sz w:val="24"/>
                <w:highlight w:val="none"/>
              </w:rPr>
              <w:t>采购人</w:t>
            </w:r>
            <w:r>
              <w:rPr>
                <w:rFonts w:ascii="宋体" w:hAnsi="宋体"/>
                <w:b/>
                <w:color w:val="auto"/>
                <w:sz w:val="24"/>
                <w:highlight w:val="none"/>
              </w:rPr>
              <w:t>联系电话</w:t>
            </w:r>
          </w:p>
        </w:tc>
      </w:tr>
      <w:tr w14:paraId="785F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262DB499">
            <w:pPr>
              <w:wordWrap w:val="0"/>
              <w:spacing w:line="360" w:lineRule="auto"/>
              <w:jc w:val="center"/>
              <w:rPr>
                <w:rFonts w:ascii="宋体" w:hAnsi="宋体"/>
                <w:color w:val="auto"/>
                <w:sz w:val="24"/>
                <w:highlight w:val="none"/>
              </w:rPr>
            </w:pPr>
          </w:p>
        </w:tc>
        <w:tc>
          <w:tcPr>
            <w:tcW w:w="1365" w:type="dxa"/>
            <w:noWrap w:val="0"/>
            <w:vAlign w:val="center"/>
          </w:tcPr>
          <w:p w14:paraId="7D13E10A">
            <w:pPr>
              <w:pStyle w:val="9"/>
              <w:wordWrap w:val="0"/>
              <w:spacing w:line="360" w:lineRule="auto"/>
              <w:ind w:left="8000"/>
              <w:rPr>
                <w:rFonts w:ascii="宋体" w:hAnsi="宋体"/>
                <w:color w:val="auto"/>
                <w:szCs w:val="24"/>
                <w:highlight w:val="none"/>
              </w:rPr>
            </w:pPr>
          </w:p>
        </w:tc>
        <w:tc>
          <w:tcPr>
            <w:tcW w:w="1620" w:type="dxa"/>
            <w:noWrap w:val="0"/>
            <w:vAlign w:val="center"/>
          </w:tcPr>
          <w:p w14:paraId="7BBC45C0">
            <w:pPr>
              <w:wordWrap w:val="0"/>
              <w:spacing w:line="360" w:lineRule="auto"/>
              <w:rPr>
                <w:rFonts w:ascii="宋体" w:hAnsi="宋体"/>
                <w:color w:val="auto"/>
                <w:sz w:val="24"/>
                <w:highlight w:val="none"/>
              </w:rPr>
            </w:pPr>
          </w:p>
        </w:tc>
        <w:tc>
          <w:tcPr>
            <w:tcW w:w="1620" w:type="dxa"/>
            <w:noWrap w:val="0"/>
            <w:vAlign w:val="center"/>
          </w:tcPr>
          <w:p w14:paraId="0F97FDFE">
            <w:pPr>
              <w:wordWrap w:val="0"/>
              <w:spacing w:line="360" w:lineRule="auto"/>
              <w:rPr>
                <w:rFonts w:ascii="宋体" w:hAnsi="宋体"/>
                <w:color w:val="auto"/>
                <w:sz w:val="24"/>
                <w:highlight w:val="none"/>
              </w:rPr>
            </w:pPr>
          </w:p>
        </w:tc>
        <w:tc>
          <w:tcPr>
            <w:tcW w:w="1430" w:type="dxa"/>
            <w:noWrap w:val="0"/>
            <w:vAlign w:val="center"/>
          </w:tcPr>
          <w:p w14:paraId="46BDA22E">
            <w:pPr>
              <w:wordWrap w:val="0"/>
              <w:spacing w:line="360" w:lineRule="auto"/>
              <w:rPr>
                <w:rFonts w:ascii="宋体" w:hAnsi="宋体"/>
                <w:color w:val="auto"/>
                <w:sz w:val="24"/>
                <w:highlight w:val="none"/>
              </w:rPr>
            </w:pPr>
          </w:p>
        </w:tc>
        <w:tc>
          <w:tcPr>
            <w:tcW w:w="1345" w:type="dxa"/>
            <w:noWrap w:val="0"/>
            <w:vAlign w:val="center"/>
          </w:tcPr>
          <w:p w14:paraId="6F3B300E">
            <w:pPr>
              <w:wordWrap w:val="0"/>
              <w:spacing w:line="360" w:lineRule="auto"/>
              <w:rPr>
                <w:rFonts w:ascii="宋体" w:hAnsi="宋体"/>
                <w:color w:val="auto"/>
                <w:sz w:val="24"/>
                <w:highlight w:val="none"/>
              </w:rPr>
            </w:pPr>
          </w:p>
        </w:tc>
        <w:tc>
          <w:tcPr>
            <w:tcW w:w="1260" w:type="dxa"/>
            <w:noWrap w:val="0"/>
            <w:vAlign w:val="center"/>
          </w:tcPr>
          <w:p w14:paraId="05C30BCA">
            <w:pPr>
              <w:wordWrap w:val="0"/>
              <w:spacing w:line="360" w:lineRule="auto"/>
              <w:rPr>
                <w:rFonts w:ascii="宋体" w:hAnsi="宋体"/>
                <w:color w:val="auto"/>
                <w:sz w:val="24"/>
                <w:highlight w:val="none"/>
              </w:rPr>
            </w:pPr>
          </w:p>
        </w:tc>
      </w:tr>
      <w:tr w14:paraId="50A3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6CEBA8FE">
            <w:pPr>
              <w:wordWrap w:val="0"/>
              <w:spacing w:line="360" w:lineRule="auto"/>
              <w:jc w:val="center"/>
              <w:rPr>
                <w:rFonts w:ascii="宋体" w:hAnsi="宋体"/>
                <w:color w:val="auto"/>
                <w:sz w:val="24"/>
                <w:highlight w:val="none"/>
              </w:rPr>
            </w:pPr>
          </w:p>
        </w:tc>
        <w:tc>
          <w:tcPr>
            <w:tcW w:w="1365" w:type="dxa"/>
            <w:noWrap w:val="0"/>
            <w:vAlign w:val="center"/>
          </w:tcPr>
          <w:p w14:paraId="272B3E5A">
            <w:pPr>
              <w:wordWrap w:val="0"/>
              <w:spacing w:line="360" w:lineRule="auto"/>
              <w:rPr>
                <w:rFonts w:ascii="宋体" w:hAnsi="宋体"/>
                <w:color w:val="auto"/>
                <w:sz w:val="24"/>
                <w:highlight w:val="none"/>
              </w:rPr>
            </w:pPr>
          </w:p>
        </w:tc>
        <w:tc>
          <w:tcPr>
            <w:tcW w:w="1620" w:type="dxa"/>
            <w:noWrap w:val="0"/>
            <w:vAlign w:val="center"/>
          </w:tcPr>
          <w:p w14:paraId="191A47F0">
            <w:pPr>
              <w:wordWrap w:val="0"/>
              <w:spacing w:line="360" w:lineRule="auto"/>
              <w:rPr>
                <w:rFonts w:ascii="宋体" w:hAnsi="宋体"/>
                <w:color w:val="auto"/>
                <w:sz w:val="24"/>
                <w:highlight w:val="none"/>
              </w:rPr>
            </w:pPr>
          </w:p>
        </w:tc>
        <w:tc>
          <w:tcPr>
            <w:tcW w:w="1620" w:type="dxa"/>
            <w:noWrap w:val="0"/>
            <w:vAlign w:val="center"/>
          </w:tcPr>
          <w:p w14:paraId="4C6FCE18">
            <w:pPr>
              <w:wordWrap w:val="0"/>
              <w:spacing w:line="360" w:lineRule="auto"/>
              <w:rPr>
                <w:rFonts w:ascii="宋体" w:hAnsi="宋体"/>
                <w:color w:val="auto"/>
                <w:sz w:val="24"/>
                <w:highlight w:val="none"/>
              </w:rPr>
            </w:pPr>
          </w:p>
        </w:tc>
        <w:tc>
          <w:tcPr>
            <w:tcW w:w="1430" w:type="dxa"/>
            <w:noWrap w:val="0"/>
            <w:vAlign w:val="center"/>
          </w:tcPr>
          <w:p w14:paraId="6E763513">
            <w:pPr>
              <w:wordWrap w:val="0"/>
              <w:spacing w:line="360" w:lineRule="auto"/>
              <w:rPr>
                <w:rFonts w:ascii="宋体" w:hAnsi="宋体"/>
                <w:color w:val="auto"/>
                <w:sz w:val="24"/>
                <w:highlight w:val="none"/>
              </w:rPr>
            </w:pPr>
          </w:p>
        </w:tc>
        <w:tc>
          <w:tcPr>
            <w:tcW w:w="1345" w:type="dxa"/>
            <w:noWrap w:val="0"/>
            <w:vAlign w:val="center"/>
          </w:tcPr>
          <w:p w14:paraId="383B4224">
            <w:pPr>
              <w:wordWrap w:val="0"/>
              <w:spacing w:line="360" w:lineRule="auto"/>
              <w:rPr>
                <w:rFonts w:ascii="宋体" w:hAnsi="宋体"/>
                <w:color w:val="auto"/>
                <w:sz w:val="24"/>
                <w:highlight w:val="none"/>
              </w:rPr>
            </w:pPr>
          </w:p>
        </w:tc>
        <w:tc>
          <w:tcPr>
            <w:tcW w:w="1260" w:type="dxa"/>
            <w:noWrap w:val="0"/>
            <w:vAlign w:val="center"/>
          </w:tcPr>
          <w:p w14:paraId="047E1CD4">
            <w:pPr>
              <w:wordWrap w:val="0"/>
              <w:spacing w:line="360" w:lineRule="auto"/>
              <w:rPr>
                <w:rFonts w:ascii="宋体" w:hAnsi="宋体"/>
                <w:color w:val="auto"/>
                <w:sz w:val="24"/>
                <w:highlight w:val="none"/>
              </w:rPr>
            </w:pPr>
          </w:p>
        </w:tc>
      </w:tr>
      <w:tr w14:paraId="2EC0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15E45EE0">
            <w:pPr>
              <w:wordWrap w:val="0"/>
              <w:spacing w:line="360" w:lineRule="auto"/>
              <w:jc w:val="center"/>
              <w:rPr>
                <w:rFonts w:ascii="宋体" w:hAnsi="宋体"/>
                <w:color w:val="auto"/>
                <w:sz w:val="24"/>
                <w:highlight w:val="none"/>
              </w:rPr>
            </w:pPr>
          </w:p>
        </w:tc>
        <w:tc>
          <w:tcPr>
            <w:tcW w:w="1365" w:type="dxa"/>
            <w:noWrap w:val="0"/>
            <w:vAlign w:val="center"/>
          </w:tcPr>
          <w:p w14:paraId="1BFBA1AD">
            <w:pPr>
              <w:wordWrap w:val="0"/>
              <w:spacing w:line="360" w:lineRule="auto"/>
              <w:rPr>
                <w:rFonts w:ascii="宋体" w:hAnsi="宋体"/>
                <w:color w:val="auto"/>
                <w:sz w:val="24"/>
                <w:highlight w:val="none"/>
              </w:rPr>
            </w:pPr>
          </w:p>
        </w:tc>
        <w:tc>
          <w:tcPr>
            <w:tcW w:w="1620" w:type="dxa"/>
            <w:noWrap w:val="0"/>
            <w:vAlign w:val="center"/>
          </w:tcPr>
          <w:p w14:paraId="444CA4A1">
            <w:pPr>
              <w:wordWrap w:val="0"/>
              <w:spacing w:line="360" w:lineRule="auto"/>
              <w:rPr>
                <w:rFonts w:ascii="宋体" w:hAnsi="宋体"/>
                <w:color w:val="auto"/>
                <w:sz w:val="24"/>
                <w:highlight w:val="none"/>
              </w:rPr>
            </w:pPr>
          </w:p>
        </w:tc>
        <w:tc>
          <w:tcPr>
            <w:tcW w:w="1620" w:type="dxa"/>
            <w:noWrap w:val="0"/>
            <w:vAlign w:val="center"/>
          </w:tcPr>
          <w:p w14:paraId="3E1AAC4B">
            <w:pPr>
              <w:wordWrap w:val="0"/>
              <w:spacing w:line="360" w:lineRule="auto"/>
              <w:rPr>
                <w:rFonts w:ascii="宋体" w:hAnsi="宋体"/>
                <w:color w:val="auto"/>
                <w:sz w:val="24"/>
                <w:highlight w:val="none"/>
              </w:rPr>
            </w:pPr>
          </w:p>
        </w:tc>
        <w:tc>
          <w:tcPr>
            <w:tcW w:w="1430" w:type="dxa"/>
            <w:noWrap w:val="0"/>
            <w:vAlign w:val="center"/>
          </w:tcPr>
          <w:p w14:paraId="4A1F0436">
            <w:pPr>
              <w:wordWrap w:val="0"/>
              <w:spacing w:line="360" w:lineRule="auto"/>
              <w:rPr>
                <w:rFonts w:ascii="宋体" w:hAnsi="宋体"/>
                <w:color w:val="auto"/>
                <w:sz w:val="24"/>
                <w:highlight w:val="none"/>
              </w:rPr>
            </w:pPr>
          </w:p>
        </w:tc>
        <w:tc>
          <w:tcPr>
            <w:tcW w:w="1345" w:type="dxa"/>
            <w:noWrap w:val="0"/>
            <w:vAlign w:val="center"/>
          </w:tcPr>
          <w:p w14:paraId="451E56D9">
            <w:pPr>
              <w:wordWrap w:val="0"/>
              <w:spacing w:line="360" w:lineRule="auto"/>
              <w:rPr>
                <w:rFonts w:ascii="宋体" w:hAnsi="宋体"/>
                <w:color w:val="auto"/>
                <w:sz w:val="24"/>
                <w:highlight w:val="none"/>
              </w:rPr>
            </w:pPr>
          </w:p>
        </w:tc>
        <w:tc>
          <w:tcPr>
            <w:tcW w:w="1260" w:type="dxa"/>
            <w:noWrap w:val="0"/>
            <w:vAlign w:val="center"/>
          </w:tcPr>
          <w:p w14:paraId="01C70781">
            <w:pPr>
              <w:wordWrap w:val="0"/>
              <w:spacing w:line="360" w:lineRule="auto"/>
              <w:rPr>
                <w:rFonts w:ascii="宋体" w:hAnsi="宋体"/>
                <w:color w:val="auto"/>
                <w:sz w:val="24"/>
                <w:highlight w:val="none"/>
              </w:rPr>
            </w:pPr>
          </w:p>
        </w:tc>
      </w:tr>
      <w:tr w14:paraId="3986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2926494E">
            <w:pPr>
              <w:wordWrap w:val="0"/>
              <w:spacing w:line="360" w:lineRule="auto"/>
              <w:jc w:val="center"/>
              <w:rPr>
                <w:rFonts w:ascii="宋体" w:hAnsi="宋体"/>
                <w:color w:val="auto"/>
                <w:sz w:val="24"/>
                <w:highlight w:val="none"/>
              </w:rPr>
            </w:pPr>
          </w:p>
        </w:tc>
        <w:tc>
          <w:tcPr>
            <w:tcW w:w="1365" w:type="dxa"/>
            <w:noWrap w:val="0"/>
            <w:vAlign w:val="center"/>
          </w:tcPr>
          <w:p w14:paraId="4CC35275">
            <w:pPr>
              <w:wordWrap w:val="0"/>
              <w:spacing w:line="360" w:lineRule="auto"/>
              <w:rPr>
                <w:rFonts w:ascii="宋体" w:hAnsi="宋体"/>
                <w:color w:val="auto"/>
                <w:sz w:val="24"/>
                <w:highlight w:val="none"/>
              </w:rPr>
            </w:pPr>
          </w:p>
        </w:tc>
        <w:tc>
          <w:tcPr>
            <w:tcW w:w="1620" w:type="dxa"/>
            <w:noWrap w:val="0"/>
            <w:vAlign w:val="center"/>
          </w:tcPr>
          <w:p w14:paraId="64033AFA">
            <w:pPr>
              <w:wordWrap w:val="0"/>
              <w:spacing w:line="360" w:lineRule="auto"/>
              <w:rPr>
                <w:rFonts w:ascii="宋体" w:hAnsi="宋体"/>
                <w:color w:val="auto"/>
                <w:sz w:val="24"/>
                <w:highlight w:val="none"/>
              </w:rPr>
            </w:pPr>
          </w:p>
        </w:tc>
        <w:tc>
          <w:tcPr>
            <w:tcW w:w="1620" w:type="dxa"/>
            <w:noWrap w:val="0"/>
            <w:vAlign w:val="center"/>
          </w:tcPr>
          <w:p w14:paraId="72EEFB60">
            <w:pPr>
              <w:wordWrap w:val="0"/>
              <w:spacing w:line="360" w:lineRule="auto"/>
              <w:rPr>
                <w:rFonts w:ascii="宋体" w:hAnsi="宋体"/>
                <w:color w:val="auto"/>
                <w:sz w:val="24"/>
                <w:highlight w:val="none"/>
              </w:rPr>
            </w:pPr>
          </w:p>
        </w:tc>
        <w:tc>
          <w:tcPr>
            <w:tcW w:w="1430" w:type="dxa"/>
            <w:noWrap w:val="0"/>
            <w:vAlign w:val="center"/>
          </w:tcPr>
          <w:p w14:paraId="77A319DA">
            <w:pPr>
              <w:wordWrap w:val="0"/>
              <w:spacing w:line="360" w:lineRule="auto"/>
              <w:rPr>
                <w:rFonts w:ascii="宋体" w:hAnsi="宋体"/>
                <w:color w:val="auto"/>
                <w:sz w:val="24"/>
                <w:highlight w:val="none"/>
              </w:rPr>
            </w:pPr>
          </w:p>
        </w:tc>
        <w:tc>
          <w:tcPr>
            <w:tcW w:w="1345" w:type="dxa"/>
            <w:noWrap w:val="0"/>
            <w:vAlign w:val="center"/>
          </w:tcPr>
          <w:p w14:paraId="499A036B">
            <w:pPr>
              <w:wordWrap w:val="0"/>
              <w:spacing w:line="360" w:lineRule="auto"/>
              <w:rPr>
                <w:rFonts w:ascii="宋体" w:hAnsi="宋体"/>
                <w:color w:val="auto"/>
                <w:sz w:val="24"/>
                <w:highlight w:val="none"/>
              </w:rPr>
            </w:pPr>
          </w:p>
        </w:tc>
        <w:tc>
          <w:tcPr>
            <w:tcW w:w="1260" w:type="dxa"/>
            <w:noWrap w:val="0"/>
            <w:vAlign w:val="center"/>
          </w:tcPr>
          <w:p w14:paraId="7FF6A41F">
            <w:pPr>
              <w:wordWrap w:val="0"/>
              <w:spacing w:line="360" w:lineRule="auto"/>
              <w:rPr>
                <w:rFonts w:ascii="宋体" w:hAnsi="宋体"/>
                <w:color w:val="auto"/>
                <w:sz w:val="24"/>
                <w:highlight w:val="none"/>
              </w:rPr>
            </w:pPr>
          </w:p>
        </w:tc>
      </w:tr>
      <w:tr w14:paraId="514A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1F77F95B">
            <w:pPr>
              <w:wordWrap w:val="0"/>
              <w:spacing w:line="360" w:lineRule="auto"/>
              <w:jc w:val="center"/>
              <w:rPr>
                <w:rFonts w:ascii="宋体" w:hAnsi="宋体"/>
                <w:color w:val="auto"/>
                <w:sz w:val="24"/>
                <w:highlight w:val="none"/>
              </w:rPr>
            </w:pPr>
          </w:p>
        </w:tc>
        <w:tc>
          <w:tcPr>
            <w:tcW w:w="1365" w:type="dxa"/>
            <w:noWrap w:val="0"/>
            <w:vAlign w:val="center"/>
          </w:tcPr>
          <w:p w14:paraId="04FE76A8">
            <w:pPr>
              <w:wordWrap w:val="0"/>
              <w:spacing w:line="360" w:lineRule="auto"/>
              <w:rPr>
                <w:rFonts w:ascii="宋体" w:hAnsi="宋体"/>
                <w:color w:val="auto"/>
                <w:sz w:val="24"/>
                <w:highlight w:val="none"/>
              </w:rPr>
            </w:pPr>
          </w:p>
        </w:tc>
        <w:tc>
          <w:tcPr>
            <w:tcW w:w="1620" w:type="dxa"/>
            <w:noWrap w:val="0"/>
            <w:vAlign w:val="center"/>
          </w:tcPr>
          <w:p w14:paraId="179DF324">
            <w:pPr>
              <w:wordWrap w:val="0"/>
              <w:spacing w:line="360" w:lineRule="auto"/>
              <w:rPr>
                <w:rFonts w:ascii="宋体" w:hAnsi="宋体"/>
                <w:color w:val="auto"/>
                <w:sz w:val="24"/>
                <w:highlight w:val="none"/>
              </w:rPr>
            </w:pPr>
          </w:p>
        </w:tc>
        <w:tc>
          <w:tcPr>
            <w:tcW w:w="1620" w:type="dxa"/>
            <w:noWrap w:val="0"/>
            <w:vAlign w:val="center"/>
          </w:tcPr>
          <w:p w14:paraId="614CFB0C">
            <w:pPr>
              <w:wordWrap w:val="0"/>
              <w:spacing w:line="360" w:lineRule="auto"/>
              <w:rPr>
                <w:rFonts w:ascii="宋体" w:hAnsi="宋体"/>
                <w:color w:val="auto"/>
                <w:sz w:val="24"/>
                <w:highlight w:val="none"/>
              </w:rPr>
            </w:pPr>
          </w:p>
        </w:tc>
        <w:tc>
          <w:tcPr>
            <w:tcW w:w="1430" w:type="dxa"/>
            <w:noWrap w:val="0"/>
            <w:vAlign w:val="center"/>
          </w:tcPr>
          <w:p w14:paraId="5CE9F0D9">
            <w:pPr>
              <w:wordWrap w:val="0"/>
              <w:spacing w:line="360" w:lineRule="auto"/>
              <w:rPr>
                <w:rFonts w:ascii="宋体" w:hAnsi="宋体"/>
                <w:color w:val="auto"/>
                <w:sz w:val="24"/>
                <w:highlight w:val="none"/>
              </w:rPr>
            </w:pPr>
          </w:p>
        </w:tc>
        <w:tc>
          <w:tcPr>
            <w:tcW w:w="1345" w:type="dxa"/>
            <w:noWrap w:val="0"/>
            <w:vAlign w:val="center"/>
          </w:tcPr>
          <w:p w14:paraId="2EC1BB8C">
            <w:pPr>
              <w:wordWrap w:val="0"/>
              <w:spacing w:line="360" w:lineRule="auto"/>
              <w:rPr>
                <w:rFonts w:ascii="宋体" w:hAnsi="宋体"/>
                <w:color w:val="auto"/>
                <w:sz w:val="24"/>
                <w:highlight w:val="none"/>
              </w:rPr>
            </w:pPr>
          </w:p>
        </w:tc>
        <w:tc>
          <w:tcPr>
            <w:tcW w:w="1260" w:type="dxa"/>
            <w:noWrap w:val="0"/>
            <w:vAlign w:val="center"/>
          </w:tcPr>
          <w:p w14:paraId="1F9C2EC3">
            <w:pPr>
              <w:wordWrap w:val="0"/>
              <w:spacing w:line="360" w:lineRule="auto"/>
              <w:rPr>
                <w:rFonts w:ascii="宋体" w:hAnsi="宋体"/>
                <w:color w:val="auto"/>
                <w:sz w:val="24"/>
                <w:highlight w:val="none"/>
              </w:rPr>
            </w:pPr>
          </w:p>
        </w:tc>
      </w:tr>
      <w:tr w14:paraId="6ECC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1F2E3E91">
            <w:pPr>
              <w:wordWrap w:val="0"/>
              <w:spacing w:line="360" w:lineRule="auto"/>
              <w:jc w:val="center"/>
              <w:rPr>
                <w:rFonts w:ascii="宋体" w:hAnsi="宋体"/>
                <w:color w:val="auto"/>
                <w:sz w:val="24"/>
                <w:highlight w:val="none"/>
              </w:rPr>
            </w:pPr>
          </w:p>
        </w:tc>
        <w:tc>
          <w:tcPr>
            <w:tcW w:w="1365" w:type="dxa"/>
            <w:noWrap w:val="0"/>
            <w:vAlign w:val="center"/>
          </w:tcPr>
          <w:p w14:paraId="08AFCF94">
            <w:pPr>
              <w:wordWrap w:val="0"/>
              <w:spacing w:line="360" w:lineRule="auto"/>
              <w:rPr>
                <w:rFonts w:ascii="宋体" w:hAnsi="宋体"/>
                <w:color w:val="auto"/>
                <w:sz w:val="24"/>
                <w:highlight w:val="none"/>
              </w:rPr>
            </w:pPr>
          </w:p>
        </w:tc>
        <w:tc>
          <w:tcPr>
            <w:tcW w:w="1620" w:type="dxa"/>
            <w:noWrap w:val="0"/>
            <w:vAlign w:val="center"/>
          </w:tcPr>
          <w:p w14:paraId="6249E50D">
            <w:pPr>
              <w:wordWrap w:val="0"/>
              <w:spacing w:line="360" w:lineRule="auto"/>
              <w:rPr>
                <w:rFonts w:ascii="宋体" w:hAnsi="宋体"/>
                <w:color w:val="auto"/>
                <w:sz w:val="24"/>
                <w:highlight w:val="none"/>
              </w:rPr>
            </w:pPr>
          </w:p>
        </w:tc>
        <w:tc>
          <w:tcPr>
            <w:tcW w:w="1620" w:type="dxa"/>
            <w:noWrap w:val="0"/>
            <w:vAlign w:val="center"/>
          </w:tcPr>
          <w:p w14:paraId="6246D63B">
            <w:pPr>
              <w:wordWrap w:val="0"/>
              <w:spacing w:line="360" w:lineRule="auto"/>
              <w:rPr>
                <w:rFonts w:ascii="宋体" w:hAnsi="宋体"/>
                <w:color w:val="auto"/>
                <w:sz w:val="24"/>
                <w:highlight w:val="none"/>
              </w:rPr>
            </w:pPr>
          </w:p>
        </w:tc>
        <w:tc>
          <w:tcPr>
            <w:tcW w:w="1430" w:type="dxa"/>
            <w:noWrap w:val="0"/>
            <w:vAlign w:val="center"/>
          </w:tcPr>
          <w:p w14:paraId="2EA57ADA">
            <w:pPr>
              <w:wordWrap w:val="0"/>
              <w:spacing w:line="360" w:lineRule="auto"/>
              <w:rPr>
                <w:rFonts w:ascii="宋体" w:hAnsi="宋体"/>
                <w:color w:val="auto"/>
                <w:sz w:val="24"/>
                <w:highlight w:val="none"/>
              </w:rPr>
            </w:pPr>
          </w:p>
        </w:tc>
        <w:tc>
          <w:tcPr>
            <w:tcW w:w="1345" w:type="dxa"/>
            <w:noWrap w:val="0"/>
            <w:vAlign w:val="center"/>
          </w:tcPr>
          <w:p w14:paraId="6D5AB866">
            <w:pPr>
              <w:wordWrap w:val="0"/>
              <w:spacing w:line="360" w:lineRule="auto"/>
              <w:rPr>
                <w:rFonts w:ascii="宋体" w:hAnsi="宋体"/>
                <w:color w:val="auto"/>
                <w:sz w:val="24"/>
                <w:highlight w:val="none"/>
              </w:rPr>
            </w:pPr>
          </w:p>
        </w:tc>
        <w:tc>
          <w:tcPr>
            <w:tcW w:w="1260" w:type="dxa"/>
            <w:noWrap w:val="0"/>
            <w:vAlign w:val="center"/>
          </w:tcPr>
          <w:p w14:paraId="3D08CA23">
            <w:pPr>
              <w:wordWrap w:val="0"/>
              <w:spacing w:line="360" w:lineRule="auto"/>
              <w:rPr>
                <w:rFonts w:ascii="宋体" w:hAnsi="宋体"/>
                <w:color w:val="auto"/>
                <w:sz w:val="24"/>
                <w:highlight w:val="none"/>
              </w:rPr>
            </w:pPr>
          </w:p>
        </w:tc>
      </w:tr>
      <w:tr w14:paraId="7249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705D8FB4">
            <w:pPr>
              <w:wordWrap w:val="0"/>
              <w:spacing w:line="360" w:lineRule="auto"/>
              <w:jc w:val="center"/>
              <w:rPr>
                <w:rFonts w:ascii="宋体" w:hAnsi="宋体"/>
                <w:color w:val="auto"/>
                <w:sz w:val="24"/>
                <w:highlight w:val="none"/>
              </w:rPr>
            </w:pPr>
          </w:p>
        </w:tc>
        <w:tc>
          <w:tcPr>
            <w:tcW w:w="1365" w:type="dxa"/>
            <w:noWrap w:val="0"/>
            <w:vAlign w:val="center"/>
          </w:tcPr>
          <w:p w14:paraId="50EEC673">
            <w:pPr>
              <w:wordWrap w:val="0"/>
              <w:spacing w:line="360" w:lineRule="auto"/>
              <w:rPr>
                <w:rFonts w:ascii="宋体" w:hAnsi="宋体"/>
                <w:color w:val="auto"/>
                <w:sz w:val="24"/>
                <w:highlight w:val="none"/>
              </w:rPr>
            </w:pPr>
          </w:p>
        </w:tc>
        <w:tc>
          <w:tcPr>
            <w:tcW w:w="1620" w:type="dxa"/>
            <w:noWrap w:val="0"/>
            <w:vAlign w:val="center"/>
          </w:tcPr>
          <w:p w14:paraId="76A7EC00">
            <w:pPr>
              <w:wordWrap w:val="0"/>
              <w:spacing w:line="360" w:lineRule="auto"/>
              <w:rPr>
                <w:rFonts w:ascii="宋体" w:hAnsi="宋体"/>
                <w:color w:val="auto"/>
                <w:sz w:val="24"/>
                <w:highlight w:val="none"/>
              </w:rPr>
            </w:pPr>
          </w:p>
        </w:tc>
        <w:tc>
          <w:tcPr>
            <w:tcW w:w="1620" w:type="dxa"/>
            <w:noWrap w:val="0"/>
            <w:vAlign w:val="center"/>
          </w:tcPr>
          <w:p w14:paraId="20BF2C62">
            <w:pPr>
              <w:wordWrap w:val="0"/>
              <w:spacing w:line="360" w:lineRule="auto"/>
              <w:rPr>
                <w:rFonts w:ascii="宋体" w:hAnsi="宋体"/>
                <w:color w:val="auto"/>
                <w:sz w:val="24"/>
                <w:highlight w:val="none"/>
              </w:rPr>
            </w:pPr>
          </w:p>
        </w:tc>
        <w:tc>
          <w:tcPr>
            <w:tcW w:w="1430" w:type="dxa"/>
            <w:noWrap w:val="0"/>
            <w:vAlign w:val="center"/>
          </w:tcPr>
          <w:p w14:paraId="23FF9B92">
            <w:pPr>
              <w:wordWrap w:val="0"/>
              <w:spacing w:line="360" w:lineRule="auto"/>
              <w:rPr>
                <w:rFonts w:ascii="宋体" w:hAnsi="宋体"/>
                <w:color w:val="auto"/>
                <w:sz w:val="24"/>
                <w:highlight w:val="none"/>
              </w:rPr>
            </w:pPr>
          </w:p>
        </w:tc>
        <w:tc>
          <w:tcPr>
            <w:tcW w:w="1345" w:type="dxa"/>
            <w:noWrap w:val="0"/>
            <w:vAlign w:val="center"/>
          </w:tcPr>
          <w:p w14:paraId="70FB6390">
            <w:pPr>
              <w:wordWrap w:val="0"/>
              <w:spacing w:line="360" w:lineRule="auto"/>
              <w:rPr>
                <w:rFonts w:ascii="宋体" w:hAnsi="宋体"/>
                <w:color w:val="auto"/>
                <w:sz w:val="24"/>
                <w:highlight w:val="none"/>
              </w:rPr>
            </w:pPr>
          </w:p>
        </w:tc>
        <w:tc>
          <w:tcPr>
            <w:tcW w:w="1260" w:type="dxa"/>
            <w:noWrap w:val="0"/>
            <w:vAlign w:val="center"/>
          </w:tcPr>
          <w:p w14:paraId="4ECFE1AC">
            <w:pPr>
              <w:wordWrap w:val="0"/>
              <w:spacing w:line="360" w:lineRule="auto"/>
              <w:rPr>
                <w:rFonts w:ascii="宋体" w:hAnsi="宋体"/>
                <w:color w:val="auto"/>
                <w:sz w:val="24"/>
                <w:highlight w:val="none"/>
              </w:rPr>
            </w:pPr>
          </w:p>
        </w:tc>
      </w:tr>
    </w:tbl>
    <w:p w14:paraId="15DDA4AD">
      <w:pPr>
        <w:wordWrap w:val="0"/>
        <w:spacing w:line="360" w:lineRule="auto"/>
        <w:ind w:firstLine="482" w:firstLineChars="200"/>
        <w:rPr>
          <w:rFonts w:ascii="宋体" w:hAnsi="宋体"/>
          <w:color w:val="auto"/>
          <w:sz w:val="24"/>
          <w:highlight w:val="none"/>
        </w:rPr>
      </w:pPr>
      <w:r>
        <w:rPr>
          <w:rFonts w:hint="eastAsia" w:ascii="宋体" w:hAnsi="宋体"/>
          <w:b/>
          <w:bCs/>
          <w:color w:val="auto"/>
          <w:sz w:val="24"/>
          <w:highlight w:val="none"/>
        </w:rPr>
        <w:t>后附</w:t>
      </w:r>
      <w:r>
        <w:rPr>
          <w:rFonts w:ascii="宋体" w:hAnsi="宋体"/>
          <w:b/>
          <w:bCs/>
          <w:color w:val="auto"/>
          <w:sz w:val="24"/>
          <w:highlight w:val="none"/>
        </w:rPr>
        <w:t>：上述项目的</w:t>
      </w:r>
      <w:r>
        <w:rPr>
          <w:rFonts w:hint="eastAsia" w:ascii="宋体" w:hAnsi="宋体"/>
          <w:b/>
          <w:bCs/>
          <w:color w:val="auto"/>
          <w:sz w:val="24"/>
          <w:highlight w:val="none"/>
        </w:rPr>
        <w:t>中标通知书或合同</w:t>
      </w:r>
      <w:r>
        <w:rPr>
          <w:rFonts w:ascii="宋体" w:hAnsi="宋体"/>
          <w:b/>
          <w:bCs/>
          <w:color w:val="auto"/>
          <w:sz w:val="24"/>
          <w:highlight w:val="none"/>
        </w:rPr>
        <w:t>（包括</w:t>
      </w:r>
      <w:r>
        <w:rPr>
          <w:rFonts w:hint="eastAsia" w:ascii="宋体" w:hAnsi="宋体"/>
          <w:b/>
          <w:bCs/>
          <w:color w:val="auto"/>
          <w:sz w:val="24"/>
          <w:highlight w:val="none"/>
        </w:rPr>
        <w:t>：项目名称、</w:t>
      </w:r>
      <w:r>
        <w:rPr>
          <w:rFonts w:ascii="宋体" w:hAnsi="宋体"/>
          <w:b/>
          <w:bCs/>
          <w:color w:val="auto"/>
          <w:sz w:val="24"/>
          <w:highlight w:val="none"/>
        </w:rPr>
        <w:t>签约时间、</w:t>
      </w:r>
      <w:r>
        <w:rPr>
          <w:rFonts w:hint="eastAsia" w:ascii="宋体" w:hAnsi="宋体"/>
          <w:b/>
          <w:bCs/>
          <w:color w:val="auto"/>
          <w:sz w:val="24"/>
          <w:highlight w:val="none"/>
        </w:rPr>
        <w:t>中标</w:t>
      </w:r>
      <w:r>
        <w:rPr>
          <w:rFonts w:ascii="宋体" w:hAnsi="宋体"/>
          <w:b/>
          <w:bCs/>
          <w:color w:val="auto"/>
          <w:sz w:val="24"/>
          <w:highlight w:val="none"/>
        </w:rPr>
        <w:t>金额和双方</w:t>
      </w:r>
      <w:r>
        <w:rPr>
          <w:rFonts w:hint="eastAsia" w:ascii="宋体" w:hAnsi="宋体"/>
          <w:b/>
          <w:bCs/>
          <w:color w:val="auto"/>
          <w:sz w:val="24"/>
          <w:highlight w:val="none"/>
        </w:rPr>
        <w:t>签字并</w:t>
      </w:r>
      <w:r>
        <w:rPr>
          <w:rFonts w:ascii="宋体" w:hAnsi="宋体"/>
          <w:b/>
          <w:bCs/>
          <w:color w:val="auto"/>
          <w:sz w:val="24"/>
          <w:highlight w:val="none"/>
        </w:rPr>
        <w:t>盖章）复印件</w:t>
      </w:r>
      <w:r>
        <w:rPr>
          <w:rFonts w:ascii="宋体" w:hAnsi="宋体"/>
          <w:b/>
          <w:color w:val="auto"/>
          <w:sz w:val="24"/>
          <w:highlight w:val="none"/>
        </w:rPr>
        <w:t>，否则该项业绩视为无效。</w:t>
      </w:r>
    </w:p>
    <w:p w14:paraId="4B753EB3">
      <w:pPr>
        <w:tabs>
          <w:tab w:val="left" w:pos="1365"/>
        </w:tabs>
        <w:wordWrap w:val="0"/>
        <w:spacing w:line="360" w:lineRule="auto"/>
        <w:ind w:firstLine="480" w:firstLineChars="200"/>
        <w:rPr>
          <w:rFonts w:ascii="宋体" w:hAnsi="宋体"/>
          <w:color w:val="auto"/>
          <w:sz w:val="24"/>
          <w:highlight w:val="none"/>
        </w:rPr>
      </w:pPr>
      <w:bookmarkStart w:id="83" w:name="_Toc424468844"/>
      <w:r>
        <w:rPr>
          <w:rFonts w:hint="eastAsia" w:ascii="宋体" w:hAnsi="宋体"/>
          <w:color w:val="auto"/>
          <w:sz w:val="24"/>
          <w:highlight w:val="none"/>
          <w:lang w:eastAsia="zh-CN"/>
        </w:rPr>
        <w:t>供应商名称</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p>
    <w:p w14:paraId="4AD62C6B">
      <w:pPr>
        <w:tabs>
          <w:tab w:val="left" w:pos="1365"/>
        </w:tabs>
        <w:wordWrap w:val="0"/>
        <w:spacing w:line="360" w:lineRule="auto"/>
        <w:ind w:firstLine="480" w:firstLineChars="200"/>
        <w:rPr>
          <w:rFonts w:ascii="宋体" w:hAnsi="宋体"/>
          <w:color w:val="auto"/>
          <w:sz w:val="24"/>
          <w:highlight w:val="none"/>
        </w:rPr>
      </w:pPr>
      <w:r>
        <w:rPr>
          <w:rFonts w:hint="eastAsia" w:ascii="宋体" w:hAnsi="宋体"/>
          <w:bCs/>
          <w:color w:val="auto"/>
          <w:sz w:val="24"/>
          <w:highlight w:val="none"/>
        </w:rPr>
        <w:t>法定代表人或委托代理人</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（签字或签章）</w:t>
      </w:r>
    </w:p>
    <w:p w14:paraId="5281B368">
      <w:pPr>
        <w:wordWrap w:val="0"/>
        <w:spacing w:before="120" w:beforeLines="50" w:after="120" w:afterLines="50" w:line="360" w:lineRule="auto"/>
        <w:ind w:left="-710" w:leftChars="-338" w:firstLine="1200" w:firstLineChars="500"/>
        <w:jc w:val="left"/>
        <w:rPr>
          <w:rFonts w:hint="eastAsia" w:ascii="宋体" w:hAnsi="宋体"/>
          <w:b/>
          <w:color w:val="auto"/>
          <w:sz w:val="32"/>
          <w:szCs w:val="32"/>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09C93D7">
      <w:pPr>
        <w:wordWrap w:val="0"/>
        <w:spacing w:before="120" w:beforeLines="50" w:after="120" w:afterLines="50" w:line="360" w:lineRule="auto"/>
        <w:ind w:left="-710" w:leftChars="-338" w:firstLine="643" w:firstLineChars="200"/>
        <w:jc w:val="center"/>
        <w:rPr>
          <w:rFonts w:hint="eastAsia" w:ascii="宋体" w:hAnsi="宋体"/>
          <w:b/>
          <w:color w:val="auto"/>
          <w:sz w:val="32"/>
          <w:szCs w:val="32"/>
          <w:highlight w:val="none"/>
        </w:rPr>
      </w:pPr>
    </w:p>
    <w:p w14:paraId="7AE2213B">
      <w:pPr>
        <w:wordWrap w:val="0"/>
        <w:spacing w:before="120" w:beforeLines="50" w:after="120" w:afterLines="50" w:line="360" w:lineRule="auto"/>
        <w:ind w:left="-710" w:leftChars="-338" w:firstLine="643" w:firstLineChars="200"/>
        <w:jc w:val="center"/>
        <w:rPr>
          <w:rFonts w:hint="eastAsia" w:ascii="宋体" w:hAnsi="宋体"/>
          <w:b/>
          <w:color w:val="auto"/>
          <w:sz w:val="32"/>
          <w:szCs w:val="32"/>
          <w:highlight w:val="none"/>
        </w:rPr>
      </w:pPr>
    </w:p>
    <w:p w14:paraId="27C306CD">
      <w:pPr>
        <w:wordWrap w:val="0"/>
        <w:spacing w:before="120" w:beforeLines="50" w:after="120" w:afterLines="50" w:line="360" w:lineRule="auto"/>
        <w:ind w:left="-710" w:leftChars="-338" w:firstLine="643" w:firstLineChars="200"/>
        <w:jc w:val="center"/>
        <w:rPr>
          <w:rFonts w:hint="eastAsia" w:ascii="宋体" w:hAnsi="宋体"/>
          <w:b/>
          <w:color w:val="auto"/>
          <w:sz w:val="32"/>
          <w:szCs w:val="32"/>
          <w:highlight w:val="none"/>
        </w:rPr>
      </w:pPr>
    </w:p>
    <w:p w14:paraId="6EE0AFC9">
      <w:pPr>
        <w:wordWrap w:val="0"/>
        <w:spacing w:before="120" w:beforeLines="50" w:after="120" w:afterLines="50" w:line="360" w:lineRule="auto"/>
        <w:ind w:left="-710" w:leftChars="-338" w:firstLine="643" w:firstLineChars="200"/>
        <w:jc w:val="center"/>
        <w:rPr>
          <w:rFonts w:hint="eastAsia" w:ascii="宋体" w:hAnsi="宋体"/>
          <w:b/>
          <w:color w:val="auto"/>
          <w:sz w:val="32"/>
          <w:szCs w:val="32"/>
          <w:highlight w:val="none"/>
        </w:rPr>
      </w:pPr>
    </w:p>
    <w:p w14:paraId="6B701FF8">
      <w:pPr>
        <w:wordWrap w:val="0"/>
        <w:spacing w:before="120" w:beforeLines="50" w:after="120" w:afterLines="50" w:line="360" w:lineRule="auto"/>
        <w:ind w:left="-710" w:leftChars="-338" w:firstLine="643" w:firstLineChars="200"/>
        <w:jc w:val="center"/>
        <w:rPr>
          <w:rFonts w:hint="eastAsia" w:ascii="宋体" w:hAnsi="宋体"/>
          <w:b/>
          <w:color w:val="auto"/>
          <w:sz w:val="32"/>
          <w:szCs w:val="32"/>
          <w:highlight w:val="none"/>
        </w:rPr>
      </w:pPr>
    </w:p>
    <w:p w14:paraId="1225BF32">
      <w:pPr>
        <w:wordWrap w:val="0"/>
        <w:spacing w:before="120" w:beforeLines="50" w:after="120" w:afterLines="50" w:line="360" w:lineRule="auto"/>
        <w:ind w:left="-710" w:leftChars="-338" w:firstLine="643" w:firstLineChars="200"/>
        <w:jc w:val="center"/>
        <w:rPr>
          <w:rFonts w:hint="eastAsia" w:ascii="宋体" w:hAnsi="宋体"/>
          <w:b/>
          <w:color w:val="auto"/>
          <w:sz w:val="32"/>
          <w:szCs w:val="32"/>
          <w:highlight w:val="none"/>
        </w:rPr>
      </w:pPr>
    </w:p>
    <w:p w14:paraId="29E84555">
      <w:pPr>
        <w:pStyle w:val="3"/>
        <w:bidi w:val="0"/>
        <w:jc w:val="center"/>
        <w:rPr>
          <w:highlight w:val="none"/>
        </w:rPr>
      </w:pPr>
      <w:bookmarkStart w:id="84" w:name="_Toc18578"/>
      <w:r>
        <w:rPr>
          <w:rFonts w:hint="eastAsia"/>
          <w:highlight w:val="none"/>
          <w:lang w:eastAsia="zh-CN"/>
        </w:rPr>
        <w:t>十七</w:t>
      </w:r>
      <w:r>
        <w:rPr>
          <w:rFonts w:hint="eastAsia"/>
          <w:highlight w:val="none"/>
        </w:rPr>
        <w:t>、服务承诺</w:t>
      </w:r>
      <w:bookmarkEnd w:id="83"/>
      <w:bookmarkEnd w:id="84"/>
    </w:p>
    <w:p w14:paraId="378ABCF5">
      <w:pPr>
        <w:wordWrap w:val="0"/>
        <w:spacing w:line="360" w:lineRule="auto"/>
        <w:ind w:firstLine="643" w:firstLineChars="200"/>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格式自拟</w:t>
      </w:r>
    </w:p>
    <w:p w14:paraId="5AE8B0B1">
      <w:pPr>
        <w:wordWrap w:val="0"/>
        <w:spacing w:line="360" w:lineRule="auto"/>
        <w:ind w:firstLine="643" w:firstLineChars="200"/>
        <w:jc w:val="center"/>
        <w:rPr>
          <w:rFonts w:hint="eastAsia" w:ascii="宋体" w:hAnsi="宋体"/>
          <w:b/>
          <w:color w:val="auto"/>
          <w:sz w:val="32"/>
          <w:szCs w:val="32"/>
          <w:highlight w:val="none"/>
        </w:rPr>
      </w:pPr>
    </w:p>
    <w:p w14:paraId="28912A51">
      <w:pPr>
        <w:wordWrap w:val="0"/>
        <w:spacing w:line="360" w:lineRule="auto"/>
        <w:ind w:firstLine="643" w:firstLineChars="200"/>
        <w:jc w:val="center"/>
        <w:rPr>
          <w:rFonts w:hint="eastAsia" w:ascii="宋体" w:hAnsi="宋体"/>
          <w:b/>
          <w:color w:val="auto"/>
          <w:sz w:val="32"/>
          <w:szCs w:val="32"/>
          <w:highlight w:val="none"/>
        </w:rPr>
      </w:pPr>
    </w:p>
    <w:p w14:paraId="629B598C">
      <w:pPr>
        <w:tabs>
          <w:tab w:val="left" w:pos="1365"/>
        </w:tabs>
        <w:wordWrap w:val="0"/>
        <w:spacing w:line="360" w:lineRule="auto"/>
        <w:rPr>
          <w:rFonts w:hint="eastAsia" w:ascii="宋体" w:hAnsi="宋体"/>
          <w:b/>
          <w:color w:val="auto"/>
          <w:sz w:val="32"/>
          <w:szCs w:val="32"/>
          <w:highlight w:val="none"/>
        </w:rPr>
      </w:pPr>
      <w:bookmarkStart w:id="85" w:name="_Toc424468861"/>
    </w:p>
    <w:p w14:paraId="16646DE5">
      <w:pPr>
        <w:tabs>
          <w:tab w:val="left" w:pos="1365"/>
        </w:tabs>
        <w:wordWrap w:val="0"/>
        <w:spacing w:line="360" w:lineRule="auto"/>
        <w:ind w:firstLine="643" w:firstLineChars="200"/>
        <w:jc w:val="center"/>
        <w:rPr>
          <w:rFonts w:hint="eastAsia" w:ascii="宋体" w:hAnsi="宋体"/>
          <w:b/>
          <w:color w:val="auto"/>
          <w:sz w:val="32"/>
          <w:szCs w:val="32"/>
          <w:highlight w:val="none"/>
        </w:rPr>
      </w:pPr>
    </w:p>
    <w:p w14:paraId="71793775">
      <w:pPr>
        <w:tabs>
          <w:tab w:val="left" w:pos="1365"/>
        </w:tabs>
        <w:wordWrap w:val="0"/>
        <w:spacing w:line="360" w:lineRule="auto"/>
        <w:ind w:firstLine="643" w:firstLineChars="200"/>
        <w:jc w:val="center"/>
        <w:rPr>
          <w:rFonts w:hint="eastAsia" w:ascii="宋体" w:hAnsi="宋体"/>
          <w:b/>
          <w:color w:val="auto"/>
          <w:sz w:val="32"/>
          <w:szCs w:val="32"/>
          <w:highlight w:val="none"/>
        </w:rPr>
      </w:pPr>
    </w:p>
    <w:p w14:paraId="3D5D4997">
      <w:pPr>
        <w:tabs>
          <w:tab w:val="left" w:pos="1365"/>
        </w:tabs>
        <w:wordWrap w:val="0"/>
        <w:spacing w:line="360" w:lineRule="auto"/>
        <w:ind w:firstLine="643" w:firstLineChars="200"/>
        <w:jc w:val="center"/>
        <w:rPr>
          <w:rFonts w:hint="eastAsia" w:ascii="宋体" w:hAnsi="宋体"/>
          <w:b/>
          <w:color w:val="auto"/>
          <w:sz w:val="32"/>
          <w:szCs w:val="32"/>
          <w:highlight w:val="none"/>
        </w:rPr>
      </w:pPr>
    </w:p>
    <w:p w14:paraId="6AB12BB2">
      <w:pPr>
        <w:tabs>
          <w:tab w:val="left" w:pos="1365"/>
        </w:tabs>
        <w:wordWrap w:val="0"/>
        <w:spacing w:line="360" w:lineRule="auto"/>
        <w:ind w:firstLine="643" w:firstLineChars="200"/>
        <w:jc w:val="center"/>
        <w:rPr>
          <w:rFonts w:hint="eastAsia" w:ascii="宋体" w:hAnsi="宋体"/>
          <w:b/>
          <w:color w:val="auto"/>
          <w:sz w:val="32"/>
          <w:szCs w:val="32"/>
          <w:highlight w:val="none"/>
        </w:rPr>
      </w:pPr>
    </w:p>
    <w:p w14:paraId="352D0758">
      <w:pPr>
        <w:tabs>
          <w:tab w:val="left" w:pos="1365"/>
        </w:tabs>
        <w:wordWrap w:val="0"/>
        <w:spacing w:line="360" w:lineRule="auto"/>
        <w:ind w:firstLine="643" w:firstLineChars="200"/>
        <w:jc w:val="center"/>
        <w:rPr>
          <w:rFonts w:hint="eastAsia" w:ascii="宋体" w:hAnsi="宋体"/>
          <w:b/>
          <w:color w:val="auto"/>
          <w:sz w:val="32"/>
          <w:szCs w:val="32"/>
          <w:highlight w:val="none"/>
        </w:rPr>
      </w:pPr>
    </w:p>
    <w:p w14:paraId="0B2F999F">
      <w:pPr>
        <w:tabs>
          <w:tab w:val="left" w:pos="1365"/>
        </w:tabs>
        <w:wordWrap w:val="0"/>
        <w:spacing w:line="360" w:lineRule="auto"/>
        <w:ind w:firstLine="643" w:firstLineChars="200"/>
        <w:jc w:val="center"/>
        <w:rPr>
          <w:rFonts w:hint="eastAsia" w:ascii="宋体" w:hAnsi="宋体"/>
          <w:b/>
          <w:color w:val="auto"/>
          <w:sz w:val="32"/>
          <w:szCs w:val="32"/>
          <w:highlight w:val="none"/>
        </w:rPr>
      </w:pPr>
    </w:p>
    <w:p w14:paraId="193F2B31">
      <w:pPr>
        <w:tabs>
          <w:tab w:val="left" w:pos="1365"/>
        </w:tabs>
        <w:wordWrap w:val="0"/>
        <w:spacing w:line="360" w:lineRule="auto"/>
        <w:ind w:firstLine="643" w:firstLineChars="200"/>
        <w:jc w:val="center"/>
        <w:rPr>
          <w:rFonts w:hint="eastAsia" w:ascii="宋体" w:hAnsi="宋体"/>
          <w:b/>
          <w:color w:val="auto"/>
          <w:sz w:val="32"/>
          <w:szCs w:val="32"/>
          <w:highlight w:val="none"/>
        </w:rPr>
      </w:pPr>
    </w:p>
    <w:p w14:paraId="2A93D7EF">
      <w:pPr>
        <w:tabs>
          <w:tab w:val="left" w:pos="1365"/>
        </w:tabs>
        <w:wordWrap w:val="0"/>
        <w:spacing w:line="360" w:lineRule="auto"/>
        <w:ind w:firstLine="643" w:firstLineChars="200"/>
        <w:jc w:val="center"/>
        <w:rPr>
          <w:rFonts w:hint="eastAsia" w:ascii="宋体" w:hAnsi="宋体"/>
          <w:b/>
          <w:color w:val="auto"/>
          <w:sz w:val="32"/>
          <w:szCs w:val="32"/>
          <w:highlight w:val="none"/>
        </w:rPr>
      </w:pPr>
    </w:p>
    <w:p w14:paraId="67D2CD1E">
      <w:pPr>
        <w:tabs>
          <w:tab w:val="left" w:pos="1365"/>
        </w:tabs>
        <w:wordWrap w:val="0"/>
        <w:spacing w:line="360" w:lineRule="auto"/>
        <w:ind w:firstLine="643" w:firstLineChars="200"/>
        <w:jc w:val="center"/>
        <w:rPr>
          <w:rFonts w:hint="eastAsia" w:ascii="宋体" w:hAnsi="宋体"/>
          <w:b/>
          <w:color w:val="auto"/>
          <w:sz w:val="32"/>
          <w:szCs w:val="32"/>
          <w:highlight w:val="none"/>
        </w:rPr>
      </w:pPr>
    </w:p>
    <w:bookmarkEnd w:id="72"/>
    <w:bookmarkEnd w:id="73"/>
    <w:bookmarkEnd w:id="74"/>
    <w:bookmarkEnd w:id="85"/>
    <w:p w14:paraId="7E282412">
      <w:pPr>
        <w:rPr>
          <w:rFonts w:hint="eastAsia"/>
          <w:highlight w:val="none"/>
          <w:lang w:val="en-US" w:eastAsia="zh-CN"/>
        </w:rPr>
      </w:pPr>
      <w:r>
        <w:rPr>
          <w:rFonts w:hint="eastAsia"/>
          <w:highlight w:val="none"/>
          <w:lang w:val="en-US" w:eastAsia="zh-CN"/>
        </w:rPr>
        <w:br w:type="page"/>
      </w:r>
    </w:p>
    <w:p w14:paraId="5119AB5D">
      <w:pPr>
        <w:pStyle w:val="3"/>
        <w:bidi w:val="0"/>
        <w:jc w:val="center"/>
        <w:rPr>
          <w:highlight w:val="none"/>
          <w:lang w:eastAsia="en-US"/>
        </w:rPr>
      </w:pPr>
      <w:bookmarkStart w:id="86" w:name="_Toc31436"/>
      <w:r>
        <w:rPr>
          <w:rFonts w:hint="eastAsia"/>
          <w:highlight w:val="none"/>
          <w:lang w:val="en-US" w:eastAsia="zh-CN"/>
        </w:rPr>
        <w:t>十八、</w:t>
      </w:r>
      <w:r>
        <w:rPr>
          <w:rFonts w:hint="eastAsia"/>
          <w:highlight w:val="none"/>
          <w:lang w:eastAsia="en-US"/>
        </w:rPr>
        <w:t>实施方案</w:t>
      </w:r>
      <w:bookmarkEnd w:id="86"/>
    </w:p>
    <w:p w14:paraId="05EF1CB7">
      <w:pPr>
        <w:wordWrap w:val="0"/>
        <w:spacing w:before="275" w:line="357" w:lineRule="auto"/>
        <w:ind w:left="555" w:right="3855"/>
        <w:rPr>
          <w:rFonts w:ascii="宋体" w:hAnsi="宋体" w:cs="宋体"/>
          <w:szCs w:val="21"/>
          <w:highlight w:val="none"/>
        </w:rPr>
      </w:pPr>
    </w:p>
    <w:p w14:paraId="67C0B3D3">
      <w:pPr>
        <w:wordWrap w:val="0"/>
        <w:spacing w:line="360" w:lineRule="auto"/>
        <w:ind w:firstLine="643" w:firstLineChars="200"/>
        <w:jc w:val="center"/>
        <w:rPr>
          <w:rFonts w:hint="eastAsia" w:ascii="宋体" w:hAnsi="宋体" w:eastAsia="宋体" w:cs="Times New Roman"/>
          <w:b/>
          <w:color w:val="auto"/>
          <w:sz w:val="32"/>
          <w:szCs w:val="32"/>
          <w:highlight w:val="none"/>
          <w:lang w:eastAsia="zh-CN"/>
        </w:rPr>
        <w:sectPr>
          <w:pgSz w:w="12240" w:h="15840"/>
          <w:pgMar w:top="1400" w:right="1720" w:bottom="1120" w:left="1720" w:header="0" w:footer="921" w:gutter="0"/>
          <w:pgNumType w:fmt="decimal"/>
          <w:cols w:space="720" w:num="1"/>
        </w:sectPr>
      </w:pPr>
      <w:r>
        <w:rPr>
          <w:rFonts w:hint="eastAsia" w:ascii="宋体" w:hAnsi="宋体" w:eastAsia="宋体" w:cs="Times New Roman"/>
          <w:b/>
          <w:color w:val="auto"/>
          <w:sz w:val="32"/>
          <w:szCs w:val="32"/>
          <w:highlight w:val="none"/>
          <w:lang w:eastAsia="zh-CN"/>
        </w:rPr>
        <w:t>格式自拟</w:t>
      </w:r>
    </w:p>
    <w:p w14:paraId="03AEE92D">
      <w:pPr>
        <w:rPr>
          <w:rFonts w:hint="eastAsia" w:ascii="Cambria" w:hAnsi="Cambria" w:eastAsia="宋体" w:cs="Times New Roman"/>
          <w:b/>
          <w:bCs/>
          <w:kern w:val="2"/>
          <w:sz w:val="32"/>
          <w:szCs w:val="32"/>
          <w:highlight w:val="none"/>
          <w:lang w:val="en-US" w:eastAsia="zh-CN" w:bidi="ar-SA"/>
        </w:rPr>
      </w:pPr>
    </w:p>
    <w:p w14:paraId="609E6036">
      <w:pPr>
        <w:wordWrap w:val="0"/>
        <w:spacing w:line="360" w:lineRule="auto"/>
        <w:jc w:val="center"/>
        <w:rPr>
          <w:rFonts w:hint="eastAsia" w:ascii="Cambria" w:hAnsi="Cambria" w:eastAsia="宋体" w:cs="Times New Roman"/>
          <w:b/>
          <w:bCs/>
          <w:kern w:val="2"/>
          <w:sz w:val="32"/>
          <w:szCs w:val="32"/>
          <w:highlight w:val="none"/>
          <w:lang w:val="en-US" w:eastAsia="zh-CN" w:bidi="ar-SA"/>
        </w:rPr>
      </w:pPr>
      <w:r>
        <w:rPr>
          <w:rFonts w:hint="eastAsia" w:ascii="Cambria" w:hAnsi="Cambria" w:eastAsia="宋体" w:cs="Times New Roman"/>
          <w:b/>
          <w:bCs/>
          <w:kern w:val="2"/>
          <w:sz w:val="32"/>
          <w:szCs w:val="32"/>
          <w:highlight w:val="none"/>
          <w:lang w:val="en-US" w:eastAsia="zh-CN" w:bidi="ar-SA"/>
        </w:rPr>
        <w:t>十九、供应商可结合本项目自身情况自行提交其它相关证明材料</w:t>
      </w:r>
    </w:p>
    <w:p w14:paraId="5FC4ADE2">
      <w:pPr>
        <w:shd w:val="clear" w:color="auto" w:fill="FFFFFF"/>
        <w:spacing w:after="240" w:line="360" w:lineRule="atLeast"/>
        <w:ind w:firstLine="480"/>
        <w:jc w:val="center"/>
        <w:rPr>
          <w:rFonts w:hint="eastAsia" w:ascii="Cambria" w:hAnsi="Cambria" w:eastAsia="宋体" w:cs="Times New Roman"/>
          <w:b/>
          <w:bCs/>
          <w:kern w:val="2"/>
          <w:sz w:val="32"/>
          <w:szCs w:val="32"/>
          <w:highlight w:val="none"/>
          <w:lang w:val="en-US" w:eastAsia="zh-CN" w:bidi="ar-SA"/>
        </w:rPr>
      </w:pPr>
      <w:r>
        <w:rPr>
          <w:rFonts w:hint="eastAsia" w:ascii="Cambria" w:hAnsi="Cambria" w:eastAsia="宋体" w:cs="Times New Roman"/>
          <w:b/>
          <w:bCs/>
          <w:kern w:val="2"/>
          <w:sz w:val="32"/>
          <w:szCs w:val="32"/>
          <w:highlight w:val="none"/>
          <w:lang w:val="en-US" w:eastAsia="zh-CN" w:bidi="ar-SA"/>
        </w:rPr>
        <w:t>格式自拟</w:t>
      </w:r>
    </w:p>
    <w:p w14:paraId="7084B482">
      <w:pPr>
        <w:rPr>
          <w:rFonts w:hint="eastAsia" w:ascii="Cambria" w:hAnsi="Cambria" w:eastAsia="宋体" w:cs="Times New Roman"/>
          <w:b/>
          <w:bCs/>
          <w:kern w:val="2"/>
          <w:sz w:val="32"/>
          <w:szCs w:val="32"/>
          <w:highlight w:val="none"/>
          <w:lang w:val="en-US" w:eastAsia="zh-CN" w:bidi="ar-SA"/>
        </w:rPr>
      </w:pPr>
    </w:p>
    <w:p w14:paraId="64AAC638">
      <w:pPr>
        <w:pStyle w:val="37"/>
        <w:ind w:firstLine="640"/>
        <w:rPr>
          <w:rFonts w:ascii="宋体" w:hAnsi="宋体" w:eastAsia="宋体" w:cs="宋体"/>
          <w:sz w:val="32"/>
          <w:szCs w:val="32"/>
          <w:highlight w:val="none"/>
        </w:rPr>
      </w:pPr>
    </w:p>
    <w:p w14:paraId="681F5DF3">
      <w:pPr>
        <w:pStyle w:val="37"/>
        <w:ind w:firstLine="640"/>
        <w:rPr>
          <w:rFonts w:ascii="宋体" w:hAnsi="宋体" w:eastAsia="宋体" w:cs="宋体"/>
          <w:sz w:val="32"/>
          <w:szCs w:val="32"/>
          <w:highlight w:val="none"/>
        </w:rPr>
      </w:pPr>
    </w:p>
    <w:p w14:paraId="1FC4A03B">
      <w:pPr>
        <w:pStyle w:val="37"/>
        <w:ind w:firstLine="640"/>
        <w:rPr>
          <w:rFonts w:ascii="宋体" w:hAnsi="宋体" w:eastAsia="宋体" w:cs="宋体"/>
          <w:sz w:val="32"/>
          <w:szCs w:val="32"/>
          <w:highlight w:val="none"/>
        </w:rPr>
      </w:pPr>
    </w:p>
    <w:p w14:paraId="3147BA67">
      <w:pPr>
        <w:pStyle w:val="37"/>
        <w:ind w:firstLine="640"/>
        <w:rPr>
          <w:rFonts w:ascii="宋体" w:hAnsi="宋体" w:eastAsia="宋体" w:cs="宋体"/>
          <w:sz w:val="32"/>
          <w:szCs w:val="32"/>
          <w:highlight w:val="none"/>
        </w:rPr>
      </w:pPr>
    </w:p>
    <w:p w14:paraId="3440362D">
      <w:pPr>
        <w:pStyle w:val="37"/>
        <w:ind w:firstLine="640"/>
        <w:rPr>
          <w:rFonts w:ascii="宋体" w:hAnsi="宋体" w:eastAsia="宋体" w:cs="宋体"/>
          <w:sz w:val="32"/>
          <w:szCs w:val="32"/>
          <w:highlight w:val="none"/>
        </w:rPr>
      </w:pPr>
    </w:p>
    <w:p w14:paraId="7CB84332">
      <w:pPr>
        <w:pStyle w:val="37"/>
        <w:ind w:firstLine="640"/>
        <w:rPr>
          <w:rFonts w:ascii="宋体" w:hAnsi="宋体" w:eastAsia="宋体" w:cs="宋体"/>
          <w:sz w:val="32"/>
          <w:szCs w:val="32"/>
          <w:highlight w:val="none"/>
        </w:rPr>
      </w:pPr>
    </w:p>
    <w:p w14:paraId="2FFC4507">
      <w:pPr>
        <w:pStyle w:val="37"/>
        <w:ind w:firstLine="640"/>
        <w:rPr>
          <w:rFonts w:ascii="宋体" w:hAnsi="宋体" w:eastAsia="宋体" w:cs="宋体"/>
          <w:sz w:val="32"/>
          <w:szCs w:val="32"/>
          <w:highlight w:val="none"/>
        </w:rPr>
      </w:pPr>
    </w:p>
    <w:p w14:paraId="1592EA3D">
      <w:pPr>
        <w:pStyle w:val="37"/>
        <w:ind w:firstLine="640"/>
        <w:rPr>
          <w:rFonts w:ascii="宋体" w:hAnsi="宋体" w:eastAsia="宋体" w:cs="宋体"/>
          <w:sz w:val="32"/>
          <w:szCs w:val="32"/>
          <w:highlight w:val="none"/>
        </w:rPr>
      </w:pPr>
    </w:p>
    <w:p w14:paraId="77C2CDDA">
      <w:pPr>
        <w:pStyle w:val="37"/>
        <w:ind w:firstLine="640"/>
        <w:rPr>
          <w:rFonts w:ascii="宋体" w:hAnsi="宋体" w:eastAsia="宋体" w:cs="宋体"/>
          <w:sz w:val="32"/>
          <w:szCs w:val="32"/>
          <w:highlight w:val="none"/>
        </w:rPr>
      </w:pPr>
    </w:p>
    <w:p w14:paraId="67F54C2A">
      <w:pPr>
        <w:pStyle w:val="37"/>
        <w:ind w:firstLine="640"/>
        <w:rPr>
          <w:rFonts w:ascii="宋体" w:hAnsi="宋体" w:eastAsia="宋体" w:cs="宋体"/>
          <w:sz w:val="32"/>
          <w:szCs w:val="32"/>
          <w:highlight w:val="none"/>
        </w:rPr>
      </w:pPr>
    </w:p>
    <w:p w14:paraId="43D25E84">
      <w:pPr>
        <w:pStyle w:val="37"/>
        <w:ind w:firstLine="640"/>
        <w:rPr>
          <w:rFonts w:ascii="宋体" w:hAnsi="宋体" w:eastAsia="宋体" w:cs="宋体"/>
          <w:sz w:val="32"/>
          <w:szCs w:val="32"/>
          <w:highlight w:val="none"/>
        </w:rPr>
      </w:pPr>
    </w:p>
    <w:p w14:paraId="765A063A">
      <w:pPr>
        <w:pStyle w:val="37"/>
        <w:ind w:firstLine="640"/>
        <w:rPr>
          <w:rFonts w:ascii="宋体" w:hAnsi="宋体" w:eastAsia="宋体" w:cs="宋体"/>
          <w:sz w:val="32"/>
          <w:szCs w:val="32"/>
          <w:highlight w:val="none"/>
        </w:rPr>
      </w:pPr>
    </w:p>
    <w:p w14:paraId="2CB9D08D">
      <w:pPr>
        <w:pStyle w:val="37"/>
        <w:ind w:firstLine="640"/>
        <w:rPr>
          <w:rFonts w:ascii="宋体" w:hAnsi="宋体" w:eastAsia="宋体" w:cs="宋体"/>
          <w:sz w:val="32"/>
          <w:szCs w:val="32"/>
          <w:highlight w:val="none"/>
        </w:rPr>
      </w:pPr>
    </w:p>
    <w:p w14:paraId="6D3BCF51">
      <w:pPr>
        <w:pStyle w:val="37"/>
        <w:ind w:firstLine="640"/>
        <w:rPr>
          <w:rFonts w:ascii="宋体" w:hAnsi="宋体" w:eastAsia="宋体" w:cs="宋体"/>
          <w:sz w:val="32"/>
          <w:szCs w:val="32"/>
          <w:highlight w:val="none"/>
        </w:rPr>
      </w:pPr>
    </w:p>
    <w:p w14:paraId="147C6882">
      <w:pPr>
        <w:pStyle w:val="37"/>
        <w:ind w:firstLine="640"/>
        <w:rPr>
          <w:rFonts w:ascii="宋体" w:hAnsi="宋体" w:eastAsia="宋体" w:cs="宋体"/>
          <w:sz w:val="32"/>
          <w:szCs w:val="32"/>
          <w:highlight w:val="none"/>
        </w:rPr>
      </w:pPr>
    </w:p>
    <w:p w14:paraId="70C18923">
      <w:pPr>
        <w:pStyle w:val="37"/>
        <w:ind w:firstLine="640"/>
        <w:rPr>
          <w:rFonts w:ascii="宋体" w:hAnsi="宋体" w:eastAsia="宋体" w:cs="宋体"/>
          <w:sz w:val="32"/>
          <w:szCs w:val="32"/>
          <w:highlight w:val="none"/>
        </w:rPr>
      </w:pPr>
    </w:p>
    <w:p w14:paraId="1C34F85F">
      <w:pPr>
        <w:pStyle w:val="37"/>
        <w:ind w:firstLine="640"/>
        <w:rPr>
          <w:rFonts w:ascii="宋体" w:hAnsi="宋体" w:eastAsia="宋体" w:cs="宋体"/>
          <w:sz w:val="32"/>
          <w:szCs w:val="32"/>
          <w:highlight w:val="none"/>
        </w:rPr>
      </w:pPr>
    </w:p>
    <w:p w14:paraId="01E8915D">
      <w:pPr>
        <w:pStyle w:val="37"/>
        <w:ind w:firstLine="640"/>
        <w:rPr>
          <w:rFonts w:ascii="宋体" w:hAnsi="宋体" w:eastAsia="宋体" w:cs="宋体"/>
          <w:sz w:val="32"/>
          <w:szCs w:val="32"/>
          <w:highlight w:val="none"/>
        </w:rPr>
      </w:pPr>
    </w:p>
    <w:p w14:paraId="218AA9DB">
      <w:pPr>
        <w:pStyle w:val="37"/>
        <w:ind w:firstLine="640"/>
        <w:rPr>
          <w:rFonts w:ascii="宋体" w:hAnsi="宋体" w:eastAsia="宋体" w:cs="宋体"/>
          <w:sz w:val="32"/>
          <w:szCs w:val="32"/>
          <w:highlight w:val="none"/>
        </w:rPr>
      </w:pPr>
    </w:p>
    <w:p w14:paraId="368E98C1">
      <w:pPr>
        <w:pStyle w:val="37"/>
        <w:ind w:firstLine="640"/>
        <w:rPr>
          <w:rFonts w:ascii="宋体" w:hAnsi="宋体" w:eastAsia="宋体" w:cs="宋体"/>
          <w:sz w:val="32"/>
          <w:szCs w:val="32"/>
          <w:highlight w:val="none"/>
        </w:rPr>
      </w:pPr>
    </w:p>
    <w:p w14:paraId="54ACD1B3">
      <w:pPr>
        <w:pStyle w:val="37"/>
        <w:ind w:firstLine="640"/>
        <w:rPr>
          <w:rFonts w:ascii="宋体" w:hAnsi="宋体" w:eastAsia="宋体" w:cs="宋体"/>
          <w:sz w:val="32"/>
          <w:szCs w:val="32"/>
          <w:highlight w:val="none"/>
        </w:rPr>
      </w:pPr>
    </w:p>
    <w:p w14:paraId="52499CD9">
      <w:pPr>
        <w:pStyle w:val="37"/>
        <w:ind w:firstLine="640"/>
        <w:rPr>
          <w:rFonts w:ascii="宋体" w:hAnsi="宋体" w:eastAsia="宋体" w:cs="宋体"/>
          <w:sz w:val="32"/>
          <w:szCs w:val="32"/>
          <w:highlight w:val="none"/>
        </w:rPr>
      </w:pPr>
    </w:p>
    <w:p w14:paraId="16022C69">
      <w:pPr>
        <w:pStyle w:val="37"/>
        <w:ind w:firstLine="640"/>
        <w:rPr>
          <w:rFonts w:ascii="宋体" w:hAnsi="宋体" w:eastAsia="宋体" w:cs="宋体"/>
          <w:sz w:val="32"/>
          <w:szCs w:val="32"/>
          <w:highlight w:val="none"/>
        </w:rPr>
      </w:pPr>
    </w:p>
    <w:p w14:paraId="16C63E45">
      <w:pPr>
        <w:pStyle w:val="37"/>
        <w:ind w:firstLine="640"/>
        <w:rPr>
          <w:rFonts w:ascii="宋体" w:hAnsi="宋体" w:eastAsia="宋体" w:cs="宋体"/>
          <w:sz w:val="32"/>
          <w:szCs w:val="32"/>
          <w:highlight w:val="none"/>
        </w:rPr>
      </w:pPr>
    </w:p>
    <w:p w14:paraId="58A65834">
      <w:pPr>
        <w:pStyle w:val="37"/>
        <w:ind w:firstLine="640"/>
        <w:rPr>
          <w:rFonts w:ascii="宋体" w:hAnsi="宋体" w:eastAsia="宋体" w:cs="宋体"/>
          <w:sz w:val="32"/>
          <w:szCs w:val="32"/>
          <w:highlight w:val="none"/>
        </w:rPr>
      </w:pPr>
    </w:p>
    <w:p w14:paraId="48F15D3A">
      <w:pPr>
        <w:pStyle w:val="37"/>
        <w:ind w:firstLine="640"/>
        <w:rPr>
          <w:rFonts w:ascii="宋体" w:hAnsi="宋体" w:eastAsia="宋体" w:cs="宋体"/>
          <w:sz w:val="32"/>
          <w:szCs w:val="32"/>
          <w:highlight w:val="none"/>
        </w:rPr>
      </w:pPr>
    </w:p>
    <w:p w14:paraId="3E1CE5B3">
      <w:pPr>
        <w:pStyle w:val="37"/>
        <w:ind w:firstLine="640"/>
        <w:rPr>
          <w:rFonts w:ascii="宋体" w:hAnsi="宋体" w:eastAsia="宋体" w:cs="宋体"/>
          <w:sz w:val="32"/>
          <w:szCs w:val="32"/>
          <w:highlight w:val="none"/>
        </w:rPr>
      </w:pPr>
    </w:p>
    <w:p w14:paraId="2EA34F85">
      <w:pPr>
        <w:pStyle w:val="37"/>
        <w:ind w:firstLine="640"/>
        <w:rPr>
          <w:rFonts w:ascii="宋体" w:hAnsi="宋体" w:eastAsia="宋体" w:cs="宋体"/>
          <w:sz w:val="32"/>
          <w:szCs w:val="32"/>
          <w:highlight w:val="none"/>
        </w:rPr>
      </w:pPr>
    </w:p>
    <w:p w14:paraId="1AF58BAB">
      <w:pPr>
        <w:rPr>
          <w:rFonts w:ascii="宋体" w:hAnsi="宋体" w:eastAsia="宋体" w:cs="宋体"/>
          <w:sz w:val="32"/>
          <w:szCs w:val="32"/>
          <w:highlight w:val="none"/>
        </w:rPr>
      </w:pPr>
      <w:r>
        <w:rPr>
          <w:rFonts w:ascii="宋体" w:hAnsi="宋体" w:eastAsia="宋体" w:cs="宋体"/>
          <w:sz w:val="32"/>
          <w:szCs w:val="32"/>
          <w:highlight w:val="none"/>
        </w:rPr>
        <w:br w:type="page"/>
      </w:r>
    </w:p>
    <w:p w14:paraId="05596070">
      <w:pPr>
        <w:wordWrap w:val="0"/>
        <w:spacing w:line="315" w:lineRule="auto"/>
        <w:jc w:val="center"/>
        <w:rPr>
          <w:rFonts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二十、最后报价表</w:t>
      </w:r>
    </w:p>
    <w:p w14:paraId="3A7A1596">
      <w:pPr>
        <w:wordWrap w:val="0"/>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项目名称：                       </w:t>
      </w:r>
    </w:p>
    <w:p w14:paraId="53321B7D">
      <w:pPr>
        <w:wordWrap w:val="0"/>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rPr>
        <w:t xml:space="preserve">编号： </w:t>
      </w:r>
      <w:r>
        <w:rPr>
          <w:rFonts w:hint="eastAsia" w:asciiTheme="minorEastAsia" w:hAnsiTheme="minorEastAsia" w:eastAsiaTheme="minorEastAsia" w:cstheme="minorEastAsia"/>
          <w:bCs/>
          <w:color w:val="auto"/>
          <w:szCs w:val="21"/>
          <w:highlight w:val="none"/>
        </w:rPr>
        <w:t xml:space="preserve">                                        </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6485"/>
      </w:tblGrid>
      <w:tr w14:paraId="31FC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1755" w:type="pct"/>
            <w:vAlign w:val="center"/>
          </w:tcPr>
          <w:p w14:paraId="7E746736">
            <w:pPr>
              <w:wordWrap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szCs w:val="24"/>
                <w:highlight w:val="none"/>
              </w:rPr>
              <w:t>供应商名称</w:t>
            </w:r>
          </w:p>
        </w:tc>
        <w:tc>
          <w:tcPr>
            <w:tcW w:w="3244" w:type="pct"/>
            <w:tcBorders>
              <w:right w:val="single" w:color="auto" w:sz="4" w:space="0"/>
            </w:tcBorders>
            <w:vAlign w:val="center"/>
          </w:tcPr>
          <w:p w14:paraId="43578835">
            <w:pPr>
              <w:wordWrap w:val="0"/>
              <w:spacing w:line="360" w:lineRule="auto"/>
              <w:jc w:val="center"/>
              <w:rPr>
                <w:rFonts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 w:val="24"/>
                <w:szCs w:val="24"/>
                <w:highlight w:val="none"/>
              </w:rPr>
              <w:t>最后报价</w:t>
            </w:r>
            <w:r>
              <w:rPr>
                <w:rFonts w:hint="eastAsia" w:asciiTheme="minorEastAsia" w:hAnsiTheme="minorEastAsia" w:eastAsiaTheme="minorEastAsia" w:cstheme="minorEastAsia"/>
                <w:color w:val="auto"/>
                <w:sz w:val="24"/>
                <w:szCs w:val="24"/>
                <w:highlight w:val="none"/>
                <w:lang w:eastAsia="zh-CN"/>
              </w:rPr>
              <w:t>（元）</w:t>
            </w:r>
          </w:p>
        </w:tc>
      </w:tr>
      <w:tr w14:paraId="7496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1755" w:type="pct"/>
            <w:vAlign w:val="center"/>
          </w:tcPr>
          <w:p w14:paraId="5E585F86">
            <w:pPr>
              <w:wordWrap w:val="0"/>
              <w:spacing w:line="360" w:lineRule="auto"/>
              <w:rPr>
                <w:rFonts w:asciiTheme="minorEastAsia" w:hAnsiTheme="minorEastAsia" w:eastAsiaTheme="minorEastAsia" w:cstheme="minorEastAsia"/>
                <w:color w:val="auto"/>
                <w:szCs w:val="21"/>
                <w:highlight w:val="none"/>
              </w:rPr>
            </w:pPr>
          </w:p>
        </w:tc>
        <w:tc>
          <w:tcPr>
            <w:tcW w:w="3244" w:type="pct"/>
            <w:tcBorders>
              <w:right w:val="single" w:color="auto" w:sz="4" w:space="0"/>
            </w:tcBorders>
            <w:vAlign w:val="center"/>
          </w:tcPr>
          <w:p w14:paraId="1CAB8318">
            <w:pPr>
              <w:wordWrap w:val="0"/>
              <w:spacing w:line="360" w:lineRule="auto"/>
              <w:jc w:val="center"/>
              <w:rPr>
                <w:rFonts w:asciiTheme="minorEastAsia" w:hAnsiTheme="minorEastAsia" w:eastAsiaTheme="minorEastAsia" w:cstheme="minorEastAsia"/>
                <w:color w:val="auto"/>
                <w:szCs w:val="21"/>
                <w:highlight w:val="none"/>
              </w:rPr>
            </w:pPr>
          </w:p>
        </w:tc>
      </w:tr>
    </w:tbl>
    <w:p w14:paraId="3B9ADB08">
      <w:pPr>
        <w:wordWrap w:val="0"/>
        <w:spacing w:line="360" w:lineRule="auto"/>
        <w:rPr>
          <w:rFonts w:asciiTheme="minorEastAsia" w:hAnsiTheme="minorEastAsia" w:eastAsiaTheme="minorEastAsia" w:cstheme="minorEastAsia"/>
          <w:color w:val="auto"/>
          <w:szCs w:val="21"/>
          <w:highlight w:val="none"/>
          <w:lang w:eastAsia="zh-CN"/>
        </w:rPr>
      </w:pPr>
    </w:p>
    <w:p w14:paraId="7B250E9D">
      <w:pPr>
        <w:wordWrap w:val="0"/>
        <w:spacing w:line="360" w:lineRule="auto"/>
        <w:jc w:val="left"/>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注：1、此表不需填写，不需放入响应文件格式内。</w:t>
      </w:r>
    </w:p>
    <w:p w14:paraId="7C201187">
      <w:pPr>
        <w:wordWrap w:val="0"/>
        <w:spacing w:line="360" w:lineRule="auto"/>
        <w:jc w:val="left"/>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2、此表为通过初步审查合格的供应商按照谈判要求及系统格式填写。</w:t>
      </w:r>
    </w:p>
    <w:p w14:paraId="3AA7E3B5">
      <w:pPr>
        <w:wordWrap w:val="0"/>
        <w:spacing w:line="315" w:lineRule="auto"/>
        <w:ind w:firstLine="480" w:firstLineChars="200"/>
        <w:rPr>
          <w:rFonts w:asciiTheme="minorEastAsia" w:hAnsiTheme="minorEastAsia" w:eastAsiaTheme="minorEastAsia" w:cstheme="minorEastAsia"/>
          <w:color w:val="auto"/>
          <w:sz w:val="24"/>
          <w:szCs w:val="24"/>
          <w:highlight w:val="none"/>
          <w:lang w:eastAsia="zh-CN"/>
        </w:rPr>
      </w:pPr>
    </w:p>
    <w:p w14:paraId="3D546CA7">
      <w:pPr>
        <w:wordWrap w:val="0"/>
        <w:rPr>
          <w:rFonts w:asciiTheme="minorEastAsia" w:hAnsiTheme="minorEastAsia" w:eastAsiaTheme="minorEastAsia" w:cstheme="minorEastAsia"/>
          <w:color w:val="auto"/>
          <w:sz w:val="24"/>
          <w:szCs w:val="24"/>
          <w:highlight w:val="none"/>
          <w:lang w:eastAsia="zh-CN"/>
        </w:rPr>
      </w:pPr>
    </w:p>
    <w:p w14:paraId="433AB8D3">
      <w:pPr>
        <w:wordWrap w:val="0"/>
        <w:rPr>
          <w:rFonts w:asciiTheme="minorEastAsia" w:hAnsiTheme="minorEastAsia" w:eastAsiaTheme="minorEastAsia" w:cstheme="minorEastAsia"/>
          <w:color w:val="auto"/>
          <w:sz w:val="24"/>
          <w:szCs w:val="24"/>
          <w:highlight w:val="none"/>
          <w:lang w:eastAsia="zh-CN"/>
        </w:rPr>
      </w:pPr>
    </w:p>
    <w:p w14:paraId="693868CF">
      <w:pPr>
        <w:wordWrap w:val="0"/>
        <w:rPr>
          <w:rFonts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lang w:eastAsia="zh-CN"/>
        </w:rPr>
        <w:t>供应商授权代表签字：</w:t>
      </w:r>
      <w:r>
        <w:rPr>
          <w:rFonts w:hint="eastAsia" w:asciiTheme="minorEastAsia" w:hAnsiTheme="minorEastAsia" w:eastAsiaTheme="minorEastAsia" w:cstheme="minorEastAsia"/>
          <w:color w:val="auto"/>
          <w:sz w:val="24"/>
          <w:szCs w:val="24"/>
          <w:highlight w:val="none"/>
          <w:u w:val="single"/>
          <w:lang w:eastAsia="zh-CN"/>
        </w:rPr>
        <w:t xml:space="preserve">　　　　　　　　　             </w:t>
      </w:r>
    </w:p>
    <w:p w14:paraId="7503B8D0">
      <w:pPr>
        <w:wordWrap w:val="0"/>
        <w:rPr>
          <w:rFonts w:asciiTheme="minorEastAsia" w:hAnsiTheme="minorEastAsia" w:eastAsiaTheme="minorEastAsia" w:cstheme="minorEastAsia"/>
          <w:color w:val="auto"/>
          <w:sz w:val="24"/>
          <w:szCs w:val="24"/>
          <w:highlight w:val="none"/>
          <w:lang w:eastAsia="zh-CN"/>
        </w:rPr>
      </w:pPr>
    </w:p>
    <w:p w14:paraId="008C9DA0">
      <w:pPr>
        <w:wordWrap w:val="0"/>
        <w:rPr>
          <w:rFonts w:asciiTheme="minorEastAsia" w:hAnsiTheme="minorEastAsia" w:eastAsiaTheme="minorEastAsia" w:cstheme="minorEastAsia"/>
          <w:color w:val="auto"/>
          <w:sz w:val="24"/>
          <w:szCs w:val="24"/>
          <w:highlight w:val="none"/>
          <w:lang w:eastAsia="zh-CN"/>
        </w:rPr>
      </w:pPr>
    </w:p>
    <w:p w14:paraId="1DBB7FBC">
      <w:pPr>
        <w:wordWrap w:val="0"/>
        <w:rPr>
          <w:rFonts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lang w:eastAsia="zh-CN"/>
        </w:rPr>
        <w:t>日       期：</w:t>
      </w:r>
      <w:r>
        <w:rPr>
          <w:rFonts w:hint="eastAsia" w:asciiTheme="minorEastAsia" w:hAnsiTheme="minorEastAsia" w:eastAsiaTheme="minorEastAsia" w:cstheme="minorEastAsia"/>
          <w:color w:val="auto"/>
          <w:sz w:val="24"/>
          <w:szCs w:val="24"/>
          <w:highlight w:val="none"/>
          <w:u w:val="single"/>
          <w:lang w:eastAsia="zh-CN"/>
        </w:rPr>
        <w:t xml:space="preserve">　　　　　　　　　　　　　　  </w:t>
      </w:r>
    </w:p>
    <w:p w14:paraId="07A6DF9B">
      <w:pPr>
        <w:widowControl/>
        <w:rPr>
          <w:rFonts w:asciiTheme="minorEastAsia" w:hAnsiTheme="minorEastAsia" w:eastAsiaTheme="minorEastAsia" w:cstheme="minorEastAsia"/>
          <w:color w:val="auto"/>
          <w:sz w:val="24"/>
          <w:szCs w:val="24"/>
          <w:highlight w:val="none"/>
          <w:u w:val="single"/>
          <w:lang w:eastAsia="zh-CN"/>
        </w:rPr>
      </w:pPr>
    </w:p>
    <w:p w14:paraId="6D1F06C6">
      <w:pPr>
        <w:widowControl/>
        <w:rPr>
          <w:rFonts w:hint="eastAsia" w:ascii="宋体" w:hAnsi="宋体" w:cs="宋体"/>
          <w:b/>
          <w:bCs/>
          <w:color w:val="auto"/>
          <w:sz w:val="44"/>
          <w:szCs w:val="44"/>
          <w:highlight w:val="none"/>
        </w:rPr>
      </w:pPr>
      <w:r>
        <w:rPr>
          <w:rFonts w:asciiTheme="minorEastAsia" w:hAnsiTheme="minorEastAsia" w:eastAsiaTheme="minorEastAsia" w:cstheme="minorEastAsia"/>
          <w:color w:val="auto"/>
          <w:sz w:val="24"/>
          <w:szCs w:val="24"/>
          <w:highlight w:val="none"/>
          <w:lang w:eastAsia="zh-CN"/>
        </w:rPr>
        <w:br w:type="page"/>
      </w:r>
    </w:p>
    <w:p w14:paraId="318C7247">
      <w:pPr>
        <w:pStyle w:val="2"/>
        <w:numPr>
          <w:ilvl w:val="0"/>
          <w:numId w:val="10"/>
        </w:numPr>
        <w:bidi w:val="0"/>
        <w:spacing w:line="240" w:lineRule="auto"/>
        <w:jc w:val="center"/>
        <w:rPr>
          <w:rFonts w:hint="eastAsia"/>
          <w:highlight w:val="none"/>
        </w:rPr>
      </w:pPr>
      <w:bookmarkStart w:id="87" w:name="_Toc17192"/>
      <w:r>
        <w:rPr>
          <w:rFonts w:hint="eastAsia"/>
          <w:highlight w:val="none"/>
        </w:rPr>
        <w:t>附件</w:t>
      </w:r>
      <w:bookmarkEnd w:id="87"/>
    </w:p>
    <w:p w14:paraId="0BF7330F">
      <w:pPr>
        <w:pStyle w:val="2"/>
        <w:numPr>
          <w:ilvl w:val="0"/>
          <w:numId w:val="0"/>
        </w:numPr>
        <w:bidi w:val="0"/>
        <w:spacing w:line="240" w:lineRule="auto"/>
        <w:jc w:val="both"/>
        <w:rPr>
          <w:rFonts w:hint="eastAsia" w:ascii="宋体" w:hAnsi="宋体" w:cs="宋体"/>
          <w:b/>
          <w:bCs/>
          <w:color w:val="auto"/>
          <w:sz w:val="28"/>
          <w:szCs w:val="28"/>
          <w:highlight w:val="none"/>
        </w:rPr>
      </w:pPr>
      <w:bookmarkStart w:id="88" w:name="_Toc14160"/>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一</w:t>
      </w:r>
      <w:r>
        <w:rPr>
          <w:rFonts w:hint="eastAsia" w:ascii="宋体" w:hAnsi="宋体" w:cs="宋体"/>
          <w:b/>
          <w:bCs/>
          <w:color w:val="auto"/>
          <w:sz w:val="28"/>
          <w:szCs w:val="28"/>
          <w:highlight w:val="none"/>
        </w:rPr>
        <w:t>：</w:t>
      </w:r>
      <w:bookmarkEnd w:id="88"/>
    </w:p>
    <w:p w14:paraId="77468AB9">
      <w:pPr>
        <w:widowControl/>
        <w:autoSpaceDE w:val="0"/>
        <w:spacing w:line="240" w:lineRule="auto"/>
        <w:jc w:val="center"/>
        <w:rPr>
          <w:rFonts w:hint="eastAsia" w:ascii="宋体" w:hAnsi="宋体"/>
          <w:b/>
          <w:bCs/>
          <w:color w:val="000000"/>
          <w:sz w:val="36"/>
          <w:szCs w:val="36"/>
          <w:highlight w:val="none"/>
        </w:rPr>
      </w:pPr>
    </w:p>
    <w:p w14:paraId="0FC9E92C">
      <w:pPr>
        <w:widowControl/>
        <w:autoSpaceDE w:val="0"/>
        <w:spacing w:line="240" w:lineRule="auto"/>
        <w:jc w:val="center"/>
        <w:rPr>
          <w:rFonts w:hint="eastAsia" w:ascii="宋体" w:hAnsi="宋体"/>
          <w:b/>
          <w:bCs/>
          <w:color w:val="000000"/>
          <w:sz w:val="36"/>
          <w:szCs w:val="36"/>
          <w:highlight w:val="none"/>
        </w:rPr>
      </w:pPr>
      <w:r>
        <w:rPr>
          <w:rFonts w:hint="eastAsia" w:ascii="宋体" w:hAnsi="宋体"/>
          <w:b/>
          <w:bCs/>
          <w:color w:val="000000"/>
          <w:sz w:val="36"/>
          <w:szCs w:val="36"/>
          <w:highlight w:val="none"/>
        </w:rPr>
        <w:t>中小企业声明函（货物）</w:t>
      </w:r>
    </w:p>
    <w:p w14:paraId="3E9B866C">
      <w:pPr>
        <w:pStyle w:val="41"/>
        <w:rPr>
          <w:highlight w:val="none"/>
        </w:rPr>
      </w:pPr>
    </w:p>
    <w:p w14:paraId="69AFB40B">
      <w:pPr>
        <w:pStyle w:val="8"/>
        <w:snapToGrid w:val="0"/>
        <w:spacing w:line="360" w:lineRule="auto"/>
        <w:ind w:firstLine="480" w:firstLineChars="200"/>
        <w:rPr>
          <w:rFonts w:hAnsi="宋体"/>
          <w:sz w:val="24"/>
          <w:szCs w:val="24"/>
          <w:highlight w:val="none"/>
        </w:rPr>
      </w:pPr>
      <w:r>
        <w:rPr>
          <w:rFonts w:hint="eastAsia" w:hAnsi="宋体"/>
          <w:color w:val="000000"/>
          <w:sz w:val="24"/>
          <w:szCs w:val="24"/>
          <w:highlight w:val="none"/>
        </w:rPr>
        <w:t>本公司（联合体）郑重声明，根据《政府采购促进中小企业发展管理办法》（财库﹝2020﹞46 号）的规定，本公司（联合体）参加</w:t>
      </w:r>
      <w:r>
        <w:rPr>
          <w:rFonts w:hint="eastAsia" w:hAnsi="宋体"/>
          <w:i/>
          <w:iCs/>
          <w:color w:val="000000"/>
          <w:sz w:val="24"/>
          <w:szCs w:val="24"/>
          <w:highlight w:val="none"/>
          <w:u w:val="single"/>
        </w:rPr>
        <w:t>（单位名称）</w:t>
      </w:r>
      <w:r>
        <w:rPr>
          <w:rFonts w:hint="eastAsia" w:hAnsi="宋体"/>
          <w:color w:val="000000"/>
          <w:sz w:val="24"/>
          <w:szCs w:val="24"/>
          <w:highlight w:val="none"/>
        </w:rPr>
        <w:t>的</w:t>
      </w:r>
      <w:r>
        <w:rPr>
          <w:rFonts w:hint="eastAsia" w:hAnsi="宋体"/>
          <w:i/>
          <w:iCs/>
          <w:color w:val="000000"/>
          <w:sz w:val="24"/>
          <w:szCs w:val="24"/>
          <w:highlight w:val="none"/>
          <w:u w:val="single"/>
        </w:rPr>
        <w:t>（项目名称）</w:t>
      </w:r>
      <w:r>
        <w:rPr>
          <w:rFonts w:hint="eastAsia" w:hAnsi="宋体"/>
          <w:color w:val="000000"/>
          <w:sz w:val="24"/>
          <w:szCs w:val="24"/>
          <w:highlight w:val="none"/>
        </w:rPr>
        <w:t>采购活动，提供的货物全部由符合政策要求的中小企业制造。相关企业（含联合体中的中小企业、签订分包意向协议的中小企业）的具体情况如下：</w:t>
      </w:r>
    </w:p>
    <w:p w14:paraId="05FA8D14">
      <w:pPr>
        <w:pStyle w:val="8"/>
        <w:snapToGrid w:val="0"/>
        <w:spacing w:line="360" w:lineRule="auto"/>
        <w:ind w:firstLine="480" w:firstLineChars="200"/>
        <w:rPr>
          <w:rFonts w:hAnsi="宋体"/>
          <w:sz w:val="24"/>
          <w:szCs w:val="24"/>
          <w:highlight w:val="none"/>
        </w:rPr>
      </w:pPr>
      <w:r>
        <w:rPr>
          <w:rFonts w:hint="eastAsia" w:hAnsi="宋体"/>
          <w:color w:val="000000"/>
          <w:sz w:val="24"/>
          <w:szCs w:val="24"/>
          <w:highlight w:val="none"/>
        </w:rPr>
        <w:t xml:space="preserve">1. </w:t>
      </w:r>
      <w:r>
        <w:rPr>
          <w:rFonts w:hint="eastAsia" w:hAnsi="宋体"/>
          <w:i/>
          <w:iCs/>
          <w:color w:val="000000"/>
          <w:sz w:val="24"/>
          <w:szCs w:val="24"/>
          <w:highlight w:val="none"/>
          <w:u w:val="single"/>
        </w:rPr>
        <w:t xml:space="preserve">（标的名称） </w:t>
      </w:r>
      <w:r>
        <w:rPr>
          <w:rFonts w:hint="eastAsia" w:hAnsi="宋体"/>
          <w:color w:val="000000"/>
          <w:sz w:val="24"/>
          <w:szCs w:val="24"/>
          <w:highlight w:val="none"/>
        </w:rPr>
        <w:t>，属于</w:t>
      </w:r>
      <w:r>
        <w:rPr>
          <w:rFonts w:hint="eastAsia" w:hAnsi="宋体"/>
          <w:i/>
          <w:iCs/>
          <w:color w:val="000000"/>
          <w:sz w:val="24"/>
          <w:szCs w:val="24"/>
          <w:highlight w:val="none"/>
          <w:u w:val="single"/>
        </w:rPr>
        <w:t>（采购文件中明确的所属行业）</w:t>
      </w:r>
      <w:r>
        <w:rPr>
          <w:rFonts w:hint="eastAsia" w:hAnsi="宋体"/>
          <w:color w:val="000000"/>
          <w:sz w:val="24"/>
          <w:szCs w:val="24"/>
          <w:highlight w:val="none"/>
        </w:rPr>
        <w:t>行业；制造商为</w:t>
      </w:r>
      <w:r>
        <w:rPr>
          <w:rFonts w:hint="eastAsia" w:hAnsi="宋体"/>
          <w:i/>
          <w:iCs/>
          <w:color w:val="000000"/>
          <w:sz w:val="24"/>
          <w:szCs w:val="24"/>
          <w:highlight w:val="none"/>
          <w:u w:val="single"/>
        </w:rPr>
        <w:t>（企业名称）</w:t>
      </w:r>
      <w:r>
        <w:rPr>
          <w:rFonts w:hint="eastAsia" w:hAnsi="宋体"/>
          <w:color w:val="000000"/>
          <w:sz w:val="24"/>
          <w:szCs w:val="24"/>
          <w:highlight w:val="none"/>
        </w:rPr>
        <w:t>，从业人员</w:t>
      </w:r>
      <w:r>
        <w:rPr>
          <w:rFonts w:hint="eastAsia" w:hAnsi="宋体"/>
          <w:color w:val="000000"/>
          <w:sz w:val="24"/>
          <w:szCs w:val="24"/>
          <w:highlight w:val="none"/>
          <w:u w:val="single"/>
        </w:rPr>
        <w:t xml:space="preserve">     </w:t>
      </w:r>
      <w:r>
        <w:rPr>
          <w:rFonts w:hint="eastAsia" w:hAnsi="宋体"/>
          <w:color w:val="000000"/>
          <w:sz w:val="24"/>
          <w:szCs w:val="24"/>
          <w:highlight w:val="none"/>
        </w:rPr>
        <w:t>人，营业收入为</w:t>
      </w:r>
      <w:r>
        <w:rPr>
          <w:rFonts w:hint="eastAsia" w:hAnsi="宋体"/>
          <w:color w:val="000000"/>
          <w:sz w:val="24"/>
          <w:szCs w:val="24"/>
          <w:highlight w:val="none"/>
          <w:u w:val="single"/>
        </w:rPr>
        <w:t xml:space="preserve">     </w:t>
      </w:r>
      <w:r>
        <w:rPr>
          <w:rFonts w:hint="eastAsia" w:hAnsi="宋体"/>
          <w:color w:val="000000"/>
          <w:sz w:val="24"/>
          <w:szCs w:val="24"/>
          <w:highlight w:val="none"/>
        </w:rPr>
        <w:t>万元，资产总额为</w:t>
      </w:r>
      <w:r>
        <w:rPr>
          <w:rFonts w:hint="eastAsia" w:hAnsi="宋体"/>
          <w:color w:val="000000"/>
          <w:sz w:val="24"/>
          <w:szCs w:val="24"/>
          <w:highlight w:val="none"/>
          <w:u w:val="single"/>
        </w:rPr>
        <w:t xml:space="preserve">     </w:t>
      </w:r>
      <w:r>
        <w:rPr>
          <w:rFonts w:hint="eastAsia" w:hAnsi="宋体"/>
          <w:color w:val="000000"/>
          <w:sz w:val="24"/>
          <w:szCs w:val="24"/>
          <w:highlight w:val="none"/>
        </w:rPr>
        <w:t>万元</w:t>
      </w:r>
      <w:r>
        <w:rPr>
          <w:rFonts w:hint="eastAsia" w:hAnsi="宋体"/>
          <w:color w:val="000000"/>
          <w:sz w:val="24"/>
          <w:szCs w:val="24"/>
          <w:highlight w:val="none"/>
          <w:vertAlign w:val="superscript"/>
        </w:rPr>
        <w:t>1</w:t>
      </w:r>
      <w:r>
        <w:rPr>
          <w:rFonts w:hint="eastAsia" w:hAnsi="宋体"/>
          <w:color w:val="000000"/>
          <w:sz w:val="24"/>
          <w:szCs w:val="24"/>
          <w:highlight w:val="none"/>
        </w:rPr>
        <w:t>，属于</w:t>
      </w:r>
      <w:r>
        <w:rPr>
          <w:rFonts w:hint="eastAsia" w:hAnsi="宋体"/>
          <w:i/>
          <w:iCs/>
          <w:color w:val="000000"/>
          <w:sz w:val="24"/>
          <w:szCs w:val="24"/>
          <w:highlight w:val="none"/>
          <w:u w:val="single"/>
        </w:rPr>
        <w:t>（中型企业、小型企业、微型企业）</w:t>
      </w:r>
      <w:r>
        <w:rPr>
          <w:rFonts w:hint="eastAsia" w:hAnsi="宋体"/>
          <w:color w:val="000000"/>
          <w:sz w:val="24"/>
          <w:szCs w:val="24"/>
          <w:highlight w:val="none"/>
        </w:rPr>
        <w:t xml:space="preserve">； </w:t>
      </w:r>
    </w:p>
    <w:p w14:paraId="7838A365">
      <w:pPr>
        <w:pStyle w:val="8"/>
        <w:snapToGrid w:val="0"/>
        <w:spacing w:line="360" w:lineRule="auto"/>
        <w:ind w:firstLine="480" w:firstLineChars="200"/>
        <w:rPr>
          <w:rFonts w:hAnsi="宋体"/>
          <w:sz w:val="24"/>
          <w:szCs w:val="24"/>
          <w:highlight w:val="none"/>
        </w:rPr>
      </w:pPr>
      <w:r>
        <w:rPr>
          <w:rFonts w:hint="eastAsia" w:hAnsi="宋体"/>
          <w:color w:val="000000"/>
          <w:sz w:val="24"/>
          <w:szCs w:val="24"/>
          <w:highlight w:val="none"/>
        </w:rPr>
        <w:t xml:space="preserve">2. </w:t>
      </w:r>
      <w:r>
        <w:rPr>
          <w:rFonts w:hint="eastAsia" w:hAnsi="宋体"/>
          <w:i/>
          <w:iCs/>
          <w:color w:val="000000"/>
          <w:sz w:val="24"/>
          <w:szCs w:val="24"/>
          <w:highlight w:val="none"/>
          <w:u w:val="single"/>
        </w:rPr>
        <w:t>（标的名称）</w:t>
      </w:r>
      <w:r>
        <w:rPr>
          <w:rFonts w:hint="eastAsia" w:hAnsi="宋体"/>
          <w:color w:val="000000"/>
          <w:sz w:val="24"/>
          <w:szCs w:val="24"/>
          <w:highlight w:val="none"/>
        </w:rPr>
        <w:t>，属于</w:t>
      </w:r>
      <w:r>
        <w:rPr>
          <w:rFonts w:hint="eastAsia" w:hAnsi="宋体"/>
          <w:i/>
          <w:iCs/>
          <w:color w:val="000000"/>
          <w:sz w:val="24"/>
          <w:szCs w:val="24"/>
          <w:highlight w:val="none"/>
          <w:u w:val="single"/>
        </w:rPr>
        <w:t>（采购文件中明确的所属行业）</w:t>
      </w:r>
      <w:r>
        <w:rPr>
          <w:rFonts w:hint="eastAsia" w:hAnsi="宋体"/>
          <w:color w:val="000000"/>
          <w:sz w:val="24"/>
          <w:szCs w:val="24"/>
          <w:highlight w:val="none"/>
        </w:rPr>
        <w:t>行业；制造商为</w:t>
      </w:r>
      <w:r>
        <w:rPr>
          <w:rFonts w:hint="eastAsia" w:hAnsi="宋体"/>
          <w:i/>
          <w:iCs/>
          <w:color w:val="000000"/>
          <w:sz w:val="24"/>
          <w:szCs w:val="24"/>
          <w:highlight w:val="none"/>
          <w:u w:val="single"/>
        </w:rPr>
        <w:t>（企业名称）</w:t>
      </w:r>
      <w:r>
        <w:rPr>
          <w:rFonts w:hint="eastAsia" w:hAnsi="宋体"/>
          <w:color w:val="000000"/>
          <w:sz w:val="24"/>
          <w:szCs w:val="24"/>
          <w:highlight w:val="none"/>
        </w:rPr>
        <w:t>，从业人员</w:t>
      </w:r>
      <w:r>
        <w:rPr>
          <w:rFonts w:hint="eastAsia" w:hAnsi="宋体"/>
          <w:color w:val="000000"/>
          <w:sz w:val="24"/>
          <w:szCs w:val="24"/>
          <w:highlight w:val="none"/>
          <w:u w:val="single"/>
        </w:rPr>
        <w:t xml:space="preserve">     </w:t>
      </w:r>
      <w:r>
        <w:rPr>
          <w:rFonts w:hint="eastAsia" w:hAnsi="宋体"/>
          <w:color w:val="000000"/>
          <w:sz w:val="24"/>
          <w:szCs w:val="24"/>
          <w:highlight w:val="none"/>
        </w:rPr>
        <w:t>人，营业收入为</w:t>
      </w:r>
      <w:r>
        <w:rPr>
          <w:rFonts w:hint="eastAsia" w:hAnsi="宋体"/>
          <w:color w:val="000000"/>
          <w:sz w:val="24"/>
          <w:szCs w:val="24"/>
          <w:highlight w:val="none"/>
          <w:u w:val="single"/>
        </w:rPr>
        <w:t xml:space="preserve">       </w:t>
      </w:r>
      <w:r>
        <w:rPr>
          <w:rFonts w:hint="eastAsia" w:hAnsi="宋体"/>
          <w:color w:val="000000"/>
          <w:sz w:val="24"/>
          <w:szCs w:val="24"/>
          <w:highlight w:val="none"/>
        </w:rPr>
        <w:t>万元，资产总额为</w:t>
      </w:r>
      <w:r>
        <w:rPr>
          <w:rFonts w:hint="eastAsia" w:hAnsi="宋体"/>
          <w:color w:val="000000"/>
          <w:sz w:val="24"/>
          <w:szCs w:val="24"/>
          <w:highlight w:val="none"/>
          <w:u w:val="single"/>
        </w:rPr>
        <w:t xml:space="preserve">       </w:t>
      </w:r>
      <w:r>
        <w:rPr>
          <w:rFonts w:hint="eastAsia" w:hAnsi="宋体"/>
          <w:color w:val="000000"/>
          <w:sz w:val="24"/>
          <w:szCs w:val="24"/>
          <w:highlight w:val="none"/>
        </w:rPr>
        <w:t>万元</w:t>
      </w:r>
      <w:r>
        <w:rPr>
          <w:rFonts w:hint="eastAsia" w:hAnsi="宋体"/>
          <w:color w:val="000000"/>
          <w:sz w:val="24"/>
          <w:szCs w:val="24"/>
          <w:highlight w:val="none"/>
          <w:vertAlign w:val="superscript"/>
        </w:rPr>
        <w:t>1</w:t>
      </w:r>
      <w:r>
        <w:rPr>
          <w:rFonts w:hint="eastAsia" w:hAnsi="宋体"/>
          <w:color w:val="000000"/>
          <w:sz w:val="24"/>
          <w:szCs w:val="24"/>
          <w:highlight w:val="none"/>
        </w:rPr>
        <w:t>，属于</w:t>
      </w:r>
      <w:r>
        <w:rPr>
          <w:rFonts w:hint="eastAsia" w:hAnsi="宋体"/>
          <w:i/>
          <w:iCs/>
          <w:color w:val="000000"/>
          <w:sz w:val="24"/>
          <w:szCs w:val="24"/>
          <w:highlight w:val="none"/>
          <w:u w:val="single"/>
        </w:rPr>
        <w:t>（中型企业、小型企业、微型企业）</w:t>
      </w:r>
      <w:r>
        <w:rPr>
          <w:rFonts w:hint="eastAsia" w:hAnsi="宋体"/>
          <w:color w:val="000000"/>
          <w:sz w:val="24"/>
          <w:szCs w:val="24"/>
          <w:highlight w:val="none"/>
        </w:rPr>
        <w:t xml:space="preserve">； </w:t>
      </w:r>
    </w:p>
    <w:p w14:paraId="5E52DD8E">
      <w:pPr>
        <w:pStyle w:val="8"/>
        <w:snapToGrid w:val="0"/>
        <w:spacing w:line="360" w:lineRule="auto"/>
        <w:ind w:firstLine="480" w:firstLineChars="200"/>
        <w:rPr>
          <w:rFonts w:hAnsi="宋体"/>
          <w:sz w:val="24"/>
          <w:szCs w:val="24"/>
          <w:highlight w:val="none"/>
        </w:rPr>
      </w:pPr>
      <w:r>
        <w:rPr>
          <w:rFonts w:hint="eastAsia" w:hAnsi="宋体"/>
          <w:color w:val="000000"/>
          <w:sz w:val="24"/>
          <w:szCs w:val="24"/>
          <w:highlight w:val="none"/>
        </w:rPr>
        <w:t>……</w:t>
      </w:r>
    </w:p>
    <w:p w14:paraId="5543D5DF">
      <w:pPr>
        <w:widowControl/>
        <w:autoSpaceDE w:val="0"/>
        <w:spacing w:after="0" w:line="360" w:lineRule="auto"/>
        <w:ind w:firstLine="480" w:firstLineChars="200"/>
        <w:jc w:val="left"/>
        <w:rPr>
          <w:rFonts w:ascii="宋体" w:hAnsi="宋体"/>
          <w:highlight w:val="none"/>
        </w:rPr>
      </w:pPr>
      <w:r>
        <w:rPr>
          <w:rFonts w:hint="eastAsia" w:ascii="宋体" w:hAnsi="宋体"/>
          <w:color w:val="000000"/>
          <w:kern w:val="0"/>
          <w:sz w:val="24"/>
          <w:highlight w:val="none"/>
        </w:rPr>
        <w:t>以上企业，不属于大企业的分支机构，不存在控股股东为大企业的情形，也不存在与大企业的负责人为同一人的情形。</w:t>
      </w:r>
    </w:p>
    <w:p w14:paraId="09502C5A">
      <w:pPr>
        <w:widowControl/>
        <w:autoSpaceDE w:val="0"/>
        <w:spacing w:after="0" w:line="360" w:lineRule="auto"/>
        <w:ind w:firstLine="480" w:firstLineChars="200"/>
        <w:jc w:val="left"/>
        <w:rPr>
          <w:rFonts w:ascii="宋体" w:hAnsi="宋体"/>
          <w:highlight w:val="none"/>
        </w:rPr>
      </w:pPr>
      <w:r>
        <w:rPr>
          <w:rFonts w:hint="eastAsia" w:ascii="宋体" w:hAnsi="宋体"/>
          <w:color w:val="000000"/>
          <w:kern w:val="0"/>
          <w:sz w:val="24"/>
          <w:highlight w:val="none"/>
        </w:rPr>
        <w:t xml:space="preserve">本企业对上述声明内容的真实性负责。如有虚假，将依法承担相应责任。 </w:t>
      </w:r>
    </w:p>
    <w:p w14:paraId="51BBE36B">
      <w:pPr>
        <w:widowControl/>
        <w:autoSpaceDE w:val="0"/>
        <w:spacing w:after="0" w:line="360" w:lineRule="auto"/>
        <w:ind w:firstLine="1920" w:firstLineChars="800"/>
        <w:jc w:val="left"/>
        <w:rPr>
          <w:rFonts w:ascii="宋体" w:hAnsi="宋体"/>
          <w:kern w:val="0"/>
          <w:highlight w:val="none"/>
        </w:rPr>
      </w:pPr>
      <w:r>
        <w:rPr>
          <w:rFonts w:hint="eastAsia" w:ascii="宋体" w:hAnsi="宋体"/>
          <w:color w:val="000000"/>
          <w:kern w:val="0"/>
          <w:sz w:val="24"/>
          <w:highlight w:val="none"/>
        </w:rPr>
        <w:t xml:space="preserve"> </w:t>
      </w:r>
    </w:p>
    <w:p w14:paraId="712DEE3F">
      <w:pPr>
        <w:widowControl/>
        <w:autoSpaceDE w:val="0"/>
        <w:spacing w:after="0" w:line="360" w:lineRule="auto"/>
        <w:ind w:firstLine="4560" w:firstLineChars="1900"/>
        <w:jc w:val="left"/>
        <w:rPr>
          <w:rFonts w:hint="eastAsia" w:ascii="宋体" w:hAnsi="宋体"/>
          <w:color w:val="000000"/>
          <w:kern w:val="0"/>
          <w:sz w:val="24"/>
          <w:highlight w:val="none"/>
        </w:rPr>
      </w:pPr>
    </w:p>
    <w:p w14:paraId="7EAD8A68">
      <w:pPr>
        <w:widowControl/>
        <w:autoSpaceDE w:val="0"/>
        <w:spacing w:after="0" w:line="360" w:lineRule="auto"/>
        <w:ind w:firstLine="4560" w:firstLineChars="1900"/>
        <w:jc w:val="left"/>
        <w:rPr>
          <w:rFonts w:ascii="宋体" w:hAnsi="宋体"/>
          <w:highlight w:val="none"/>
        </w:rPr>
      </w:pPr>
      <w:r>
        <w:rPr>
          <w:rFonts w:hint="eastAsia" w:ascii="宋体" w:hAnsi="宋体"/>
          <w:color w:val="000000"/>
          <w:kern w:val="0"/>
          <w:sz w:val="24"/>
          <w:highlight w:val="none"/>
        </w:rPr>
        <w:t xml:space="preserve">企业名称（电子签章）： </w:t>
      </w:r>
    </w:p>
    <w:p w14:paraId="30F0E0A8">
      <w:pPr>
        <w:widowControl/>
        <w:autoSpaceDE w:val="0"/>
        <w:spacing w:after="0" w:line="360" w:lineRule="auto"/>
        <w:ind w:firstLine="4560" w:firstLineChars="1900"/>
        <w:jc w:val="left"/>
        <w:rPr>
          <w:rFonts w:ascii="宋体" w:hAnsi="宋体"/>
          <w:kern w:val="0"/>
          <w:highlight w:val="none"/>
        </w:rPr>
      </w:pPr>
      <w:r>
        <w:rPr>
          <w:rFonts w:hint="eastAsia" w:ascii="宋体" w:hAnsi="宋体"/>
          <w:color w:val="000000"/>
          <w:kern w:val="0"/>
          <w:sz w:val="24"/>
          <w:highlight w:val="none"/>
        </w:rPr>
        <w:t>日 期：</w:t>
      </w:r>
    </w:p>
    <w:p w14:paraId="5A3536D5">
      <w:pPr>
        <w:widowControl/>
        <w:autoSpaceDE w:val="0"/>
        <w:ind w:firstLine="3120" w:firstLineChars="1300"/>
        <w:rPr>
          <w:rFonts w:ascii="宋体" w:hAnsi="宋体"/>
          <w:highlight w:val="none"/>
        </w:rPr>
      </w:pPr>
      <w:r>
        <w:rPr>
          <w:rFonts w:hint="eastAsia" w:ascii="宋体" w:hAnsi="宋体"/>
          <w:color w:val="000000"/>
          <w:kern w:val="0"/>
          <w:sz w:val="24"/>
          <w:highlight w:val="none"/>
        </w:rPr>
        <w:t xml:space="preserve"> </w:t>
      </w:r>
    </w:p>
    <w:p w14:paraId="75DE30AB">
      <w:pPr>
        <w:widowControl/>
        <w:autoSpaceDE w:val="0"/>
        <w:rPr>
          <w:szCs w:val="21"/>
          <w:highlight w:val="none"/>
        </w:rPr>
      </w:pPr>
      <w:r>
        <w:rPr>
          <w:rFonts w:hint="eastAsia" w:ascii="仿宋" w:hAnsi="仿宋" w:eastAsia="仿宋"/>
          <w:color w:val="000000"/>
          <w:kern w:val="0"/>
          <w:sz w:val="31"/>
          <w:szCs w:val="31"/>
          <w:highlight w:val="none"/>
          <w:u w:val="single"/>
        </w:rPr>
        <w:t xml:space="preserve">                    </w:t>
      </w:r>
      <w:r>
        <w:rPr>
          <w:rFonts w:hint="eastAsia" w:ascii="仿宋" w:hAnsi="仿宋" w:eastAsia="仿宋"/>
          <w:color w:val="000000"/>
          <w:kern w:val="0"/>
          <w:sz w:val="31"/>
          <w:szCs w:val="31"/>
          <w:highlight w:val="none"/>
        </w:rPr>
        <w:t xml:space="preserve"> </w:t>
      </w:r>
    </w:p>
    <w:p w14:paraId="0327206A">
      <w:pPr>
        <w:widowControl/>
        <w:autoSpaceDE w:val="0"/>
        <w:jc w:val="left"/>
        <w:rPr>
          <w:highlight w:val="none"/>
        </w:rPr>
      </w:pPr>
      <w:r>
        <w:rPr>
          <w:color w:val="000000"/>
          <w:kern w:val="0"/>
          <w:sz w:val="11"/>
          <w:szCs w:val="11"/>
          <w:highlight w:val="none"/>
        </w:rPr>
        <w:t xml:space="preserve">1 </w:t>
      </w:r>
      <w:r>
        <w:rPr>
          <w:rFonts w:hint="eastAsia" w:ascii="宋体" w:hAnsi="宋体"/>
          <w:color w:val="000000"/>
          <w:kern w:val="0"/>
          <w:sz w:val="18"/>
          <w:szCs w:val="18"/>
          <w:highlight w:val="none"/>
        </w:rPr>
        <w:t>从业人员、营业收入、资产总额填报上一年度数据，无上一年度数据的新成立企业可不填报。</w:t>
      </w:r>
    </w:p>
    <w:p w14:paraId="4BBDF393">
      <w:pPr>
        <w:widowControl/>
        <w:autoSpaceDE w:val="0"/>
        <w:ind w:firstLine="540" w:firstLineChars="300"/>
        <w:jc w:val="left"/>
        <w:rPr>
          <w:rFonts w:ascii="宋体" w:hAnsi="宋体"/>
          <w:kern w:val="0"/>
          <w:sz w:val="18"/>
          <w:szCs w:val="18"/>
          <w:highlight w:val="none"/>
        </w:rPr>
      </w:pPr>
      <w:r>
        <w:rPr>
          <w:rFonts w:hint="eastAsia" w:ascii="宋体" w:hAnsi="宋体"/>
          <w:color w:val="000000"/>
          <w:kern w:val="0"/>
          <w:sz w:val="18"/>
          <w:szCs w:val="18"/>
          <w:highlight w:val="none"/>
        </w:rPr>
        <w:t xml:space="preserve"> </w:t>
      </w:r>
    </w:p>
    <w:p w14:paraId="679952D9">
      <w:pPr>
        <w:widowControl/>
        <w:autoSpaceDE w:val="0"/>
        <w:ind w:firstLine="540" w:firstLineChars="300"/>
        <w:jc w:val="left"/>
        <w:rPr>
          <w:rFonts w:ascii="宋体" w:hAnsi="宋体"/>
          <w:kern w:val="0"/>
          <w:sz w:val="18"/>
          <w:szCs w:val="18"/>
          <w:highlight w:val="none"/>
        </w:rPr>
      </w:pPr>
      <w:r>
        <w:rPr>
          <w:rFonts w:hint="eastAsia" w:ascii="宋体" w:hAnsi="宋体"/>
          <w:color w:val="000000"/>
          <w:kern w:val="0"/>
          <w:sz w:val="18"/>
          <w:szCs w:val="18"/>
          <w:highlight w:val="none"/>
        </w:rPr>
        <w:t xml:space="preserve"> </w:t>
      </w:r>
    </w:p>
    <w:p w14:paraId="4E735F00">
      <w:pPr>
        <w:rPr>
          <w:rFonts w:hint="eastAsia" w:ascii="宋体" w:hAnsi="宋体" w:cs="宋体"/>
          <w:b/>
          <w:color w:val="auto"/>
          <w:kern w:val="2"/>
          <w:sz w:val="28"/>
          <w:szCs w:val="28"/>
          <w:highlight w:val="none"/>
          <w:lang w:val="zh-CN"/>
        </w:rPr>
      </w:pPr>
      <w:r>
        <w:rPr>
          <w:rFonts w:hint="eastAsia" w:ascii="宋体" w:hAnsi="宋体" w:cs="宋体"/>
          <w:b/>
          <w:color w:val="auto"/>
          <w:kern w:val="2"/>
          <w:sz w:val="28"/>
          <w:szCs w:val="28"/>
          <w:highlight w:val="none"/>
          <w:lang w:val="zh-CN"/>
        </w:rPr>
        <w:br w:type="page"/>
      </w:r>
    </w:p>
    <w:p w14:paraId="010D6ADF">
      <w:pPr>
        <w:pStyle w:val="42"/>
        <w:rPr>
          <w:rFonts w:hint="eastAsia" w:ascii="宋体" w:hAnsi="宋体" w:cs="宋体"/>
          <w:b/>
          <w:color w:val="auto"/>
          <w:kern w:val="2"/>
          <w:sz w:val="28"/>
          <w:szCs w:val="28"/>
          <w:highlight w:val="none"/>
          <w:lang w:val="zh-CN"/>
        </w:rPr>
      </w:pPr>
      <w:r>
        <w:rPr>
          <w:rFonts w:hint="eastAsia" w:ascii="宋体" w:hAnsi="宋体" w:cs="宋体"/>
          <w:b/>
          <w:color w:val="auto"/>
          <w:kern w:val="2"/>
          <w:sz w:val="28"/>
          <w:szCs w:val="28"/>
          <w:highlight w:val="none"/>
          <w:lang w:val="zh-CN"/>
        </w:rPr>
        <w:t>附件</w:t>
      </w:r>
      <w:r>
        <w:rPr>
          <w:rFonts w:hint="eastAsia" w:ascii="宋体" w:hAnsi="宋体" w:cs="宋体"/>
          <w:b/>
          <w:color w:val="auto"/>
          <w:kern w:val="2"/>
          <w:sz w:val="28"/>
          <w:szCs w:val="28"/>
          <w:highlight w:val="none"/>
          <w:lang w:val="en-US" w:eastAsia="zh-CN"/>
        </w:rPr>
        <w:t>二</w:t>
      </w:r>
      <w:r>
        <w:rPr>
          <w:rFonts w:hint="eastAsia" w:ascii="宋体" w:hAnsi="宋体" w:cs="宋体"/>
          <w:b/>
          <w:color w:val="auto"/>
          <w:kern w:val="2"/>
          <w:sz w:val="28"/>
          <w:szCs w:val="28"/>
          <w:highlight w:val="none"/>
          <w:lang w:val="zh-CN"/>
        </w:rPr>
        <w:t>：</w:t>
      </w:r>
    </w:p>
    <w:p w14:paraId="5C357283">
      <w:pPr>
        <w:pStyle w:val="2"/>
        <w:jc w:val="center"/>
        <w:rPr>
          <w:rFonts w:hint="eastAsia" w:ascii="宋体" w:hAnsi="宋体" w:cs="宋体"/>
          <w:b w:val="0"/>
          <w:color w:val="auto"/>
          <w:sz w:val="28"/>
          <w:szCs w:val="28"/>
          <w:highlight w:val="none"/>
        </w:rPr>
      </w:pPr>
      <w:bookmarkStart w:id="89" w:name="_Toc26887382"/>
      <w:bookmarkStart w:id="90" w:name="_Toc11759"/>
      <w:bookmarkStart w:id="91" w:name="_Toc55569576"/>
      <w:r>
        <w:rPr>
          <w:rFonts w:hint="eastAsia" w:ascii="宋体" w:hAnsi="宋体" w:cs="宋体"/>
          <w:color w:val="auto"/>
          <w:sz w:val="28"/>
          <w:szCs w:val="28"/>
          <w:highlight w:val="none"/>
        </w:rPr>
        <w:t>残疾人福利性单位声明函（格式）</w:t>
      </w:r>
      <w:bookmarkEnd w:id="89"/>
      <w:bookmarkEnd w:id="90"/>
      <w:bookmarkEnd w:id="91"/>
    </w:p>
    <w:p w14:paraId="3F61485F">
      <w:pPr>
        <w:spacing w:line="588" w:lineRule="exact"/>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C4D09AE">
      <w:pPr>
        <w:spacing w:line="588" w:lineRule="exact"/>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68DF6F64">
      <w:pPr>
        <w:spacing w:line="588" w:lineRule="exact"/>
        <w:ind w:firstLine="504" w:firstLineChars="200"/>
        <w:rPr>
          <w:rFonts w:hint="eastAsia" w:ascii="宋体" w:hAnsi="宋体" w:cs="宋体"/>
          <w:color w:val="auto"/>
          <w:spacing w:val="6"/>
          <w:sz w:val="24"/>
          <w:highlight w:val="none"/>
        </w:rPr>
      </w:pPr>
    </w:p>
    <w:p w14:paraId="1EBB72E5">
      <w:pPr>
        <w:spacing w:line="588" w:lineRule="exact"/>
        <w:ind w:firstLine="504" w:firstLineChars="200"/>
        <w:rPr>
          <w:rFonts w:hint="eastAsia" w:ascii="宋体" w:hAnsi="宋体" w:cs="宋体"/>
          <w:color w:val="auto"/>
          <w:spacing w:val="6"/>
          <w:sz w:val="24"/>
          <w:highlight w:val="none"/>
        </w:rPr>
      </w:pPr>
    </w:p>
    <w:p w14:paraId="3D2B8F19">
      <w:pPr>
        <w:spacing w:line="588" w:lineRule="exact"/>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       单位名称（盖章）：</w:t>
      </w:r>
    </w:p>
    <w:p w14:paraId="2F181D93">
      <w:pPr>
        <w:spacing w:line="588" w:lineRule="exact"/>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       日  期：</w:t>
      </w:r>
    </w:p>
    <w:p w14:paraId="405F00A3">
      <w:pPr>
        <w:pStyle w:val="42"/>
        <w:rPr>
          <w:rFonts w:hint="eastAsia" w:ascii="宋体" w:hAnsi="宋体" w:cs="宋体"/>
          <w:b/>
          <w:bCs/>
          <w:color w:val="auto"/>
          <w:sz w:val="24"/>
          <w:szCs w:val="24"/>
          <w:highlight w:val="none"/>
          <w:lang w:val="zh-CN"/>
        </w:rPr>
      </w:pPr>
    </w:p>
    <w:p w14:paraId="1CB48E1D">
      <w:pPr>
        <w:pStyle w:val="42"/>
        <w:rPr>
          <w:rFonts w:hint="eastAsia" w:ascii="宋体" w:hAnsi="宋体" w:cs="宋体"/>
          <w:b/>
          <w:bCs/>
          <w:color w:val="auto"/>
          <w:sz w:val="24"/>
          <w:szCs w:val="24"/>
          <w:highlight w:val="none"/>
          <w:lang w:val="zh-CN"/>
        </w:rPr>
      </w:pPr>
    </w:p>
    <w:p w14:paraId="33503D14">
      <w:pPr>
        <w:spacing w:before="240" w:beforeLines="100" w:line="510" w:lineRule="exact"/>
        <w:rPr>
          <w:rFonts w:ascii="宋体" w:hAnsi="宋体" w:cs="宋体"/>
          <w:bCs/>
          <w:sz w:val="24"/>
          <w:szCs w:val="24"/>
          <w:highlight w:val="none"/>
        </w:rPr>
      </w:pPr>
    </w:p>
    <w:p w14:paraId="63701F67">
      <w:pPr>
        <w:rPr>
          <w:rFonts w:ascii="宋体" w:hAnsi="宋体" w:cs="宋体"/>
          <w:highlight w:val="none"/>
        </w:rPr>
      </w:pPr>
    </w:p>
    <w:p w14:paraId="7169C1A8">
      <w:pPr>
        <w:rPr>
          <w:rFonts w:ascii="宋体" w:hAnsi="宋体" w:cs="宋体"/>
          <w:highlight w:val="none"/>
        </w:rPr>
      </w:pPr>
    </w:p>
    <w:p w14:paraId="7E2CA7C2">
      <w:pPr>
        <w:rPr>
          <w:rFonts w:ascii="宋体" w:hAnsi="宋体" w:cs="宋体"/>
          <w:highlight w:val="none"/>
        </w:rPr>
      </w:pPr>
    </w:p>
    <w:p w14:paraId="2F6DC87C">
      <w:pPr>
        <w:rPr>
          <w:rFonts w:ascii="宋体" w:hAnsi="宋体" w:cs="宋体"/>
          <w:highlight w:val="none"/>
        </w:rPr>
      </w:pPr>
    </w:p>
    <w:p w14:paraId="05895400">
      <w:pPr>
        <w:rPr>
          <w:rFonts w:ascii="宋体" w:hAnsi="宋体" w:cs="宋体"/>
          <w:highlight w:val="none"/>
        </w:rPr>
      </w:pPr>
    </w:p>
    <w:p w14:paraId="252F9BD3">
      <w:pPr>
        <w:rPr>
          <w:rFonts w:ascii="宋体" w:hAnsi="宋体" w:cs="宋体"/>
          <w:highlight w:val="none"/>
        </w:rPr>
      </w:pPr>
    </w:p>
    <w:p w14:paraId="5E6CC480">
      <w:pPr>
        <w:rPr>
          <w:rFonts w:ascii="宋体" w:hAnsi="宋体" w:cs="宋体"/>
          <w:highlight w:val="none"/>
        </w:rPr>
      </w:pPr>
    </w:p>
    <w:p w14:paraId="54832DC5">
      <w:pPr>
        <w:rPr>
          <w:rFonts w:ascii="宋体" w:hAnsi="宋体" w:cs="宋体"/>
          <w:highlight w:val="none"/>
        </w:rPr>
      </w:pPr>
      <w:r>
        <w:rPr>
          <w:rFonts w:ascii="宋体" w:hAnsi="宋体" w:cs="宋体"/>
          <w:highlight w:val="none"/>
        </w:rPr>
        <w:br w:type="page"/>
      </w:r>
    </w:p>
    <w:p w14:paraId="0230AC86">
      <w:pPr>
        <w:autoSpaceDE w:val="0"/>
        <w:autoSpaceDN w:val="0"/>
        <w:adjustRightInd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w:t>
      </w:r>
    </w:p>
    <w:p w14:paraId="0DAA2DBD">
      <w:pPr>
        <w:jc w:val="center"/>
        <w:rPr>
          <w:rFonts w:hint="eastAsia"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监狱企业证明文件</w:t>
      </w:r>
    </w:p>
    <w:p w14:paraId="003FD4C7">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（注：符合条件的监狱企业请提供本函，不符合的不提供本函）</w:t>
      </w:r>
    </w:p>
    <w:p w14:paraId="4992E78C">
      <w:pPr>
        <w:jc w:val="center"/>
        <w:rPr>
          <w:rFonts w:hint="eastAsia" w:ascii="新宋体" w:hAnsi="新宋体" w:eastAsia="新宋体"/>
          <w:color w:val="000000"/>
          <w:sz w:val="32"/>
          <w:szCs w:val="32"/>
          <w:highlight w:val="none"/>
        </w:rPr>
      </w:pPr>
    </w:p>
    <w:p w14:paraId="38B2690E">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提供由省级以上监狱管理局、戒毒管理局（含新疆生产建设兵团）出具的属于监狱企业的证明文件。</w:t>
      </w:r>
    </w:p>
    <w:p w14:paraId="2021C496">
      <w:pPr>
        <w:rPr>
          <w:rFonts w:hint="eastAsia" w:ascii="新宋体" w:hAnsi="新宋体" w:eastAsia="新宋体"/>
          <w:b/>
          <w:color w:val="000000"/>
          <w:sz w:val="32"/>
          <w:szCs w:val="32"/>
          <w:highlight w:val="none"/>
        </w:rPr>
      </w:pPr>
    </w:p>
    <w:p w14:paraId="4B2C41CB">
      <w:pPr>
        <w:rPr>
          <w:rFonts w:ascii="宋体" w:hAnsi="宋体" w:cs="宋体"/>
          <w:highlight w:val="none"/>
        </w:rPr>
      </w:pPr>
    </w:p>
    <w:p w14:paraId="2E12997F">
      <w:pPr>
        <w:widowControl/>
        <w:shd w:val="clear" w:color="auto" w:fill="FFFFFF"/>
        <w:spacing w:after="150"/>
        <w:rPr>
          <w:rFonts w:ascii="宋体" w:hAnsi="宋体" w:cs="宋体"/>
          <w:b/>
          <w:bCs/>
          <w:szCs w:val="21"/>
          <w:highlight w:val="none"/>
        </w:rPr>
      </w:pPr>
    </w:p>
    <w:p w14:paraId="3C77C639">
      <w:pPr>
        <w:rPr>
          <w:rFonts w:hint="eastAsia" w:ascii="宋体" w:hAnsi="宋体" w:cs="宋体"/>
          <w:b/>
          <w:bCs/>
          <w:szCs w:val="21"/>
          <w:highlight w:val="none"/>
        </w:rPr>
      </w:pPr>
      <w:r>
        <w:rPr>
          <w:rFonts w:hint="eastAsia" w:ascii="宋体" w:hAnsi="宋体" w:cs="宋体"/>
          <w:b/>
          <w:bCs/>
          <w:szCs w:val="21"/>
          <w:highlight w:val="none"/>
        </w:rPr>
        <w:br w:type="page"/>
      </w:r>
    </w:p>
    <w:p w14:paraId="16391F8D">
      <w:pPr>
        <w:pStyle w:val="42"/>
        <w:rPr>
          <w:rFonts w:hint="eastAsia" w:ascii="宋体" w:hAnsi="宋体" w:cs="宋体"/>
          <w:b/>
          <w:color w:val="auto"/>
          <w:kern w:val="2"/>
          <w:sz w:val="28"/>
          <w:szCs w:val="28"/>
          <w:highlight w:val="none"/>
          <w:lang w:val="zh-CN"/>
        </w:rPr>
      </w:pPr>
      <w:r>
        <w:rPr>
          <w:rFonts w:hint="eastAsia" w:ascii="宋体" w:hAnsi="宋体" w:cs="宋体"/>
          <w:b/>
          <w:color w:val="auto"/>
          <w:kern w:val="2"/>
          <w:sz w:val="28"/>
          <w:szCs w:val="28"/>
          <w:highlight w:val="none"/>
          <w:lang w:val="zh-CN"/>
        </w:rPr>
        <w:t>附件</w:t>
      </w:r>
      <w:r>
        <w:rPr>
          <w:rFonts w:hint="eastAsia" w:ascii="宋体" w:hAnsi="宋体" w:cs="宋体"/>
          <w:b/>
          <w:color w:val="auto"/>
          <w:kern w:val="2"/>
          <w:sz w:val="28"/>
          <w:szCs w:val="28"/>
          <w:highlight w:val="none"/>
          <w:lang w:val="en-US" w:eastAsia="zh-CN"/>
        </w:rPr>
        <w:t>四</w:t>
      </w:r>
      <w:r>
        <w:rPr>
          <w:rFonts w:hint="eastAsia" w:ascii="宋体" w:hAnsi="宋体" w:cs="宋体"/>
          <w:b/>
          <w:color w:val="auto"/>
          <w:kern w:val="2"/>
          <w:sz w:val="28"/>
          <w:szCs w:val="28"/>
          <w:highlight w:val="none"/>
          <w:lang w:val="zh-CN"/>
        </w:rPr>
        <w:t>：</w:t>
      </w:r>
    </w:p>
    <w:p w14:paraId="520179F3">
      <w:pPr>
        <w:pStyle w:val="15"/>
        <w:keepNext w:val="0"/>
        <w:keepLines w:val="0"/>
        <w:widowControl/>
        <w:suppressLineNumbers w:val="0"/>
        <w:spacing w:line="432" w:lineRule="auto"/>
        <w:jc w:val="center"/>
        <w:rPr>
          <w:rStyle w:val="20"/>
          <w:rFonts w:hint="eastAsia" w:ascii="宋体" w:hAnsi="宋体" w:eastAsia="宋体" w:cs="宋体"/>
          <w:color w:val="auto"/>
          <w:sz w:val="36"/>
          <w:szCs w:val="36"/>
          <w:highlight w:val="none"/>
          <w:u w:val="none"/>
          <w:lang w:eastAsia="zh-CN"/>
        </w:rPr>
      </w:pPr>
      <w:r>
        <w:rPr>
          <w:rStyle w:val="20"/>
          <w:rFonts w:hint="eastAsia" w:ascii="宋体" w:hAnsi="宋体" w:eastAsia="宋体" w:cs="宋体"/>
          <w:color w:val="auto"/>
          <w:sz w:val="36"/>
          <w:szCs w:val="36"/>
          <w:highlight w:val="none"/>
          <w:u w:val="none"/>
        </w:rPr>
        <w:t>关于印发中小企业划型标准规定的通知</w:t>
      </w:r>
    </w:p>
    <w:p w14:paraId="108087EB">
      <w:pPr>
        <w:pStyle w:val="15"/>
        <w:keepNext w:val="0"/>
        <w:keepLines w:val="0"/>
        <w:widowControl/>
        <w:suppressLineNumbers w:val="0"/>
        <w:spacing w:line="432" w:lineRule="auto"/>
        <w:jc w:val="center"/>
        <w:rPr>
          <w:color w:val="auto"/>
          <w:highlight w:val="none"/>
        </w:rPr>
      </w:pPr>
      <w:r>
        <w:rPr>
          <w:rFonts w:ascii="楷体_GB2312" w:hAnsi="宋体" w:eastAsia="楷体_GB2312" w:cs="楷体_GB2312"/>
          <w:color w:val="auto"/>
          <w:sz w:val="24"/>
          <w:szCs w:val="24"/>
          <w:highlight w:val="none"/>
          <w:u w:val="none"/>
        </w:rPr>
        <w:t>工信部联企业〔2011〕300号</w:t>
      </w:r>
    </w:p>
    <w:p w14:paraId="5FCA431B">
      <w:pPr>
        <w:pStyle w:val="15"/>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各省、自治区、直辖市人民政府，国务院各部委、各直属机构及有关单位：</w:t>
      </w:r>
    </w:p>
    <w:p w14:paraId="2B4CBD1D">
      <w:pPr>
        <w:pStyle w:val="15"/>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63F1E3D">
      <w:pPr>
        <w:pStyle w:val="15"/>
        <w:keepNext w:val="0"/>
        <w:keepLines w:val="0"/>
        <w:widowControl/>
        <w:suppressLineNumbers w:val="0"/>
        <w:spacing w:line="432"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　　　　　　　　　　　　　　　　　　　　　　</w:t>
      </w:r>
    </w:p>
    <w:p w14:paraId="36708CE8">
      <w:pPr>
        <w:pStyle w:val="15"/>
        <w:keepNext w:val="0"/>
        <w:keepLines w:val="0"/>
        <w:widowControl/>
        <w:suppressLineNumbers w:val="0"/>
        <w:spacing w:line="432" w:lineRule="auto"/>
        <w:rPr>
          <w:rFonts w:hint="eastAsia" w:ascii="宋体" w:hAnsi="宋体" w:eastAsia="宋体" w:cs="宋体"/>
          <w:color w:val="auto"/>
          <w:sz w:val="24"/>
          <w:szCs w:val="24"/>
          <w:highlight w:val="none"/>
          <w:u w:val="none"/>
        </w:rPr>
      </w:pPr>
    </w:p>
    <w:p w14:paraId="52020993">
      <w:pPr>
        <w:pStyle w:val="15"/>
        <w:keepNext w:val="0"/>
        <w:keepLines w:val="0"/>
        <w:widowControl/>
        <w:suppressLineNumbers w:val="0"/>
        <w:spacing w:line="432" w:lineRule="auto"/>
        <w:rPr>
          <w:rFonts w:hint="eastAsia" w:ascii="宋体" w:hAnsi="宋体" w:eastAsia="宋体" w:cs="宋体"/>
          <w:color w:val="auto"/>
          <w:sz w:val="24"/>
          <w:szCs w:val="24"/>
          <w:highlight w:val="none"/>
          <w:u w:val="none"/>
        </w:rPr>
      </w:pPr>
    </w:p>
    <w:p w14:paraId="301EBB42">
      <w:pPr>
        <w:pStyle w:val="15"/>
        <w:keepNext w:val="0"/>
        <w:keepLines w:val="0"/>
        <w:widowControl/>
        <w:suppressLineNumbers w:val="0"/>
        <w:spacing w:line="432" w:lineRule="auto"/>
        <w:rPr>
          <w:rFonts w:hint="eastAsia" w:ascii="宋体" w:hAnsi="宋体" w:eastAsia="宋体" w:cs="宋体"/>
          <w:color w:val="auto"/>
          <w:sz w:val="24"/>
          <w:szCs w:val="24"/>
          <w:highlight w:val="none"/>
          <w:u w:val="none"/>
        </w:rPr>
      </w:pPr>
    </w:p>
    <w:p w14:paraId="0C12CC30">
      <w:pPr>
        <w:pStyle w:val="15"/>
        <w:keepNext w:val="0"/>
        <w:keepLines w:val="0"/>
        <w:widowControl/>
        <w:suppressLineNumbers w:val="0"/>
        <w:spacing w:line="432" w:lineRule="auto"/>
        <w:rPr>
          <w:rFonts w:hint="eastAsia" w:ascii="宋体" w:hAnsi="宋体" w:eastAsia="宋体" w:cs="宋体"/>
          <w:color w:val="auto"/>
          <w:sz w:val="24"/>
          <w:szCs w:val="24"/>
          <w:highlight w:val="none"/>
          <w:u w:val="none"/>
        </w:rPr>
      </w:pPr>
    </w:p>
    <w:p w14:paraId="527A707F">
      <w:pPr>
        <w:pStyle w:val="15"/>
        <w:keepNext w:val="0"/>
        <w:keepLines w:val="0"/>
        <w:widowControl/>
        <w:suppressLineNumbers w:val="0"/>
        <w:spacing w:line="432" w:lineRule="auto"/>
        <w:rPr>
          <w:rFonts w:hint="eastAsia" w:ascii="宋体" w:hAnsi="宋体" w:eastAsia="宋体" w:cs="宋体"/>
          <w:color w:val="auto"/>
          <w:sz w:val="24"/>
          <w:szCs w:val="24"/>
          <w:highlight w:val="none"/>
          <w:u w:val="none"/>
        </w:rPr>
      </w:pPr>
    </w:p>
    <w:p w14:paraId="7ABCCAA7">
      <w:pPr>
        <w:pStyle w:val="15"/>
        <w:keepNext w:val="0"/>
        <w:keepLines w:val="0"/>
        <w:widowControl/>
        <w:suppressLineNumbers w:val="0"/>
        <w:spacing w:line="432" w:lineRule="auto"/>
        <w:jc w:val="right"/>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xml:space="preserve"> 工业和信息化部　国家统计局</w:t>
      </w:r>
    </w:p>
    <w:p w14:paraId="1F1F4F0D">
      <w:pPr>
        <w:pStyle w:val="15"/>
        <w:keepNext w:val="0"/>
        <w:keepLines w:val="0"/>
        <w:widowControl/>
        <w:suppressLineNumbers w:val="0"/>
        <w:spacing w:line="432" w:lineRule="auto"/>
        <w:ind w:firstLine="5280" w:firstLineChars="2200"/>
        <w:jc w:val="right"/>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国家发展和改革委员会　财政部</w:t>
      </w:r>
    </w:p>
    <w:p w14:paraId="1B5B56E6">
      <w:pPr>
        <w:pStyle w:val="15"/>
        <w:keepNext w:val="0"/>
        <w:keepLines w:val="0"/>
        <w:widowControl/>
        <w:suppressLineNumbers w:val="0"/>
        <w:spacing w:line="432" w:lineRule="auto"/>
        <w:ind w:firstLine="5280" w:firstLineChars="2200"/>
        <w:jc w:val="right"/>
        <w:rPr>
          <w:color w:val="auto"/>
          <w:highlight w:val="none"/>
        </w:rPr>
      </w:pPr>
      <w:r>
        <w:rPr>
          <w:rFonts w:hint="eastAsia" w:ascii="宋体" w:hAnsi="宋体" w:eastAsia="宋体" w:cs="宋体"/>
          <w:color w:val="auto"/>
          <w:sz w:val="24"/>
          <w:szCs w:val="24"/>
          <w:highlight w:val="none"/>
          <w:u w:val="none"/>
        </w:rPr>
        <w:t>　　　　　　　　　　　　　　　　　　　　　　　　二○一一年六月十八日</w:t>
      </w:r>
    </w:p>
    <w:p w14:paraId="2917319A">
      <w:pPr>
        <w:pStyle w:val="15"/>
        <w:keepNext w:val="0"/>
        <w:keepLines w:val="0"/>
        <w:widowControl/>
        <w:suppressLineNumbers w:val="0"/>
        <w:spacing w:line="432" w:lineRule="auto"/>
        <w:rPr>
          <w:color w:val="auto"/>
          <w:highlight w:val="none"/>
        </w:rPr>
      </w:pPr>
      <w:r>
        <w:rPr>
          <w:rFonts w:hint="eastAsia" w:ascii="宋体" w:hAnsi="宋体" w:eastAsia="宋体" w:cs="宋体"/>
          <w:color w:val="auto"/>
          <w:sz w:val="24"/>
          <w:szCs w:val="24"/>
          <w:highlight w:val="none"/>
          <w:u w:val="none"/>
        </w:rPr>
        <w:t> </w:t>
      </w:r>
    </w:p>
    <w:p w14:paraId="16C11276">
      <w:pPr>
        <w:widowControl/>
        <w:spacing w:line="330" w:lineRule="atLeast"/>
        <w:jc w:val="center"/>
        <w:rPr>
          <w:rFonts w:ascii="方正小标宋简体" w:hAnsi="宋体" w:eastAsia="方正小标宋简体" w:cs="宋体"/>
          <w:color w:val="auto"/>
          <w:kern w:val="0"/>
          <w:sz w:val="36"/>
          <w:szCs w:val="32"/>
          <w:highlight w:val="none"/>
        </w:rPr>
      </w:pPr>
      <w:r>
        <w:rPr>
          <w:rFonts w:hint="eastAsia" w:ascii="方正小标宋简体" w:hAnsi="宋体" w:eastAsia="方正小标宋简体" w:cs="宋体"/>
          <w:color w:val="auto"/>
          <w:kern w:val="0"/>
          <w:sz w:val="36"/>
          <w:szCs w:val="32"/>
          <w:highlight w:val="none"/>
        </w:rPr>
        <w:t>大中小微型企业划分标准</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A1E752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2" w:hRule="exact"/>
          <w:jc w:val="center"/>
        </w:trPr>
        <w:tc>
          <w:tcPr>
            <w:tcW w:w="2113" w:type="dxa"/>
            <w:tcBorders>
              <w:bottom w:val="single" w:color="auto" w:sz="4" w:space="0"/>
              <w:right w:val="single" w:color="auto" w:sz="4" w:space="0"/>
            </w:tcBorders>
            <w:noWrap w:val="0"/>
            <w:vAlign w:val="center"/>
          </w:tcPr>
          <w:p w14:paraId="424B726A">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tcBorders>
              <w:left w:val="nil"/>
              <w:bottom w:val="single" w:color="auto" w:sz="4" w:space="0"/>
              <w:right w:val="single" w:color="auto" w:sz="4" w:space="0"/>
            </w:tcBorders>
            <w:noWrap w:val="0"/>
            <w:vAlign w:val="center"/>
          </w:tcPr>
          <w:p w14:paraId="0D020C3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tcBorders>
              <w:left w:val="nil"/>
              <w:bottom w:val="single" w:color="auto" w:sz="4" w:space="0"/>
              <w:right w:val="single" w:color="auto" w:sz="4" w:space="0"/>
            </w:tcBorders>
            <w:noWrap w:val="0"/>
            <w:vAlign w:val="center"/>
          </w:tcPr>
          <w:p w14:paraId="6B81E6A5">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71FCE1D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tcBorders>
              <w:left w:val="nil"/>
              <w:bottom w:val="single" w:color="auto" w:sz="4" w:space="0"/>
              <w:right w:val="single" w:color="auto" w:sz="4" w:space="0"/>
            </w:tcBorders>
            <w:noWrap w:val="0"/>
            <w:vAlign w:val="center"/>
          </w:tcPr>
          <w:p w14:paraId="652ADE6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tcBorders>
              <w:left w:val="nil"/>
              <w:bottom w:val="single" w:color="auto" w:sz="4" w:space="0"/>
              <w:right w:val="single" w:color="auto" w:sz="4" w:space="0"/>
            </w:tcBorders>
            <w:noWrap w:val="0"/>
            <w:vAlign w:val="center"/>
          </w:tcPr>
          <w:p w14:paraId="643A34D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tcBorders>
              <w:left w:val="nil"/>
              <w:bottom w:val="single" w:color="auto" w:sz="4" w:space="0"/>
              <w:right w:val="single" w:color="auto" w:sz="4" w:space="0"/>
            </w:tcBorders>
            <w:noWrap w:val="0"/>
            <w:vAlign w:val="center"/>
          </w:tcPr>
          <w:p w14:paraId="68D0639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tcBorders>
              <w:left w:val="nil"/>
              <w:bottom w:val="single" w:color="auto" w:sz="4" w:space="0"/>
            </w:tcBorders>
            <w:noWrap w:val="0"/>
            <w:vAlign w:val="center"/>
          </w:tcPr>
          <w:p w14:paraId="549F245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5AAF749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tcBorders>
              <w:top w:val="nil"/>
              <w:bottom w:val="single" w:color="auto" w:sz="4" w:space="0"/>
              <w:right w:val="single" w:color="auto" w:sz="4" w:space="0"/>
            </w:tcBorders>
            <w:noWrap w:val="0"/>
            <w:vAlign w:val="center"/>
          </w:tcPr>
          <w:p w14:paraId="1FECF034">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tcBorders>
              <w:top w:val="nil"/>
              <w:left w:val="nil"/>
              <w:bottom w:val="single" w:color="auto" w:sz="4" w:space="0"/>
              <w:right w:val="single" w:color="auto" w:sz="4" w:space="0"/>
            </w:tcBorders>
            <w:noWrap w:val="0"/>
            <w:vAlign w:val="center"/>
          </w:tcPr>
          <w:p w14:paraId="647BE2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5EDDD65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793303F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noWrap w:val="0"/>
            <w:vAlign w:val="center"/>
          </w:tcPr>
          <w:p w14:paraId="0259C8D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noWrap w:val="0"/>
            <w:vAlign w:val="center"/>
          </w:tcPr>
          <w:p w14:paraId="5B904BA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tcBorders>
              <w:top w:val="nil"/>
              <w:left w:val="nil"/>
              <w:bottom w:val="single" w:color="auto" w:sz="4" w:space="0"/>
            </w:tcBorders>
            <w:noWrap w:val="0"/>
            <w:vAlign w:val="center"/>
          </w:tcPr>
          <w:p w14:paraId="17CDB6C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99D4A1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708A80A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tcBorders>
              <w:top w:val="nil"/>
              <w:left w:val="nil"/>
              <w:bottom w:val="nil"/>
              <w:right w:val="single" w:color="auto" w:sz="4" w:space="0"/>
            </w:tcBorders>
            <w:noWrap w:val="0"/>
            <w:vAlign w:val="center"/>
          </w:tcPr>
          <w:p w14:paraId="42F84FB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0222754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7E87335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noWrap w:val="0"/>
            <w:vAlign w:val="center"/>
          </w:tcPr>
          <w:p w14:paraId="2CA33B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noWrap w:val="0"/>
            <w:vAlign w:val="center"/>
          </w:tcPr>
          <w:p w14:paraId="6AA69BE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tcBorders>
            <w:noWrap w:val="0"/>
            <w:vAlign w:val="center"/>
          </w:tcPr>
          <w:p w14:paraId="154A240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D6C241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289FC509">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77E8223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004732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518173D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noWrap w:val="0"/>
            <w:vAlign w:val="center"/>
          </w:tcPr>
          <w:p w14:paraId="7525173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tcBorders>
              <w:top w:val="nil"/>
              <w:left w:val="nil"/>
              <w:bottom w:val="single" w:color="auto" w:sz="4" w:space="0"/>
              <w:right w:val="single" w:color="auto" w:sz="4" w:space="0"/>
            </w:tcBorders>
            <w:noWrap w:val="0"/>
            <w:vAlign w:val="center"/>
          </w:tcPr>
          <w:p w14:paraId="1593EE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tcBorders>
              <w:top w:val="nil"/>
              <w:left w:val="nil"/>
              <w:bottom w:val="single" w:color="auto" w:sz="4" w:space="0"/>
            </w:tcBorders>
            <w:noWrap w:val="0"/>
            <w:vAlign w:val="center"/>
          </w:tcPr>
          <w:p w14:paraId="7B830A8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829BEF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47AFFEF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tcBorders>
              <w:top w:val="nil"/>
              <w:left w:val="nil"/>
              <w:bottom w:val="nil"/>
              <w:right w:val="single" w:color="auto" w:sz="4" w:space="0"/>
            </w:tcBorders>
            <w:noWrap w:val="0"/>
            <w:vAlign w:val="center"/>
          </w:tcPr>
          <w:p w14:paraId="66006D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noWrap w:val="0"/>
            <w:vAlign w:val="center"/>
          </w:tcPr>
          <w:p w14:paraId="27FA3D2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noWrap w:val="0"/>
            <w:vAlign w:val="center"/>
          </w:tcPr>
          <w:p w14:paraId="4D8E5B5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tcBorders>
              <w:top w:val="nil"/>
              <w:left w:val="nil"/>
              <w:bottom w:val="nil"/>
              <w:right w:val="single" w:color="auto" w:sz="4" w:space="0"/>
            </w:tcBorders>
            <w:noWrap w:val="0"/>
            <w:vAlign w:val="center"/>
          </w:tcPr>
          <w:p w14:paraId="11FE889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tcBorders>
              <w:top w:val="nil"/>
              <w:left w:val="nil"/>
              <w:bottom w:val="nil"/>
              <w:right w:val="single" w:color="auto" w:sz="4" w:space="0"/>
            </w:tcBorders>
            <w:noWrap w:val="0"/>
            <w:vAlign w:val="center"/>
          </w:tcPr>
          <w:p w14:paraId="443449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tcBorders>
              <w:top w:val="nil"/>
              <w:left w:val="nil"/>
              <w:bottom w:val="nil"/>
            </w:tcBorders>
            <w:noWrap w:val="0"/>
            <w:vAlign w:val="center"/>
          </w:tcPr>
          <w:p w14:paraId="40136D8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A28F4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63D551D3">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392B589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08F13A8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41D7400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tcBorders>
              <w:top w:val="nil"/>
              <w:left w:val="nil"/>
              <w:bottom w:val="single" w:color="auto" w:sz="4" w:space="0"/>
              <w:right w:val="single" w:color="auto" w:sz="4" w:space="0"/>
            </w:tcBorders>
            <w:noWrap w:val="0"/>
            <w:vAlign w:val="center"/>
          </w:tcPr>
          <w:p w14:paraId="4624433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tcBorders>
              <w:top w:val="nil"/>
              <w:left w:val="nil"/>
              <w:bottom w:val="single" w:color="auto" w:sz="4" w:space="0"/>
              <w:right w:val="single" w:color="auto" w:sz="4" w:space="0"/>
            </w:tcBorders>
            <w:noWrap w:val="0"/>
            <w:vAlign w:val="center"/>
          </w:tcPr>
          <w:p w14:paraId="637931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tcBorders>
              <w:top w:val="nil"/>
              <w:left w:val="nil"/>
              <w:bottom w:val="single" w:color="auto" w:sz="4" w:space="0"/>
            </w:tcBorders>
            <w:noWrap w:val="0"/>
            <w:vAlign w:val="center"/>
          </w:tcPr>
          <w:p w14:paraId="38DB691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9A5B21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55D226EE">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tcBorders>
              <w:top w:val="nil"/>
              <w:left w:val="nil"/>
              <w:bottom w:val="nil"/>
              <w:right w:val="single" w:color="auto" w:sz="4" w:space="0"/>
            </w:tcBorders>
            <w:noWrap w:val="0"/>
            <w:vAlign w:val="center"/>
          </w:tcPr>
          <w:p w14:paraId="525A0E4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56F8A1D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27F67CE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noWrap w:val="0"/>
            <w:vAlign w:val="center"/>
          </w:tcPr>
          <w:p w14:paraId="087F1E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tcBorders>
              <w:top w:val="nil"/>
              <w:left w:val="nil"/>
              <w:bottom w:val="nil"/>
              <w:right w:val="single" w:color="auto" w:sz="4" w:space="0"/>
            </w:tcBorders>
            <w:noWrap w:val="0"/>
            <w:vAlign w:val="center"/>
          </w:tcPr>
          <w:p w14:paraId="04131C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tcBorders>
              <w:top w:val="nil"/>
              <w:left w:val="nil"/>
              <w:bottom w:val="nil"/>
            </w:tcBorders>
            <w:noWrap w:val="0"/>
            <w:vAlign w:val="center"/>
          </w:tcPr>
          <w:p w14:paraId="67B303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78CB6FB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23229464">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4B3E10D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220D00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5419359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noWrap w:val="0"/>
            <w:vAlign w:val="center"/>
          </w:tcPr>
          <w:p w14:paraId="0A49535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tcBorders>
              <w:top w:val="nil"/>
              <w:left w:val="nil"/>
              <w:bottom w:val="single" w:color="auto" w:sz="4" w:space="0"/>
              <w:right w:val="single" w:color="auto" w:sz="4" w:space="0"/>
            </w:tcBorders>
            <w:noWrap w:val="0"/>
            <w:vAlign w:val="center"/>
          </w:tcPr>
          <w:p w14:paraId="63BFBC49">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tcBorders>
              <w:top w:val="nil"/>
              <w:left w:val="nil"/>
              <w:bottom w:val="single" w:color="auto" w:sz="4" w:space="0"/>
            </w:tcBorders>
            <w:noWrap w:val="0"/>
            <w:vAlign w:val="center"/>
          </w:tcPr>
          <w:p w14:paraId="476A9FD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79599CC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3F3A337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tcBorders>
              <w:top w:val="nil"/>
              <w:left w:val="nil"/>
              <w:bottom w:val="nil"/>
              <w:right w:val="single" w:color="auto" w:sz="4" w:space="0"/>
            </w:tcBorders>
            <w:noWrap w:val="0"/>
            <w:vAlign w:val="center"/>
          </w:tcPr>
          <w:p w14:paraId="63CDFC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1FADF9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157D466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noWrap w:val="0"/>
            <w:vAlign w:val="center"/>
          </w:tcPr>
          <w:p w14:paraId="2687570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tcBorders>
              <w:top w:val="nil"/>
              <w:left w:val="nil"/>
              <w:bottom w:val="nil"/>
              <w:right w:val="single" w:color="auto" w:sz="4" w:space="0"/>
            </w:tcBorders>
            <w:noWrap w:val="0"/>
            <w:vAlign w:val="center"/>
          </w:tcPr>
          <w:p w14:paraId="1C52F2D3">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tcBorders>
              <w:top w:val="nil"/>
              <w:left w:val="nil"/>
              <w:bottom w:val="nil"/>
            </w:tcBorders>
            <w:noWrap w:val="0"/>
            <w:vAlign w:val="center"/>
          </w:tcPr>
          <w:p w14:paraId="4E4CB42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5511B7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28317FF8">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3406857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0BB27A8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44478F3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noWrap w:val="0"/>
            <w:vAlign w:val="center"/>
          </w:tcPr>
          <w:p w14:paraId="3D2EE7A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noWrap w:val="0"/>
            <w:vAlign w:val="center"/>
          </w:tcPr>
          <w:p w14:paraId="430462A5">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tcBorders>
              <w:top w:val="nil"/>
              <w:left w:val="nil"/>
              <w:bottom w:val="single" w:color="auto" w:sz="4" w:space="0"/>
            </w:tcBorders>
            <w:noWrap w:val="0"/>
            <w:vAlign w:val="center"/>
          </w:tcPr>
          <w:p w14:paraId="4E97757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320F06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4E86E74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tcBorders>
              <w:top w:val="nil"/>
              <w:left w:val="nil"/>
              <w:bottom w:val="nil"/>
              <w:right w:val="single" w:color="auto" w:sz="4" w:space="0"/>
            </w:tcBorders>
            <w:noWrap w:val="0"/>
            <w:vAlign w:val="center"/>
          </w:tcPr>
          <w:p w14:paraId="19C4D1F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4C58C6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3AF07B5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noWrap w:val="0"/>
            <w:vAlign w:val="center"/>
          </w:tcPr>
          <w:p w14:paraId="3E58441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noWrap w:val="0"/>
            <w:vAlign w:val="center"/>
          </w:tcPr>
          <w:p w14:paraId="1E42DC1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tcBorders>
            <w:noWrap w:val="0"/>
            <w:vAlign w:val="center"/>
          </w:tcPr>
          <w:p w14:paraId="4C07319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7F55F5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23433751">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71A826E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061409E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0262F3B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noWrap w:val="0"/>
            <w:vAlign w:val="center"/>
          </w:tcPr>
          <w:p w14:paraId="0382E53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tcBorders>
              <w:top w:val="nil"/>
              <w:left w:val="nil"/>
              <w:bottom w:val="single" w:color="auto" w:sz="4" w:space="0"/>
              <w:right w:val="single" w:color="auto" w:sz="4" w:space="0"/>
            </w:tcBorders>
            <w:noWrap w:val="0"/>
            <w:vAlign w:val="center"/>
          </w:tcPr>
          <w:p w14:paraId="01747D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tcBorders>
              <w:top w:val="nil"/>
              <w:left w:val="nil"/>
              <w:bottom w:val="single" w:color="auto" w:sz="4" w:space="0"/>
            </w:tcBorders>
            <w:noWrap w:val="0"/>
            <w:vAlign w:val="center"/>
          </w:tcPr>
          <w:p w14:paraId="3547157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5228464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30898DC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tcBorders>
              <w:top w:val="nil"/>
              <w:left w:val="nil"/>
              <w:bottom w:val="nil"/>
              <w:right w:val="single" w:color="auto" w:sz="4" w:space="0"/>
            </w:tcBorders>
            <w:noWrap w:val="0"/>
            <w:vAlign w:val="center"/>
          </w:tcPr>
          <w:p w14:paraId="7021215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109ADDF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393972B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noWrap w:val="0"/>
            <w:vAlign w:val="center"/>
          </w:tcPr>
          <w:p w14:paraId="677D1226">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tcBorders>
              <w:top w:val="nil"/>
              <w:left w:val="nil"/>
              <w:bottom w:val="nil"/>
              <w:right w:val="single" w:color="auto" w:sz="4" w:space="0"/>
            </w:tcBorders>
            <w:noWrap w:val="0"/>
            <w:vAlign w:val="center"/>
          </w:tcPr>
          <w:p w14:paraId="001616E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tcBorders>
              <w:top w:val="nil"/>
              <w:left w:val="nil"/>
              <w:bottom w:val="nil"/>
            </w:tcBorders>
            <w:noWrap w:val="0"/>
            <w:vAlign w:val="center"/>
          </w:tcPr>
          <w:p w14:paraId="1A7CA2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DF50D1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05178D62">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33D4D83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3B28E74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07D863B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noWrap w:val="0"/>
            <w:vAlign w:val="center"/>
          </w:tcPr>
          <w:p w14:paraId="452AA5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tcBorders>
              <w:top w:val="nil"/>
              <w:left w:val="nil"/>
              <w:bottom w:val="single" w:color="auto" w:sz="4" w:space="0"/>
              <w:right w:val="single" w:color="auto" w:sz="4" w:space="0"/>
            </w:tcBorders>
            <w:noWrap w:val="0"/>
            <w:vAlign w:val="center"/>
          </w:tcPr>
          <w:p w14:paraId="784BEAF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tcBorders>
            <w:noWrap w:val="0"/>
            <w:vAlign w:val="center"/>
          </w:tcPr>
          <w:p w14:paraId="196E8C9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54E8EE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223E907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tcBorders>
              <w:top w:val="nil"/>
              <w:left w:val="nil"/>
              <w:bottom w:val="nil"/>
              <w:right w:val="single" w:color="auto" w:sz="4" w:space="0"/>
            </w:tcBorders>
            <w:noWrap w:val="0"/>
            <w:vAlign w:val="center"/>
          </w:tcPr>
          <w:p w14:paraId="48D03D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1D2DF8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7E816D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noWrap w:val="0"/>
            <w:vAlign w:val="center"/>
          </w:tcPr>
          <w:p w14:paraId="4C6D88F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noWrap w:val="0"/>
            <w:vAlign w:val="center"/>
          </w:tcPr>
          <w:p w14:paraId="1E2FEA8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tcBorders>
            <w:noWrap w:val="0"/>
            <w:vAlign w:val="center"/>
          </w:tcPr>
          <w:p w14:paraId="042B28C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E1BD25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3CE61661">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55008CE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088336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1061AC1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noWrap w:val="0"/>
            <w:vAlign w:val="center"/>
          </w:tcPr>
          <w:p w14:paraId="332C12F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tcBorders>
              <w:top w:val="nil"/>
              <w:left w:val="nil"/>
              <w:bottom w:val="single" w:color="auto" w:sz="4" w:space="0"/>
              <w:right w:val="single" w:color="auto" w:sz="4" w:space="0"/>
            </w:tcBorders>
            <w:noWrap w:val="0"/>
            <w:vAlign w:val="center"/>
          </w:tcPr>
          <w:p w14:paraId="7F3748D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tcBorders>
            <w:noWrap w:val="0"/>
            <w:vAlign w:val="center"/>
          </w:tcPr>
          <w:p w14:paraId="19B4FF0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AC9119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04BE502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tcBorders>
              <w:top w:val="nil"/>
              <w:left w:val="nil"/>
              <w:bottom w:val="nil"/>
              <w:right w:val="single" w:color="auto" w:sz="4" w:space="0"/>
            </w:tcBorders>
            <w:noWrap w:val="0"/>
            <w:vAlign w:val="center"/>
          </w:tcPr>
          <w:p w14:paraId="3830043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502DCAA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12654CD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noWrap w:val="0"/>
            <w:vAlign w:val="center"/>
          </w:tcPr>
          <w:p w14:paraId="1ECF5268">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14:paraId="387CD1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tcBorders>
            <w:noWrap w:val="0"/>
            <w:vAlign w:val="center"/>
          </w:tcPr>
          <w:p w14:paraId="29F515D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A79DAC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10C8156B">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77394DC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211AEFA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3C199BA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noWrap w:val="0"/>
            <w:vAlign w:val="center"/>
          </w:tcPr>
          <w:p w14:paraId="5EA8F4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noWrap w:val="0"/>
            <w:vAlign w:val="center"/>
          </w:tcPr>
          <w:p w14:paraId="1E977DB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tcBorders>
            <w:noWrap w:val="0"/>
            <w:vAlign w:val="center"/>
          </w:tcPr>
          <w:p w14:paraId="2B774F9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BBF026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09A8BAF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tcBorders>
              <w:top w:val="nil"/>
              <w:left w:val="nil"/>
              <w:bottom w:val="nil"/>
              <w:right w:val="single" w:color="auto" w:sz="4" w:space="0"/>
            </w:tcBorders>
            <w:noWrap w:val="0"/>
            <w:vAlign w:val="center"/>
          </w:tcPr>
          <w:p w14:paraId="7F9F150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00C425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766C218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noWrap w:val="0"/>
            <w:vAlign w:val="center"/>
          </w:tcPr>
          <w:p w14:paraId="11F81BD1">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14:paraId="4871FDD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tcBorders>
            <w:noWrap w:val="0"/>
            <w:vAlign w:val="center"/>
          </w:tcPr>
          <w:p w14:paraId="62D7507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7CEB9D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3C5EA858">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016F320E">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4E161B3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419548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noWrap w:val="0"/>
            <w:vAlign w:val="center"/>
          </w:tcPr>
          <w:p w14:paraId="235D42C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noWrap w:val="0"/>
            <w:vAlign w:val="center"/>
          </w:tcPr>
          <w:p w14:paraId="2F44621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tcBorders>
            <w:noWrap w:val="0"/>
            <w:vAlign w:val="center"/>
          </w:tcPr>
          <w:p w14:paraId="41ECD2E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9848CF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0F6A83EE">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tcBorders>
              <w:top w:val="nil"/>
              <w:left w:val="nil"/>
              <w:bottom w:val="nil"/>
              <w:right w:val="single" w:color="auto" w:sz="4" w:space="0"/>
            </w:tcBorders>
            <w:noWrap w:val="0"/>
            <w:vAlign w:val="center"/>
          </w:tcPr>
          <w:p w14:paraId="4413BE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5DA1405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53CC9E5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tcBorders>
              <w:top w:val="nil"/>
              <w:left w:val="nil"/>
              <w:bottom w:val="nil"/>
              <w:right w:val="single" w:color="auto" w:sz="4" w:space="0"/>
            </w:tcBorders>
            <w:noWrap w:val="0"/>
            <w:vAlign w:val="center"/>
          </w:tcPr>
          <w:p w14:paraId="7831FB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tcBorders>
              <w:top w:val="nil"/>
              <w:left w:val="nil"/>
              <w:bottom w:val="nil"/>
              <w:right w:val="single" w:color="auto" w:sz="4" w:space="0"/>
            </w:tcBorders>
            <w:noWrap w:val="0"/>
            <w:vAlign w:val="center"/>
          </w:tcPr>
          <w:p w14:paraId="6597E27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tcBorders>
            <w:noWrap w:val="0"/>
            <w:vAlign w:val="center"/>
          </w:tcPr>
          <w:p w14:paraId="7EABB4D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8EA9DC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2A246AEB">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75F46CD1">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4ECDC0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585DD0F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tcBorders>
              <w:top w:val="nil"/>
              <w:left w:val="nil"/>
              <w:bottom w:val="single" w:color="auto" w:sz="4" w:space="0"/>
              <w:right w:val="single" w:color="auto" w:sz="4" w:space="0"/>
            </w:tcBorders>
            <w:noWrap w:val="0"/>
            <w:vAlign w:val="center"/>
          </w:tcPr>
          <w:p w14:paraId="60F7287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tcBorders>
              <w:top w:val="nil"/>
              <w:left w:val="nil"/>
              <w:bottom w:val="single" w:color="auto" w:sz="4" w:space="0"/>
              <w:right w:val="single" w:color="auto" w:sz="4" w:space="0"/>
            </w:tcBorders>
            <w:noWrap w:val="0"/>
            <w:vAlign w:val="center"/>
          </w:tcPr>
          <w:p w14:paraId="2AD390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tcBorders>
            <w:noWrap w:val="0"/>
            <w:vAlign w:val="center"/>
          </w:tcPr>
          <w:p w14:paraId="10B8E7D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C6FDFA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restart"/>
            <w:tcBorders>
              <w:top w:val="single" w:color="auto" w:sz="4" w:space="0"/>
              <w:bottom w:val="single" w:color="auto" w:sz="4" w:space="0"/>
              <w:right w:val="single" w:color="auto" w:sz="4" w:space="0"/>
            </w:tcBorders>
            <w:noWrap w:val="0"/>
            <w:vAlign w:val="center"/>
          </w:tcPr>
          <w:p w14:paraId="4606F291">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tcBorders>
              <w:top w:val="nil"/>
              <w:left w:val="nil"/>
              <w:bottom w:val="nil"/>
              <w:right w:val="single" w:color="auto" w:sz="4" w:space="0"/>
            </w:tcBorders>
            <w:noWrap w:val="0"/>
            <w:vAlign w:val="center"/>
          </w:tcPr>
          <w:p w14:paraId="463FDE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3BE5AC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222E350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noWrap w:val="0"/>
            <w:vAlign w:val="center"/>
          </w:tcPr>
          <w:p w14:paraId="0311D870">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14:paraId="3BD4148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tcBorders>
            <w:noWrap w:val="0"/>
            <w:vAlign w:val="center"/>
          </w:tcPr>
          <w:p w14:paraId="5EE42B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F5A549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continue"/>
            <w:tcBorders>
              <w:top w:val="single" w:color="auto" w:sz="4" w:space="0"/>
              <w:bottom w:val="single" w:color="auto" w:sz="4" w:space="0"/>
              <w:right w:val="single" w:color="auto" w:sz="4" w:space="0"/>
            </w:tcBorders>
            <w:noWrap w:val="0"/>
            <w:vAlign w:val="center"/>
          </w:tcPr>
          <w:p w14:paraId="3542407E">
            <w:pPr>
              <w:widowControl/>
              <w:jc w:val="left"/>
              <w:rPr>
                <w:rFonts w:ascii="宋体" w:hAnsi="宋体" w:cs="宋体"/>
                <w:color w:val="auto"/>
                <w:spacing w:val="-12"/>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195566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4E39F5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7B64282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noWrap w:val="0"/>
            <w:vAlign w:val="center"/>
          </w:tcPr>
          <w:p w14:paraId="698DEA3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tcBorders>
              <w:top w:val="nil"/>
              <w:left w:val="nil"/>
              <w:bottom w:val="single" w:color="auto" w:sz="4" w:space="0"/>
              <w:right w:val="single" w:color="auto" w:sz="4" w:space="0"/>
            </w:tcBorders>
            <w:noWrap w:val="0"/>
            <w:vAlign w:val="center"/>
          </w:tcPr>
          <w:p w14:paraId="22D49B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tcBorders>
              <w:top w:val="nil"/>
              <w:left w:val="nil"/>
              <w:bottom w:val="single" w:color="auto" w:sz="4" w:space="0"/>
            </w:tcBorders>
            <w:noWrap w:val="0"/>
            <w:vAlign w:val="center"/>
          </w:tcPr>
          <w:p w14:paraId="286A20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23718A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restart"/>
            <w:tcBorders>
              <w:top w:val="nil"/>
              <w:bottom w:val="single" w:color="auto" w:sz="4" w:space="0"/>
              <w:right w:val="single" w:color="auto" w:sz="4" w:space="0"/>
            </w:tcBorders>
            <w:noWrap w:val="0"/>
            <w:vAlign w:val="center"/>
          </w:tcPr>
          <w:p w14:paraId="3508F754">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tcBorders>
              <w:top w:val="nil"/>
              <w:left w:val="nil"/>
              <w:bottom w:val="nil"/>
              <w:right w:val="single" w:color="auto" w:sz="4" w:space="0"/>
            </w:tcBorders>
            <w:noWrap w:val="0"/>
            <w:vAlign w:val="center"/>
          </w:tcPr>
          <w:p w14:paraId="453AB4E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noWrap w:val="0"/>
            <w:vAlign w:val="center"/>
          </w:tcPr>
          <w:p w14:paraId="64818AF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noWrap w:val="0"/>
            <w:vAlign w:val="center"/>
          </w:tcPr>
          <w:p w14:paraId="1CF00FB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tcBorders>
              <w:top w:val="nil"/>
              <w:left w:val="nil"/>
              <w:bottom w:val="nil"/>
              <w:right w:val="single" w:color="auto" w:sz="4" w:space="0"/>
            </w:tcBorders>
            <w:noWrap w:val="0"/>
            <w:vAlign w:val="center"/>
          </w:tcPr>
          <w:p w14:paraId="7442CD5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tcBorders>
              <w:top w:val="nil"/>
              <w:left w:val="nil"/>
              <w:bottom w:val="nil"/>
              <w:right w:val="single" w:color="auto" w:sz="4" w:space="0"/>
            </w:tcBorders>
            <w:noWrap w:val="0"/>
            <w:vAlign w:val="center"/>
          </w:tcPr>
          <w:p w14:paraId="1838AD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nil"/>
            </w:tcBorders>
            <w:noWrap w:val="0"/>
            <w:vAlign w:val="center"/>
          </w:tcPr>
          <w:p w14:paraId="64AD489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8B3937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continue"/>
            <w:tcBorders>
              <w:top w:val="nil"/>
              <w:bottom w:val="single" w:color="auto" w:sz="4" w:space="0"/>
              <w:right w:val="single" w:color="auto" w:sz="4" w:space="0"/>
            </w:tcBorders>
            <w:noWrap w:val="0"/>
            <w:vAlign w:val="center"/>
          </w:tcPr>
          <w:p w14:paraId="11C2C42F">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5021CE91">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12B5BBB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38F00F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tcBorders>
              <w:top w:val="nil"/>
              <w:left w:val="nil"/>
              <w:bottom w:val="single" w:color="auto" w:sz="4" w:space="0"/>
              <w:right w:val="single" w:color="auto" w:sz="4" w:space="0"/>
            </w:tcBorders>
            <w:noWrap w:val="0"/>
            <w:vAlign w:val="center"/>
          </w:tcPr>
          <w:p w14:paraId="6B606E9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tcBorders>
              <w:top w:val="nil"/>
              <w:left w:val="nil"/>
              <w:bottom w:val="single" w:color="auto" w:sz="4" w:space="0"/>
              <w:right w:val="single" w:color="auto" w:sz="4" w:space="0"/>
            </w:tcBorders>
            <w:noWrap w:val="0"/>
            <w:vAlign w:val="center"/>
          </w:tcPr>
          <w:p w14:paraId="67A0A3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tcBorders>
              <w:top w:val="nil"/>
              <w:left w:val="nil"/>
              <w:bottom w:val="single" w:color="auto" w:sz="4" w:space="0"/>
            </w:tcBorders>
            <w:noWrap w:val="0"/>
            <w:vAlign w:val="center"/>
          </w:tcPr>
          <w:p w14:paraId="3A2B06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06F7353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restart"/>
            <w:tcBorders>
              <w:top w:val="nil"/>
              <w:bottom w:val="single" w:color="auto" w:sz="4" w:space="0"/>
              <w:right w:val="single" w:color="auto" w:sz="4" w:space="0"/>
            </w:tcBorders>
            <w:noWrap w:val="0"/>
            <w:vAlign w:val="center"/>
          </w:tcPr>
          <w:p w14:paraId="3E1D0B4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tcBorders>
              <w:top w:val="nil"/>
              <w:left w:val="nil"/>
              <w:bottom w:val="nil"/>
              <w:right w:val="single" w:color="auto" w:sz="4" w:space="0"/>
            </w:tcBorders>
            <w:noWrap w:val="0"/>
            <w:vAlign w:val="center"/>
          </w:tcPr>
          <w:p w14:paraId="71591B5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3348B2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567621D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noWrap w:val="0"/>
            <w:vAlign w:val="center"/>
          </w:tcPr>
          <w:p w14:paraId="53DB7FF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noWrap w:val="0"/>
            <w:vAlign w:val="center"/>
          </w:tcPr>
          <w:p w14:paraId="0825CA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tcBorders>
              <w:top w:val="nil"/>
              <w:left w:val="nil"/>
              <w:bottom w:val="nil"/>
            </w:tcBorders>
            <w:noWrap w:val="0"/>
            <w:vAlign w:val="center"/>
          </w:tcPr>
          <w:p w14:paraId="59B5764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19BAE4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continue"/>
            <w:tcBorders>
              <w:top w:val="nil"/>
              <w:bottom w:val="single" w:color="auto" w:sz="4" w:space="0"/>
              <w:right w:val="single" w:color="auto" w:sz="4" w:space="0"/>
            </w:tcBorders>
            <w:noWrap w:val="0"/>
            <w:vAlign w:val="center"/>
          </w:tcPr>
          <w:p w14:paraId="29FDEC89">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5762D839">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2A24C5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0CEAD09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tcBorders>
              <w:top w:val="nil"/>
              <w:left w:val="nil"/>
              <w:bottom w:val="single" w:color="auto" w:sz="4" w:space="0"/>
              <w:right w:val="single" w:color="auto" w:sz="4" w:space="0"/>
            </w:tcBorders>
            <w:noWrap w:val="0"/>
            <w:vAlign w:val="center"/>
          </w:tcPr>
          <w:p w14:paraId="427B3858">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tcBorders>
              <w:top w:val="nil"/>
              <w:left w:val="nil"/>
              <w:bottom w:val="single" w:color="auto" w:sz="4" w:space="0"/>
              <w:right w:val="single" w:color="auto" w:sz="4" w:space="0"/>
            </w:tcBorders>
            <w:noWrap w:val="0"/>
            <w:vAlign w:val="center"/>
          </w:tcPr>
          <w:p w14:paraId="69A3E3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tcBorders>
              <w:top w:val="nil"/>
              <w:left w:val="nil"/>
              <w:bottom w:val="single" w:color="auto" w:sz="4" w:space="0"/>
            </w:tcBorders>
            <w:noWrap w:val="0"/>
            <w:vAlign w:val="center"/>
          </w:tcPr>
          <w:p w14:paraId="59BF81C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26FDE19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restart"/>
            <w:tcBorders>
              <w:top w:val="nil"/>
              <w:bottom w:val="single" w:color="auto" w:sz="4" w:space="0"/>
              <w:right w:val="single" w:color="auto" w:sz="4" w:space="0"/>
            </w:tcBorders>
            <w:noWrap w:val="0"/>
            <w:vAlign w:val="center"/>
          </w:tcPr>
          <w:p w14:paraId="36EB935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tcBorders>
              <w:top w:val="nil"/>
              <w:left w:val="nil"/>
              <w:bottom w:val="nil"/>
              <w:right w:val="single" w:color="auto" w:sz="4" w:space="0"/>
            </w:tcBorders>
            <w:noWrap w:val="0"/>
            <w:vAlign w:val="center"/>
          </w:tcPr>
          <w:p w14:paraId="159AEB2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794F34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0ABA795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noWrap w:val="0"/>
            <w:vAlign w:val="center"/>
          </w:tcPr>
          <w:p w14:paraId="342CE04E">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14:paraId="06C5225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tcBorders>
            <w:noWrap w:val="0"/>
            <w:vAlign w:val="center"/>
          </w:tcPr>
          <w:p w14:paraId="7B410A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54D7A8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continue"/>
            <w:tcBorders>
              <w:top w:val="nil"/>
              <w:bottom w:val="single" w:color="auto" w:sz="4" w:space="0"/>
              <w:right w:val="single" w:color="auto" w:sz="4" w:space="0"/>
            </w:tcBorders>
            <w:noWrap w:val="0"/>
            <w:vAlign w:val="center"/>
          </w:tcPr>
          <w:p w14:paraId="1456E5BE">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391E6AB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49EE308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2BE8C1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tcBorders>
              <w:top w:val="nil"/>
              <w:left w:val="nil"/>
              <w:bottom w:val="single" w:color="auto" w:sz="4" w:space="0"/>
              <w:right w:val="single" w:color="auto" w:sz="4" w:space="0"/>
            </w:tcBorders>
            <w:noWrap w:val="0"/>
            <w:vAlign w:val="center"/>
          </w:tcPr>
          <w:p w14:paraId="4A04385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tcBorders>
              <w:top w:val="nil"/>
              <w:left w:val="nil"/>
              <w:bottom w:val="single" w:color="auto" w:sz="4" w:space="0"/>
              <w:right w:val="single" w:color="auto" w:sz="4" w:space="0"/>
            </w:tcBorders>
            <w:noWrap w:val="0"/>
            <w:vAlign w:val="center"/>
          </w:tcPr>
          <w:p w14:paraId="6A938D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tcBorders>
              <w:top w:val="nil"/>
              <w:left w:val="nil"/>
              <w:bottom w:val="single" w:color="auto" w:sz="4" w:space="0"/>
            </w:tcBorders>
            <w:noWrap w:val="0"/>
            <w:vAlign w:val="center"/>
          </w:tcPr>
          <w:p w14:paraId="21E245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20FC45E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tcBorders>
              <w:top w:val="nil"/>
              <w:right w:val="single" w:color="auto" w:sz="4" w:space="0"/>
            </w:tcBorders>
            <w:noWrap w:val="0"/>
            <w:vAlign w:val="center"/>
          </w:tcPr>
          <w:p w14:paraId="4748F91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tcBorders>
              <w:top w:val="nil"/>
              <w:left w:val="nil"/>
              <w:right w:val="single" w:color="auto" w:sz="4" w:space="0"/>
            </w:tcBorders>
            <w:noWrap w:val="0"/>
            <w:vAlign w:val="center"/>
          </w:tcPr>
          <w:p w14:paraId="5790E15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right w:val="single" w:color="auto" w:sz="4" w:space="0"/>
            </w:tcBorders>
            <w:noWrap w:val="0"/>
            <w:vAlign w:val="center"/>
          </w:tcPr>
          <w:p w14:paraId="21CA352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right w:val="single" w:color="auto" w:sz="4" w:space="0"/>
            </w:tcBorders>
            <w:noWrap w:val="0"/>
            <w:vAlign w:val="center"/>
          </w:tcPr>
          <w:p w14:paraId="2D8108B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right w:val="single" w:color="auto" w:sz="4" w:space="0"/>
            </w:tcBorders>
            <w:noWrap w:val="0"/>
            <w:vAlign w:val="center"/>
          </w:tcPr>
          <w:p w14:paraId="73E09D06">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right w:val="single" w:color="auto" w:sz="4" w:space="0"/>
            </w:tcBorders>
            <w:noWrap w:val="0"/>
            <w:vAlign w:val="center"/>
          </w:tcPr>
          <w:p w14:paraId="2F9802B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tcBorders>
            <w:noWrap w:val="0"/>
            <w:vAlign w:val="center"/>
          </w:tcPr>
          <w:p w14:paraId="5F4B0B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33506FC2">
      <w:pPr>
        <w:pStyle w:val="15"/>
        <w:keepNext w:val="0"/>
        <w:keepLines w:val="0"/>
        <w:widowControl/>
        <w:suppressLineNumbers w:val="0"/>
        <w:spacing w:line="432"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　</w:t>
      </w:r>
    </w:p>
    <w:p w14:paraId="5B32A2BB">
      <w:pPr>
        <w:pStyle w:val="15"/>
        <w:keepNext w:val="0"/>
        <w:keepLines w:val="0"/>
        <w:widowControl/>
        <w:suppressLineNumbers w:val="0"/>
        <w:spacing w:line="432" w:lineRule="auto"/>
        <w:jc w:val="center"/>
        <w:rPr>
          <w:rStyle w:val="20"/>
          <w:rFonts w:hint="eastAsia" w:ascii="宋体" w:hAnsi="宋体" w:eastAsia="宋体" w:cs="宋体"/>
          <w:color w:val="auto"/>
          <w:sz w:val="36"/>
          <w:szCs w:val="36"/>
          <w:highlight w:val="none"/>
          <w:u w:val="none"/>
        </w:rPr>
      </w:pPr>
    </w:p>
    <w:p w14:paraId="13A0F835">
      <w:pPr>
        <w:pStyle w:val="15"/>
        <w:keepNext w:val="0"/>
        <w:keepLines w:val="0"/>
        <w:widowControl/>
        <w:suppressLineNumbers w:val="0"/>
        <w:spacing w:line="432" w:lineRule="auto"/>
        <w:jc w:val="center"/>
        <w:rPr>
          <w:rStyle w:val="20"/>
          <w:rFonts w:hint="eastAsia" w:ascii="宋体" w:hAnsi="宋体" w:eastAsia="宋体" w:cs="宋体"/>
          <w:color w:val="auto"/>
          <w:sz w:val="36"/>
          <w:szCs w:val="36"/>
          <w:highlight w:val="none"/>
          <w:u w:val="none"/>
        </w:rPr>
      </w:pPr>
      <w:r>
        <w:rPr>
          <w:rStyle w:val="20"/>
          <w:rFonts w:hint="eastAsia" w:ascii="宋体" w:hAnsi="宋体" w:eastAsia="宋体" w:cs="宋体"/>
          <w:color w:val="auto"/>
          <w:sz w:val="36"/>
          <w:szCs w:val="36"/>
          <w:highlight w:val="none"/>
          <w:u w:val="none"/>
        </w:rPr>
        <w:t>中小企业划型标准规定</w:t>
      </w:r>
    </w:p>
    <w:p w14:paraId="146B04F8">
      <w:pPr>
        <w:pStyle w:val="15"/>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一、根据《中华人民共和国中小企业促进法》和《国务院关于进一步促进中小企业发展的若干意见》(国发〔2009〕36号)，制定本规定。</w:t>
      </w:r>
    </w:p>
    <w:p w14:paraId="05C067DF">
      <w:pPr>
        <w:pStyle w:val="15"/>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二、中小企业划分为中型、小型、微型三种类型，具体标准根据企业从业人员、营业收入、资产总额等指标，结合行业特点制定。</w:t>
      </w:r>
    </w:p>
    <w:p w14:paraId="7125246B">
      <w:pPr>
        <w:pStyle w:val="15"/>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7533FC9">
      <w:pPr>
        <w:pStyle w:val="15"/>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四、各行业划型标准为：</w:t>
      </w:r>
    </w:p>
    <w:p w14:paraId="40A3F0D0">
      <w:pPr>
        <w:pStyle w:val="15"/>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（一）农、林、牧、渔业。营业收入20000万元以下的为中小微型企业。其中，营业收入500万元及以上的为中型企业，营业收入50万元及以上的为小型企业，营业收入50万元以下的为微型企业。</w:t>
      </w:r>
    </w:p>
    <w:p w14:paraId="4628084D">
      <w:pPr>
        <w:pStyle w:val="15"/>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6E98B24">
      <w:pPr>
        <w:pStyle w:val="15"/>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1908FEF">
      <w:pPr>
        <w:pStyle w:val="15"/>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2F6CC59">
      <w:pPr>
        <w:pStyle w:val="15"/>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A5C3B52">
      <w:pPr>
        <w:pStyle w:val="15"/>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0C246FD">
      <w:pPr>
        <w:pStyle w:val="15"/>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49230E6">
      <w:pPr>
        <w:pStyle w:val="15"/>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FC89BB5">
      <w:pPr>
        <w:pStyle w:val="15"/>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121802E">
      <w:pPr>
        <w:pStyle w:val="15"/>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7ACA365">
      <w:pPr>
        <w:pStyle w:val="15"/>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0C572F4">
      <w:pPr>
        <w:pStyle w:val="15"/>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88A935F">
      <w:pPr>
        <w:pStyle w:val="15"/>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D8BCBDF">
      <w:pPr>
        <w:pStyle w:val="15"/>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EB80809">
      <w:pPr>
        <w:pStyle w:val="15"/>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6EDBBCA">
      <w:pPr>
        <w:pStyle w:val="15"/>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（十六）其他未列明行业。从业人员300人以下的为中小微型企业。其中，从业人员100人及以上的为中型企业；从业人员10人及以上的为小型企业；从业人员10人以下的为微型企业。</w:t>
      </w:r>
    </w:p>
    <w:p w14:paraId="491E8A3E">
      <w:pPr>
        <w:pStyle w:val="15"/>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五、企业类型的划分以统计部门的统计数据为依据。</w:t>
      </w:r>
    </w:p>
    <w:p w14:paraId="227E584C">
      <w:pPr>
        <w:pStyle w:val="15"/>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六、本规定适用于在中华人民共和国境内依法设立的各类所有制和各种组织形式的企业。个体工商户和本规定以外的行业，参照本规定进行划型。</w:t>
      </w:r>
    </w:p>
    <w:p w14:paraId="4771D7C1">
      <w:pPr>
        <w:pStyle w:val="15"/>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5122E139">
      <w:pPr>
        <w:pStyle w:val="15"/>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八、本规定由工业和信息化部、国家统计局会同有关部门根据《国民经济行业分类》修订情况和企业发展变化情况适时修订。</w:t>
      </w:r>
    </w:p>
    <w:p w14:paraId="12248CE1">
      <w:pPr>
        <w:pStyle w:val="15"/>
        <w:keepNext w:val="0"/>
        <w:keepLines w:val="0"/>
        <w:widowControl/>
        <w:suppressLineNumbers w:val="0"/>
        <w:spacing w:line="432"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九、本规定由工业和信息化部、国家统计局会同有关部门负责解释。</w:t>
      </w:r>
    </w:p>
    <w:p w14:paraId="5995F44F">
      <w:pPr>
        <w:pStyle w:val="15"/>
        <w:keepNext w:val="0"/>
        <w:keepLines w:val="0"/>
        <w:widowControl/>
        <w:suppressLineNumbers w:val="0"/>
        <w:spacing w:line="432" w:lineRule="auto"/>
        <w:rPr>
          <w:highlight w:val="none"/>
        </w:rPr>
      </w:pPr>
      <w:r>
        <w:rPr>
          <w:rFonts w:hint="eastAsia" w:ascii="宋体" w:hAnsi="宋体" w:eastAsia="宋体" w:cs="宋体"/>
          <w:color w:val="auto"/>
          <w:sz w:val="24"/>
          <w:szCs w:val="24"/>
          <w:highlight w:val="none"/>
          <w:u w:val="none"/>
        </w:rPr>
        <w:t>　　十、本规定自发布之日起执行，原国家经贸委、原国家计委、财政部和国家统计局2003年颁布的《中小企业标准暂行规定》同时废止。</w:t>
      </w:r>
    </w:p>
    <w:sectPr>
      <w:footerReference r:id="rId10" w:type="default"/>
      <w:pgSz w:w="11906" w:h="16838"/>
      <w:pgMar w:top="1134" w:right="992" w:bottom="1134" w:left="113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等线 ( 正文 )">
    <w:altName w:val="等线"/>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9C7E2">
    <w:pPr>
      <w:pStyle w:val="10"/>
      <w:framePr w:wrap="around" w:vAnchor="text" w:hAnchor="margin" w:xAlign="center" w:y="1"/>
      <w:rPr>
        <w:rStyle w:val="21"/>
        <w:b w:val="0"/>
      </w:rPr>
    </w:pPr>
    <w:r>
      <w:fldChar w:fldCharType="begin"/>
    </w:r>
    <w:r>
      <w:rPr>
        <w:rStyle w:val="21"/>
        <w:b w:val="0"/>
      </w:rPr>
      <w:instrText xml:space="preserve">PAGE  </w:instrText>
    </w:r>
    <w:r>
      <w:fldChar w:fldCharType="separate"/>
    </w:r>
    <w:r>
      <w:fldChar w:fldCharType="end"/>
    </w:r>
  </w:p>
  <w:p w14:paraId="4426A062">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A8A80">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695C4">
    <w:pPr>
      <w:pStyle w:val="1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FF21D">
    <w:pPr>
      <w:spacing w:line="14" w:lineRule="auto"/>
      <w:rPr>
        <w:rFonts w:ascii="宋体" w:hAnsi="宋体" w:cs="宋体"/>
        <w:sz w:val="20"/>
        <w:szCs w:val="21"/>
        <w:lang w:eastAsia="en-US"/>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46751">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A446751">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F32CA">
    <w:pPr>
      <w:tabs>
        <w:tab w:val="left" w:pos="3180"/>
      </w:tabs>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9DF7A">
                          <w:pPr>
                            <w:pStyle w:val="1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2E9DF7A">
                    <w:pPr>
                      <w:pStyle w:val="10"/>
                    </w:pPr>
                    <w:r>
                      <w:fldChar w:fldCharType="begin"/>
                    </w:r>
                    <w:r>
                      <w:instrText xml:space="preserve"> PAGE  \* MERGEFORMAT </w:instrText>
                    </w:r>
                    <w:r>
                      <w:fldChar w:fldCharType="separate"/>
                    </w:r>
                    <w:r>
                      <w:t>74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4D49280">
                          <w:pPr>
                            <w:spacing w:before="5"/>
                            <w:ind w:left="20"/>
                            <w:jc w:val="left"/>
                            <w:rPr>
                              <w:rFonts w:ascii="宋体"/>
                              <w:sz w:val="18"/>
                            </w:rPr>
                          </w:pPr>
                        </w:p>
                        <w:p w14:paraId="1B206044">
                          <w:pPr>
                            <w:spacing w:before="8"/>
                            <w:ind w:left="866"/>
                            <w:jc w:val="center"/>
                            <w:rPr>
                              <w:rFonts w:ascii="Calibri"/>
                              <w:sz w:val="18"/>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34D49280">
                    <w:pPr>
                      <w:spacing w:before="5"/>
                      <w:ind w:left="20"/>
                      <w:jc w:val="left"/>
                      <w:rPr>
                        <w:rFonts w:ascii="宋体"/>
                        <w:sz w:val="18"/>
                      </w:rPr>
                    </w:pPr>
                  </w:p>
                  <w:p w14:paraId="1B206044">
                    <w:pPr>
                      <w:spacing w:before="8"/>
                      <w:ind w:left="866"/>
                      <w:jc w:val="center"/>
                      <w:rPr>
                        <w:rFonts w:ascii="Calibri"/>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B0479">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D8AB8">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3B1ED">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E133C"/>
    <w:multiLevelType w:val="singleLevel"/>
    <w:tmpl w:val="A28E133C"/>
    <w:lvl w:ilvl="0" w:tentative="0">
      <w:start w:val="7"/>
      <w:numFmt w:val="chineseCounting"/>
      <w:suff w:val="space"/>
      <w:lvlText w:val="第%1章"/>
      <w:lvlJc w:val="left"/>
      <w:rPr>
        <w:rFonts w:hint="eastAsia"/>
      </w:rPr>
    </w:lvl>
  </w:abstractNum>
  <w:abstractNum w:abstractNumId="1">
    <w:nsid w:val="B080FBCC"/>
    <w:multiLevelType w:val="singleLevel"/>
    <w:tmpl w:val="B080FBCC"/>
    <w:lvl w:ilvl="0" w:tentative="0">
      <w:start w:val="1"/>
      <w:numFmt w:val="decimal"/>
      <w:suff w:val="nothing"/>
      <w:lvlText w:val="（%1）"/>
      <w:lvlJc w:val="left"/>
    </w:lvl>
  </w:abstractNum>
  <w:abstractNum w:abstractNumId="2">
    <w:nsid w:val="CE06F564"/>
    <w:multiLevelType w:val="singleLevel"/>
    <w:tmpl w:val="CE06F564"/>
    <w:lvl w:ilvl="0" w:tentative="0">
      <w:start w:val="3"/>
      <w:numFmt w:val="chineseCounting"/>
      <w:suff w:val="space"/>
      <w:lvlText w:val="第%1章"/>
      <w:lvlJc w:val="left"/>
      <w:rPr>
        <w:rFonts w:hint="eastAsia"/>
      </w:rPr>
    </w:lvl>
  </w:abstractNum>
  <w:abstractNum w:abstractNumId="3">
    <w:nsid w:val="CE173BF1"/>
    <w:multiLevelType w:val="singleLevel"/>
    <w:tmpl w:val="CE173BF1"/>
    <w:lvl w:ilvl="0" w:tentative="0">
      <w:start w:val="1"/>
      <w:numFmt w:val="decimal"/>
      <w:lvlText w:val="%1."/>
      <w:lvlJc w:val="left"/>
      <w:pPr>
        <w:tabs>
          <w:tab w:val="left" w:pos="312"/>
        </w:tabs>
      </w:pPr>
    </w:lvl>
  </w:abstractNum>
  <w:abstractNum w:abstractNumId="4">
    <w:nsid w:val="00000001"/>
    <w:multiLevelType w:val="singleLevel"/>
    <w:tmpl w:val="00000001"/>
    <w:lvl w:ilvl="0" w:tentative="0">
      <w:start w:val="1"/>
      <w:numFmt w:val="decimal"/>
      <w:suff w:val="nothing"/>
      <w:lvlText w:val="（%1）"/>
      <w:lvlJc w:val="left"/>
    </w:lvl>
  </w:abstractNum>
  <w:abstractNum w:abstractNumId="5">
    <w:nsid w:val="00000008"/>
    <w:multiLevelType w:val="multilevel"/>
    <w:tmpl w:val="0000000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364F2A"/>
    <w:multiLevelType w:val="multilevel"/>
    <w:tmpl w:val="00364F2A"/>
    <w:lvl w:ilvl="0" w:tentative="0">
      <w:start w:val="1"/>
      <w:numFmt w:val="decimal"/>
      <w:lvlText w:val="%1)"/>
      <w:lvlJc w:val="left"/>
      <w:pPr>
        <w:tabs>
          <w:tab w:val="left" w:pos="851"/>
        </w:tabs>
        <w:ind w:left="851" w:hanging="454"/>
      </w:pPr>
      <w:rPr>
        <w:rFonts w:hint="eastAsia"/>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AD450A8"/>
    <w:multiLevelType w:val="singleLevel"/>
    <w:tmpl w:val="5AD450A8"/>
    <w:lvl w:ilvl="0" w:tentative="0">
      <w:start w:val="2"/>
      <w:numFmt w:val="decimal"/>
      <w:suff w:val="space"/>
      <w:lvlText w:val="%1."/>
      <w:lvlJc w:val="left"/>
    </w:lvl>
  </w:abstractNum>
  <w:abstractNum w:abstractNumId="8">
    <w:nsid w:val="5AD45148"/>
    <w:multiLevelType w:val="singleLevel"/>
    <w:tmpl w:val="5AD45148"/>
    <w:lvl w:ilvl="0" w:tentative="0">
      <w:start w:val="4"/>
      <w:numFmt w:val="decimal"/>
      <w:suff w:val="nothing"/>
      <w:lvlText w:val="%1．"/>
      <w:lvlJc w:val="left"/>
    </w:lvl>
  </w:abstractNum>
  <w:abstractNum w:abstractNumId="9">
    <w:nsid w:val="7429E059"/>
    <w:multiLevelType w:val="singleLevel"/>
    <w:tmpl w:val="7429E059"/>
    <w:lvl w:ilvl="0" w:tentative="0">
      <w:start w:val="1"/>
      <w:numFmt w:val="chineseCounting"/>
      <w:suff w:val="nothing"/>
      <w:lvlText w:val="%1、"/>
      <w:lvlJc w:val="left"/>
      <w:rPr>
        <w:rFonts w:hint="eastAsia"/>
      </w:rPr>
    </w:lvl>
  </w:abstractNum>
  <w:num w:numId="1">
    <w:abstractNumId w:val="2"/>
  </w:num>
  <w:num w:numId="2">
    <w:abstractNumId w:val="3"/>
  </w:num>
  <w:num w:numId="3">
    <w:abstractNumId w:val="4"/>
  </w:num>
  <w:num w:numId="4">
    <w:abstractNumId w:val="9"/>
  </w:num>
  <w:num w:numId="5">
    <w:abstractNumId w:val="1"/>
  </w:num>
  <w:num w:numId="6">
    <w:abstractNumId w:val="7"/>
  </w:num>
  <w:num w:numId="7">
    <w:abstractNumId w:val="8"/>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F0A1E"/>
    <w:rsid w:val="00730C79"/>
    <w:rsid w:val="01036383"/>
    <w:rsid w:val="02A94278"/>
    <w:rsid w:val="0831062B"/>
    <w:rsid w:val="11903D87"/>
    <w:rsid w:val="1595629C"/>
    <w:rsid w:val="15E32F93"/>
    <w:rsid w:val="1CA24CAE"/>
    <w:rsid w:val="20230E0A"/>
    <w:rsid w:val="25F927B1"/>
    <w:rsid w:val="282D1FE9"/>
    <w:rsid w:val="30F444DE"/>
    <w:rsid w:val="33BB2C44"/>
    <w:rsid w:val="39B21C87"/>
    <w:rsid w:val="3A091644"/>
    <w:rsid w:val="40776F0E"/>
    <w:rsid w:val="43860523"/>
    <w:rsid w:val="4A310215"/>
    <w:rsid w:val="58154AB4"/>
    <w:rsid w:val="5BC440EB"/>
    <w:rsid w:val="5D9C49CF"/>
    <w:rsid w:val="63955213"/>
    <w:rsid w:val="6A5965A1"/>
    <w:rsid w:val="6C38098B"/>
    <w:rsid w:val="745F0A1E"/>
    <w:rsid w:val="777D2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line="416" w:lineRule="atLeast"/>
      <w:outlineLvl w:val="2"/>
    </w:pPr>
    <w:rPr>
      <w:b/>
      <w:bCs/>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index 8"/>
    <w:basedOn w:val="1"/>
    <w:next w:val="1"/>
    <w:unhideWhenUsed/>
    <w:qFormat/>
    <w:uiPriority w:val="99"/>
    <w:pPr>
      <w:ind w:left="1400" w:leftChars="1400"/>
    </w:p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szCs w:val="20"/>
    </w:rPr>
  </w:style>
  <w:style w:type="paragraph" w:styleId="9">
    <w:name w:val="Date"/>
    <w:basedOn w:val="1"/>
    <w:next w:val="1"/>
    <w:qFormat/>
    <w:uiPriority w:val="0"/>
    <w:pPr>
      <w:ind w:left="100" w:leftChars="2500"/>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rFonts w:ascii="Calibri" w:hAnsi="Calibri" w:cs="Calibri"/>
      <w:b/>
      <w:bCs/>
      <w:caps/>
      <w:sz w:val="20"/>
      <w:szCs w:val="20"/>
    </w:rPr>
  </w:style>
  <w:style w:type="paragraph" w:styleId="13">
    <w:name w:val="toc 4"/>
    <w:basedOn w:val="1"/>
    <w:next w:val="1"/>
    <w:qFormat/>
    <w:uiPriority w:val="0"/>
    <w:pPr>
      <w:ind w:left="630"/>
      <w:jc w:val="left"/>
    </w:pPr>
    <w:rPr>
      <w:rFonts w:ascii="Calibri" w:hAnsi="Calibri" w:cs="Calibri"/>
      <w:sz w:val="18"/>
      <w:szCs w:val="18"/>
    </w:rPr>
  </w:style>
  <w:style w:type="paragraph" w:styleId="14">
    <w:name w:val="toc 9"/>
    <w:basedOn w:val="1"/>
    <w:next w:val="1"/>
    <w:qFormat/>
    <w:uiPriority w:val="0"/>
    <w:pPr>
      <w:ind w:left="3360" w:leftChars="1600"/>
    </w:pPr>
    <w:rPr>
      <w:rFonts w:ascii="Calibri" w:hAnsi="Calibri"/>
      <w:szCs w:val="22"/>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w:basedOn w:val="6"/>
    <w:qFormat/>
    <w:uiPriority w:val="0"/>
    <w:pPr>
      <w:ind w:firstLine="420"/>
    </w:pPr>
    <w:rPr>
      <w:rFonts w:ascii="仿宋_GB2312" w:hAnsi="宋体"/>
      <w:snapToGrid w:val="0"/>
      <w:sz w:val="30"/>
    </w:rPr>
  </w:style>
  <w:style w:type="paragraph" w:styleId="17">
    <w:name w:val="Body Text First Indent 2"/>
    <w:basedOn w:val="7"/>
    <w:qFormat/>
    <w:uiPriority w:val="0"/>
    <w:pPr>
      <w:ind w:firstLine="420" w:firstLineChars="200"/>
    </w:pPr>
  </w:style>
  <w:style w:type="character" w:styleId="20">
    <w:name w:val="Strong"/>
    <w:basedOn w:val="19"/>
    <w:qFormat/>
    <w:uiPriority w:val="0"/>
    <w:rPr>
      <w:b/>
      <w:bCs/>
    </w:rPr>
  </w:style>
  <w:style w:type="character" w:styleId="21">
    <w:name w:val="page number"/>
    <w:basedOn w:val="19"/>
    <w:qFormat/>
    <w:uiPriority w:val="0"/>
  </w:style>
  <w:style w:type="character" w:styleId="22">
    <w:name w:val="FollowedHyperlink"/>
    <w:basedOn w:val="19"/>
    <w:qFormat/>
    <w:uiPriority w:val="0"/>
    <w:rPr>
      <w:rFonts w:hint="eastAsia" w:ascii="微软雅黑" w:hAnsi="微软雅黑" w:eastAsia="微软雅黑" w:cs="微软雅黑"/>
      <w:color w:val="394351"/>
      <w:u w:val="none"/>
    </w:rPr>
  </w:style>
  <w:style w:type="character" w:styleId="23">
    <w:name w:val="Emphasis"/>
    <w:basedOn w:val="19"/>
    <w:qFormat/>
    <w:uiPriority w:val="0"/>
  </w:style>
  <w:style w:type="character" w:styleId="24">
    <w:name w:val="HTML Definition"/>
    <w:basedOn w:val="19"/>
    <w:qFormat/>
    <w:uiPriority w:val="0"/>
  </w:style>
  <w:style w:type="character" w:styleId="25">
    <w:name w:val="HTML Variable"/>
    <w:basedOn w:val="19"/>
    <w:qFormat/>
    <w:uiPriority w:val="0"/>
  </w:style>
  <w:style w:type="character" w:styleId="26">
    <w:name w:val="Hyperlink"/>
    <w:basedOn w:val="19"/>
    <w:qFormat/>
    <w:uiPriority w:val="0"/>
    <w:rPr>
      <w:rFonts w:hint="eastAsia" w:ascii="微软雅黑" w:hAnsi="微软雅黑" w:eastAsia="微软雅黑" w:cs="微软雅黑"/>
      <w:color w:val="394351"/>
      <w:u w:val="none"/>
    </w:rPr>
  </w:style>
  <w:style w:type="character" w:styleId="27">
    <w:name w:val="HTML Code"/>
    <w:basedOn w:val="19"/>
    <w:qFormat/>
    <w:uiPriority w:val="0"/>
    <w:rPr>
      <w:rFonts w:ascii="Courier New" w:hAnsi="Courier New"/>
      <w:sz w:val="20"/>
    </w:rPr>
  </w:style>
  <w:style w:type="character" w:styleId="28">
    <w:name w:val="HTML Cite"/>
    <w:basedOn w:val="19"/>
    <w:qFormat/>
    <w:uiPriority w:val="0"/>
  </w:style>
  <w:style w:type="character" w:styleId="29">
    <w:name w:val="HTML Keyboard"/>
    <w:basedOn w:val="19"/>
    <w:qFormat/>
    <w:uiPriority w:val="0"/>
    <w:rPr>
      <w:rFonts w:ascii="Courier New" w:hAnsi="Courier New"/>
      <w:sz w:val="20"/>
    </w:rPr>
  </w:style>
  <w:style w:type="character" w:styleId="30">
    <w:name w:val="HTML Sample"/>
    <w:basedOn w:val="19"/>
    <w:qFormat/>
    <w:uiPriority w:val="0"/>
    <w:rPr>
      <w:rFonts w:ascii="Courier New" w:hAnsi="Courier New"/>
    </w:rPr>
  </w:style>
  <w:style w:type="paragraph" w:customStyle="1" w:styleId="31">
    <w:name w:val="列出段落1"/>
    <w:basedOn w:val="1"/>
    <w:qFormat/>
    <w:uiPriority w:val="0"/>
    <w:pPr>
      <w:ind w:firstLine="420" w:firstLineChars="200"/>
    </w:pPr>
    <w:rPr>
      <w:rFonts w:ascii="Calibri" w:hAnsi="Calibri"/>
      <w:szCs w:val="22"/>
    </w:rPr>
  </w:style>
  <w:style w:type="paragraph" w:customStyle="1" w:styleId="32">
    <w:name w:val="_Style 5"/>
    <w:qFormat/>
    <w:uiPriority w:val="1"/>
    <w:rPr>
      <w:rFonts w:ascii="Times New Roman" w:hAnsi="Times New Roman" w:eastAsia="宋体" w:cs="Times New Roman"/>
      <w:sz w:val="22"/>
      <w:szCs w:val="22"/>
      <w:lang w:val="en-US" w:eastAsia="zh-CN" w:bidi="ar-SA"/>
    </w:rPr>
  </w:style>
  <w:style w:type="paragraph" w:customStyle="1" w:styleId="33">
    <w:name w:val="样式2"/>
    <w:basedOn w:val="1"/>
    <w:qFormat/>
    <w:uiPriority w:val="0"/>
    <w:rPr>
      <w:rFonts w:ascii="仿宋_GB2312" w:eastAsia="仿宋_GB2312"/>
      <w:sz w:val="32"/>
      <w:szCs w:val="20"/>
    </w:rPr>
  </w:style>
  <w:style w:type="paragraph" w:styleId="34">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35">
    <w:name w:val="null3"/>
    <w:qFormat/>
    <w:uiPriority w:val="0"/>
    <w:rPr>
      <w:rFonts w:hint="eastAsia" w:ascii="Calibri" w:hAnsi="Calibri" w:eastAsia="宋体" w:cs="Times New Roman"/>
      <w:lang w:val="en-US" w:eastAsia="zh-Hans"/>
    </w:rPr>
  </w:style>
  <w:style w:type="paragraph" w:customStyle="1" w:styleId="36">
    <w:name w:val="List Paragraph1"/>
    <w:basedOn w:val="1"/>
    <w:qFormat/>
    <w:uiPriority w:val="0"/>
    <w:pPr>
      <w:ind w:firstLine="420"/>
    </w:pPr>
  </w:style>
  <w:style w:type="paragraph" w:customStyle="1" w:styleId="3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38">
    <w:name w:val="NormalCharacter"/>
    <w:semiHidden/>
    <w:qFormat/>
    <w:uiPriority w:val="0"/>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Char2 Char Char Char"/>
    <w:basedOn w:val="1"/>
    <w:qFormat/>
    <w:uiPriority w:val="0"/>
    <w:pPr>
      <w:spacing w:after="160" w:line="240" w:lineRule="exact"/>
      <w:jc w:val="left"/>
    </w:pPr>
    <w:rPr>
      <w:kern w:val="2"/>
      <w:sz w:val="21"/>
      <w:szCs w:val="24"/>
    </w:rPr>
  </w:style>
  <w:style w:type="paragraph" w:customStyle="1" w:styleId="41">
    <w:name w:val="Normal Indent1"/>
    <w:qFormat/>
    <w:uiPriority w:val="0"/>
    <w:pPr>
      <w:spacing w:after="160" w:afterLines="50" w:line="360" w:lineRule="auto"/>
      <w:ind w:firstLine="420" w:firstLineChars="200"/>
    </w:pPr>
    <w:rPr>
      <w:rFonts w:ascii="Times New Roman" w:hAnsi="Times New Roman" w:eastAsia="宋体" w:cs="Times New Roman"/>
      <w:lang w:val="en-US" w:eastAsia="zh-CN" w:bidi="ar-SA"/>
    </w:rPr>
  </w:style>
  <w:style w:type="paragraph" w:customStyle="1" w:styleId="42">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43">
    <w:name w:val="Normal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44">
    <w:name w:val="font11"/>
    <w:basedOn w:val="19"/>
    <w:qFormat/>
    <w:uiPriority w:val="0"/>
    <w:rPr>
      <w:rFonts w:hint="eastAsia" w:ascii="等线" w:hAnsi="等线" w:eastAsia="等线" w:cs="等线"/>
      <w:color w:val="000000"/>
      <w:sz w:val="24"/>
      <w:szCs w:val="24"/>
      <w:u w:val="none"/>
    </w:rPr>
  </w:style>
  <w:style w:type="character" w:customStyle="1" w:styleId="45">
    <w:name w:val="font21"/>
    <w:basedOn w:val="19"/>
    <w:qFormat/>
    <w:uiPriority w:val="0"/>
    <w:rPr>
      <w:rFonts w:ascii="等线 ( 正文 )" w:hAnsi="等线 ( 正文 )" w:eastAsia="等线 ( 正文 )" w:cs="等线 ( 正文 )"/>
      <w:color w:val="000000"/>
      <w:sz w:val="24"/>
      <w:szCs w:val="24"/>
      <w:u w:val="none"/>
    </w:rPr>
  </w:style>
  <w:style w:type="character" w:customStyle="1" w:styleId="46">
    <w:name w:val="font01"/>
    <w:basedOn w:val="19"/>
    <w:qFormat/>
    <w:uiPriority w:val="0"/>
    <w:rPr>
      <w:rFonts w:hint="eastAsia" w:ascii="等线" w:hAnsi="等线" w:eastAsia="等线" w:cs="等线"/>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36120</Words>
  <Characters>39502</Characters>
  <Lines>0</Lines>
  <Paragraphs>0</Paragraphs>
  <TotalTime>4</TotalTime>
  <ScaleCrop>false</ScaleCrop>
  <LinksUpToDate>false</LinksUpToDate>
  <CharactersWithSpaces>42113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2025-06-12T10:45:00Z</dcterms:created>
  <dc:creator>Feng</dc:creator>
  <cp:lastModifiedBy>Feng</cp:lastModifiedBy>
  <dcterms:modified xsi:type="dcterms:W3CDTF">2025-07-11T00:05:47Z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3CA0367B3F9A43CFB447AB09B45DD65B_13</vt:lpwstr>
  </property>
  <property fmtid="{D5CDD505-2E9C-101B-9397-08002B2CF9AE}" pid="4" name="KSOTemplateDocerSaveRecord">
    <vt:lpwstr>eyJoZGlkIjoiYzFkMTRhNmQwZjQyMzA4MWViYjA0OTBlZWI1YjE2ODEiLCJ1c2VySWQiOiIyNjkxMzk3MjUifQ==</vt:lpwstr>
  </property>
</Properties>
</file>