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C229">
      <w:pPr>
        <w:pStyle w:val="12"/>
        <w:pageBreakBefore w:val="0"/>
        <w:kinsoku/>
        <w:wordWrap w:val="0"/>
        <w:overflowPunct/>
        <w:bidi w:val="0"/>
        <w:spacing w:line="0" w:lineRule="atLeast"/>
        <w:jc w:val="both"/>
        <w:rPr>
          <w:rFonts w:hint="eastAsia" w:ascii="黑体" w:eastAsia="黑体"/>
          <w:b/>
          <w:color w:val="000000"/>
          <w:sz w:val="32"/>
          <w:szCs w:val="32"/>
          <w:highlight w:val="none"/>
        </w:rPr>
      </w:pPr>
      <w:bookmarkStart w:id="0" w:name="_Toc246996898"/>
      <w:bookmarkStart w:id="1" w:name="_Toc296602400"/>
      <w:bookmarkStart w:id="2" w:name="_Toc247085669"/>
    </w:p>
    <w:p w14:paraId="62D29697">
      <w:pPr>
        <w:pageBreakBefore w:val="0"/>
        <w:kinsoku/>
        <w:wordWrap w:val="0"/>
        <w:overflowPunct/>
        <w:bidi w:val="0"/>
        <w:spacing w:line="360" w:lineRule="auto"/>
        <w:jc w:val="center"/>
        <w:rPr>
          <w:rFonts w:hint="eastAsia" w:ascii="宋体" w:eastAsia="宋体"/>
          <w:b/>
          <w:sz w:val="52"/>
          <w:szCs w:val="48"/>
          <w:highlight w:val="none"/>
          <w:lang w:eastAsia="zh-CN"/>
        </w:rPr>
      </w:pPr>
      <w:bookmarkStart w:id="3" w:name="_Hlk64874400"/>
      <w:bookmarkEnd w:id="3"/>
      <w:bookmarkStart w:id="4" w:name="receiveSubject"/>
      <w:r>
        <w:rPr>
          <w:rFonts w:hint="eastAsia" w:ascii="宋体"/>
          <w:b/>
          <w:color w:val="000000"/>
          <w:sz w:val="52"/>
          <w:szCs w:val="48"/>
          <w:highlight w:val="none"/>
          <w:lang w:eastAsia="zh-CN"/>
        </w:rPr>
        <w:t>长春新区教育局学校多媒体教室设备采购项目（二）</w:t>
      </w:r>
    </w:p>
    <w:p w14:paraId="72040066">
      <w:pPr>
        <w:pStyle w:val="20"/>
        <w:pageBreakBefore w:val="0"/>
        <w:kinsoku/>
        <w:wordWrap w:val="0"/>
        <w:overflowPunct/>
        <w:bidi w:val="0"/>
        <w:rPr>
          <w:rFonts w:hint="eastAsia"/>
          <w:b/>
          <w:sz w:val="54"/>
          <w:szCs w:val="52"/>
          <w:highlight w:val="none"/>
        </w:rPr>
      </w:pPr>
    </w:p>
    <w:p w14:paraId="294CF35B">
      <w:pPr>
        <w:pStyle w:val="20"/>
        <w:pageBreakBefore w:val="0"/>
        <w:kinsoku/>
        <w:wordWrap w:val="0"/>
        <w:overflowPunct/>
        <w:bidi w:val="0"/>
        <w:rPr>
          <w:rFonts w:hint="eastAsia"/>
          <w:b/>
          <w:sz w:val="54"/>
          <w:szCs w:val="52"/>
          <w:highlight w:val="none"/>
        </w:rPr>
      </w:pPr>
    </w:p>
    <w:bookmarkEnd w:id="4"/>
    <w:p w14:paraId="770F7513">
      <w:pPr>
        <w:pageBreakBefore w:val="0"/>
        <w:kinsoku/>
        <w:wordWrap w:val="0"/>
        <w:overflowPunct/>
        <w:bidi w:val="0"/>
        <w:spacing w:line="360" w:lineRule="auto"/>
        <w:jc w:val="center"/>
        <w:rPr>
          <w:rFonts w:hint="eastAsia" w:ascii="宋体"/>
          <w:b/>
          <w:color w:val="000000"/>
          <w:sz w:val="32"/>
          <w:szCs w:val="32"/>
          <w:highlight w:val="none"/>
        </w:rPr>
      </w:pPr>
    </w:p>
    <w:p w14:paraId="781AADD3">
      <w:pPr>
        <w:pageBreakBefore w:val="0"/>
        <w:kinsoku/>
        <w:wordWrap w:val="0"/>
        <w:overflowPunct/>
        <w:bidi w:val="0"/>
        <w:spacing w:line="360" w:lineRule="auto"/>
        <w:jc w:val="center"/>
        <w:rPr>
          <w:rFonts w:hint="eastAsia" w:ascii="宋体" w:hAnsi="宋体" w:eastAsia="宋体" w:cs="宋体"/>
          <w:b/>
          <w:color w:val="000000"/>
          <w:sz w:val="84"/>
          <w:szCs w:val="84"/>
          <w:highlight w:val="none"/>
          <w:lang w:val="en-US"/>
        </w:rPr>
      </w:pPr>
      <w:r>
        <w:rPr>
          <w:rFonts w:hint="eastAsia" w:ascii="宋体" w:hAnsi="宋体" w:eastAsia="宋体" w:cs="宋体"/>
          <w:b/>
          <w:color w:val="000000"/>
          <w:sz w:val="84"/>
          <w:szCs w:val="84"/>
          <w:highlight w:val="none"/>
          <w:lang w:val="en-US" w:eastAsia="zh-CN"/>
        </w:rPr>
        <w:t>招标文件</w:t>
      </w:r>
    </w:p>
    <w:p w14:paraId="61517C18">
      <w:pPr>
        <w:pageBreakBefore w:val="0"/>
        <w:kinsoku/>
        <w:wordWrap w:val="0"/>
        <w:overflowPunct/>
        <w:bidi w:val="0"/>
        <w:rPr>
          <w:rFonts w:hint="eastAsia" w:ascii="宋体"/>
          <w:b/>
          <w:color w:val="000000"/>
          <w:sz w:val="28"/>
          <w:szCs w:val="28"/>
          <w:highlight w:val="none"/>
        </w:rPr>
      </w:pPr>
    </w:p>
    <w:p w14:paraId="541F73C1">
      <w:pPr>
        <w:pageBreakBefore w:val="0"/>
        <w:kinsoku/>
        <w:wordWrap w:val="0"/>
        <w:overflowPunct/>
        <w:bidi w:val="0"/>
        <w:jc w:val="center"/>
        <w:rPr>
          <w:rFonts w:hint="eastAsia" w:ascii="宋体"/>
          <w:b/>
          <w:color w:val="000000"/>
          <w:sz w:val="28"/>
          <w:szCs w:val="28"/>
          <w:highlight w:val="none"/>
        </w:rPr>
      </w:pPr>
    </w:p>
    <w:p w14:paraId="51D4B9A3">
      <w:pPr>
        <w:pageBreakBefore w:val="0"/>
        <w:kinsoku/>
        <w:wordWrap w:val="0"/>
        <w:overflowPunct/>
        <w:bidi w:val="0"/>
        <w:spacing w:line="1000" w:lineRule="exact"/>
        <w:jc w:val="center"/>
        <w:rPr>
          <w:rFonts w:hint="eastAsia" w:ascii="宋体"/>
          <w:b/>
          <w:color w:val="000000"/>
          <w:sz w:val="28"/>
          <w:szCs w:val="28"/>
          <w:highlight w:val="none"/>
        </w:rPr>
      </w:pPr>
      <w:r>
        <w:rPr>
          <w:rFonts w:hint="eastAsia" w:ascii="宋体"/>
          <w:b/>
          <w:color w:val="000000"/>
          <w:sz w:val="28"/>
          <w:szCs w:val="28"/>
          <w:highlight w:val="none"/>
        </w:rPr>
        <w:t>项目编号：</w:t>
      </w:r>
      <w:bookmarkStart w:id="5" w:name="_Hlk64874388"/>
      <w:bookmarkEnd w:id="5"/>
      <w:r>
        <w:rPr>
          <w:rFonts w:hint="eastAsia" w:ascii="宋体"/>
          <w:b/>
          <w:color w:val="000000"/>
          <w:sz w:val="28"/>
          <w:szCs w:val="28"/>
          <w:highlight w:val="none"/>
        </w:rPr>
        <w:fldChar w:fldCharType="begin"/>
      </w:r>
      <w:r>
        <w:rPr>
          <w:rFonts w:hint="eastAsia" w:ascii="宋体"/>
          <w:b/>
          <w:color w:val="000000"/>
          <w:sz w:val="28"/>
          <w:szCs w:val="28"/>
          <w:highlight w:val="none"/>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b/>
          <w:color w:val="000000"/>
          <w:sz w:val="28"/>
          <w:szCs w:val="28"/>
          <w:highlight w:val="none"/>
        </w:rPr>
        <w:fldChar w:fldCharType="separate"/>
      </w:r>
      <w:r>
        <w:rPr>
          <w:rFonts w:hint="eastAsia" w:ascii="宋体"/>
          <w:b/>
          <w:color w:val="000000"/>
          <w:sz w:val="28"/>
          <w:szCs w:val="28"/>
          <w:highlight w:val="none"/>
        </w:rPr>
        <w:t>XQZC2025-03</w:t>
      </w:r>
      <w:r>
        <w:rPr>
          <w:rFonts w:hint="eastAsia" w:ascii="宋体"/>
          <w:b/>
          <w:color w:val="000000"/>
          <w:sz w:val="28"/>
          <w:szCs w:val="28"/>
          <w:highlight w:val="none"/>
          <w:lang w:val="en-US" w:eastAsia="zh-CN"/>
        </w:rPr>
        <w:t>2</w:t>
      </w:r>
      <w:r>
        <w:rPr>
          <w:rFonts w:hint="eastAsia" w:ascii="宋体"/>
          <w:b/>
          <w:color w:val="000000"/>
          <w:sz w:val="28"/>
          <w:szCs w:val="28"/>
          <w:highlight w:val="none"/>
        </w:rPr>
        <w:fldChar w:fldCharType="end"/>
      </w:r>
    </w:p>
    <w:p w14:paraId="660883F0">
      <w:pPr>
        <w:pageBreakBefore w:val="0"/>
        <w:kinsoku/>
        <w:wordWrap w:val="0"/>
        <w:overflowPunct/>
        <w:bidi w:val="0"/>
        <w:jc w:val="center"/>
        <w:rPr>
          <w:rFonts w:hint="eastAsia" w:ascii="宋体"/>
          <w:color w:val="000000"/>
          <w:sz w:val="18"/>
          <w:szCs w:val="18"/>
          <w:highlight w:val="none"/>
        </w:rPr>
      </w:pPr>
    </w:p>
    <w:p w14:paraId="37ADCA08">
      <w:pPr>
        <w:pageBreakBefore w:val="0"/>
        <w:kinsoku/>
        <w:wordWrap w:val="0"/>
        <w:overflowPunct/>
        <w:bidi w:val="0"/>
        <w:spacing w:line="480" w:lineRule="auto"/>
        <w:jc w:val="center"/>
        <w:rPr>
          <w:rFonts w:hint="eastAsia" w:ascii="宋体"/>
          <w:color w:val="000000"/>
          <w:sz w:val="18"/>
          <w:szCs w:val="18"/>
          <w:highlight w:val="none"/>
        </w:rPr>
      </w:pPr>
    </w:p>
    <w:p w14:paraId="32C317E1">
      <w:pPr>
        <w:pageBreakBefore w:val="0"/>
        <w:kinsoku/>
        <w:wordWrap w:val="0"/>
        <w:overflowPunct/>
        <w:bidi w:val="0"/>
        <w:spacing w:line="480" w:lineRule="auto"/>
        <w:jc w:val="center"/>
        <w:rPr>
          <w:rFonts w:hint="eastAsia" w:ascii="宋体"/>
          <w:color w:val="000000"/>
          <w:sz w:val="18"/>
          <w:szCs w:val="18"/>
          <w:highlight w:val="none"/>
        </w:rPr>
      </w:pPr>
    </w:p>
    <w:p w14:paraId="555FFF17">
      <w:pPr>
        <w:pageBreakBefore w:val="0"/>
        <w:kinsoku/>
        <w:wordWrap w:val="0"/>
        <w:overflowPunct/>
        <w:bidi w:val="0"/>
        <w:spacing w:line="360" w:lineRule="auto"/>
        <w:jc w:val="both"/>
        <w:rPr>
          <w:rFonts w:hint="eastAsia" w:ascii="宋体"/>
          <w:b/>
          <w:color w:val="000000"/>
          <w:sz w:val="32"/>
          <w:szCs w:val="24"/>
          <w:highlight w:val="none"/>
        </w:rPr>
      </w:pPr>
    </w:p>
    <w:p w14:paraId="324FD410">
      <w:pPr>
        <w:pageBreakBefore w:val="0"/>
        <w:kinsoku/>
        <w:wordWrap w:val="0"/>
        <w:overflowPunct/>
        <w:bidi w:val="0"/>
        <w:spacing w:line="360" w:lineRule="auto"/>
        <w:jc w:val="center"/>
        <w:rPr>
          <w:rFonts w:hint="eastAsia" w:ascii="宋体"/>
          <w:b/>
          <w:color w:val="000000"/>
          <w:sz w:val="32"/>
          <w:szCs w:val="24"/>
          <w:highlight w:val="none"/>
        </w:rPr>
      </w:pPr>
      <w:r>
        <w:rPr>
          <w:rFonts w:hint="eastAsia" w:ascii="宋体"/>
          <w:b/>
          <w:color w:val="000000"/>
          <w:sz w:val="32"/>
          <w:szCs w:val="24"/>
          <w:highlight w:val="none"/>
        </w:rPr>
        <w:t>采购人：长春新区教育局（盖章）</w:t>
      </w:r>
    </w:p>
    <w:p w14:paraId="68F04F1D">
      <w:pPr>
        <w:pageBreakBefore w:val="0"/>
        <w:kinsoku/>
        <w:wordWrap w:val="0"/>
        <w:overflowPunct/>
        <w:bidi w:val="0"/>
        <w:spacing w:line="360" w:lineRule="auto"/>
        <w:jc w:val="center"/>
        <w:rPr>
          <w:rFonts w:hint="eastAsia" w:ascii="宋体"/>
          <w:b/>
          <w:color w:val="000000"/>
          <w:sz w:val="32"/>
          <w:szCs w:val="24"/>
          <w:highlight w:val="none"/>
        </w:rPr>
      </w:pPr>
      <w:r>
        <w:rPr>
          <w:rFonts w:hint="eastAsia" w:ascii="宋体"/>
          <w:b/>
          <w:color w:val="000000"/>
          <w:sz w:val="32"/>
          <w:szCs w:val="24"/>
          <w:highlight w:val="none"/>
        </w:rPr>
        <w:t>采购代理机构：</w:t>
      </w:r>
      <w:r>
        <w:rPr>
          <w:rStyle w:val="30"/>
          <w:rFonts w:hint="eastAsia" w:ascii="宋体" w:hAnsi="宋体" w:eastAsia="宋体" w:cs="宋体"/>
          <w:b/>
          <w:bCs/>
          <w:color w:val="auto"/>
          <w:sz w:val="32"/>
          <w:szCs w:val="32"/>
          <w:lang w:val="zh-CN"/>
        </w:rPr>
        <w:t>吉林省世博项目管理有限公司</w:t>
      </w:r>
      <w:r>
        <w:rPr>
          <w:rFonts w:hint="eastAsia" w:ascii="宋体"/>
          <w:b/>
          <w:color w:val="000000"/>
          <w:sz w:val="32"/>
          <w:szCs w:val="24"/>
          <w:highlight w:val="none"/>
        </w:rPr>
        <w:t>（盖章）</w:t>
      </w:r>
    </w:p>
    <w:p w14:paraId="1AAF06F8">
      <w:pPr>
        <w:pageBreakBefore w:val="0"/>
        <w:kinsoku/>
        <w:wordWrap w:val="0"/>
        <w:overflowPunct/>
        <w:bidi w:val="0"/>
        <w:snapToGrid w:val="0"/>
        <w:spacing w:line="360" w:lineRule="auto"/>
        <w:ind w:firstLine="643" w:firstLineChars="200"/>
        <w:jc w:val="center"/>
        <w:rPr>
          <w:rStyle w:val="30"/>
          <w:rFonts w:hint="eastAsia" w:ascii="宋体" w:hAnsi="宋体" w:eastAsia="宋体" w:cs="宋体"/>
          <w:b/>
          <w:bCs/>
          <w:color w:val="auto"/>
          <w:sz w:val="32"/>
          <w:szCs w:val="32"/>
        </w:rPr>
      </w:pPr>
      <w:r>
        <w:rPr>
          <w:rFonts w:hint="eastAsia" w:ascii="宋体"/>
          <w:b/>
          <w:color w:val="000000"/>
          <w:sz w:val="32"/>
          <w:szCs w:val="24"/>
          <w:highlight w:val="none"/>
        </w:rPr>
        <w:t>日 期：</w:t>
      </w:r>
      <w:r>
        <w:rPr>
          <w:rStyle w:val="30"/>
          <w:rFonts w:hint="eastAsia" w:ascii="宋体" w:hAnsi="宋体" w:eastAsia="宋体" w:cs="宋体"/>
          <w:b/>
          <w:bCs/>
          <w:color w:val="auto"/>
          <w:sz w:val="32"/>
          <w:szCs w:val="32"/>
        </w:rPr>
        <w:t>二〇二</w:t>
      </w:r>
      <w:r>
        <w:rPr>
          <w:rStyle w:val="30"/>
          <w:rFonts w:hint="eastAsia" w:ascii="宋体" w:hAnsi="宋体" w:cs="宋体"/>
          <w:b/>
          <w:bCs/>
          <w:color w:val="auto"/>
          <w:sz w:val="32"/>
          <w:szCs w:val="32"/>
          <w:lang w:val="en-US" w:eastAsia="zh-CN"/>
        </w:rPr>
        <w:t>五</w:t>
      </w:r>
      <w:r>
        <w:rPr>
          <w:rStyle w:val="30"/>
          <w:rFonts w:hint="eastAsia" w:ascii="宋体" w:hAnsi="宋体" w:eastAsia="宋体" w:cs="宋体"/>
          <w:b/>
          <w:bCs/>
          <w:color w:val="auto"/>
          <w:sz w:val="32"/>
          <w:szCs w:val="32"/>
        </w:rPr>
        <w:t>年</w:t>
      </w:r>
      <w:r>
        <w:rPr>
          <w:rStyle w:val="30"/>
          <w:rFonts w:hint="eastAsia" w:ascii="宋体" w:hAnsi="宋体" w:cs="宋体"/>
          <w:b/>
          <w:bCs/>
          <w:color w:val="auto"/>
          <w:sz w:val="32"/>
          <w:szCs w:val="32"/>
          <w:lang w:val="en-US" w:eastAsia="zh-CN"/>
        </w:rPr>
        <w:t>六</w:t>
      </w:r>
      <w:r>
        <w:rPr>
          <w:rStyle w:val="30"/>
          <w:rFonts w:hint="eastAsia" w:ascii="宋体" w:hAnsi="宋体" w:eastAsia="宋体" w:cs="宋体"/>
          <w:b/>
          <w:bCs/>
          <w:color w:val="auto"/>
          <w:sz w:val="32"/>
          <w:szCs w:val="32"/>
        </w:rPr>
        <w:t>月</w:t>
      </w:r>
    </w:p>
    <w:p w14:paraId="242149CA">
      <w:pPr>
        <w:pageBreakBefore w:val="0"/>
        <w:kinsoku/>
        <w:wordWrap w:val="0"/>
        <w:overflowPunct/>
        <w:bidi w:val="0"/>
        <w:adjustRightInd w:val="0"/>
        <w:snapToGrid w:val="0"/>
        <w:spacing w:line="360" w:lineRule="auto"/>
        <w:ind w:right="521" w:rightChars="248"/>
        <w:jc w:val="center"/>
        <w:rPr>
          <w:rFonts w:eastAsia="华文中宋"/>
          <w:b/>
          <w:bCs/>
          <w:color w:val="000000"/>
          <w:sz w:val="28"/>
          <w:highlight w:val="none"/>
        </w:rPr>
      </w:pPr>
    </w:p>
    <w:p w14:paraId="39C4379A">
      <w:pPr>
        <w:pageBreakBefore w:val="0"/>
        <w:kinsoku/>
        <w:wordWrap w:val="0"/>
        <w:overflowPunct/>
        <w:bidi w:val="0"/>
        <w:jc w:val="center"/>
        <w:rPr>
          <w:rFonts w:hint="eastAsia" w:ascii="宋体"/>
          <w:sz w:val="44"/>
          <w:szCs w:val="44"/>
          <w:highlight w:val="none"/>
        </w:rPr>
        <w:sectPr>
          <w:footerReference r:id="rId6" w:type="first"/>
          <w:footerReference r:id="rId4" w:type="default"/>
          <w:headerReference r:id="rId3" w:type="even"/>
          <w:footerReference r:id="rId5" w:type="even"/>
          <w:pgSz w:w="11906" w:h="16838"/>
          <w:pgMar w:top="1134" w:right="1134" w:bottom="1134" w:left="1134" w:header="1134" w:footer="737" w:gutter="0"/>
          <w:pgNumType w:fmt="decimal"/>
          <w:cols w:space="720" w:num="1"/>
          <w:titlePg/>
          <w:docGrid w:type="lines" w:linePitch="490" w:charSpace="0"/>
        </w:sectPr>
      </w:pPr>
    </w:p>
    <w:p w14:paraId="309B01AC">
      <w:pPr>
        <w:pageBreakBefore w:val="0"/>
        <w:kinsoku/>
        <w:wordWrap w:val="0"/>
        <w:overflowPunct/>
        <w:bidi w:val="0"/>
        <w:jc w:val="center"/>
        <w:rPr>
          <w:sz w:val="44"/>
          <w:szCs w:val="44"/>
          <w:highlight w:val="none"/>
        </w:rPr>
      </w:pPr>
      <w:r>
        <w:rPr>
          <w:rFonts w:hint="eastAsia" w:ascii="宋体"/>
          <w:sz w:val="44"/>
          <w:szCs w:val="44"/>
          <w:highlight w:val="none"/>
        </w:rPr>
        <w:t>目录</w:t>
      </w:r>
    </w:p>
    <w:p w14:paraId="2C3E9519">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_Toc10193 </w:instrText>
      </w:r>
      <w:r>
        <w:rPr>
          <w:sz w:val="28"/>
          <w:szCs w:val="28"/>
          <w:highlight w:val="none"/>
        </w:rPr>
        <w:fldChar w:fldCharType="separate"/>
      </w:r>
      <w:r>
        <w:rPr>
          <w:rFonts w:hint="eastAsia"/>
          <w:sz w:val="28"/>
          <w:szCs w:val="28"/>
          <w:highlight w:val="none"/>
        </w:rPr>
        <w:t>第一章  招标公告</w:t>
      </w:r>
      <w:r>
        <w:rPr>
          <w:sz w:val="28"/>
          <w:szCs w:val="28"/>
          <w:highlight w:val="none"/>
        </w:rPr>
        <w:tab/>
      </w:r>
      <w:r>
        <w:rPr>
          <w:sz w:val="28"/>
          <w:szCs w:val="28"/>
          <w:highlight w:val="none"/>
        </w:rPr>
        <w:fldChar w:fldCharType="begin"/>
      </w:r>
      <w:r>
        <w:rPr>
          <w:sz w:val="28"/>
          <w:szCs w:val="28"/>
          <w:highlight w:val="none"/>
        </w:rPr>
        <w:instrText xml:space="preserve"> PAGEREF _Toc10193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14:paraId="646CDF73">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_Toc27449 </w:instrText>
      </w:r>
      <w:r>
        <w:rPr>
          <w:sz w:val="28"/>
          <w:szCs w:val="28"/>
          <w:highlight w:val="none"/>
        </w:rPr>
        <w:fldChar w:fldCharType="separate"/>
      </w:r>
      <w:r>
        <w:rPr>
          <w:rFonts w:hint="eastAsia"/>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_Toc27449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14:paraId="25AC56EA">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_Toc24483 </w:instrText>
      </w:r>
      <w:r>
        <w:rPr>
          <w:sz w:val="28"/>
          <w:szCs w:val="28"/>
          <w:highlight w:val="none"/>
        </w:rPr>
        <w:fldChar w:fldCharType="separate"/>
      </w:r>
      <w:r>
        <w:rPr>
          <w:rFonts w:hint="eastAsia"/>
          <w:bCs/>
          <w:kern w:val="44"/>
          <w:sz w:val="28"/>
          <w:szCs w:val="28"/>
          <w:highlight w:val="none"/>
        </w:rPr>
        <w:t>第三章 评标办法（综合评分法）</w:t>
      </w:r>
      <w:r>
        <w:rPr>
          <w:sz w:val="28"/>
          <w:szCs w:val="28"/>
          <w:highlight w:val="none"/>
        </w:rPr>
        <w:tab/>
      </w:r>
      <w:r>
        <w:rPr>
          <w:sz w:val="28"/>
          <w:szCs w:val="28"/>
          <w:highlight w:val="none"/>
        </w:rPr>
        <w:fldChar w:fldCharType="begin"/>
      </w:r>
      <w:r>
        <w:rPr>
          <w:sz w:val="28"/>
          <w:szCs w:val="28"/>
          <w:highlight w:val="none"/>
        </w:rPr>
        <w:instrText xml:space="preserve"> PAGEREF _Toc24483 \h </w:instrText>
      </w:r>
      <w:r>
        <w:rPr>
          <w:sz w:val="28"/>
          <w:szCs w:val="28"/>
          <w:highlight w:val="none"/>
        </w:rPr>
        <w:fldChar w:fldCharType="separate"/>
      </w:r>
      <w:r>
        <w:rPr>
          <w:sz w:val="28"/>
          <w:szCs w:val="28"/>
          <w:highlight w:val="none"/>
        </w:rPr>
        <w:t>22</w:t>
      </w:r>
      <w:r>
        <w:rPr>
          <w:sz w:val="28"/>
          <w:szCs w:val="28"/>
          <w:highlight w:val="none"/>
        </w:rPr>
        <w:fldChar w:fldCharType="end"/>
      </w:r>
      <w:r>
        <w:rPr>
          <w:sz w:val="28"/>
          <w:szCs w:val="28"/>
          <w:highlight w:val="none"/>
        </w:rPr>
        <w:fldChar w:fldCharType="end"/>
      </w:r>
    </w:p>
    <w:p w14:paraId="4DD9F997">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_Toc439 </w:instrText>
      </w:r>
      <w:r>
        <w:rPr>
          <w:sz w:val="28"/>
          <w:szCs w:val="28"/>
          <w:highlight w:val="none"/>
        </w:rPr>
        <w:fldChar w:fldCharType="separate"/>
      </w:r>
      <w:r>
        <w:rPr>
          <w:rFonts w:hint="eastAsia"/>
          <w:bCs/>
          <w:kern w:val="44"/>
          <w:sz w:val="28"/>
          <w:szCs w:val="28"/>
          <w:highlight w:val="none"/>
        </w:rPr>
        <w:t>第四章 合同条款</w:t>
      </w:r>
      <w:r>
        <w:rPr>
          <w:sz w:val="28"/>
          <w:szCs w:val="28"/>
          <w:highlight w:val="none"/>
        </w:rPr>
        <w:tab/>
      </w:r>
      <w:r>
        <w:rPr>
          <w:sz w:val="28"/>
          <w:szCs w:val="28"/>
          <w:highlight w:val="none"/>
        </w:rPr>
        <w:fldChar w:fldCharType="begin"/>
      </w:r>
      <w:r>
        <w:rPr>
          <w:sz w:val="28"/>
          <w:szCs w:val="28"/>
          <w:highlight w:val="none"/>
        </w:rPr>
        <w:instrText xml:space="preserve"> PAGEREF _Toc439 \h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14:paraId="1D799941">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_Toc15599 </w:instrText>
      </w:r>
      <w:r>
        <w:rPr>
          <w:sz w:val="28"/>
          <w:szCs w:val="28"/>
          <w:highlight w:val="none"/>
        </w:rPr>
        <w:fldChar w:fldCharType="separate"/>
      </w:r>
      <w:r>
        <w:rPr>
          <w:rFonts w:hint="eastAsia"/>
          <w:bCs/>
          <w:kern w:val="44"/>
          <w:sz w:val="28"/>
          <w:szCs w:val="28"/>
          <w:highlight w:val="none"/>
        </w:rPr>
        <w:t>第五章  货物需求一览表及技术要求</w:t>
      </w:r>
      <w:r>
        <w:rPr>
          <w:sz w:val="28"/>
          <w:szCs w:val="28"/>
          <w:highlight w:val="none"/>
        </w:rPr>
        <w:tab/>
      </w:r>
      <w:r>
        <w:rPr>
          <w:sz w:val="28"/>
          <w:szCs w:val="28"/>
          <w:highlight w:val="none"/>
        </w:rPr>
        <w:fldChar w:fldCharType="begin"/>
      </w:r>
      <w:r>
        <w:rPr>
          <w:sz w:val="28"/>
          <w:szCs w:val="28"/>
          <w:highlight w:val="none"/>
        </w:rPr>
        <w:instrText xml:space="preserve"> PAGEREF _Toc15599 \h </w:instrText>
      </w:r>
      <w:r>
        <w:rPr>
          <w:sz w:val="28"/>
          <w:szCs w:val="28"/>
          <w:highlight w:val="none"/>
        </w:rPr>
        <w:fldChar w:fldCharType="separate"/>
      </w:r>
      <w:r>
        <w:rPr>
          <w:sz w:val="28"/>
          <w:szCs w:val="28"/>
          <w:highlight w:val="none"/>
        </w:rPr>
        <w:t>43</w:t>
      </w:r>
      <w:r>
        <w:rPr>
          <w:sz w:val="28"/>
          <w:szCs w:val="28"/>
          <w:highlight w:val="none"/>
        </w:rPr>
        <w:fldChar w:fldCharType="end"/>
      </w:r>
      <w:r>
        <w:rPr>
          <w:sz w:val="28"/>
          <w:szCs w:val="28"/>
          <w:highlight w:val="none"/>
        </w:rPr>
        <w:fldChar w:fldCharType="end"/>
      </w:r>
    </w:p>
    <w:p w14:paraId="507FCA47">
      <w:pPr>
        <w:pStyle w:val="21"/>
        <w:pageBreakBefore w:val="0"/>
        <w:tabs>
          <w:tab w:val="right" w:leader="dot" w:pos="8791"/>
        </w:tabs>
        <w:kinsoku/>
        <w:wordWrap w:val="0"/>
        <w:overflowPunct/>
        <w:bidi w:val="0"/>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_Toc5666 </w:instrText>
      </w:r>
      <w:r>
        <w:rPr>
          <w:sz w:val="28"/>
          <w:szCs w:val="28"/>
          <w:highlight w:val="none"/>
        </w:rPr>
        <w:fldChar w:fldCharType="separate"/>
      </w:r>
      <w:r>
        <w:rPr>
          <w:rFonts w:hint="eastAsia"/>
          <w:bCs/>
          <w:kern w:val="44"/>
          <w:sz w:val="28"/>
          <w:szCs w:val="28"/>
          <w:highlight w:val="none"/>
        </w:rPr>
        <w:t>第六章 投标文件格式</w:t>
      </w:r>
      <w:r>
        <w:rPr>
          <w:sz w:val="28"/>
          <w:szCs w:val="28"/>
          <w:highlight w:val="none"/>
        </w:rPr>
        <w:tab/>
      </w:r>
      <w:r>
        <w:rPr>
          <w:sz w:val="28"/>
          <w:szCs w:val="28"/>
          <w:highlight w:val="none"/>
        </w:rPr>
        <w:fldChar w:fldCharType="begin"/>
      </w:r>
      <w:r>
        <w:rPr>
          <w:sz w:val="28"/>
          <w:szCs w:val="28"/>
          <w:highlight w:val="none"/>
        </w:rPr>
        <w:instrText xml:space="preserve"> PAGEREF _Toc5666 \h </w:instrText>
      </w:r>
      <w:r>
        <w:rPr>
          <w:sz w:val="28"/>
          <w:szCs w:val="28"/>
          <w:highlight w:val="none"/>
        </w:rPr>
        <w:fldChar w:fldCharType="separate"/>
      </w:r>
      <w:r>
        <w:rPr>
          <w:sz w:val="28"/>
          <w:szCs w:val="28"/>
          <w:highlight w:val="none"/>
        </w:rPr>
        <w:t>52</w:t>
      </w:r>
      <w:r>
        <w:rPr>
          <w:sz w:val="28"/>
          <w:szCs w:val="28"/>
          <w:highlight w:val="none"/>
        </w:rPr>
        <w:fldChar w:fldCharType="end"/>
      </w:r>
      <w:r>
        <w:rPr>
          <w:sz w:val="28"/>
          <w:szCs w:val="28"/>
          <w:highlight w:val="none"/>
        </w:rPr>
        <w:fldChar w:fldCharType="end"/>
      </w:r>
    </w:p>
    <w:p w14:paraId="68860CF0">
      <w:pPr>
        <w:pStyle w:val="21"/>
        <w:pageBreakBefore w:val="0"/>
        <w:tabs>
          <w:tab w:val="right" w:leader="dot" w:pos="8791"/>
        </w:tabs>
        <w:kinsoku/>
        <w:wordWrap w:val="0"/>
        <w:overflowPunct/>
        <w:bidi w:val="0"/>
        <w:spacing w:line="480" w:lineRule="auto"/>
        <w:rPr>
          <w:sz w:val="28"/>
          <w:szCs w:val="28"/>
          <w:highlight w:val="none"/>
        </w:rPr>
      </w:pPr>
    </w:p>
    <w:p w14:paraId="600CCD9B">
      <w:pPr>
        <w:pageBreakBefore w:val="0"/>
        <w:kinsoku/>
        <w:wordWrap w:val="0"/>
        <w:overflowPunct/>
        <w:bidi w:val="0"/>
        <w:spacing w:line="480" w:lineRule="auto"/>
        <w:rPr>
          <w:highlight w:val="none"/>
        </w:rPr>
      </w:pPr>
      <w:r>
        <w:rPr>
          <w:sz w:val="28"/>
          <w:szCs w:val="28"/>
          <w:highlight w:val="none"/>
        </w:rPr>
        <w:fldChar w:fldCharType="end"/>
      </w:r>
    </w:p>
    <w:p w14:paraId="5B02A0C9">
      <w:pPr>
        <w:pageBreakBefore w:val="0"/>
        <w:kinsoku/>
        <w:wordWrap w:val="0"/>
        <w:overflowPunct/>
        <w:bidi w:val="0"/>
        <w:spacing w:line="480" w:lineRule="auto"/>
        <w:ind w:left="420" w:leftChars="200" w:right="420" w:rightChars="200"/>
        <w:rPr>
          <w:rFonts w:hint="eastAsia" w:ascii="宋体"/>
          <w:color w:val="000000"/>
          <w:sz w:val="28"/>
          <w:szCs w:val="28"/>
          <w:highlight w:val="none"/>
        </w:rPr>
      </w:pPr>
      <w:bookmarkStart w:id="6" w:name="_Toc98580389"/>
    </w:p>
    <w:bookmarkEnd w:id="6"/>
    <w:p w14:paraId="13FC9EFA">
      <w:pPr>
        <w:pStyle w:val="3"/>
        <w:pageBreakBefore w:val="0"/>
        <w:kinsoku/>
        <w:wordWrap w:val="0"/>
        <w:overflowPunct/>
        <w:bidi w:val="0"/>
        <w:spacing w:before="0" w:after="0" w:line="360" w:lineRule="auto"/>
        <w:jc w:val="center"/>
        <w:rPr>
          <w:rFonts w:hint="eastAsia"/>
          <w:color w:val="000000"/>
          <w:sz w:val="36"/>
          <w:szCs w:val="36"/>
          <w:highlight w:val="none"/>
        </w:rPr>
        <w:sectPr>
          <w:footerReference r:id="rId8" w:type="first"/>
          <w:footerReference r:id="rId7" w:type="default"/>
          <w:pgSz w:w="11906" w:h="16838"/>
          <w:pgMar w:top="1134" w:right="1134" w:bottom="1134" w:left="1134" w:header="1134" w:footer="737" w:gutter="0"/>
          <w:pgNumType w:fmt="decimal" w:start="1"/>
          <w:cols w:space="720" w:num="1"/>
          <w:docGrid w:type="lines" w:linePitch="490" w:charSpace="0"/>
        </w:sectPr>
      </w:pPr>
      <w:bookmarkStart w:id="7" w:name="_Toc10193"/>
      <w:bookmarkStart w:id="8" w:name="_Toc13659"/>
      <w:bookmarkStart w:id="9" w:name="_Toc54891392"/>
    </w:p>
    <w:p w14:paraId="7467F97A">
      <w:pPr>
        <w:pStyle w:val="3"/>
        <w:pageBreakBefore w:val="0"/>
        <w:kinsoku/>
        <w:wordWrap w:val="0"/>
        <w:overflowPunct/>
        <w:bidi w:val="0"/>
        <w:spacing w:before="0" w:after="0" w:line="360" w:lineRule="auto"/>
        <w:jc w:val="center"/>
        <w:rPr>
          <w:color w:val="000000"/>
          <w:sz w:val="36"/>
          <w:szCs w:val="36"/>
          <w:highlight w:val="none"/>
        </w:rPr>
      </w:pPr>
      <w:r>
        <w:rPr>
          <w:rFonts w:hint="eastAsia"/>
          <w:color w:val="000000"/>
          <w:sz w:val="36"/>
          <w:szCs w:val="36"/>
          <w:highlight w:val="none"/>
        </w:rPr>
        <w:t xml:space="preserve"> </w:t>
      </w:r>
      <w:bookmarkEnd w:id="7"/>
      <w:bookmarkEnd w:id="8"/>
      <w:bookmarkEnd w:id="9"/>
      <w:r>
        <w:rPr>
          <w:rFonts w:hint="eastAsia"/>
          <w:color w:val="000000"/>
          <w:sz w:val="36"/>
          <w:szCs w:val="36"/>
          <w:highlight w:val="none"/>
        </w:rPr>
        <w:t>第一章 招标公告</w:t>
      </w:r>
    </w:p>
    <w:p w14:paraId="554D8458">
      <w:pPr>
        <w:pageBreakBefore w:val="0"/>
        <w:kinsoku/>
        <w:wordWrap w:val="0"/>
        <w:overflowPunct/>
        <w:bidi w:val="0"/>
        <w:adjustRightInd w:val="0"/>
        <w:snapToGrid w:val="0"/>
        <w:spacing w:line="360" w:lineRule="auto"/>
        <w:ind w:firstLine="422" w:firstLineChars="200"/>
        <w:rPr>
          <w:rFonts w:hint="eastAsia" w:ascii="宋体" w:hAnsi="宋体" w:eastAsia="宋体" w:cs="宋体"/>
          <w:b/>
          <w:bCs/>
          <w:sz w:val="21"/>
          <w:szCs w:val="21"/>
        </w:rPr>
      </w:pPr>
      <w:bookmarkStart w:id="10" w:name="_Toc28359008"/>
      <w:bookmarkStart w:id="11" w:name="_Toc35393627"/>
      <w:bookmarkStart w:id="12" w:name="_Toc35393796"/>
      <w:bookmarkStart w:id="13" w:name="_Toc28359085"/>
      <w:r>
        <w:rPr>
          <w:rFonts w:hint="eastAsia" w:ascii="宋体" w:hAnsi="宋体" w:eastAsia="宋体" w:cs="宋体"/>
          <w:b/>
          <w:bCs/>
          <w:sz w:val="21"/>
          <w:szCs w:val="21"/>
        </w:rPr>
        <w:t>项目概况</w:t>
      </w:r>
    </w:p>
    <w:p w14:paraId="1CDFD9A6">
      <w:pPr>
        <w:pageBreakBefore w:val="0"/>
        <w:kinsoku/>
        <w:wordWrap w:val="0"/>
        <w:overflowPunct/>
        <w:bidi w:val="0"/>
        <w:adjustRightInd w:val="0"/>
        <w:snapToGrid w:val="0"/>
        <w:spacing w:line="360"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lang w:val="zh-CN"/>
        </w:rPr>
        <w:t>长春新区教育局学校多媒体教室设备采购项目（二）的潜在投标人应自行登录政采云一站式政府采购云服务平台(以下简称“政采云”)(网址：http://www.zcygov.cn)下载获取招标文件，并于202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年</w:t>
      </w:r>
      <w:r>
        <w:rPr>
          <w:rFonts w:hint="eastAsia" w:ascii="宋体" w:hAnsi="宋体" w:eastAsia="宋体" w:cs="宋体"/>
          <w:color w:val="auto"/>
          <w:kern w:val="0"/>
          <w:sz w:val="21"/>
          <w:szCs w:val="21"/>
          <w:highlight w:val="none"/>
          <w:lang w:val="en-US" w:eastAsia="zh-CN"/>
        </w:rPr>
        <w:t>07</w:t>
      </w:r>
      <w:r>
        <w:rPr>
          <w:rFonts w:hint="eastAsia" w:ascii="宋体" w:hAnsi="宋体" w:eastAsia="宋体" w:cs="宋体"/>
          <w:color w:val="auto"/>
          <w:kern w:val="0"/>
          <w:sz w:val="21"/>
          <w:szCs w:val="21"/>
          <w:highlight w:val="none"/>
          <w:lang w:val="zh-CN"/>
        </w:rPr>
        <w:t>月</w:t>
      </w:r>
      <w:r>
        <w:rPr>
          <w:rFonts w:hint="eastAsia" w:ascii="宋体" w:hAnsi="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lang w:val="zh-CN"/>
        </w:rPr>
        <w:t>日09时30分(北京时间)前提交投标文件。</w:t>
      </w:r>
    </w:p>
    <w:p w14:paraId="2C1687FF">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一、项目基本情况</w:t>
      </w:r>
    </w:p>
    <w:p w14:paraId="2FD6F2D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项目编号：</w:t>
      </w:r>
      <w:r>
        <w:rPr>
          <w:rFonts w:hint="eastAsia" w:ascii="宋体" w:cs="Times New Roman"/>
          <w:color w:val="000000"/>
          <w:kern w:val="2"/>
          <w:sz w:val="21"/>
          <w:szCs w:val="21"/>
          <w:highlight w:val="none"/>
          <w:lang w:val="zh-CN"/>
        </w:rPr>
        <w:fldChar w:fldCharType="begin"/>
      </w:r>
      <w:r>
        <w:rPr>
          <w:rFonts w:hint="eastAsia" w:ascii="宋体" w:cs="Times New Roman"/>
          <w:color w:val="000000"/>
          <w:kern w:val="2"/>
          <w:sz w:val="21"/>
          <w:szCs w:val="21"/>
          <w:highlight w:val="none"/>
          <w:lang w:val="zh-CN"/>
        </w:rPr>
        <w:instrText xml:space="preserve"> HYPERLINK "https://www.zcygov.cn/gaea/api/project/flow/redirect?projectId=7304594758513721421&amp;newUrl=https://www.zcygov.cn/micro-app-back-index/blank?_flow_type_=agency&amp;_flow_projectId_=7304594758513721421&amp;_jump_page_type_=project_procurement_management_flow&amp;_app_=zcy.procurement&amp;oldUrl=https://www.zcygov.cn/project-center/_procurement_/project-result-detail/7304594758513721421" \t "https://www.zcygov.cn/project-center/_procurement_/self-project/_blank" </w:instrText>
      </w:r>
      <w:r>
        <w:rPr>
          <w:rFonts w:hint="eastAsia" w:ascii="宋体" w:cs="Times New Roman"/>
          <w:color w:val="000000"/>
          <w:kern w:val="2"/>
          <w:sz w:val="21"/>
          <w:szCs w:val="21"/>
          <w:highlight w:val="none"/>
          <w:lang w:val="zh-CN"/>
        </w:rPr>
        <w:fldChar w:fldCharType="separate"/>
      </w:r>
      <w:r>
        <w:rPr>
          <w:rFonts w:hint="eastAsia" w:ascii="宋体" w:cs="Times New Roman"/>
          <w:color w:val="000000"/>
          <w:kern w:val="2"/>
          <w:sz w:val="21"/>
          <w:szCs w:val="21"/>
          <w:highlight w:val="none"/>
          <w:lang w:val="zh-CN"/>
        </w:rPr>
        <w:t>XQZC2025-03</w:t>
      </w:r>
      <w:r>
        <w:rPr>
          <w:rFonts w:hint="eastAsia" w:ascii="宋体" w:cs="Times New Roman"/>
          <w:color w:val="000000"/>
          <w:kern w:val="2"/>
          <w:sz w:val="21"/>
          <w:szCs w:val="21"/>
          <w:highlight w:val="none"/>
          <w:lang w:val="en-US" w:eastAsia="zh-CN"/>
        </w:rPr>
        <w:t>2</w:t>
      </w:r>
      <w:r>
        <w:rPr>
          <w:rFonts w:hint="eastAsia" w:ascii="宋体" w:cs="Times New Roman"/>
          <w:color w:val="000000"/>
          <w:kern w:val="2"/>
          <w:sz w:val="21"/>
          <w:szCs w:val="21"/>
          <w:highlight w:val="none"/>
          <w:lang w:val="zh-CN"/>
        </w:rPr>
        <w:fldChar w:fldCharType="end"/>
      </w:r>
      <w:r>
        <w:rPr>
          <w:rFonts w:hint="eastAsia" w:ascii="宋体" w:cs="Times New Roman"/>
          <w:color w:val="000000"/>
          <w:kern w:val="2"/>
          <w:sz w:val="21"/>
          <w:szCs w:val="21"/>
          <w:highlight w:val="none"/>
          <w:lang w:val="zh-CN"/>
        </w:rPr>
        <w:t>；</w:t>
      </w:r>
    </w:p>
    <w:p w14:paraId="7D5C1CE3">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项目名称：长春新区教育局学校多媒体教室设备采购项目（二）；</w:t>
      </w:r>
    </w:p>
    <w:p w14:paraId="2BF7C122">
      <w:pPr>
        <w:pStyle w:val="12"/>
        <w:pageBreakBefore w:val="0"/>
        <w:shd w:val="clear" w:color="auto" w:fill="FFFFFF"/>
        <w:tabs>
          <w:tab w:val="left" w:pos="6053"/>
        </w:tabs>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预算金额：217</w:t>
      </w:r>
      <w:r>
        <w:rPr>
          <w:rFonts w:hint="eastAsia" w:ascii="宋体" w:cs="Times New Roman"/>
          <w:color w:val="000000"/>
          <w:kern w:val="2"/>
          <w:sz w:val="21"/>
          <w:szCs w:val="21"/>
          <w:highlight w:val="none"/>
          <w:lang w:val="en-US" w:eastAsia="zh-CN"/>
        </w:rPr>
        <w:t>.</w:t>
      </w:r>
      <w:r>
        <w:rPr>
          <w:rFonts w:hint="eastAsia" w:ascii="宋体" w:cs="Times New Roman"/>
          <w:color w:val="000000"/>
          <w:kern w:val="2"/>
          <w:sz w:val="21"/>
          <w:szCs w:val="21"/>
          <w:highlight w:val="none"/>
          <w:lang w:val="zh-CN"/>
        </w:rPr>
        <w:t>08</w:t>
      </w:r>
      <w:r>
        <w:rPr>
          <w:rFonts w:hint="eastAsia" w:ascii="宋体" w:cs="Times New Roman"/>
          <w:color w:val="000000"/>
          <w:kern w:val="2"/>
          <w:sz w:val="21"/>
          <w:szCs w:val="21"/>
          <w:highlight w:val="none"/>
          <w:lang w:val="en-US" w:eastAsia="zh-CN"/>
        </w:rPr>
        <w:t>万</w:t>
      </w:r>
      <w:r>
        <w:rPr>
          <w:rFonts w:hint="eastAsia" w:ascii="宋体" w:cs="Times New Roman"/>
          <w:color w:val="000000"/>
          <w:kern w:val="2"/>
          <w:sz w:val="21"/>
          <w:szCs w:val="21"/>
          <w:highlight w:val="none"/>
        </w:rPr>
        <w:t>元</w:t>
      </w: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rPr>
        <w:tab/>
      </w:r>
    </w:p>
    <w:p w14:paraId="761C4486">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最高限价：217</w:t>
      </w:r>
      <w:r>
        <w:rPr>
          <w:rFonts w:hint="eastAsia" w:ascii="宋体" w:cs="Times New Roman"/>
          <w:color w:val="000000"/>
          <w:kern w:val="2"/>
          <w:sz w:val="21"/>
          <w:szCs w:val="21"/>
          <w:highlight w:val="none"/>
          <w:lang w:val="en-US" w:eastAsia="zh-CN"/>
        </w:rPr>
        <w:t>.</w:t>
      </w:r>
      <w:r>
        <w:rPr>
          <w:rFonts w:hint="eastAsia" w:ascii="宋体" w:cs="Times New Roman"/>
          <w:color w:val="000000"/>
          <w:kern w:val="2"/>
          <w:sz w:val="21"/>
          <w:szCs w:val="21"/>
          <w:highlight w:val="none"/>
          <w:lang w:val="zh-CN"/>
        </w:rPr>
        <w:t>08</w:t>
      </w:r>
      <w:r>
        <w:rPr>
          <w:rFonts w:hint="eastAsia" w:ascii="宋体" w:cs="Times New Roman"/>
          <w:color w:val="000000"/>
          <w:kern w:val="2"/>
          <w:sz w:val="21"/>
          <w:szCs w:val="21"/>
          <w:highlight w:val="none"/>
          <w:lang w:val="en-US" w:eastAsia="zh-CN"/>
        </w:rPr>
        <w:t>万</w:t>
      </w:r>
      <w:r>
        <w:rPr>
          <w:rFonts w:hint="eastAsia" w:ascii="宋体" w:cs="Times New Roman"/>
          <w:color w:val="000000"/>
          <w:kern w:val="2"/>
          <w:sz w:val="21"/>
          <w:szCs w:val="21"/>
          <w:highlight w:val="none"/>
        </w:rPr>
        <w:t>元</w:t>
      </w:r>
      <w:r>
        <w:rPr>
          <w:rFonts w:hint="eastAsia" w:ascii="宋体" w:cs="Times New Roman"/>
          <w:color w:val="000000"/>
          <w:kern w:val="2"/>
          <w:sz w:val="21"/>
          <w:szCs w:val="21"/>
          <w:highlight w:val="none"/>
          <w:lang w:val="zh-CN"/>
        </w:rPr>
        <w:t>；</w:t>
      </w:r>
    </w:p>
    <w:p w14:paraId="2B29E552">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采购需求：长春新区教育局学校多媒体教室设备采购项目（二）（详见招标文件）；</w:t>
      </w:r>
    </w:p>
    <w:p w14:paraId="4CFB9CA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合同履行期限：</w:t>
      </w:r>
      <w:r>
        <w:rPr>
          <w:rFonts w:hint="eastAsia" w:ascii="宋体" w:cs="Times New Roman"/>
          <w:color w:val="000000"/>
          <w:kern w:val="2"/>
          <w:sz w:val="21"/>
          <w:szCs w:val="21"/>
          <w:highlight w:val="none"/>
          <w:lang w:val="zh-CN" w:eastAsia="zh-CN"/>
        </w:rPr>
        <w:t>接到供货指令后30</w:t>
      </w:r>
      <w:r>
        <w:rPr>
          <w:rFonts w:hint="eastAsia" w:ascii="宋体" w:cs="Times New Roman"/>
          <w:color w:val="000000"/>
          <w:kern w:val="2"/>
          <w:sz w:val="21"/>
          <w:szCs w:val="21"/>
          <w:highlight w:val="none"/>
          <w:lang w:val="zh-CN"/>
        </w:rPr>
        <w:t>日内完成供货、安装、调试；</w:t>
      </w:r>
    </w:p>
    <w:p w14:paraId="516E648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质量标准：符合国家及行业相关合格标准。</w:t>
      </w:r>
    </w:p>
    <w:p w14:paraId="321819E7">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本项目不接受联合体投标。</w:t>
      </w:r>
    </w:p>
    <w:p w14:paraId="5FCA9BF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二、申请人的资格要求</w:t>
      </w:r>
    </w:p>
    <w:p w14:paraId="469EEAC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1.满足《中华人民共和国政府采购法》第二十二条规定；</w:t>
      </w:r>
    </w:p>
    <w:p w14:paraId="2D87AB9E">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2.落实政府采购政策需满足的资格要求：</w:t>
      </w:r>
    </w:p>
    <w:p w14:paraId="6484DD90">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(1)本项目</w:t>
      </w:r>
      <w:r>
        <w:rPr>
          <w:rFonts w:hint="eastAsia" w:ascii="宋体" w:cs="Times New Roman"/>
          <w:color w:val="000000"/>
          <w:kern w:val="2"/>
          <w:sz w:val="21"/>
          <w:szCs w:val="21"/>
          <w:highlight w:val="none"/>
          <w:lang w:val="en-US" w:eastAsia="zh-CN"/>
        </w:rPr>
        <w:t>非</w:t>
      </w:r>
      <w:r>
        <w:rPr>
          <w:rFonts w:hint="eastAsia" w:ascii="宋体" w:cs="Times New Roman"/>
          <w:color w:val="000000"/>
          <w:kern w:val="2"/>
          <w:sz w:val="21"/>
          <w:szCs w:val="21"/>
          <w:highlight w:val="none"/>
          <w:lang w:val="zh-CN"/>
        </w:rPr>
        <w:t>专门面向</w:t>
      </w:r>
      <w:r>
        <w:rPr>
          <w:rFonts w:hint="eastAsia" w:ascii="宋体" w:cs="Times New Roman"/>
          <w:color w:val="000000"/>
          <w:kern w:val="2"/>
          <w:sz w:val="21"/>
          <w:szCs w:val="21"/>
          <w:highlight w:val="none"/>
          <w:lang w:val="zh-CN" w:eastAsia="zh-CN"/>
        </w:rPr>
        <w:t>中小</w:t>
      </w:r>
      <w:r>
        <w:rPr>
          <w:rFonts w:hint="eastAsia" w:ascii="宋体" w:cs="Times New Roman"/>
          <w:color w:val="000000"/>
          <w:kern w:val="2"/>
          <w:sz w:val="21"/>
          <w:szCs w:val="21"/>
          <w:highlight w:val="none"/>
          <w:lang w:val="zh-CN"/>
        </w:rPr>
        <w:t>企业采购；</w:t>
      </w:r>
    </w:p>
    <w:p w14:paraId="7F732B21">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(2)《政府采购促进中小企业发展管理办法》(财库[2020]46号)；</w:t>
      </w:r>
    </w:p>
    <w:p w14:paraId="2AC90612">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(3)《关于政府采购支持监狱企业发展有关问题的通知》(财库[2014]68号)；</w:t>
      </w:r>
    </w:p>
    <w:p w14:paraId="118B8DC8">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(4)《三部门联合发布关于促进残疾人就业政府采购政策的通知》(财库[2017]141号)；</w:t>
      </w:r>
    </w:p>
    <w:p w14:paraId="31C42ACF">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(5)《节能产品政府采购实施意见》的通知(财库〔2004〕185号)；</w:t>
      </w:r>
    </w:p>
    <w:p w14:paraId="1002D24C">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rPr>
        <w:t>(6)《关于调整优化节能产品、环境标志产品政府采购执行机制的通知》(财库[2019]9号)等相关政策</w:t>
      </w:r>
      <w:r>
        <w:rPr>
          <w:rFonts w:hint="eastAsia" w:ascii="宋体" w:cs="Times New Roman"/>
          <w:color w:val="000000"/>
          <w:kern w:val="2"/>
          <w:sz w:val="21"/>
          <w:szCs w:val="21"/>
          <w:highlight w:val="none"/>
          <w:lang w:val="zh-CN" w:eastAsia="zh-CN"/>
        </w:rPr>
        <w:t>；</w:t>
      </w:r>
    </w:p>
    <w:p w14:paraId="1293ACED">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eastAsia="zh-CN"/>
        </w:rPr>
        <w:t>7</w:t>
      </w:r>
      <w:r>
        <w:rPr>
          <w:rFonts w:hint="eastAsia" w:ascii="宋体" w:cs="Times New Roman"/>
          <w:color w:val="000000"/>
          <w:kern w:val="2"/>
          <w:sz w:val="21"/>
          <w:szCs w:val="21"/>
          <w:highlight w:val="none"/>
          <w:lang w:val="zh-CN"/>
        </w:rPr>
        <w:t>)《财政部关于进一步加大政府采购支持中小企业力度的通知》财库〔2022〕19号。</w:t>
      </w:r>
    </w:p>
    <w:p w14:paraId="08346610">
      <w:pPr>
        <w:pStyle w:val="20"/>
        <w:pageBreakBefore w:val="0"/>
        <w:kinsoku/>
        <w:wordWrap w:val="0"/>
        <w:overflowPunct/>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048EB3E6">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(1)投标人须是在中国境内注册具有独立承担民事责任能力的法人、其他组织；</w:t>
      </w:r>
    </w:p>
    <w:p w14:paraId="03F71AD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en-US"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1A9C100C">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3</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投标人具有依法缴纳税收和社会保障资金的良好记录，提供2025年1月至投标截止时间内任意一个月依法缴纳税收和社会保障资金的证明材料；（依法免税或不需要缴纳社会保障资金的投标人，须提供相应文件证明其依法免税或不需要缴纳社会保障资金。）</w:t>
      </w:r>
    </w:p>
    <w:p w14:paraId="6E32080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(4)投标人</w:t>
      </w:r>
      <w:r>
        <w:rPr>
          <w:rFonts w:hint="eastAsia" w:ascii="宋体" w:hAnsi="??" w:eastAsia="宋体" w:cs="Times New Roman"/>
          <w:color w:val="000000"/>
          <w:kern w:val="2"/>
          <w:sz w:val="21"/>
          <w:szCs w:val="21"/>
          <w:highlight w:val="none"/>
          <w:lang w:val="zh-CN" w:eastAsia="zh-CN" w:bidi="ar-SA"/>
        </w:rPr>
        <w:t>参加政府采购活动前</w:t>
      </w:r>
      <w:r>
        <w:rPr>
          <w:rFonts w:hint="eastAsia" w:ascii="宋体" w:hAnsi="??" w:eastAsia="宋体" w:cs="Times New Roman"/>
          <w:color w:val="000000"/>
          <w:kern w:val="2"/>
          <w:sz w:val="21"/>
          <w:szCs w:val="21"/>
          <w:highlight w:val="none"/>
          <w:lang w:val="en-US" w:eastAsia="zh-CN" w:bidi="ar-SA"/>
        </w:rPr>
        <w:t>三</w:t>
      </w:r>
      <w:r>
        <w:rPr>
          <w:rFonts w:hint="eastAsia" w:ascii="宋体" w:hAnsi="??" w:eastAsia="宋体" w:cs="Times New Roman"/>
          <w:color w:val="000000"/>
          <w:kern w:val="2"/>
          <w:sz w:val="21"/>
          <w:szCs w:val="21"/>
          <w:highlight w:val="none"/>
          <w:lang w:val="zh-CN" w:eastAsia="zh-CN" w:bidi="ar-SA"/>
        </w:rPr>
        <w:t>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C0AE76C">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(5)在“信用中国”网站(www.creditchina.gov.cn)、中国政府采购网(www.ccgp.gov.cn)列入失信被执行人、 重大税收违法失信主体、政府采购严重违法失信行为记录名单的投标人，拒绝其参与投标</w:t>
      </w:r>
      <w:r>
        <w:rPr>
          <w:rFonts w:hint="eastAsia" w:ascii="宋体" w:hAnsi="??" w:eastAsia="宋体" w:cs="Times New Roman"/>
          <w:color w:val="000000"/>
          <w:kern w:val="2"/>
          <w:sz w:val="21"/>
          <w:szCs w:val="21"/>
          <w:highlight w:val="none"/>
          <w:lang w:val="zh-CN" w:eastAsia="zh-CN" w:bidi="ar-SA"/>
        </w:rPr>
        <w:t>；</w:t>
      </w:r>
    </w:p>
    <w:p w14:paraId="0D74B94F">
      <w:pPr>
        <w:pageBreakBefore w:val="0"/>
        <w:kinsoku/>
        <w:wordWrap w:val="0"/>
        <w:overflowPunct/>
        <w:bidi w:val="0"/>
        <w:snapToGrid/>
        <w:spacing w:line="240" w:lineRule="auto"/>
        <w:ind w:firstLine="420" w:firstLineChars="200"/>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(6)</w:t>
      </w:r>
      <w:r>
        <w:rPr>
          <w:rFonts w:hint="eastAsia" w:ascii="宋体" w:hAnsi="??" w:eastAsia="宋体" w:cs="Times New Roman"/>
          <w:color w:val="000000"/>
          <w:kern w:val="2"/>
          <w:sz w:val="21"/>
          <w:szCs w:val="21"/>
          <w:highlight w:val="none"/>
          <w:lang w:val="zh-CN" w:eastAsia="zh-CN" w:bidi="ar-SA"/>
        </w:rPr>
        <w:t>拒绝列入政府取消投标资格记录期间的企业或个人投标；</w:t>
      </w:r>
    </w:p>
    <w:p w14:paraId="4832597F">
      <w:pPr>
        <w:pStyle w:val="20"/>
        <w:pageBreakBefore w:val="0"/>
        <w:kinsoku/>
        <w:wordWrap w:val="0"/>
        <w:overflowPunct/>
        <w:bidi w:val="0"/>
        <w:spacing w:line="240" w:lineRule="auto"/>
        <w:ind w:firstLine="420" w:firstLineChars="200"/>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(7)与采购人存在利害关系可能影响招标公正性的法人、其他组织或者个人，不得参加投标。单位负责人为同一人或者存在直接控股、管理关系的不同供应商，不得参加同一合同项下的政府采购活动。</w:t>
      </w:r>
    </w:p>
    <w:p w14:paraId="14AEA856">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三、获取招标文件</w:t>
      </w:r>
    </w:p>
    <w:p w14:paraId="1C78B888">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eastAsia="zh-CN"/>
        </w:rPr>
        <w:t>1.</w:t>
      </w:r>
      <w:r>
        <w:rPr>
          <w:rFonts w:hint="eastAsia" w:ascii="宋体" w:cs="Times New Roman"/>
          <w:color w:val="000000"/>
          <w:kern w:val="2"/>
          <w:sz w:val="21"/>
          <w:szCs w:val="21"/>
          <w:highlight w:val="none"/>
          <w:lang w:val="zh-CN"/>
        </w:rPr>
        <w:t>时间：202</w:t>
      </w:r>
      <w:r>
        <w:rPr>
          <w:rFonts w:hint="eastAsia" w:ascii="宋体" w:cs="Times New Roman"/>
          <w:color w:val="000000"/>
          <w:kern w:val="2"/>
          <w:sz w:val="21"/>
          <w:szCs w:val="21"/>
          <w:highlight w:val="none"/>
          <w:lang w:val="en-US" w:eastAsia="zh-CN"/>
        </w:rPr>
        <w:t>5</w:t>
      </w:r>
      <w:r>
        <w:rPr>
          <w:rFonts w:hint="eastAsia" w:ascii="宋体" w:cs="Times New Roman"/>
          <w:color w:val="000000"/>
          <w:kern w:val="2"/>
          <w:sz w:val="21"/>
          <w:szCs w:val="21"/>
          <w:highlight w:val="none"/>
          <w:lang w:val="zh-CN"/>
        </w:rPr>
        <w:t>年</w:t>
      </w:r>
      <w:r>
        <w:rPr>
          <w:rFonts w:hint="eastAsia" w:ascii="宋体" w:cs="Times New Roman"/>
          <w:color w:val="000000"/>
          <w:kern w:val="2"/>
          <w:sz w:val="21"/>
          <w:szCs w:val="21"/>
          <w:highlight w:val="none"/>
          <w:lang w:val="en-US" w:eastAsia="zh-CN"/>
        </w:rPr>
        <w:t>06</w:t>
      </w:r>
      <w:r>
        <w:rPr>
          <w:rFonts w:hint="eastAsia" w:ascii="宋体" w:cs="Times New Roman"/>
          <w:color w:val="000000"/>
          <w:kern w:val="2"/>
          <w:sz w:val="21"/>
          <w:szCs w:val="21"/>
          <w:highlight w:val="none"/>
          <w:lang w:val="zh-CN"/>
        </w:rPr>
        <w:t>月</w:t>
      </w:r>
      <w:r>
        <w:rPr>
          <w:rFonts w:hint="eastAsia" w:ascii="宋体" w:cs="Times New Roman"/>
          <w:color w:val="000000"/>
          <w:kern w:val="2"/>
          <w:sz w:val="21"/>
          <w:szCs w:val="21"/>
          <w:highlight w:val="none"/>
          <w:lang w:val="en-US" w:eastAsia="zh-CN"/>
        </w:rPr>
        <w:t>27</w:t>
      </w:r>
      <w:r>
        <w:rPr>
          <w:rFonts w:hint="eastAsia" w:ascii="宋体" w:cs="Times New Roman"/>
          <w:color w:val="000000"/>
          <w:kern w:val="2"/>
          <w:sz w:val="21"/>
          <w:szCs w:val="21"/>
          <w:highlight w:val="none"/>
          <w:lang w:val="zh-CN"/>
        </w:rPr>
        <w:t>日至202</w:t>
      </w:r>
      <w:r>
        <w:rPr>
          <w:rFonts w:hint="eastAsia" w:ascii="宋体" w:cs="Times New Roman"/>
          <w:color w:val="000000"/>
          <w:kern w:val="2"/>
          <w:sz w:val="21"/>
          <w:szCs w:val="21"/>
          <w:highlight w:val="none"/>
          <w:lang w:val="en-US" w:eastAsia="zh-CN"/>
        </w:rPr>
        <w:t>5</w:t>
      </w:r>
      <w:r>
        <w:rPr>
          <w:rFonts w:hint="eastAsia" w:ascii="宋体" w:cs="Times New Roman"/>
          <w:color w:val="000000"/>
          <w:kern w:val="2"/>
          <w:sz w:val="21"/>
          <w:szCs w:val="21"/>
          <w:highlight w:val="none"/>
          <w:lang w:val="zh-CN"/>
        </w:rPr>
        <w:t>年</w:t>
      </w:r>
      <w:r>
        <w:rPr>
          <w:rFonts w:hint="eastAsia" w:ascii="宋体" w:cs="Times New Roman"/>
          <w:color w:val="000000"/>
          <w:kern w:val="2"/>
          <w:sz w:val="21"/>
          <w:szCs w:val="21"/>
          <w:highlight w:val="none"/>
          <w:lang w:val="en-US" w:eastAsia="zh-CN"/>
        </w:rPr>
        <w:t>07</w:t>
      </w:r>
      <w:r>
        <w:rPr>
          <w:rFonts w:hint="eastAsia" w:ascii="宋体" w:cs="Times New Roman"/>
          <w:color w:val="000000"/>
          <w:kern w:val="2"/>
          <w:sz w:val="21"/>
          <w:szCs w:val="21"/>
          <w:highlight w:val="none"/>
          <w:lang w:val="zh-CN"/>
        </w:rPr>
        <w:t>月</w:t>
      </w:r>
      <w:r>
        <w:rPr>
          <w:rFonts w:hint="eastAsia" w:ascii="宋体" w:cs="Times New Roman"/>
          <w:color w:val="000000"/>
          <w:kern w:val="2"/>
          <w:sz w:val="21"/>
          <w:szCs w:val="21"/>
          <w:highlight w:val="none"/>
          <w:lang w:val="en-US" w:eastAsia="zh-CN"/>
        </w:rPr>
        <w:t>03</w:t>
      </w:r>
      <w:r>
        <w:rPr>
          <w:rFonts w:hint="eastAsia" w:ascii="宋体" w:cs="Times New Roman"/>
          <w:color w:val="000000"/>
          <w:kern w:val="2"/>
          <w:sz w:val="21"/>
          <w:szCs w:val="21"/>
          <w:highlight w:val="none"/>
          <w:lang w:val="zh-CN"/>
        </w:rPr>
        <w:t>日，</w:t>
      </w:r>
      <w:r>
        <w:rPr>
          <w:rFonts w:hint="eastAsia" w:ascii="宋体" w:cs="Times New Roman"/>
          <w:color w:val="000000"/>
          <w:kern w:val="2"/>
          <w:sz w:val="21"/>
          <w:szCs w:val="21"/>
          <w:highlight w:val="none"/>
          <w:lang w:val="zh-CN" w:eastAsia="zh-CN"/>
        </w:rPr>
        <w:t>每天</w:t>
      </w:r>
      <w:r>
        <w:rPr>
          <w:rFonts w:hint="eastAsia" w:ascii="宋体" w:cs="Times New Roman"/>
          <w:color w:val="000000"/>
          <w:kern w:val="2"/>
          <w:sz w:val="21"/>
          <w:szCs w:val="21"/>
          <w:highlight w:val="none"/>
          <w:lang w:val="en-US" w:eastAsia="zh-CN"/>
        </w:rPr>
        <w:t>08:30</w:t>
      </w:r>
      <w:r>
        <w:rPr>
          <w:rFonts w:hint="eastAsia" w:ascii="宋体" w:cs="Times New Roman"/>
          <w:color w:val="000000"/>
          <w:kern w:val="2"/>
          <w:sz w:val="21"/>
          <w:szCs w:val="21"/>
          <w:highlight w:val="none"/>
          <w:lang w:val="zh-CN" w:eastAsia="zh-CN"/>
        </w:rPr>
        <w:t>至</w:t>
      </w:r>
      <w:r>
        <w:rPr>
          <w:rFonts w:hint="eastAsia" w:ascii="宋体" w:cs="Times New Roman"/>
          <w:color w:val="000000"/>
          <w:kern w:val="2"/>
          <w:sz w:val="21"/>
          <w:szCs w:val="21"/>
          <w:highlight w:val="none"/>
          <w:lang w:val="en-US" w:eastAsia="zh-CN"/>
        </w:rPr>
        <w:t>16:00</w:t>
      </w:r>
      <w:r>
        <w:rPr>
          <w:rFonts w:hint="eastAsia" w:ascii="宋体" w:cs="Times New Roman"/>
          <w:color w:val="000000"/>
          <w:kern w:val="2"/>
          <w:sz w:val="21"/>
          <w:szCs w:val="21"/>
          <w:highlight w:val="none"/>
          <w:lang w:val="zh-CN"/>
        </w:rPr>
        <w:t>(北京时间，法定节假日除外</w:t>
      </w:r>
      <w:r>
        <w:rPr>
          <w:rFonts w:hint="eastAsia" w:ascii="宋体" w:cs="Times New Roman"/>
          <w:color w:val="000000"/>
          <w:kern w:val="2"/>
          <w:sz w:val="21"/>
          <w:szCs w:val="21"/>
          <w:highlight w:val="none"/>
          <w:lang w:val="zh-CN" w:eastAsia="zh-CN"/>
        </w:rPr>
        <w:t>)</w:t>
      </w:r>
      <w:r>
        <w:rPr>
          <w:rFonts w:hint="eastAsia" w:ascii="宋体" w:cs="Times New Roman"/>
          <w:color w:val="000000"/>
          <w:kern w:val="2"/>
          <w:sz w:val="21"/>
          <w:szCs w:val="21"/>
          <w:highlight w:val="none"/>
          <w:lang w:val="zh-CN"/>
        </w:rPr>
        <w:t>；</w:t>
      </w:r>
    </w:p>
    <w:p w14:paraId="5603BD78">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eastAsia="zh-CN"/>
        </w:rPr>
        <w:t>2.地点：政府采购云平台(网址：http:// www.zcygov.cn)；</w:t>
      </w:r>
    </w:p>
    <w:p w14:paraId="52B8C38B">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eastAsia="zh-CN"/>
        </w:rPr>
        <w:t>3.</w:t>
      </w:r>
      <w:r>
        <w:rPr>
          <w:rFonts w:hint="eastAsia" w:ascii="宋体" w:cs="Times New Roman"/>
          <w:color w:val="000000"/>
          <w:kern w:val="2"/>
          <w:sz w:val="21"/>
          <w:szCs w:val="21"/>
          <w:highlight w:val="none"/>
          <w:lang w:val="zh-CN"/>
        </w:rPr>
        <w:t>方式：</w:t>
      </w:r>
      <w:r>
        <w:rPr>
          <w:rFonts w:hint="eastAsia" w:ascii="宋体" w:cs="Times New Roman"/>
          <w:color w:val="000000"/>
          <w:kern w:val="2"/>
          <w:sz w:val="21"/>
          <w:szCs w:val="21"/>
          <w:highlight w:val="none"/>
          <w:lang w:val="zh-CN" w:eastAsia="zh-CN"/>
        </w:rPr>
        <w:t>投标人</w:t>
      </w:r>
      <w:r>
        <w:rPr>
          <w:rFonts w:hint="eastAsia" w:ascii="宋体" w:cs="Times New Roman"/>
          <w:color w:val="000000"/>
          <w:kern w:val="2"/>
          <w:sz w:val="21"/>
          <w:szCs w:val="21"/>
          <w:highlight w:val="none"/>
          <w:lang w:val="zh-CN"/>
        </w:rPr>
        <w:t>需自行登录“政采云”(网址：http://www.zcygov.cn)，进行注册(https://middle.zcygov.cn/v-settle-front/registry)并下载采购文件，其他途径获取的采购文件一律无效；</w:t>
      </w:r>
    </w:p>
    <w:p w14:paraId="0227BE23">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eastAsia="zh-CN"/>
        </w:rPr>
        <w:t>4.售价：0元。</w:t>
      </w:r>
    </w:p>
    <w:p w14:paraId="2C5CD29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b/>
          <w:bCs/>
          <w:color w:val="000000"/>
          <w:kern w:val="2"/>
          <w:sz w:val="21"/>
          <w:szCs w:val="21"/>
          <w:highlight w:val="none"/>
          <w:lang w:val="zh-CN"/>
        </w:rPr>
        <w:t>四、提交投标文件截止时间、开标时间和地点</w:t>
      </w:r>
    </w:p>
    <w:p w14:paraId="4F1CEFCA">
      <w:pPr>
        <w:pageBreakBefore w:val="0"/>
        <w:kinsoku/>
        <w:wordWrap w:val="0"/>
        <w:overflowPunct/>
        <w:bidi w:val="0"/>
        <w:spacing w:line="240" w:lineRule="auto"/>
        <w:ind w:firstLine="420" w:firstLineChars="200"/>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1.</w:t>
      </w:r>
      <w:r>
        <w:rPr>
          <w:rFonts w:hint="eastAsia" w:ascii="宋体" w:hAnsi="??" w:eastAsia="宋体" w:cs="Times New Roman"/>
          <w:color w:val="000000"/>
          <w:kern w:val="2"/>
          <w:sz w:val="21"/>
          <w:szCs w:val="21"/>
          <w:highlight w:val="none"/>
          <w:lang w:val="zh-CN" w:eastAsia="zh-CN" w:bidi="ar-SA"/>
        </w:rPr>
        <w:t>提交投标文件截止时间、开标时间：202</w:t>
      </w:r>
      <w:r>
        <w:rPr>
          <w:rFonts w:hint="eastAsia" w:ascii="宋体" w:hAnsi="??" w:eastAsia="宋体" w:cs="Times New Roman"/>
          <w:color w:val="000000"/>
          <w:kern w:val="2"/>
          <w:sz w:val="21"/>
          <w:szCs w:val="21"/>
          <w:highlight w:val="none"/>
          <w:lang w:val="en-US" w:eastAsia="zh-CN" w:bidi="ar-SA"/>
        </w:rPr>
        <w:t>5</w:t>
      </w:r>
      <w:r>
        <w:rPr>
          <w:rFonts w:hint="eastAsia" w:ascii="宋体" w:hAnsi="??" w:eastAsia="宋体" w:cs="Times New Roman"/>
          <w:color w:val="000000"/>
          <w:kern w:val="2"/>
          <w:sz w:val="21"/>
          <w:szCs w:val="21"/>
          <w:highlight w:val="none"/>
          <w:lang w:val="zh-CN" w:eastAsia="zh-CN" w:bidi="ar-SA"/>
        </w:rPr>
        <w:t>年</w:t>
      </w:r>
      <w:r>
        <w:rPr>
          <w:rFonts w:hint="eastAsia" w:ascii="宋体" w:hAnsi="??" w:eastAsia="宋体" w:cs="Times New Roman"/>
          <w:color w:val="000000"/>
          <w:kern w:val="2"/>
          <w:sz w:val="21"/>
          <w:szCs w:val="21"/>
          <w:highlight w:val="none"/>
          <w:lang w:val="en-US" w:eastAsia="zh-CN" w:bidi="ar-SA"/>
        </w:rPr>
        <w:t>07</w:t>
      </w:r>
      <w:r>
        <w:rPr>
          <w:rFonts w:hint="eastAsia" w:ascii="宋体" w:hAnsi="??" w:eastAsia="宋体" w:cs="Times New Roman"/>
          <w:color w:val="000000"/>
          <w:kern w:val="2"/>
          <w:sz w:val="21"/>
          <w:szCs w:val="21"/>
          <w:highlight w:val="none"/>
          <w:lang w:val="zh-CN" w:eastAsia="zh-CN" w:bidi="ar-SA"/>
        </w:rPr>
        <w:t>月</w:t>
      </w:r>
      <w:r>
        <w:rPr>
          <w:rFonts w:hint="eastAsia" w:ascii="宋体" w:hAnsi="??" w:cs="Times New Roman"/>
          <w:color w:val="000000"/>
          <w:kern w:val="2"/>
          <w:sz w:val="21"/>
          <w:szCs w:val="21"/>
          <w:highlight w:val="none"/>
          <w:lang w:val="en-US" w:eastAsia="zh-CN" w:bidi="ar-SA"/>
        </w:rPr>
        <w:t>18</w:t>
      </w:r>
      <w:r>
        <w:rPr>
          <w:rFonts w:hint="eastAsia" w:ascii="宋体" w:hAnsi="??" w:eastAsia="宋体" w:cs="Times New Roman"/>
          <w:color w:val="000000"/>
          <w:kern w:val="2"/>
          <w:sz w:val="21"/>
          <w:szCs w:val="21"/>
          <w:highlight w:val="none"/>
          <w:lang w:val="zh-CN" w:eastAsia="zh-CN" w:bidi="ar-SA"/>
        </w:rPr>
        <w:t>日09时30分(北京时间)</w:t>
      </w:r>
    </w:p>
    <w:p w14:paraId="0E86B4B0">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地点：长春新区政务服务中心公共资源交易大厅（龙湖大路5799号）</w:t>
      </w:r>
      <w:r>
        <w:rPr>
          <w:rFonts w:hint="eastAsia" w:ascii="宋体" w:hAnsi="??" w:eastAsia="宋体" w:cs="Times New Roman"/>
          <w:color w:val="000000"/>
          <w:kern w:val="2"/>
          <w:sz w:val="21"/>
          <w:szCs w:val="21"/>
          <w:highlight w:val="none"/>
          <w:lang w:val="en-US" w:eastAsia="zh-CN" w:bidi="ar-SA"/>
        </w:rPr>
        <w:t>二</w:t>
      </w:r>
      <w:r>
        <w:rPr>
          <w:rFonts w:hint="eastAsia" w:ascii="宋体" w:hAnsi="??" w:eastAsia="宋体" w:cs="Times New Roman"/>
          <w:color w:val="000000"/>
          <w:kern w:val="2"/>
          <w:sz w:val="21"/>
          <w:szCs w:val="21"/>
          <w:highlight w:val="none"/>
          <w:lang w:val="zh-CN" w:eastAsia="zh-CN" w:bidi="ar-SA"/>
        </w:rPr>
        <w:t>楼B2</w:t>
      </w:r>
      <w:r>
        <w:rPr>
          <w:rFonts w:hint="eastAsia" w:ascii="宋体" w:cs="Times New Roman"/>
          <w:color w:val="000000"/>
          <w:kern w:val="2"/>
          <w:sz w:val="21"/>
          <w:szCs w:val="21"/>
          <w:highlight w:val="none"/>
          <w:lang w:val="en-US" w:eastAsia="zh-CN" w:bidi="ar-SA"/>
        </w:rPr>
        <w:t>08</w:t>
      </w:r>
      <w:r>
        <w:rPr>
          <w:rFonts w:hint="eastAsia" w:ascii="宋体" w:hAnsi="??" w:eastAsia="宋体" w:cs="Times New Roman"/>
          <w:color w:val="000000"/>
          <w:kern w:val="2"/>
          <w:sz w:val="21"/>
          <w:szCs w:val="21"/>
          <w:highlight w:val="none"/>
          <w:lang w:val="zh-CN" w:eastAsia="zh-CN" w:bidi="ar-SA"/>
        </w:rPr>
        <w:t>开标室</w:t>
      </w:r>
      <w:r>
        <w:rPr>
          <w:rFonts w:hint="eastAsia" w:ascii="宋体" w:hAnsi="??" w:eastAsia="宋体" w:cs="Times New Roman"/>
          <w:color w:val="000000"/>
          <w:kern w:val="2"/>
          <w:sz w:val="21"/>
          <w:szCs w:val="21"/>
          <w:highlight w:val="none"/>
          <w:lang w:val="en-US" w:eastAsia="zh-CN" w:bidi="ar-SA"/>
        </w:rPr>
        <w:t>,</w:t>
      </w:r>
      <w:r>
        <w:rPr>
          <w:rFonts w:hint="eastAsia" w:ascii="宋体" w:hAnsi="??" w:eastAsia="宋体" w:cs="Times New Roman"/>
          <w:color w:val="000000"/>
          <w:kern w:val="2"/>
          <w:sz w:val="21"/>
          <w:szCs w:val="21"/>
          <w:highlight w:val="none"/>
          <w:lang w:val="zh-CN" w:eastAsia="zh-CN" w:bidi="ar-SA"/>
        </w:rPr>
        <w:t>本项目执行电子化招投标，</w:t>
      </w:r>
      <w:r>
        <w:rPr>
          <w:rFonts w:hint="eastAsia" w:ascii="宋体" w:hAnsi="??" w:eastAsia="宋体" w:cs="Times New Roman"/>
          <w:color w:val="000000"/>
          <w:kern w:val="2"/>
          <w:sz w:val="21"/>
          <w:szCs w:val="21"/>
          <w:highlight w:val="none"/>
          <w:lang w:val="en-US" w:eastAsia="zh-CN" w:bidi="ar-SA"/>
        </w:rPr>
        <w:t>投标人</w:t>
      </w:r>
      <w:r>
        <w:rPr>
          <w:rFonts w:hint="eastAsia" w:ascii="宋体" w:hAnsi="??" w:eastAsia="宋体" w:cs="Times New Roman"/>
          <w:color w:val="000000"/>
          <w:kern w:val="2"/>
          <w:sz w:val="21"/>
          <w:szCs w:val="21"/>
          <w:highlight w:val="none"/>
          <w:lang w:val="zh-CN" w:eastAsia="zh-CN" w:bidi="ar-SA"/>
        </w:rPr>
        <w:t>无需现场出席，须通过政府采购云平台(网址：http://www.zcygov.cn)递交电子版</w:t>
      </w:r>
      <w:r>
        <w:rPr>
          <w:rFonts w:hint="eastAsia" w:ascii="宋体" w:hAnsi="??" w:eastAsia="宋体" w:cs="Times New Roman"/>
          <w:color w:val="000000"/>
          <w:kern w:val="2"/>
          <w:sz w:val="21"/>
          <w:szCs w:val="21"/>
          <w:highlight w:val="none"/>
          <w:lang w:val="en-US" w:eastAsia="zh-CN" w:bidi="ar-SA"/>
        </w:rPr>
        <w:t>投标</w:t>
      </w:r>
      <w:r>
        <w:rPr>
          <w:rFonts w:hint="eastAsia" w:ascii="宋体" w:hAnsi="??" w:eastAsia="宋体" w:cs="Times New Roman"/>
          <w:color w:val="000000"/>
          <w:kern w:val="2"/>
          <w:sz w:val="21"/>
          <w:szCs w:val="21"/>
          <w:highlight w:val="none"/>
          <w:lang w:val="zh-CN" w:eastAsia="zh-CN" w:bidi="ar-SA"/>
        </w:rPr>
        <w:t>文件。</w:t>
      </w:r>
    </w:p>
    <w:p w14:paraId="47BCB6F7">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b/>
          <w:bCs/>
          <w:color w:val="000000"/>
          <w:kern w:val="2"/>
          <w:sz w:val="21"/>
          <w:szCs w:val="21"/>
          <w:highlight w:val="none"/>
          <w:lang w:val="zh-CN"/>
        </w:rPr>
        <w:t>五、公告期限</w:t>
      </w:r>
    </w:p>
    <w:p w14:paraId="5BBE832F">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default" w:ascii="宋体" w:cs="Times New Roman"/>
          <w:color w:val="000000"/>
          <w:kern w:val="2"/>
          <w:sz w:val="21"/>
          <w:szCs w:val="21"/>
          <w:highlight w:val="none"/>
          <w:lang w:val="en-US" w:eastAsia="zh-CN"/>
        </w:rPr>
        <w:t>自本公告发布之日起</w:t>
      </w:r>
      <w:r>
        <w:rPr>
          <w:rFonts w:hint="eastAsia" w:ascii="宋体" w:cs="Times New Roman"/>
          <w:color w:val="000000"/>
          <w:kern w:val="2"/>
          <w:sz w:val="21"/>
          <w:szCs w:val="21"/>
          <w:highlight w:val="none"/>
          <w:lang w:val="en-US" w:eastAsia="zh-CN"/>
        </w:rPr>
        <w:t>5</w:t>
      </w:r>
      <w:r>
        <w:rPr>
          <w:rFonts w:hint="default" w:ascii="宋体" w:cs="Times New Roman"/>
          <w:color w:val="000000"/>
          <w:kern w:val="2"/>
          <w:sz w:val="21"/>
          <w:szCs w:val="21"/>
          <w:highlight w:val="none"/>
          <w:lang w:val="en-US" w:eastAsia="zh-CN"/>
        </w:rPr>
        <w:t>个工作日</w:t>
      </w:r>
      <w:r>
        <w:rPr>
          <w:rFonts w:hint="eastAsia" w:ascii="宋体" w:cs="Times New Roman"/>
          <w:color w:val="000000"/>
          <w:kern w:val="2"/>
          <w:sz w:val="21"/>
          <w:szCs w:val="21"/>
          <w:highlight w:val="none"/>
          <w:lang w:val="zh-CN"/>
        </w:rPr>
        <w:t>。</w:t>
      </w:r>
    </w:p>
    <w:p w14:paraId="345A58C4">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b/>
          <w:bCs/>
          <w:color w:val="000000"/>
          <w:kern w:val="2"/>
          <w:sz w:val="21"/>
          <w:szCs w:val="21"/>
          <w:highlight w:val="none"/>
          <w:lang w:val="zh-CN"/>
        </w:rPr>
      </w:pPr>
      <w:r>
        <w:rPr>
          <w:rFonts w:hint="eastAsia" w:ascii="宋体" w:cs="Times New Roman"/>
          <w:b/>
          <w:bCs/>
          <w:color w:val="000000"/>
          <w:kern w:val="2"/>
          <w:sz w:val="21"/>
          <w:szCs w:val="21"/>
          <w:highlight w:val="none"/>
          <w:lang w:val="zh-CN"/>
        </w:rPr>
        <w:t>六、其他补充事宜</w:t>
      </w:r>
    </w:p>
    <w:p w14:paraId="35486F6A">
      <w:pPr>
        <w:pStyle w:val="12"/>
        <w:pageBreakBefore w:val="0"/>
        <w:shd w:val="clear" w:color="auto" w:fill="FFFFFF"/>
        <w:kinsoku/>
        <w:wordWrap w:val="0"/>
        <w:overflowPunct/>
        <w:bidi w:val="0"/>
        <w:spacing w:before="0" w:beforeAutospacing="0" w:after="0" w:afterAutospacing="0" w:line="240" w:lineRule="auto"/>
        <w:ind w:firstLine="420"/>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本次公告在”政采云”平台（http:// www.zcygov.cn）发布，并由“政采云”平台(http：// www.zcygov.cn)同步推送至《吉林省政府采购网》、《长春市公共资源交易网》、《中国政府采购网》。</w:t>
      </w:r>
    </w:p>
    <w:p w14:paraId="6D1FD7D3">
      <w:pPr>
        <w:pageBreakBefore w:val="0"/>
        <w:kinsoku/>
        <w:wordWrap w:val="0"/>
        <w:overflowPunct/>
        <w:bidi w:val="0"/>
        <w:spacing w:line="240" w:lineRule="auto"/>
        <w:ind w:firstLine="422" w:firstLineChars="200"/>
        <w:rPr>
          <w:rFonts w:hint="eastAsia" w:ascii="宋体"/>
          <w:b/>
          <w:color w:val="000000"/>
          <w:szCs w:val="21"/>
          <w:highlight w:val="none"/>
        </w:rPr>
      </w:pPr>
      <w:r>
        <w:rPr>
          <w:rFonts w:hint="eastAsia" w:ascii="宋体"/>
          <w:b/>
          <w:color w:val="000000"/>
          <w:szCs w:val="21"/>
          <w:highlight w:val="none"/>
        </w:rPr>
        <w:t>七、对本次招标提出询问，请按以下方式联系</w:t>
      </w:r>
      <w:bookmarkEnd w:id="10"/>
      <w:bookmarkEnd w:id="11"/>
      <w:bookmarkEnd w:id="12"/>
      <w:bookmarkEnd w:id="13"/>
    </w:p>
    <w:p w14:paraId="7D3978D1">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1.采购人信息</w:t>
      </w:r>
    </w:p>
    <w:p w14:paraId="1E6C2CAD">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名    称：</w:t>
      </w:r>
      <w:bookmarkStart w:id="14" w:name="blank0_copy_1620032127000"/>
      <w:r>
        <w:rPr>
          <w:rFonts w:hint="eastAsia" w:ascii="宋体"/>
          <w:color w:val="000000"/>
          <w:szCs w:val="21"/>
          <w:highlight w:val="none"/>
        </w:rPr>
        <w:t>长春新区教育局</w:t>
      </w:r>
      <w:bookmarkEnd w:id="14"/>
    </w:p>
    <w:p w14:paraId="6CD766A3">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地    址：</w:t>
      </w:r>
      <w:bookmarkStart w:id="15" w:name="blank4"/>
      <w:r>
        <w:rPr>
          <w:rFonts w:hint="eastAsia" w:ascii="宋体"/>
          <w:color w:val="000000"/>
          <w:szCs w:val="21"/>
          <w:highlight w:val="none"/>
        </w:rPr>
        <w:t>长春市龙湖大路5799号</w:t>
      </w:r>
      <w:bookmarkEnd w:id="15"/>
    </w:p>
    <w:p w14:paraId="16575C87">
      <w:pPr>
        <w:pageBreakBefore w:val="0"/>
        <w:kinsoku/>
        <w:wordWrap w:val="0"/>
        <w:overflowPunct/>
        <w:bidi w:val="0"/>
        <w:spacing w:line="240" w:lineRule="auto"/>
        <w:ind w:firstLine="420" w:firstLineChars="200"/>
        <w:rPr>
          <w:rFonts w:hint="eastAsia" w:ascii="宋体"/>
          <w:color w:val="000000"/>
          <w:szCs w:val="21"/>
          <w:highlight w:val="none"/>
        </w:rPr>
      </w:pPr>
      <w:r>
        <w:rPr>
          <w:rFonts w:hint="eastAsia" w:ascii="宋体"/>
          <w:color w:val="000000"/>
          <w:szCs w:val="21"/>
          <w:highlight w:val="none"/>
        </w:rPr>
        <w:t>联系方式：张先生0431-82538548</w:t>
      </w:r>
    </w:p>
    <w:p w14:paraId="38EB1063">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2.采购代理机构信息</w:t>
      </w:r>
    </w:p>
    <w:p w14:paraId="02EFEA47">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名    称：吉林省世博项目管理有限公司</w:t>
      </w:r>
    </w:p>
    <w:p w14:paraId="5A41B7C9">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地　　址：长春市二道区通安小区1号楼103室-04</w:t>
      </w:r>
    </w:p>
    <w:p w14:paraId="2BCD328C">
      <w:pPr>
        <w:pageBreakBefore w:val="0"/>
        <w:kinsoku/>
        <w:wordWrap w:val="0"/>
        <w:overflowPunct/>
        <w:bidi w:val="0"/>
        <w:spacing w:line="240" w:lineRule="auto"/>
        <w:ind w:firstLine="420" w:firstLineChars="200"/>
        <w:rPr>
          <w:rFonts w:hint="eastAsia" w:ascii="宋体" w:eastAsia="宋体"/>
          <w:color w:val="000000"/>
          <w:szCs w:val="21"/>
          <w:highlight w:val="none"/>
          <w:lang w:val="zh-CN" w:eastAsia="zh-CN"/>
        </w:rPr>
      </w:pPr>
      <w:r>
        <w:rPr>
          <w:rFonts w:hint="eastAsia" w:ascii="宋体" w:eastAsia="宋体"/>
          <w:color w:val="000000"/>
          <w:szCs w:val="21"/>
          <w:highlight w:val="none"/>
          <w:lang w:val="zh-CN" w:eastAsia="zh-CN"/>
        </w:rPr>
        <w:t>联系方式：13364300502（办公电话）</w:t>
      </w:r>
    </w:p>
    <w:p w14:paraId="07428288">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3.项目联系方式</w:t>
      </w:r>
    </w:p>
    <w:p w14:paraId="02B12D81">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项目联系人：</w:t>
      </w:r>
      <w:r>
        <w:rPr>
          <w:rFonts w:hint="eastAsia" w:ascii="宋体" w:eastAsia="宋体"/>
          <w:color w:val="000000"/>
          <w:szCs w:val="21"/>
          <w:highlight w:val="none"/>
          <w:lang w:val="zh-CN" w:eastAsia="zh-CN"/>
        </w:rPr>
        <w:t>魏中华</w:t>
      </w:r>
    </w:p>
    <w:p w14:paraId="2D814E6E">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电</w:t>
      </w:r>
      <w:r>
        <w:rPr>
          <w:rFonts w:hint="eastAsia" w:ascii="宋体" w:eastAsia="宋体"/>
          <w:color w:val="000000"/>
          <w:szCs w:val="21"/>
          <w:highlight w:val="none"/>
          <w:lang w:val="en-US" w:eastAsia="zh-CN"/>
        </w:rPr>
        <w:t xml:space="preserve">    </w:t>
      </w:r>
      <w:r>
        <w:rPr>
          <w:rFonts w:hint="eastAsia" w:ascii="宋体" w:eastAsia="宋体"/>
          <w:color w:val="000000"/>
          <w:szCs w:val="21"/>
          <w:highlight w:val="none"/>
          <w:lang w:val="zh-CN"/>
        </w:rPr>
        <w:t>话：13364300502</w:t>
      </w:r>
      <w:r>
        <w:rPr>
          <w:rFonts w:hint="eastAsia" w:ascii="宋体" w:eastAsia="宋体"/>
          <w:color w:val="000000"/>
          <w:szCs w:val="21"/>
          <w:highlight w:val="none"/>
          <w:lang w:val="zh-CN" w:eastAsia="zh-CN"/>
        </w:rPr>
        <w:t>（办公电话）</w:t>
      </w:r>
    </w:p>
    <w:p w14:paraId="7C33F96F">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4.监督机构：长春新区财政局政府采购管理办公室</w:t>
      </w:r>
    </w:p>
    <w:p w14:paraId="1D235D6F">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地    址：长春市龙湖大路5799号</w:t>
      </w:r>
    </w:p>
    <w:p w14:paraId="60AF98CE">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联系方式：0431-81335709</w:t>
      </w:r>
    </w:p>
    <w:p w14:paraId="118A7189">
      <w:pPr>
        <w:pageBreakBefore w:val="0"/>
        <w:kinsoku/>
        <w:wordWrap w:val="0"/>
        <w:overflowPunct/>
        <w:bidi w:val="0"/>
        <w:spacing w:line="240" w:lineRule="auto"/>
        <w:ind w:firstLine="420" w:firstLineChars="200"/>
        <w:rPr>
          <w:rFonts w:hint="eastAsia" w:ascii="宋体" w:eastAsia="宋体"/>
          <w:color w:val="000000"/>
          <w:szCs w:val="21"/>
          <w:highlight w:val="none"/>
          <w:lang w:val="zh-CN"/>
        </w:rPr>
      </w:pPr>
      <w:r>
        <w:rPr>
          <w:rFonts w:hint="eastAsia" w:ascii="宋体" w:eastAsia="宋体"/>
          <w:color w:val="000000"/>
          <w:szCs w:val="21"/>
          <w:highlight w:val="none"/>
          <w:lang w:val="zh-CN"/>
        </w:rPr>
        <w:t>投诉方式：书面投诉</w:t>
      </w:r>
    </w:p>
    <w:p w14:paraId="4F8A9AA3">
      <w:pPr>
        <w:pageBreakBefore w:val="0"/>
        <w:kinsoku/>
        <w:wordWrap w:val="0"/>
        <w:overflowPunct/>
        <w:bidi w:val="0"/>
        <w:spacing w:line="240" w:lineRule="auto"/>
        <w:ind w:firstLine="420" w:firstLineChars="200"/>
        <w:rPr>
          <w:rFonts w:hint="eastAsia" w:ascii="宋体" w:eastAsia="宋体"/>
          <w:color w:val="000000"/>
          <w:szCs w:val="21"/>
          <w:highlight w:val="none"/>
        </w:rPr>
      </w:pPr>
      <w:r>
        <w:rPr>
          <w:rFonts w:hint="eastAsia" w:ascii="宋体" w:eastAsia="宋体"/>
          <w:color w:val="000000"/>
          <w:szCs w:val="21"/>
          <w:highlight w:val="none"/>
          <w:lang w:val="zh-CN"/>
        </w:rPr>
        <w:t>5.“政采数金平台”联系电话：0431-81888992/81888798</w:t>
      </w:r>
    </w:p>
    <w:p w14:paraId="2B11C501">
      <w:pPr>
        <w:pStyle w:val="3"/>
        <w:pageBreakBefore w:val="0"/>
        <w:kinsoku/>
        <w:wordWrap w:val="0"/>
        <w:overflowPunct/>
        <w:bidi w:val="0"/>
        <w:spacing w:before="0" w:after="0" w:line="360" w:lineRule="auto"/>
        <w:jc w:val="center"/>
        <w:rPr>
          <w:color w:val="000000"/>
          <w:highlight w:val="none"/>
        </w:rPr>
      </w:pPr>
      <w:r>
        <w:rPr>
          <w:rFonts w:hint="eastAsia" w:ascii="宋体"/>
          <w:color w:val="000000"/>
          <w:sz w:val="24"/>
          <w:highlight w:val="none"/>
        </w:rPr>
        <w:br w:type="page"/>
      </w:r>
      <w:bookmarkStart w:id="16" w:name="_Toc54891393"/>
      <w:bookmarkStart w:id="17" w:name="_Toc27449"/>
      <w:bookmarkStart w:id="18" w:name="_Toc17521"/>
      <w:r>
        <w:rPr>
          <w:rFonts w:hint="eastAsia"/>
          <w:color w:val="000000"/>
          <w:highlight w:val="none"/>
        </w:rPr>
        <w:t>第二章  供应商须知</w:t>
      </w:r>
      <w:bookmarkEnd w:id="16"/>
      <w:bookmarkEnd w:id="17"/>
      <w:bookmarkEnd w:id="18"/>
    </w:p>
    <w:p w14:paraId="71EF5638">
      <w:pPr>
        <w:bidi w:val="0"/>
        <w:rPr>
          <w:b/>
          <w:bCs/>
          <w:sz w:val="22"/>
          <w:szCs w:val="28"/>
        </w:rPr>
      </w:pPr>
      <w:r>
        <w:rPr>
          <w:rFonts w:hint="eastAsia"/>
          <w:b/>
          <w:bCs/>
          <w:sz w:val="22"/>
          <w:szCs w:val="28"/>
        </w:rPr>
        <w:t>一、供应商须知前附表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793"/>
        <w:gridCol w:w="6833"/>
      </w:tblGrid>
      <w:tr w14:paraId="20E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B499E16">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sz w:val="21"/>
                <w:szCs w:val="21"/>
                <w:lang w:val="zh-CN"/>
              </w:rPr>
              <w:t>序号</w:t>
            </w:r>
          </w:p>
        </w:tc>
        <w:tc>
          <w:tcPr>
            <w:tcW w:w="1793" w:type="dxa"/>
            <w:noWrap w:val="0"/>
            <w:vAlign w:val="center"/>
          </w:tcPr>
          <w:p w14:paraId="634FA580">
            <w:pPr>
              <w:pStyle w:val="11"/>
              <w:keepNext w:val="0"/>
              <w:keepLines w:val="0"/>
              <w:pageBreakBefore w:val="0"/>
              <w:pBdr>
                <w:bottom w:val="none" w:color="auto" w:sz="0" w:space="0"/>
              </w:pBdr>
              <w:tabs>
                <w:tab w:val="clear" w:pos="4153"/>
                <w:tab w:val="clear" w:pos="8306"/>
              </w:tabs>
              <w:wordWrap w:val="0"/>
              <w:overflowPunct/>
              <w:autoSpaceDE w:val="0"/>
              <w:autoSpaceDN w:val="0"/>
              <w:bidi w:val="0"/>
              <w:adjustRightInd w:val="0"/>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rPr>
              <w:t>名称</w:t>
            </w:r>
          </w:p>
        </w:tc>
        <w:tc>
          <w:tcPr>
            <w:tcW w:w="6833" w:type="dxa"/>
            <w:noWrap w:val="0"/>
            <w:vAlign w:val="center"/>
          </w:tcPr>
          <w:p w14:paraId="1E82B30E">
            <w:pPr>
              <w:pStyle w:val="11"/>
              <w:keepNext w:val="0"/>
              <w:keepLines w:val="0"/>
              <w:pageBreakBefore w:val="0"/>
              <w:pBdr>
                <w:bottom w:val="none" w:color="auto" w:sz="0" w:space="0"/>
              </w:pBdr>
              <w:tabs>
                <w:tab w:val="clear" w:pos="4153"/>
                <w:tab w:val="clear" w:pos="8306"/>
              </w:tabs>
              <w:wordWrap w:val="0"/>
              <w:overflowPunct/>
              <w:autoSpaceDE w:val="0"/>
              <w:autoSpaceDN w:val="0"/>
              <w:bidi w:val="0"/>
              <w:adjustRightInd w:val="0"/>
              <w:spacing w:line="240" w:lineRule="auto"/>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rPr>
              <w:t>内容</w:t>
            </w:r>
          </w:p>
        </w:tc>
      </w:tr>
      <w:tr w14:paraId="6D2C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51EC395D">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1.1.2</w:t>
            </w:r>
          </w:p>
        </w:tc>
        <w:tc>
          <w:tcPr>
            <w:tcW w:w="1793" w:type="dxa"/>
            <w:noWrap w:val="0"/>
            <w:vAlign w:val="center"/>
          </w:tcPr>
          <w:p w14:paraId="1CBD771D">
            <w:pPr>
              <w:adjustRightInd w:val="0"/>
              <w:snapToGrid w:val="0"/>
              <w:spacing w:before="46" w:beforeLines="15"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采购人</w:t>
            </w:r>
          </w:p>
        </w:tc>
        <w:tc>
          <w:tcPr>
            <w:tcW w:w="6833" w:type="dxa"/>
            <w:noWrap w:val="0"/>
            <w:vAlign w:val="center"/>
          </w:tcPr>
          <w:p w14:paraId="66258E78">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lang w:val="en-US" w:eastAsia="zh-CN"/>
              </w:rPr>
              <w:t>采 购 人</w:t>
            </w:r>
            <w:r>
              <w:rPr>
                <w:rFonts w:hint="eastAsia" w:ascii="宋体" w:cs="宋体"/>
                <w:highlight w:val="none"/>
              </w:rPr>
              <w:t>：长春新区教育局</w:t>
            </w:r>
          </w:p>
          <w:p w14:paraId="4AE3C872">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rPr>
              <w:t>地    址：长春市龙湖大路5799号</w:t>
            </w:r>
          </w:p>
          <w:p w14:paraId="39C79E60">
            <w:pPr>
              <w:pageBreakBefore w:val="0"/>
              <w:kinsoku/>
              <w:wordWrap w:val="0"/>
              <w:overflowPunct/>
              <w:bidi w:val="0"/>
              <w:spacing w:line="240" w:lineRule="auto"/>
              <w:jc w:val="left"/>
              <w:rPr>
                <w:rFonts w:hint="eastAsia" w:ascii="宋体" w:hAnsi="宋体" w:eastAsia="宋体" w:cs="宋体"/>
                <w:bCs/>
                <w:kern w:val="2"/>
                <w:sz w:val="21"/>
                <w:szCs w:val="21"/>
                <w:highlight w:val="none"/>
                <w:lang w:val="zh-CN" w:eastAsia="zh-CN" w:bidi="ar-SA"/>
              </w:rPr>
            </w:pPr>
            <w:r>
              <w:rPr>
                <w:rFonts w:hint="eastAsia" w:ascii="宋体" w:cs="宋体"/>
                <w:highlight w:val="none"/>
              </w:rPr>
              <w:t>联系方式：：张先生0431-82538548</w:t>
            </w:r>
          </w:p>
        </w:tc>
      </w:tr>
      <w:tr w14:paraId="667C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24F93995">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1.1.3</w:t>
            </w:r>
          </w:p>
        </w:tc>
        <w:tc>
          <w:tcPr>
            <w:tcW w:w="1793" w:type="dxa"/>
            <w:noWrap w:val="0"/>
            <w:vAlign w:val="center"/>
          </w:tcPr>
          <w:p w14:paraId="16808FE2">
            <w:pPr>
              <w:adjustRightInd w:val="0"/>
              <w:snapToGrid w:val="0"/>
              <w:spacing w:before="46" w:beforeLines="15"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采购代理机构</w:t>
            </w:r>
          </w:p>
        </w:tc>
        <w:tc>
          <w:tcPr>
            <w:tcW w:w="6833" w:type="dxa"/>
            <w:noWrap w:val="0"/>
            <w:vAlign w:val="center"/>
          </w:tcPr>
          <w:p w14:paraId="1470D2D9">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名称： 吉林省世博项目管理有限公司</w:t>
            </w:r>
          </w:p>
          <w:p w14:paraId="0CDA6D6C">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地址：长春市二道区通安小区1号楼103室-04</w:t>
            </w:r>
          </w:p>
          <w:p w14:paraId="3BF394C2">
            <w:pPr>
              <w:adjustRightInd w:val="0"/>
              <w:snapToGrid w:val="0"/>
              <w:spacing w:before="46" w:beforeLines="15" w:line="24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联系人:魏中华</w:t>
            </w:r>
          </w:p>
          <w:p w14:paraId="343C61FB">
            <w:pPr>
              <w:adjustRightInd w:val="0"/>
              <w:snapToGrid w:val="0"/>
              <w:spacing w:before="46" w:beforeLines="15" w:line="240" w:lineRule="auto"/>
              <w:jc w:val="left"/>
              <w:rPr>
                <w:rFonts w:hint="eastAsia" w:ascii="宋体" w:hAnsi="宋体" w:eastAsia="宋体" w:cs="宋体"/>
                <w:bCs/>
                <w:kern w:val="2"/>
                <w:sz w:val="21"/>
                <w:szCs w:val="21"/>
                <w:highlight w:val="none"/>
                <w:lang w:val="zh-CN" w:eastAsia="zh-CN" w:bidi="ar-SA"/>
              </w:rPr>
            </w:pPr>
            <w:r>
              <w:rPr>
                <w:rFonts w:hint="default" w:ascii="宋体" w:hAnsi="宋体" w:eastAsia="宋体" w:cs="宋体"/>
                <w:bCs/>
                <w:kern w:val="2"/>
                <w:sz w:val="21"/>
                <w:szCs w:val="21"/>
                <w:highlight w:val="none"/>
                <w:lang w:val="en-US" w:eastAsia="zh-CN" w:bidi="ar-SA"/>
              </w:rPr>
              <w:t>电话：13364300502（办公电话）</w:t>
            </w:r>
          </w:p>
        </w:tc>
      </w:tr>
      <w:tr w14:paraId="7658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139FAFE">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1.1.4</w:t>
            </w:r>
          </w:p>
        </w:tc>
        <w:tc>
          <w:tcPr>
            <w:tcW w:w="1793" w:type="dxa"/>
            <w:noWrap w:val="0"/>
            <w:vAlign w:val="center"/>
          </w:tcPr>
          <w:p w14:paraId="6634C9B7">
            <w:pPr>
              <w:pStyle w:val="5"/>
              <w:adjustRightInd w:val="0"/>
              <w:snapToGrid w:val="0"/>
              <w:spacing w:before="46" w:beforeLines="15" w:line="240" w:lineRule="auto"/>
              <w:ind w:left="0" w:leftChars="0" w:firstLine="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项目名称及项目编号</w:t>
            </w:r>
          </w:p>
        </w:tc>
        <w:tc>
          <w:tcPr>
            <w:tcW w:w="6833" w:type="dxa"/>
            <w:noWrap w:val="0"/>
            <w:vAlign w:val="center"/>
          </w:tcPr>
          <w:p w14:paraId="4E031AA2">
            <w:pPr>
              <w:pStyle w:val="5"/>
              <w:adjustRightInd w:val="0"/>
              <w:snapToGrid w:val="0"/>
              <w:spacing w:before="46" w:beforeLines="15" w:line="240" w:lineRule="auto"/>
              <w:ind w:left="0" w:leftChars="0" w:firstLine="0" w:firstLineChars="0"/>
              <w:jc w:val="left"/>
              <w:rPr>
                <w:rFonts w:hint="eastAsia" w:ascii="宋体" w:hAnsi="宋体" w:eastAsia="宋体" w:cs="宋体"/>
                <w:bCs/>
                <w:kern w:val="2"/>
                <w:sz w:val="21"/>
                <w:szCs w:val="21"/>
                <w:highlight w:val="none"/>
                <w:lang w:val="zh-CN" w:eastAsia="zh-Hans" w:bidi="ar-SA"/>
              </w:rPr>
            </w:pPr>
            <w:r>
              <w:rPr>
                <w:rFonts w:hint="eastAsia" w:ascii="宋体" w:hAnsi="宋体" w:eastAsia="宋体" w:cs="宋体"/>
                <w:bCs/>
                <w:kern w:val="2"/>
                <w:sz w:val="21"/>
                <w:szCs w:val="21"/>
                <w:highlight w:val="none"/>
                <w:lang w:val="zh-CN" w:eastAsia="zh-Hans" w:bidi="ar-SA"/>
              </w:rPr>
              <w:t>项目名称：</w:t>
            </w:r>
            <w:r>
              <w:rPr>
                <w:rFonts w:hint="eastAsia" w:ascii="宋体" w:cs="Times New Roman"/>
                <w:color w:val="000000"/>
                <w:kern w:val="2"/>
                <w:sz w:val="21"/>
                <w:szCs w:val="21"/>
                <w:highlight w:val="none"/>
                <w:lang w:val="zh-CN"/>
              </w:rPr>
              <w:t>长春新区教育局学校多媒体教室设备采购项目（二）</w:t>
            </w:r>
          </w:p>
          <w:p w14:paraId="4421D4E1">
            <w:pPr>
              <w:pStyle w:val="5"/>
              <w:adjustRightInd w:val="0"/>
              <w:snapToGrid w:val="0"/>
              <w:spacing w:before="46" w:beforeLines="15" w:line="240" w:lineRule="auto"/>
              <w:ind w:left="0" w:leftChars="0" w:firstLine="0" w:firstLineChars="0"/>
              <w:jc w:val="lef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Hans" w:bidi="ar-SA"/>
              </w:rPr>
              <w:t>项目编号：</w:t>
            </w:r>
            <w:r>
              <w:rPr>
                <w:rFonts w:hint="eastAsia" w:ascii="宋体" w:hAnsi="宋体" w:eastAsia="宋体" w:cs="宋体"/>
                <w:bCs/>
                <w:kern w:val="2"/>
                <w:sz w:val="21"/>
                <w:szCs w:val="21"/>
                <w:highlight w:val="none"/>
                <w:lang w:val="zh-CN" w:eastAsia="zh-Hans" w:bidi="ar-SA"/>
              </w:rPr>
              <w:fldChar w:fldCharType="begin"/>
            </w:r>
            <w:r>
              <w:rPr>
                <w:rFonts w:hint="eastAsia" w:ascii="宋体" w:hAnsi="宋体" w:eastAsia="宋体" w:cs="宋体"/>
                <w:bCs/>
                <w:kern w:val="2"/>
                <w:sz w:val="21"/>
                <w:szCs w:val="21"/>
                <w:highlight w:val="none"/>
                <w:lang w:val="zh-CN" w:eastAsia="zh-Hans" w:bidi="ar-SA"/>
              </w:rPr>
              <w:instrText xml:space="preserve"> HYPERLINK "https://www.zcygov.cn/gaea/api/project/flow/redirect?projectId=7304594854078054491&amp;newUrl=https://www.zcygov.cn/micro-app-back-index/blank?_flow_type_=agency&amp;_flow_projectId_=7304594854078054491&amp;_jump_page_type_=project_procurement_management_flow&amp;_app_=zcy.procurement&amp;oldUrl=https://www.zcygov.cn/project-center/_procurement_/project-result-detail/7304594854078054491" \t "https://www.zcygov.cn/project-center/_procurement_/self-project/_blank" </w:instrText>
            </w:r>
            <w:r>
              <w:rPr>
                <w:rFonts w:hint="eastAsia" w:ascii="宋体" w:hAnsi="宋体" w:eastAsia="宋体" w:cs="宋体"/>
                <w:bCs/>
                <w:kern w:val="2"/>
                <w:sz w:val="21"/>
                <w:szCs w:val="21"/>
                <w:highlight w:val="none"/>
                <w:lang w:val="zh-CN" w:eastAsia="zh-Hans" w:bidi="ar-SA"/>
              </w:rPr>
              <w:fldChar w:fldCharType="separate"/>
            </w:r>
            <w:r>
              <w:rPr>
                <w:rFonts w:hint="eastAsia" w:ascii="宋体" w:hAnsi="宋体" w:eastAsia="宋体" w:cs="宋体"/>
                <w:bCs/>
                <w:kern w:val="2"/>
                <w:sz w:val="21"/>
                <w:szCs w:val="21"/>
                <w:highlight w:val="none"/>
                <w:lang w:val="zh-CN" w:eastAsia="zh-Hans" w:bidi="ar-SA"/>
              </w:rPr>
              <w:t>XQZC2025-032</w:t>
            </w:r>
            <w:r>
              <w:rPr>
                <w:rFonts w:hint="eastAsia" w:ascii="宋体" w:hAnsi="宋体" w:eastAsia="宋体" w:cs="宋体"/>
                <w:bCs/>
                <w:kern w:val="2"/>
                <w:sz w:val="21"/>
                <w:szCs w:val="21"/>
                <w:highlight w:val="none"/>
                <w:lang w:val="zh-CN" w:eastAsia="zh-Hans" w:bidi="ar-SA"/>
              </w:rPr>
              <w:fldChar w:fldCharType="end"/>
            </w:r>
            <w:bookmarkStart w:id="454" w:name="_GoBack"/>
            <w:bookmarkEnd w:id="454"/>
          </w:p>
        </w:tc>
      </w:tr>
      <w:tr w14:paraId="149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48BC81BC">
            <w:pPr>
              <w:pStyle w:val="20"/>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rPr>
              <w:t>1.2.1</w:t>
            </w:r>
          </w:p>
        </w:tc>
        <w:tc>
          <w:tcPr>
            <w:tcW w:w="1793" w:type="dxa"/>
            <w:noWrap w:val="0"/>
            <w:vAlign w:val="center"/>
          </w:tcPr>
          <w:p w14:paraId="609F805D">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rPr>
              <w:t>资金来源</w:t>
            </w:r>
          </w:p>
        </w:tc>
        <w:tc>
          <w:tcPr>
            <w:tcW w:w="6833" w:type="dxa"/>
            <w:noWrap w:val="0"/>
            <w:vAlign w:val="center"/>
          </w:tcPr>
          <w:p w14:paraId="5C346173">
            <w:pPr>
              <w:adjustRightInd w:val="0"/>
              <w:snapToGrid w:val="0"/>
              <w:spacing w:before="46" w:beforeLines="15" w:line="240" w:lineRule="auto"/>
              <w:ind w:left="105" w:leftChars="5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财政</w:t>
            </w:r>
            <w:r>
              <w:rPr>
                <w:rFonts w:hint="eastAsia" w:ascii="宋体" w:hAnsi="宋体" w:eastAsia="宋体" w:cs="宋体"/>
                <w:color w:val="auto"/>
                <w:sz w:val="21"/>
                <w:szCs w:val="21"/>
                <w:highlight w:val="none"/>
                <w:lang w:val="en-US" w:eastAsia="zh-CN"/>
              </w:rPr>
              <w:t>资金</w:t>
            </w:r>
          </w:p>
        </w:tc>
      </w:tr>
      <w:tr w14:paraId="578E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4009E26B">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1.3.1</w:t>
            </w:r>
          </w:p>
        </w:tc>
        <w:tc>
          <w:tcPr>
            <w:tcW w:w="1793" w:type="dxa"/>
            <w:noWrap w:val="0"/>
            <w:vAlign w:val="center"/>
          </w:tcPr>
          <w:p w14:paraId="508ABEA5">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采购需求</w:t>
            </w:r>
          </w:p>
        </w:tc>
        <w:tc>
          <w:tcPr>
            <w:tcW w:w="6833" w:type="dxa"/>
            <w:noWrap w:val="0"/>
            <w:vAlign w:val="center"/>
          </w:tcPr>
          <w:p w14:paraId="66899BDF">
            <w:pPr>
              <w:pStyle w:val="5"/>
              <w:adjustRightInd w:val="0"/>
              <w:snapToGrid w:val="0"/>
              <w:spacing w:before="46" w:beforeLines="15" w:line="240" w:lineRule="auto"/>
              <w:ind w:left="0" w:leftChars="0" w:firstLine="0" w:firstLineChars="0"/>
              <w:jc w:val="left"/>
              <w:rPr>
                <w:rFonts w:hint="default" w:ascii="宋体" w:hAnsi="宋体" w:eastAsia="宋体" w:cs="宋体"/>
                <w:bCs/>
                <w:color w:val="auto"/>
                <w:kern w:val="2"/>
                <w:sz w:val="21"/>
                <w:szCs w:val="21"/>
                <w:highlight w:val="none"/>
                <w:lang w:val="en-US" w:eastAsia="zh-CN" w:bidi="ar-SA"/>
              </w:rPr>
            </w:pPr>
            <w:r>
              <w:rPr>
                <w:rFonts w:hint="eastAsia" w:ascii="宋体" w:cs="Times New Roman"/>
                <w:color w:val="000000"/>
                <w:kern w:val="2"/>
                <w:sz w:val="21"/>
                <w:szCs w:val="21"/>
                <w:highlight w:val="none"/>
                <w:lang w:val="zh-CN"/>
              </w:rPr>
              <w:t>长春新区教育局学校多媒体教室设备采购项目（二）</w:t>
            </w:r>
            <w:r>
              <w:rPr>
                <w:rFonts w:hint="eastAsia" w:ascii="宋体" w:cs="宋体"/>
                <w:highlight w:val="none"/>
                <w:lang w:val="zh-CN"/>
              </w:rPr>
              <w:t>（详见招标文件）；</w:t>
            </w:r>
          </w:p>
        </w:tc>
      </w:tr>
      <w:tr w14:paraId="0582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7F71C0B2">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1.3.2</w:t>
            </w:r>
          </w:p>
        </w:tc>
        <w:tc>
          <w:tcPr>
            <w:tcW w:w="1793" w:type="dxa"/>
            <w:noWrap w:val="0"/>
            <w:vAlign w:val="center"/>
          </w:tcPr>
          <w:p w14:paraId="5C3A6F4C">
            <w:pPr>
              <w:pageBreakBefore w:val="0"/>
              <w:kinsoku/>
              <w:wordWrap w:val="0"/>
              <w:overflowPunct/>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cs="宋体"/>
                <w:highlight w:val="none"/>
              </w:rPr>
              <w:t>合同履行期限</w:t>
            </w:r>
          </w:p>
        </w:tc>
        <w:tc>
          <w:tcPr>
            <w:tcW w:w="6833" w:type="dxa"/>
            <w:noWrap w:val="0"/>
            <w:vAlign w:val="center"/>
          </w:tcPr>
          <w:p w14:paraId="0F7E2F93">
            <w:pPr>
              <w:pageBreakBefore w:val="0"/>
              <w:kinsoku/>
              <w:wordWrap w:val="0"/>
              <w:overflowPunct/>
              <w:bidi w:val="0"/>
              <w:spacing w:line="240" w:lineRule="auto"/>
              <w:jc w:val="left"/>
              <w:rPr>
                <w:rFonts w:hint="eastAsia" w:ascii="宋体" w:hAnsi="宋体" w:eastAsia="宋体" w:cs="宋体"/>
                <w:bCs/>
                <w:color w:val="auto"/>
                <w:kern w:val="2"/>
                <w:sz w:val="21"/>
                <w:szCs w:val="21"/>
                <w:highlight w:val="none"/>
                <w:lang w:val="zh-CN" w:eastAsia="zh-CN" w:bidi="ar-SA"/>
              </w:rPr>
            </w:pPr>
            <w:r>
              <w:rPr>
                <w:rFonts w:hint="eastAsia" w:ascii="宋体" w:cs="宋体"/>
                <w:highlight w:val="none"/>
                <w:lang w:val="zh-CN" w:eastAsia="zh-CN"/>
              </w:rPr>
              <w:t>接到供货指令后30</w:t>
            </w:r>
            <w:r>
              <w:rPr>
                <w:rFonts w:hint="eastAsia" w:ascii="宋体" w:cs="宋体"/>
                <w:highlight w:val="none"/>
                <w:lang w:val="zh-CN"/>
              </w:rPr>
              <w:t>日内完成供货、安装、调试；</w:t>
            </w:r>
          </w:p>
        </w:tc>
      </w:tr>
      <w:tr w14:paraId="3AD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13131DB">
            <w:pPr>
              <w:adjustRightInd w:val="0"/>
              <w:snapToGrid w:val="0"/>
              <w:spacing w:before="46" w:beforeLines="15" w:line="240" w:lineRule="auto"/>
              <w:ind w:left="105" w:leftChars="5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1.3.3</w:t>
            </w:r>
          </w:p>
        </w:tc>
        <w:tc>
          <w:tcPr>
            <w:tcW w:w="1793" w:type="dxa"/>
            <w:noWrap w:val="0"/>
            <w:vAlign w:val="center"/>
          </w:tcPr>
          <w:p w14:paraId="7B25038A">
            <w:pPr>
              <w:adjustRightInd w:val="0"/>
              <w:snapToGrid w:val="0"/>
              <w:spacing w:before="46" w:beforeLines="15" w:line="240" w:lineRule="auto"/>
              <w:ind w:left="105" w:leftChars="5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质量标准</w:t>
            </w:r>
          </w:p>
        </w:tc>
        <w:tc>
          <w:tcPr>
            <w:tcW w:w="6833" w:type="dxa"/>
            <w:noWrap w:val="0"/>
            <w:vAlign w:val="center"/>
          </w:tcPr>
          <w:p w14:paraId="3AF7D990">
            <w:pPr>
              <w:adjustRightInd w:val="0"/>
              <w:snapToGrid w:val="0"/>
              <w:spacing w:before="46" w:beforeLines="15" w:line="240" w:lineRule="auto"/>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符合国家及行业相关合格标准。</w:t>
            </w:r>
          </w:p>
        </w:tc>
      </w:tr>
      <w:tr w14:paraId="1DC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D26DFF6">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1.4.1</w:t>
            </w:r>
          </w:p>
        </w:tc>
        <w:tc>
          <w:tcPr>
            <w:tcW w:w="1793" w:type="dxa"/>
            <w:noWrap w:val="0"/>
            <w:vAlign w:val="center"/>
          </w:tcPr>
          <w:p w14:paraId="33E4CC12">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投标人资质条件、能力和信誉</w:t>
            </w:r>
          </w:p>
        </w:tc>
        <w:tc>
          <w:tcPr>
            <w:tcW w:w="6833" w:type="dxa"/>
            <w:noWrap w:val="0"/>
            <w:vAlign w:val="center"/>
          </w:tcPr>
          <w:p w14:paraId="0F87E17F">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1.满足《中华人民共和国政府采购法》第二十二条规定；</w:t>
            </w:r>
          </w:p>
          <w:p w14:paraId="144B2456">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2.落实政府采购政策需满足的资格要求：</w:t>
            </w:r>
          </w:p>
          <w:p w14:paraId="145E44E0">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(1)本项目</w:t>
            </w:r>
            <w:r>
              <w:rPr>
                <w:rFonts w:hint="eastAsia" w:ascii="宋体" w:cs="Times New Roman"/>
                <w:color w:val="000000"/>
                <w:kern w:val="2"/>
                <w:sz w:val="21"/>
                <w:szCs w:val="21"/>
                <w:highlight w:val="none"/>
                <w:lang w:val="zh-CN" w:eastAsia="zh-CN"/>
              </w:rPr>
              <w:t>非</w:t>
            </w:r>
            <w:r>
              <w:rPr>
                <w:rFonts w:hint="eastAsia" w:ascii="宋体" w:cs="Times New Roman"/>
                <w:color w:val="000000"/>
                <w:kern w:val="2"/>
                <w:sz w:val="21"/>
                <w:szCs w:val="21"/>
                <w:highlight w:val="none"/>
                <w:lang w:val="zh-CN"/>
              </w:rPr>
              <w:t>专门面向</w:t>
            </w:r>
            <w:r>
              <w:rPr>
                <w:rFonts w:hint="eastAsia" w:ascii="宋体" w:cs="Times New Roman"/>
                <w:color w:val="000000"/>
                <w:kern w:val="2"/>
                <w:sz w:val="21"/>
                <w:szCs w:val="21"/>
                <w:highlight w:val="none"/>
                <w:lang w:val="zh-CN" w:eastAsia="zh-CN"/>
              </w:rPr>
              <w:t>中小</w:t>
            </w:r>
            <w:r>
              <w:rPr>
                <w:rFonts w:hint="eastAsia" w:ascii="宋体" w:cs="Times New Roman"/>
                <w:color w:val="000000"/>
                <w:kern w:val="2"/>
                <w:sz w:val="21"/>
                <w:szCs w:val="21"/>
                <w:highlight w:val="none"/>
                <w:lang w:val="zh-CN"/>
              </w:rPr>
              <w:t>企业采购；</w:t>
            </w:r>
          </w:p>
          <w:p w14:paraId="4D310984">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(2)《政府采购促进中小企业发展管理办法》(财库[2020]46号)；</w:t>
            </w:r>
          </w:p>
          <w:p w14:paraId="1D976905">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(3)《关于政府采购支持监狱企业发展有关问题的通知》(财库[2014]68号)；</w:t>
            </w:r>
          </w:p>
          <w:p w14:paraId="5F944668">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(4)《三部门联合发布关于促进残疾人就业政府采购政策的通知》(财库[2017]141号)；</w:t>
            </w:r>
          </w:p>
          <w:p w14:paraId="337D5570">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(5)《节能产品政府采购实施意见》的通知(财库〔2004〕185号)；</w:t>
            </w:r>
          </w:p>
          <w:p w14:paraId="56A80BA1">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eastAsia="zh-CN"/>
              </w:rPr>
            </w:pPr>
            <w:r>
              <w:rPr>
                <w:rFonts w:hint="eastAsia" w:ascii="宋体" w:cs="Times New Roman"/>
                <w:color w:val="000000"/>
                <w:kern w:val="2"/>
                <w:sz w:val="21"/>
                <w:szCs w:val="21"/>
                <w:highlight w:val="none"/>
                <w:lang w:val="zh-CN"/>
              </w:rPr>
              <w:t>(6)《关于调整优化节能产品、环境标志产品政府采购执行机制的通知》(财库[2019]9号)等相关政策</w:t>
            </w:r>
            <w:r>
              <w:rPr>
                <w:rFonts w:hint="eastAsia" w:ascii="宋体" w:cs="Times New Roman"/>
                <w:color w:val="000000"/>
                <w:kern w:val="2"/>
                <w:sz w:val="21"/>
                <w:szCs w:val="21"/>
                <w:highlight w:val="none"/>
                <w:lang w:val="zh-CN" w:eastAsia="zh-CN"/>
              </w:rPr>
              <w:t>；</w:t>
            </w:r>
          </w:p>
          <w:p w14:paraId="47696C74">
            <w:pPr>
              <w:pStyle w:val="12"/>
              <w:pageBreakBefore w:val="0"/>
              <w:shd w:val="clear" w:color="auto" w:fill="FFFFFF"/>
              <w:kinsoku/>
              <w:wordWrap w:val="0"/>
              <w:overflowPunct/>
              <w:bidi w:val="0"/>
              <w:spacing w:before="0" w:beforeAutospacing="0" w:after="0" w:afterAutospacing="0" w:line="240" w:lineRule="auto"/>
              <w:jc w:val="both"/>
              <w:rPr>
                <w:rFonts w:hint="eastAsia" w:ascii="宋体" w:cs="Times New Roman"/>
                <w:color w:val="000000"/>
                <w:kern w:val="2"/>
                <w:sz w:val="21"/>
                <w:szCs w:val="21"/>
                <w:highlight w:val="none"/>
                <w:lang w:val="zh-CN"/>
              </w:rPr>
            </w:pPr>
            <w:r>
              <w:rPr>
                <w:rFonts w:hint="eastAsia" w:ascii="宋体" w:cs="Times New Roman"/>
                <w:color w:val="000000"/>
                <w:kern w:val="2"/>
                <w:sz w:val="21"/>
                <w:szCs w:val="21"/>
                <w:highlight w:val="none"/>
                <w:lang w:val="zh-CN"/>
              </w:rPr>
              <w:t>(</w:t>
            </w:r>
            <w:r>
              <w:rPr>
                <w:rFonts w:hint="eastAsia" w:ascii="宋体" w:cs="Times New Roman"/>
                <w:color w:val="000000"/>
                <w:kern w:val="2"/>
                <w:sz w:val="21"/>
                <w:szCs w:val="21"/>
                <w:highlight w:val="none"/>
                <w:lang w:val="zh-CN" w:eastAsia="zh-CN"/>
              </w:rPr>
              <w:t>7</w:t>
            </w:r>
            <w:r>
              <w:rPr>
                <w:rFonts w:hint="eastAsia" w:ascii="宋体" w:cs="Times New Roman"/>
                <w:color w:val="000000"/>
                <w:kern w:val="2"/>
                <w:sz w:val="21"/>
                <w:szCs w:val="21"/>
                <w:highlight w:val="none"/>
                <w:lang w:val="zh-CN"/>
              </w:rPr>
              <w:t>)《财政部关于进一步加大政府采购支持中小企业力度的通知》财库〔2022〕19号。</w:t>
            </w:r>
          </w:p>
          <w:p w14:paraId="36E66C4E">
            <w:pPr>
              <w:pStyle w:val="20"/>
              <w:pageBreakBefore w:val="0"/>
              <w:kinsoku/>
              <w:wordWrap w:val="0"/>
              <w:overflowPunct/>
              <w:bidi w:val="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332AA0D6">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(1)投标人须是在中国境内注册具有独立承担民事责任能力的法人、其他组织；</w:t>
            </w:r>
          </w:p>
          <w:p w14:paraId="1EF70213">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en-US"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2</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0A835A05">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zh-CN" w:eastAsia="zh-CN" w:bidi="ar-SA"/>
              </w:rPr>
              <w:t>(</w:t>
            </w:r>
            <w:r>
              <w:rPr>
                <w:rFonts w:hint="eastAsia" w:ascii="宋体" w:hAnsi="??" w:cs="Times New Roman"/>
                <w:color w:val="000000"/>
                <w:kern w:val="2"/>
                <w:sz w:val="21"/>
                <w:szCs w:val="21"/>
                <w:highlight w:val="none"/>
                <w:lang w:val="en-US" w:eastAsia="zh-CN" w:bidi="ar-SA"/>
              </w:rPr>
              <w:t>3</w:t>
            </w:r>
            <w:r>
              <w:rPr>
                <w:rFonts w:hint="eastAsia" w:ascii="宋体" w:hAnsi="??" w:eastAsia="宋体" w:cs="Times New Roman"/>
                <w:color w:val="000000"/>
                <w:kern w:val="2"/>
                <w:sz w:val="21"/>
                <w:szCs w:val="21"/>
                <w:highlight w:val="none"/>
                <w:lang w:val="zh-CN" w:eastAsia="zh-CN" w:bidi="ar-SA"/>
              </w:rPr>
              <w:t>)</w:t>
            </w:r>
            <w:r>
              <w:rPr>
                <w:rFonts w:hint="eastAsia" w:ascii="宋体" w:hAnsi="??" w:eastAsia="宋体" w:cs="Times New Roman"/>
                <w:color w:val="000000"/>
                <w:kern w:val="2"/>
                <w:sz w:val="21"/>
                <w:szCs w:val="21"/>
                <w:highlight w:val="none"/>
                <w:lang w:val="en-US" w:eastAsia="zh-CN" w:bidi="ar-SA"/>
              </w:rPr>
              <w:t>投标人具有依法缴纳税收和社会保障资金的良好记录，提供2025年1月至投标截止时间内任意一个月依法缴纳税收和社会保障资金的证明材料；（依法免税或不需要缴纳社会保障资金的投标人，须提供相应文件证明其依法免税或不需要缴纳社会保障资金。）</w:t>
            </w:r>
          </w:p>
          <w:p w14:paraId="14085E68">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4</w:t>
            </w:r>
            <w:r>
              <w:rPr>
                <w:rFonts w:hint="eastAsia" w:ascii="宋体" w:hAnsi="??" w:eastAsia="宋体" w:cs="Times New Roman"/>
                <w:color w:val="000000"/>
                <w:kern w:val="2"/>
                <w:sz w:val="21"/>
                <w:szCs w:val="21"/>
                <w:highlight w:val="none"/>
                <w:lang w:val="en-US" w:eastAsia="zh-CN" w:bidi="ar-SA"/>
              </w:rPr>
              <w:t>)投标人</w:t>
            </w:r>
            <w:r>
              <w:rPr>
                <w:rFonts w:hint="eastAsia" w:ascii="宋体" w:hAnsi="??" w:eastAsia="宋体" w:cs="Times New Roman"/>
                <w:color w:val="000000"/>
                <w:kern w:val="2"/>
                <w:sz w:val="21"/>
                <w:szCs w:val="21"/>
                <w:highlight w:val="none"/>
                <w:lang w:val="zh-CN" w:eastAsia="zh-CN" w:bidi="ar-SA"/>
              </w:rPr>
              <w:t>参加政府采购活动前</w:t>
            </w:r>
            <w:r>
              <w:rPr>
                <w:rFonts w:hint="eastAsia" w:ascii="宋体" w:hAnsi="??" w:eastAsia="宋体" w:cs="Times New Roman"/>
                <w:color w:val="000000"/>
                <w:kern w:val="2"/>
                <w:sz w:val="21"/>
                <w:szCs w:val="21"/>
                <w:highlight w:val="none"/>
                <w:lang w:val="en-US" w:eastAsia="zh-CN" w:bidi="ar-SA"/>
              </w:rPr>
              <w:t>三</w:t>
            </w:r>
            <w:r>
              <w:rPr>
                <w:rFonts w:hint="eastAsia" w:ascii="宋体" w:hAnsi="??" w:eastAsia="宋体" w:cs="Times New Roman"/>
                <w:color w:val="000000"/>
                <w:kern w:val="2"/>
                <w:sz w:val="21"/>
                <w:szCs w:val="21"/>
                <w:highlight w:val="none"/>
                <w:lang w:val="zh-CN" w:eastAsia="zh-CN" w:bidi="ar-SA"/>
              </w:rPr>
              <w:t>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74B7468">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5</w:t>
            </w:r>
            <w:r>
              <w:rPr>
                <w:rFonts w:hint="eastAsia" w:ascii="宋体" w:hAnsi="??" w:eastAsia="宋体" w:cs="Times New Roman"/>
                <w:color w:val="000000"/>
                <w:kern w:val="2"/>
                <w:sz w:val="21"/>
                <w:szCs w:val="21"/>
                <w:highlight w:val="none"/>
                <w:lang w:val="en-US" w:eastAsia="zh-CN" w:bidi="ar-SA"/>
              </w:rPr>
              <w:t>)在“信用中国”网站(www.creditchina.gov.cn)、中国政府采购网(www.ccgp.gov.cn)列入失信被执行人、 重大税收违法失信主体、政府采购严重违法失信行为记录名单的投标人，拒绝其参与投标</w:t>
            </w:r>
            <w:r>
              <w:rPr>
                <w:rFonts w:hint="eastAsia" w:ascii="宋体" w:hAnsi="??" w:eastAsia="宋体" w:cs="Times New Roman"/>
                <w:color w:val="000000"/>
                <w:kern w:val="2"/>
                <w:sz w:val="21"/>
                <w:szCs w:val="21"/>
                <w:highlight w:val="none"/>
                <w:lang w:val="zh-CN" w:eastAsia="zh-CN" w:bidi="ar-SA"/>
              </w:rPr>
              <w:t>；</w:t>
            </w:r>
          </w:p>
          <w:p w14:paraId="47864969">
            <w:pPr>
              <w:pageBreakBefore w:val="0"/>
              <w:kinsoku/>
              <w:wordWrap w:val="0"/>
              <w:overflowPunct/>
              <w:bidi w:val="0"/>
              <w:snapToGrid/>
              <w:spacing w:line="240" w:lineRule="auto"/>
              <w:textAlignment w:val="baseline"/>
              <w:rPr>
                <w:rFonts w:hint="eastAsia" w:ascii="宋体" w:hAnsi="??" w:eastAsia="宋体" w:cs="Times New Roman"/>
                <w:color w:val="000000"/>
                <w:kern w:val="2"/>
                <w:sz w:val="21"/>
                <w:szCs w:val="21"/>
                <w:highlight w:val="none"/>
                <w:lang w:val="zh-CN" w:eastAsia="zh-CN" w:bidi="ar-SA"/>
              </w:rPr>
            </w:pPr>
            <w:r>
              <w:rPr>
                <w:rFonts w:hint="eastAsia" w:ascii="宋体" w:hAnsi="??" w:eastAsia="宋体" w:cs="Times New Roman"/>
                <w:color w:val="000000"/>
                <w:kern w:val="2"/>
                <w:sz w:val="21"/>
                <w:szCs w:val="21"/>
                <w:highlight w:val="none"/>
                <w:lang w:val="en-US" w:eastAsia="zh-CN" w:bidi="ar-SA"/>
              </w:rPr>
              <w:t>(</w:t>
            </w:r>
            <w:r>
              <w:rPr>
                <w:rFonts w:hint="eastAsia" w:ascii="宋体" w:hAnsi="??" w:cs="Times New Roman"/>
                <w:color w:val="000000"/>
                <w:kern w:val="2"/>
                <w:sz w:val="21"/>
                <w:szCs w:val="21"/>
                <w:highlight w:val="none"/>
                <w:lang w:val="en-US" w:eastAsia="zh-CN" w:bidi="ar-SA"/>
              </w:rPr>
              <w:t>6</w:t>
            </w:r>
            <w:r>
              <w:rPr>
                <w:rFonts w:hint="eastAsia" w:ascii="宋体" w:hAnsi="??" w:eastAsia="宋体" w:cs="Times New Roman"/>
                <w:color w:val="000000"/>
                <w:kern w:val="2"/>
                <w:sz w:val="21"/>
                <w:szCs w:val="21"/>
                <w:highlight w:val="none"/>
                <w:lang w:val="en-US" w:eastAsia="zh-CN" w:bidi="ar-SA"/>
              </w:rPr>
              <w:t>)</w:t>
            </w:r>
            <w:r>
              <w:rPr>
                <w:rFonts w:hint="eastAsia" w:ascii="宋体" w:hAnsi="??" w:eastAsia="宋体" w:cs="Times New Roman"/>
                <w:color w:val="000000"/>
                <w:kern w:val="2"/>
                <w:sz w:val="21"/>
                <w:szCs w:val="21"/>
                <w:highlight w:val="none"/>
                <w:lang w:val="zh-CN" w:eastAsia="zh-CN" w:bidi="ar-SA"/>
              </w:rPr>
              <w:t>拒绝列入政府取消投标资格记录期间的企业或个人投标；</w:t>
            </w:r>
          </w:p>
          <w:p w14:paraId="56E4F2F2">
            <w:pPr>
              <w:pStyle w:val="20"/>
              <w:pageBreakBefore w:val="0"/>
              <w:kinsoku/>
              <w:wordWrap w:val="0"/>
              <w:overflowPunct/>
              <w:bidi w:val="0"/>
              <w:spacing w:line="240" w:lineRule="auto"/>
              <w:jc w:val="both"/>
              <w:rPr>
                <w:rFonts w:hint="eastAsia" w:ascii="宋体" w:hAnsi="宋体" w:eastAsia="宋体" w:cs="宋体"/>
                <w:color w:val="000000"/>
                <w:sz w:val="21"/>
                <w:szCs w:val="21"/>
                <w:highlight w:val="none"/>
                <w:lang w:val="en-US" w:eastAsia="zh-CN" w:bidi="ar-SA"/>
              </w:rPr>
            </w:pPr>
            <w:r>
              <w:rPr>
                <w:rFonts w:hint="eastAsia" w:ascii="宋体" w:hAnsi="??" w:eastAsia="宋体" w:cs="Times New Roman"/>
                <w:color w:val="000000"/>
                <w:kern w:val="2"/>
                <w:sz w:val="21"/>
                <w:szCs w:val="21"/>
                <w:highlight w:val="none"/>
                <w:lang w:val="en-US" w:eastAsia="zh-CN" w:bidi="ar-SA"/>
              </w:rPr>
              <w:t>(</w:t>
            </w:r>
            <w:r>
              <w:rPr>
                <w:rFonts w:hint="eastAsia" w:hAnsi="??" w:cs="Times New Roman"/>
                <w:color w:val="000000"/>
                <w:kern w:val="2"/>
                <w:sz w:val="21"/>
                <w:szCs w:val="21"/>
                <w:highlight w:val="none"/>
                <w:lang w:val="en-US" w:eastAsia="zh-CN" w:bidi="ar-SA"/>
              </w:rPr>
              <w:t>7</w:t>
            </w:r>
            <w:r>
              <w:rPr>
                <w:rFonts w:hint="eastAsia" w:ascii="宋体" w:hAnsi="??" w:eastAsia="宋体" w:cs="Times New Roman"/>
                <w:color w:val="000000"/>
                <w:kern w:val="2"/>
                <w:sz w:val="21"/>
                <w:szCs w:val="21"/>
                <w:highlight w:val="none"/>
                <w:lang w:val="en-US" w:eastAsia="zh-CN" w:bidi="ar-SA"/>
              </w:rPr>
              <w:t>)与采购人存在利害关系可能影响招标公正性的法人、其他组织或者个人，不得参加投标。单位负责人为同一人或者存在直接控股、管理关系的不同供应商，不得参加同一合同项下的政府采购活动。</w:t>
            </w:r>
          </w:p>
        </w:tc>
      </w:tr>
      <w:tr w14:paraId="10A9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710853C4">
            <w:pPr>
              <w:pStyle w:val="2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1.4.4</w:t>
            </w:r>
          </w:p>
        </w:tc>
        <w:tc>
          <w:tcPr>
            <w:tcW w:w="1793" w:type="dxa"/>
            <w:noWrap w:val="0"/>
            <w:vAlign w:val="center"/>
          </w:tcPr>
          <w:p w14:paraId="43C6D445">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是否接受联合体投标</w:t>
            </w:r>
          </w:p>
        </w:tc>
        <w:tc>
          <w:tcPr>
            <w:tcW w:w="6833" w:type="dxa"/>
            <w:noWrap w:val="0"/>
            <w:vAlign w:val="center"/>
          </w:tcPr>
          <w:p w14:paraId="38318600">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■不接受</w:t>
            </w:r>
          </w:p>
          <w:p w14:paraId="612C5A3F">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□接受，应满足下列要求：</w:t>
            </w:r>
          </w:p>
          <w:p w14:paraId="6EA9E058">
            <w:pPr>
              <w:pStyle w:val="7"/>
              <w:keepNext w:val="0"/>
              <w:keepLines w:val="0"/>
              <w:pageBreakBefore w:val="0"/>
              <w:wordWrap w:val="0"/>
              <w:overflowPunct/>
              <w:topLinePunct/>
              <w:bidi w:val="0"/>
              <w:spacing w:after="0"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联合体资质按照联合体协议约定的分工认定。</w:t>
            </w:r>
          </w:p>
        </w:tc>
      </w:tr>
      <w:tr w14:paraId="4714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64C9BE1">
            <w:pPr>
              <w:pStyle w:val="2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1.9.1</w:t>
            </w:r>
          </w:p>
        </w:tc>
        <w:tc>
          <w:tcPr>
            <w:tcW w:w="1793" w:type="dxa"/>
            <w:noWrap w:val="0"/>
            <w:vAlign w:val="center"/>
          </w:tcPr>
          <w:p w14:paraId="5B2F281C">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踏勘现场</w:t>
            </w:r>
          </w:p>
        </w:tc>
        <w:tc>
          <w:tcPr>
            <w:tcW w:w="6833" w:type="dxa"/>
            <w:noWrap w:val="0"/>
            <w:vAlign w:val="center"/>
          </w:tcPr>
          <w:p w14:paraId="099BAC87">
            <w:pPr>
              <w:keepNext w:val="0"/>
              <w:keepLines w:val="0"/>
              <w:pageBreakBefore w:val="0"/>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■不组织，投标人自行踏勘</w:t>
            </w:r>
          </w:p>
          <w:p w14:paraId="59DA1521">
            <w:pPr>
              <w:keepNext w:val="0"/>
              <w:keepLines w:val="0"/>
              <w:pageBreakBefore w:val="0"/>
              <w:kinsoku w:val="0"/>
              <w:wordWrap w:val="0"/>
              <w:overflowPunct/>
              <w:autoSpaceDE w:val="0"/>
              <w:autoSpaceDN w:val="0"/>
              <w:bidi w:val="0"/>
              <w:adjustRightInd w:val="0"/>
              <w:snapToGrid w:val="0"/>
              <w:spacing w:line="24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□组织</w:t>
            </w:r>
          </w:p>
        </w:tc>
      </w:tr>
      <w:tr w14:paraId="2D58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0363519">
            <w:pPr>
              <w:pStyle w:val="2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w:t>
            </w:r>
          </w:p>
        </w:tc>
        <w:tc>
          <w:tcPr>
            <w:tcW w:w="1793" w:type="dxa"/>
            <w:noWrap w:val="0"/>
            <w:vAlign w:val="center"/>
          </w:tcPr>
          <w:p w14:paraId="5B99F15D">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投标预备会</w:t>
            </w:r>
          </w:p>
        </w:tc>
        <w:tc>
          <w:tcPr>
            <w:tcW w:w="6833" w:type="dxa"/>
            <w:noWrap w:val="0"/>
            <w:vAlign w:val="center"/>
          </w:tcPr>
          <w:p w14:paraId="598909CA">
            <w:pPr>
              <w:adjustRightInd w:val="0"/>
              <w:snapToGrid w:val="0"/>
              <w:spacing w:before="46" w:beforeLines="15"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不召开</w:t>
            </w:r>
          </w:p>
        </w:tc>
      </w:tr>
      <w:tr w14:paraId="2B87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96548FF">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w:t>
            </w:r>
          </w:p>
        </w:tc>
        <w:tc>
          <w:tcPr>
            <w:tcW w:w="1793" w:type="dxa"/>
            <w:noWrap w:val="0"/>
            <w:vAlign w:val="center"/>
          </w:tcPr>
          <w:p w14:paraId="480C2044">
            <w:pPr>
              <w:keepNext w:val="0"/>
              <w:keepLines w:val="0"/>
              <w:pageBreakBefore w:val="0"/>
              <w:wordWrap w:val="0"/>
              <w:overflowPunct/>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投标人提出问题的截止时间</w:t>
            </w:r>
          </w:p>
        </w:tc>
        <w:tc>
          <w:tcPr>
            <w:tcW w:w="6833" w:type="dxa"/>
            <w:noWrap w:val="0"/>
            <w:vAlign w:val="center"/>
          </w:tcPr>
          <w:p w14:paraId="75FC8430">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认为采购文件、采购过程、中标或者成交结果使自己的权益受到损害的，可以在知道或者应知其权益受到损害之日起7个工作日内，以书面形式向采购人、采购代理机构提出质疑；提出质疑的供应商（以下简称质疑供应商）应当是参与所质疑项目采购活动的供应商，即已通过政采云平台报名成功（须提供报名成功的截图），下载并获取本项目采购文件的供应商，对采购文件提出质疑的，应当在获取采购文件或者采购文件公告期限届满之日起7个工作日内提出。供应商对采购人或采购代理机构的质疑答复不满意或者采购人或采购代理机构未在规定时间内作出答复的，可以在答复期满后十五个工作日内向同级采购监管部门投诉。</w:t>
            </w:r>
          </w:p>
          <w:p w14:paraId="03352DAC">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2.投标人在法定质疑期内针对同一采购程序环节的质疑只允许提出一次。投标人提出质疑应符合《政府采购质疑和投诉办法》有关规定。</w:t>
            </w:r>
          </w:p>
          <w:p w14:paraId="3F660443">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3.供应商提出质疑的，应当通过书面形式在法定期限内提交书面质疑函和必要的证明材料。</w:t>
            </w:r>
          </w:p>
          <w:p w14:paraId="5598A8EC">
            <w:pPr>
              <w:keepNext w:val="0"/>
              <w:keepLines w:val="0"/>
              <w:pageBreakBefore w:val="0"/>
              <w:wordWrap w:val="0"/>
              <w:overflowPunct/>
              <w:bidi w:val="0"/>
              <w:spacing w:line="240" w:lineRule="auto"/>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联系人：吉林省世博项目管理有限公司</w:t>
            </w:r>
          </w:p>
          <w:p w14:paraId="5EE00AF9">
            <w:pPr>
              <w:keepNext w:val="0"/>
              <w:keepLines w:val="0"/>
              <w:pageBreakBefore w:val="0"/>
              <w:wordWrap w:val="0"/>
              <w:overflowPunct/>
              <w:bidi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联系电话：13364300502</w:t>
            </w:r>
          </w:p>
        </w:tc>
      </w:tr>
      <w:tr w14:paraId="22A2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21B35EBD">
            <w:pPr>
              <w:adjustRightInd w:val="0"/>
              <w:snapToGrid w:val="0"/>
              <w:spacing w:before="46" w:beforeLines="15"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w:t>
            </w:r>
          </w:p>
        </w:tc>
        <w:tc>
          <w:tcPr>
            <w:tcW w:w="1793" w:type="dxa"/>
            <w:noWrap w:val="0"/>
            <w:vAlign w:val="center"/>
          </w:tcPr>
          <w:p w14:paraId="23B32EE0">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Cs/>
                <w:sz w:val="21"/>
                <w:szCs w:val="21"/>
                <w:lang w:val="zh-CN"/>
              </w:rPr>
              <w:t>投标人提出问题的截止时间</w:t>
            </w:r>
          </w:p>
        </w:tc>
        <w:tc>
          <w:tcPr>
            <w:tcW w:w="6833" w:type="dxa"/>
            <w:noWrap w:val="0"/>
            <w:vAlign w:val="center"/>
          </w:tcPr>
          <w:p w14:paraId="017819D1">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color w:val="auto"/>
                <w:sz w:val="21"/>
                <w:szCs w:val="21"/>
                <w:highlight w:val="none"/>
                <w:lang w:val="en-US" w:eastAsia="zh-CN" w:bidi="ar-SA"/>
              </w:rPr>
            </w:pPr>
            <w:r>
              <w:rPr>
                <w:rFonts w:hint="eastAsia" w:ascii="宋体" w:hAnsi="宋体" w:eastAsia="宋体" w:cs="宋体"/>
                <w:sz w:val="21"/>
                <w:szCs w:val="21"/>
                <w:lang w:val="zh-CN"/>
              </w:rPr>
              <w:t>投标文件截止时间</w:t>
            </w: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日前</w:t>
            </w:r>
          </w:p>
        </w:tc>
      </w:tr>
      <w:tr w14:paraId="6B37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BDC3811">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1.10.</w:t>
            </w:r>
            <w:r>
              <w:rPr>
                <w:rFonts w:hint="eastAsia" w:ascii="宋体" w:hAnsi="宋体" w:cs="宋体"/>
                <w:color w:val="auto"/>
                <w:kern w:val="0"/>
                <w:sz w:val="21"/>
                <w:szCs w:val="21"/>
                <w:highlight w:val="none"/>
                <w:lang w:val="en-US" w:eastAsia="zh-CN"/>
              </w:rPr>
              <w:t>3</w:t>
            </w:r>
          </w:p>
        </w:tc>
        <w:tc>
          <w:tcPr>
            <w:tcW w:w="1793" w:type="dxa"/>
            <w:noWrap w:val="0"/>
            <w:vAlign w:val="center"/>
          </w:tcPr>
          <w:p w14:paraId="32695C2C">
            <w:pPr>
              <w:pStyle w:val="20"/>
              <w:snapToGrid w:val="0"/>
              <w:spacing w:before="46" w:beforeLines="15" w:line="240" w:lineRule="auto"/>
              <w:ind w:left="105" w:leftChars="5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采购人书面澄清的时间</w:t>
            </w:r>
          </w:p>
        </w:tc>
        <w:tc>
          <w:tcPr>
            <w:tcW w:w="6833" w:type="dxa"/>
            <w:noWrap w:val="0"/>
            <w:vAlign w:val="center"/>
          </w:tcPr>
          <w:p w14:paraId="7DEB12D4">
            <w:pPr>
              <w:pStyle w:val="20"/>
              <w:snapToGrid w:val="0"/>
              <w:spacing w:before="46" w:beforeLines="15" w:line="240" w:lineRule="auto"/>
              <w:ind w:left="105" w:leftChars="5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投标截止时间前15天</w:t>
            </w:r>
          </w:p>
        </w:tc>
      </w:tr>
      <w:tr w14:paraId="3679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0EC2586F">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1.11</w:t>
            </w:r>
          </w:p>
        </w:tc>
        <w:tc>
          <w:tcPr>
            <w:tcW w:w="1793" w:type="dxa"/>
            <w:noWrap w:val="0"/>
            <w:vAlign w:val="center"/>
          </w:tcPr>
          <w:p w14:paraId="49094E3C">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偏离</w:t>
            </w:r>
          </w:p>
        </w:tc>
        <w:tc>
          <w:tcPr>
            <w:tcW w:w="6833" w:type="dxa"/>
            <w:noWrap w:val="0"/>
            <w:vAlign w:val="center"/>
          </w:tcPr>
          <w:p w14:paraId="0CB73990">
            <w:pPr>
              <w:pStyle w:val="20"/>
              <w:snapToGrid w:val="0"/>
              <w:spacing w:before="46" w:beforeLines="15"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不允许</w:t>
            </w:r>
            <w:r>
              <w:rPr>
                <w:rFonts w:hint="eastAsia" w:ascii="宋体" w:hAnsi="宋体" w:eastAsia="宋体" w:cs="宋体"/>
                <w:color w:val="auto"/>
                <w:sz w:val="21"/>
                <w:szCs w:val="21"/>
                <w:highlight w:val="none"/>
                <w:lang w:val="en-US" w:eastAsia="zh-CN"/>
              </w:rPr>
              <w:t>负偏离</w:t>
            </w:r>
          </w:p>
        </w:tc>
      </w:tr>
      <w:tr w14:paraId="6A6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596C3C64">
            <w:pPr>
              <w:adjustRightInd w:val="0"/>
              <w:snapToGrid w:val="0"/>
              <w:spacing w:before="46" w:beforeLines="15"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1.12</w:t>
            </w:r>
          </w:p>
        </w:tc>
        <w:tc>
          <w:tcPr>
            <w:tcW w:w="1793" w:type="dxa"/>
            <w:noWrap w:val="0"/>
            <w:vAlign w:val="center"/>
          </w:tcPr>
          <w:p w14:paraId="7B8113E2">
            <w:pPr>
              <w:adjustRightInd w:val="0"/>
              <w:snapToGrid w:val="0"/>
              <w:spacing w:before="46" w:beforeLines="15"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833" w:type="dxa"/>
            <w:noWrap w:val="0"/>
            <w:vAlign w:val="center"/>
          </w:tcPr>
          <w:p w14:paraId="1952E7E0">
            <w:pPr>
              <w:pStyle w:val="20"/>
              <w:snapToGrid w:val="0"/>
              <w:spacing w:before="46" w:beforeLines="15" w:line="240"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不允许</w:t>
            </w:r>
          </w:p>
        </w:tc>
      </w:tr>
      <w:tr w14:paraId="741A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B5186FA">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2.1</w:t>
            </w:r>
          </w:p>
        </w:tc>
        <w:tc>
          <w:tcPr>
            <w:tcW w:w="1793" w:type="dxa"/>
            <w:noWrap w:val="0"/>
            <w:vAlign w:val="center"/>
          </w:tcPr>
          <w:p w14:paraId="7F79D610">
            <w:pPr>
              <w:keepNext w:val="0"/>
              <w:keepLines w:val="0"/>
              <w:pageBreakBefore w:val="0"/>
              <w:widowControl/>
              <w:kinsoku w:val="0"/>
              <w:wordWrap w:val="0"/>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构成</w:t>
            </w:r>
            <w:r>
              <w:rPr>
                <w:rFonts w:hint="eastAsia" w:ascii="宋体" w:hAnsi="宋体" w:cs="宋体"/>
                <w:snapToGrid w:val="0"/>
                <w:color w:val="auto"/>
                <w:kern w:val="0"/>
                <w:sz w:val="21"/>
                <w:szCs w:val="21"/>
                <w:highlight w:val="none"/>
                <w:lang w:val="en-US" w:eastAsia="zh-CN" w:bidi="ar-SA"/>
              </w:rPr>
              <w:t>采购</w:t>
            </w:r>
            <w:r>
              <w:rPr>
                <w:rFonts w:hint="eastAsia" w:ascii="宋体" w:hAnsi="宋体" w:eastAsia="宋体" w:cs="宋体"/>
                <w:snapToGrid w:val="0"/>
                <w:color w:val="auto"/>
                <w:kern w:val="0"/>
                <w:sz w:val="21"/>
                <w:szCs w:val="21"/>
                <w:highlight w:val="none"/>
                <w:lang w:val="en-US" w:eastAsia="zh-CN" w:bidi="ar-SA"/>
              </w:rPr>
              <w:t>文件的其他材料</w:t>
            </w:r>
          </w:p>
        </w:tc>
        <w:tc>
          <w:tcPr>
            <w:tcW w:w="6833" w:type="dxa"/>
            <w:noWrap w:val="0"/>
            <w:vAlign w:val="center"/>
          </w:tcPr>
          <w:p w14:paraId="32D32430">
            <w:pPr>
              <w:keepNext w:val="0"/>
              <w:keepLines w:val="0"/>
              <w:pageBreakBefore w:val="0"/>
              <w:widowControl/>
              <w:kinsoku w:val="0"/>
              <w:wordWrap w:val="0"/>
              <w:overflowPunct/>
              <w:topLinePunct w:val="0"/>
              <w:autoSpaceDE w:val="0"/>
              <w:autoSpaceDN w:val="0"/>
              <w:bidi w:val="0"/>
              <w:adjustRightInd w:val="0"/>
              <w:snapToGrid w:val="0"/>
              <w:spacing w:line="240" w:lineRule="auto"/>
              <w:ind w:right="0" w:rightChars="0"/>
              <w:jc w:val="left"/>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vertAlign w:val="baseline"/>
              </w:rPr>
              <w:t>答疑文件(如有)、澄清(如有)、修改及补充通知(如有)等</w:t>
            </w:r>
          </w:p>
        </w:tc>
      </w:tr>
      <w:tr w14:paraId="33A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5721A370">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2.2.3</w:t>
            </w:r>
          </w:p>
        </w:tc>
        <w:tc>
          <w:tcPr>
            <w:tcW w:w="1793" w:type="dxa"/>
            <w:noWrap w:val="0"/>
            <w:vAlign w:val="center"/>
          </w:tcPr>
          <w:p w14:paraId="22AD9699">
            <w:pPr>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投标人确认收到采购文件澄清的时间</w:t>
            </w:r>
          </w:p>
        </w:tc>
        <w:tc>
          <w:tcPr>
            <w:tcW w:w="6833" w:type="dxa"/>
            <w:noWrap w:val="0"/>
            <w:vAlign w:val="center"/>
          </w:tcPr>
          <w:p w14:paraId="6B0D8EB5">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在收到相应澄清文件后24小时内</w:t>
            </w:r>
          </w:p>
        </w:tc>
      </w:tr>
      <w:tr w14:paraId="65A9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44F668A">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2.3.2</w:t>
            </w:r>
          </w:p>
        </w:tc>
        <w:tc>
          <w:tcPr>
            <w:tcW w:w="1793" w:type="dxa"/>
            <w:noWrap w:val="0"/>
            <w:vAlign w:val="center"/>
          </w:tcPr>
          <w:p w14:paraId="40FDF0E3">
            <w:pPr>
              <w:autoSpaceDE w:val="0"/>
              <w:autoSpaceDN w:val="0"/>
              <w:adjustRightInd w:val="0"/>
              <w:snapToGrid w:val="0"/>
              <w:spacing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投标人确认收到采购文件修改内容的时间</w:t>
            </w:r>
          </w:p>
        </w:tc>
        <w:tc>
          <w:tcPr>
            <w:tcW w:w="6833" w:type="dxa"/>
            <w:noWrap w:val="0"/>
            <w:vAlign w:val="center"/>
          </w:tcPr>
          <w:p w14:paraId="0878DC7F">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在收到相应澄清文件后24小时内</w:t>
            </w:r>
          </w:p>
        </w:tc>
      </w:tr>
      <w:tr w14:paraId="7F00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1505C04">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3.2.5</w:t>
            </w:r>
          </w:p>
        </w:tc>
        <w:tc>
          <w:tcPr>
            <w:tcW w:w="1793" w:type="dxa"/>
            <w:noWrap w:val="0"/>
            <w:vAlign w:val="center"/>
          </w:tcPr>
          <w:p w14:paraId="711A51DD">
            <w:pPr>
              <w:pStyle w:val="2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投标报价的其他要求</w:t>
            </w:r>
          </w:p>
        </w:tc>
        <w:tc>
          <w:tcPr>
            <w:tcW w:w="6833" w:type="dxa"/>
            <w:noWrap w:val="0"/>
            <w:vAlign w:val="center"/>
          </w:tcPr>
          <w:p w14:paraId="3319E216">
            <w:pPr>
              <w:adjustRightInd w:val="0"/>
              <w:snapToGrid w:val="0"/>
              <w:spacing w:before="46" w:beforeLines="15"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w:t>
            </w:r>
          </w:p>
        </w:tc>
      </w:tr>
      <w:tr w14:paraId="1FD0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E5F1739">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3.3.1</w:t>
            </w:r>
          </w:p>
        </w:tc>
        <w:tc>
          <w:tcPr>
            <w:tcW w:w="1793" w:type="dxa"/>
            <w:noWrap w:val="0"/>
            <w:vAlign w:val="center"/>
          </w:tcPr>
          <w:p w14:paraId="4B83D000">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投标有效期</w:t>
            </w:r>
          </w:p>
        </w:tc>
        <w:tc>
          <w:tcPr>
            <w:tcW w:w="6833" w:type="dxa"/>
            <w:noWrap w:val="0"/>
            <w:vAlign w:val="center"/>
          </w:tcPr>
          <w:p w14:paraId="67D63126">
            <w:pPr>
              <w:adjustRightInd w:val="0"/>
              <w:snapToGrid w:val="0"/>
              <w:spacing w:before="46" w:beforeLines="15" w:line="24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90天</w:t>
            </w:r>
          </w:p>
        </w:tc>
      </w:tr>
      <w:tr w14:paraId="6AA9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0B012BF">
            <w:pPr>
              <w:pStyle w:val="20"/>
              <w:snapToGrid w:val="0"/>
              <w:spacing w:before="46" w:beforeLines="15"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zh-CN" w:eastAsia="zh-CN" w:bidi="ar-SA"/>
              </w:rPr>
              <w:t>3.4.1</w:t>
            </w:r>
          </w:p>
        </w:tc>
        <w:tc>
          <w:tcPr>
            <w:tcW w:w="1793" w:type="dxa"/>
            <w:noWrap w:val="0"/>
            <w:vAlign w:val="center"/>
          </w:tcPr>
          <w:p w14:paraId="01699A67">
            <w:pPr>
              <w:adjustRightInd w:val="0"/>
              <w:snapToGrid w:val="0"/>
              <w:spacing w:before="46" w:beforeLines="15" w:line="240" w:lineRule="auto"/>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zh-CN" w:eastAsia="zh-CN" w:bidi="ar-SA"/>
              </w:rPr>
              <w:t>投标保证金</w:t>
            </w:r>
          </w:p>
        </w:tc>
        <w:tc>
          <w:tcPr>
            <w:tcW w:w="6833" w:type="dxa"/>
            <w:noWrap w:val="0"/>
            <w:vAlign w:val="center"/>
          </w:tcPr>
          <w:p w14:paraId="4D7B788F">
            <w:pPr>
              <w:keepNext w:val="0"/>
              <w:keepLines w:val="0"/>
              <w:pageBreakBefore w:val="0"/>
              <w:kinsoku/>
              <w:wordWrap w:val="0"/>
              <w:overflowPunct/>
              <w:topLinePunct w:val="0"/>
              <w:autoSpaceDE w:val="0"/>
              <w:autoSpaceDN w:val="0"/>
              <w:bidi w:val="0"/>
              <w:adjustRightInd w:val="0"/>
              <w:snapToGrid w:val="0"/>
              <w:spacing w:line="240" w:lineRule="auto"/>
              <w:ind w:firstLine="0" w:firstLineChars="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(1)根据长春市财政局文件长财采购[2021]695号，满足《中华人民共和国政府采购法》第二十二条有关规定：经“信用中国“网站查询不存在行政处罚信息的</w:t>
            </w:r>
            <w:r>
              <w:rPr>
                <w:rFonts w:hint="eastAsia" w:ascii="宋体" w:hAnsi="宋体" w:eastAsia="宋体" w:cs="宋体"/>
                <w:b/>
                <w:bCs/>
                <w:color w:val="000000"/>
                <w:sz w:val="21"/>
                <w:szCs w:val="21"/>
                <w:highlight w:val="none"/>
                <w:lang w:val="en-US" w:eastAsia="zh-CN"/>
              </w:rPr>
              <w:t>投标人</w:t>
            </w:r>
            <w:r>
              <w:rPr>
                <w:rFonts w:hint="eastAsia" w:ascii="宋体" w:hAnsi="宋体" w:eastAsia="宋体" w:cs="宋体"/>
                <w:b/>
                <w:bCs/>
                <w:color w:val="000000"/>
                <w:sz w:val="21"/>
                <w:szCs w:val="21"/>
                <w:highlight w:val="none"/>
              </w:rPr>
              <w:t>无需缴纳</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14:paraId="6FB53EDA">
            <w:pPr>
              <w:keepNext w:val="0"/>
              <w:keepLines w:val="0"/>
              <w:pageBreakBefore w:val="0"/>
              <w:kinsoku/>
              <w:wordWrap w:val="0"/>
              <w:overflowPunct/>
              <w:topLinePunct w:val="0"/>
              <w:autoSpaceDE w:val="0"/>
              <w:autoSpaceDN w:val="0"/>
              <w:bidi w:val="0"/>
              <w:adjustRightInd w:val="0"/>
              <w:snapToGrid w:val="0"/>
              <w:spacing w:line="240" w:lineRule="auto"/>
              <w:ind w:firstLine="0" w:firstLineChars="0"/>
              <w:rPr>
                <w:rFonts w:hint="eastAsia" w:ascii="宋体" w:hAnsi="宋体" w:eastAsia="宋体" w:cs="宋体"/>
                <w:b/>
                <w:bCs w:val="0"/>
                <w:sz w:val="21"/>
                <w:szCs w:val="21"/>
                <w:highlight w:val="none"/>
                <w:lang w:val="zh-CN" w:eastAsia="zh-CN"/>
              </w:rPr>
            </w:pPr>
            <w:r>
              <w:rPr>
                <w:rFonts w:hint="eastAsia" w:ascii="宋体" w:hAnsi="宋体" w:eastAsia="宋体" w:cs="宋体"/>
                <w:b/>
                <w:bCs/>
                <w:color w:val="000000"/>
                <w:sz w:val="21"/>
                <w:szCs w:val="21"/>
                <w:highlight w:val="none"/>
              </w:rPr>
              <w:t>(2)根据《中华人民共和国政府采购法》第二十二条有关规定，经“信用中国“网站查询存在行政处罚信息的供应商按以下要求缴纳</w:t>
            </w:r>
            <w:r>
              <w:rPr>
                <w:rFonts w:hint="eastAsia" w:ascii="宋体" w:hAnsi="宋体" w:eastAsia="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rPr>
              <w:t>保证金：</w:t>
            </w:r>
          </w:p>
          <w:p w14:paraId="203442D3">
            <w:pPr>
              <w:keepNext w:val="0"/>
              <w:keepLines w:val="0"/>
              <w:pageBreakBefore w:val="0"/>
              <w:widowControl w:val="0"/>
              <w:kinsoku/>
              <w:wordWrap w:val="0"/>
              <w:overflowPunct/>
              <w:topLinePunct w:val="0"/>
              <w:autoSpaceDE/>
              <w:autoSpaceDN/>
              <w:bidi w:val="0"/>
              <w:adjustRightInd/>
              <w:spacing w:line="240" w:lineRule="auto"/>
              <w:ind w:left="0" w:right="0"/>
              <w:jc w:val="left"/>
              <w:textAlignment w:val="auto"/>
              <w:rPr>
                <w:rFonts w:hint="eastAsia" w:ascii="宋体" w:hAnsi="宋体" w:eastAsia="宋体" w:cs="宋体"/>
                <w:bCs/>
                <w:sz w:val="21"/>
                <w:szCs w:val="21"/>
                <w:highlight w:val="none"/>
                <w:lang w:val="zh-CN"/>
              </w:rPr>
            </w:pPr>
            <w:r>
              <w:rPr>
                <w:rFonts w:hint="eastAsia" w:ascii="宋体" w:hAnsi="宋体" w:eastAsia="宋体" w:cs="宋体"/>
                <w:b/>
                <w:bCs w:val="0"/>
                <w:sz w:val="21"/>
                <w:szCs w:val="21"/>
                <w:highlight w:val="none"/>
                <w:lang w:val="zh-CN" w:eastAsia="zh-CN"/>
              </w:rPr>
              <w:t>投标保证金</w:t>
            </w:r>
            <w:r>
              <w:rPr>
                <w:rFonts w:hint="eastAsia" w:ascii="宋体" w:hAnsi="宋体" w:eastAsia="宋体" w:cs="宋体"/>
                <w:b/>
                <w:bCs w:val="0"/>
                <w:sz w:val="21"/>
                <w:szCs w:val="21"/>
                <w:highlight w:val="none"/>
                <w:lang w:val="zh-CN"/>
              </w:rPr>
              <w:t>形式：</w:t>
            </w:r>
            <w:r>
              <w:rPr>
                <w:rFonts w:hint="eastAsia" w:ascii="宋体" w:hAnsi="宋体" w:eastAsia="宋体" w:cs="宋体"/>
                <w:bCs/>
                <w:sz w:val="21"/>
                <w:szCs w:val="21"/>
                <w:highlight w:val="none"/>
                <w:lang w:val="zh-CN" w:eastAsia="zh-CN"/>
              </w:rPr>
              <w:t>投标保证金</w:t>
            </w:r>
            <w:r>
              <w:rPr>
                <w:rFonts w:hint="eastAsia" w:ascii="宋体" w:hAnsi="宋体" w:eastAsia="宋体" w:cs="宋体"/>
                <w:bCs/>
                <w:sz w:val="21"/>
                <w:szCs w:val="21"/>
                <w:highlight w:val="none"/>
                <w:lang w:val="zh-CN"/>
              </w:rPr>
              <w:t>应当采用支票、汇票</w:t>
            </w:r>
            <w:r>
              <w:rPr>
                <w:rFonts w:hint="eastAsia" w:ascii="宋体" w:hAnsi="宋体" w:eastAsia="宋体" w:cs="宋体"/>
                <w:bCs/>
                <w:sz w:val="21"/>
                <w:szCs w:val="21"/>
                <w:highlight w:val="none"/>
                <w:lang w:val="zh-CN" w:eastAsia="zh-CN"/>
              </w:rPr>
              <w:t>(必须同时提交第2、3联)</w:t>
            </w:r>
            <w:r>
              <w:rPr>
                <w:rFonts w:hint="eastAsia" w:ascii="宋体" w:hAnsi="宋体" w:eastAsia="宋体" w:cs="宋体"/>
                <w:bCs/>
                <w:sz w:val="21"/>
                <w:szCs w:val="21"/>
                <w:highlight w:val="none"/>
                <w:lang w:val="zh-CN"/>
              </w:rPr>
              <w:t>、本票或者金融机构、担保机构出具的保函等非现金形式交纳、提交或转账、电汇(转账、电汇须从</w:t>
            </w:r>
            <w:r>
              <w:rPr>
                <w:rFonts w:hint="eastAsia" w:ascii="宋体" w:hAnsi="宋体" w:eastAsia="宋体" w:cs="宋体"/>
                <w:bCs/>
                <w:sz w:val="21"/>
                <w:szCs w:val="21"/>
                <w:highlight w:val="none"/>
                <w:lang w:val="zh-CN" w:eastAsia="zh-CN"/>
              </w:rPr>
              <w:t>投标人</w:t>
            </w:r>
            <w:r>
              <w:rPr>
                <w:rFonts w:hint="eastAsia" w:ascii="宋体" w:hAnsi="宋体" w:eastAsia="宋体" w:cs="宋体"/>
                <w:bCs/>
                <w:sz w:val="21"/>
                <w:szCs w:val="21"/>
                <w:highlight w:val="none"/>
                <w:lang w:val="zh-CN"/>
              </w:rPr>
              <w:t>的基本账户转出)。</w:t>
            </w:r>
          </w:p>
          <w:p w14:paraId="3BFB3A9F">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保证金的金额：</w:t>
            </w:r>
            <w:r>
              <w:rPr>
                <w:rFonts w:hint="eastAsia" w:ascii="宋体" w:hAnsi="宋体" w:cs="宋体"/>
                <w:color w:val="auto"/>
                <w:sz w:val="21"/>
                <w:szCs w:val="21"/>
                <w:highlight w:val="none"/>
                <w:lang w:val="en-US" w:eastAsia="zh-CN"/>
              </w:rPr>
              <w:t>20000元</w:t>
            </w:r>
          </w:p>
          <w:p w14:paraId="2F157D76">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户名：吉林省世博项目管理有限公司</w:t>
            </w:r>
          </w:p>
          <w:p w14:paraId="4BF8B18E">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账号：8916534542000002</w:t>
            </w:r>
          </w:p>
          <w:p w14:paraId="60BE4895">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开户行：吉林银行长春皓月大路支行</w:t>
            </w:r>
          </w:p>
          <w:p w14:paraId="30F2128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注：</w:t>
            </w:r>
          </w:p>
          <w:p w14:paraId="2673659B">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1、投标人办理转账或汇款时应写明“项目名称投标保证金”，以便核对查实；</w:t>
            </w:r>
          </w:p>
          <w:p w14:paraId="4DF14611">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2、递交投标保函的应提前一天将保函电子版发送到Shibo23456@sina.com邮箱，以便核实，否则后果自负；</w:t>
            </w:r>
          </w:p>
          <w:p w14:paraId="50C22E97">
            <w:pPr>
              <w:keepNext w:val="0"/>
              <w:keepLines w:val="0"/>
              <w:pageBreakBefore w:val="0"/>
              <w:widowControl w:val="0"/>
              <w:kinsoku/>
              <w:wordWrap w:val="0"/>
              <w:overflowPunct/>
              <w:topLinePunct w:val="0"/>
              <w:autoSpaceDE/>
              <w:autoSpaceDN/>
              <w:bidi w:val="0"/>
              <w:adjustRightInd/>
              <w:spacing w:line="240" w:lineRule="auto"/>
              <w:ind w:left="0" w:leftChars="0" w:right="0" w:right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3、投标人应在汇款时认真核对收款单位、开户行名称、账号准确无误，确保保证金按时到账，否则后果自负。</w:t>
            </w:r>
          </w:p>
        </w:tc>
      </w:tr>
      <w:tr w14:paraId="483E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1ACC5BF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3.5.2</w:t>
            </w:r>
          </w:p>
        </w:tc>
        <w:tc>
          <w:tcPr>
            <w:tcW w:w="1793" w:type="dxa"/>
            <w:noWrap w:val="0"/>
            <w:vAlign w:val="center"/>
          </w:tcPr>
          <w:p w14:paraId="320F4C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近年财务状况的年份要求</w:t>
            </w:r>
          </w:p>
        </w:tc>
        <w:tc>
          <w:tcPr>
            <w:tcW w:w="6833" w:type="dxa"/>
            <w:noWrap w:val="0"/>
            <w:vAlign w:val="center"/>
          </w:tcPr>
          <w:p w14:paraId="3661E83D">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202</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年至202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年</w:t>
            </w:r>
          </w:p>
        </w:tc>
      </w:tr>
      <w:tr w14:paraId="0035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40F6F40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3.5.3</w:t>
            </w:r>
          </w:p>
        </w:tc>
        <w:tc>
          <w:tcPr>
            <w:tcW w:w="1793" w:type="dxa"/>
            <w:noWrap w:val="0"/>
            <w:vAlign w:val="center"/>
          </w:tcPr>
          <w:p w14:paraId="01B5B122">
            <w:pPr>
              <w:adjustRightInd w:val="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近年类似业绩的年份要求</w:t>
            </w:r>
          </w:p>
        </w:tc>
        <w:tc>
          <w:tcPr>
            <w:tcW w:w="6833" w:type="dxa"/>
            <w:noWrap w:val="0"/>
            <w:vAlign w:val="center"/>
          </w:tcPr>
          <w:p w14:paraId="12C4E68C">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202</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年至今</w:t>
            </w:r>
          </w:p>
        </w:tc>
      </w:tr>
      <w:tr w14:paraId="1580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090398A6">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3.6</w:t>
            </w:r>
          </w:p>
        </w:tc>
        <w:tc>
          <w:tcPr>
            <w:tcW w:w="1793" w:type="dxa"/>
            <w:noWrap w:val="0"/>
            <w:vAlign w:val="center"/>
          </w:tcPr>
          <w:p w14:paraId="580515CC">
            <w:pPr>
              <w:adjustRightInd w:val="0"/>
              <w:snapToGrid w:val="0"/>
              <w:spacing w:before="46" w:beforeLines="15"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是否允许递交备选投标方案</w:t>
            </w:r>
          </w:p>
        </w:tc>
        <w:tc>
          <w:tcPr>
            <w:tcW w:w="6833" w:type="dxa"/>
            <w:noWrap w:val="0"/>
            <w:vAlign w:val="center"/>
          </w:tcPr>
          <w:p w14:paraId="0B2B7718">
            <w:pPr>
              <w:pStyle w:val="20"/>
              <w:snapToGrid w:val="0"/>
              <w:spacing w:before="46" w:beforeLines="15" w:line="240" w:lineRule="auto"/>
              <w:ind w:left="105" w:leftChars="50"/>
              <w:jc w:val="both"/>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rPr>
              <w:t>不允许</w:t>
            </w:r>
          </w:p>
        </w:tc>
      </w:tr>
      <w:tr w14:paraId="7CDA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C6C95C6">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3.7.3</w:t>
            </w:r>
          </w:p>
        </w:tc>
        <w:tc>
          <w:tcPr>
            <w:tcW w:w="1793" w:type="dxa"/>
            <w:noWrap w:val="0"/>
            <w:vAlign w:val="center"/>
          </w:tcPr>
          <w:p w14:paraId="7F115F23">
            <w:pPr>
              <w:pStyle w:val="20"/>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签字或盖章要求</w:t>
            </w:r>
          </w:p>
        </w:tc>
        <w:tc>
          <w:tcPr>
            <w:tcW w:w="6833" w:type="dxa"/>
            <w:noWrap w:val="0"/>
            <w:vAlign w:val="center"/>
          </w:tcPr>
          <w:p w14:paraId="21C7F949">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rPr>
              <w:t>文件应用不褪色的材料书写或打印，并由投标人的法定代表人或其委托代理人签字或盖单位章。委托代理人签字的，响应文件应附法定代表人签署的授权委托书。响应文件应尽量避免涂改、行间插字或删除。如果出现上述情况，改动之处应加盖单位章或由投标人的法定代表人或其授权的代理人签字确认。</w:t>
            </w:r>
          </w:p>
        </w:tc>
      </w:tr>
      <w:tr w14:paraId="5066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479C9C9">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3.7.4</w:t>
            </w:r>
          </w:p>
        </w:tc>
        <w:tc>
          <w:tcPr>
            <w:tcW w:w="1793" w:type="dxa"/>
            <w:noWrap w:val="0"/>
            <w:vAlign w:val="center"/>
          </w:tcPr>
          <w:p w14:paraId="7E329EEA">
            <w:pPr>
              <w:pStyle w:val="20"/>
              <w:snapToGrid w:val="0"/>
              <w:spacing w:before="46" w:beforeLines="15" w:line="240" w:lineRule="auto"/>
              <w:jc w:val="center"/>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bidi="ar-SA"/>
              </w:rPr>
              <w:t>投标文件份数</w:t>
            </w:r>
          </w:p>
        </w:tc>
        <w:tc>
          <w:tcPr>
            <w:tcW w:w="6833" w:type="dxa"/>
            <w:noWrap w:val="0"/>
            <w:vAlign w:val="center"/>
          </w:tcPr>
          <w:p w14:paraId="5BE6F6B0">
            <w:pPr>
              <w:adjustRightInd w:val="0"/>
              <w:snapToGrid w:val="0"/>
              <w:spacing w:before="46" w:beforeLines="15"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投标人在“政采云”平台（https://www.zcygov.cn/）上制作投标文件一份（此投标文件须上传至“政采云”平台）。</w:t>
            </w:r>
          </w:p>
        </w:tc>
      </w:tr>
      <w:tr w14:paraId="017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3825A408">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4.2.1</w:t>
            </w:r>
          </w:p>
        </w:tc>
        <w:tc>
          <w:tcPr>
            <w:tcW w:w="1793" w:type="dxa"/>
            <w:noWrap w:val="0"/>
            <w:vAlign w:val="center"/>
          </w:tcPr>
          <w:p w14:paraId="7150CA5E">
            <w:pPr>
              <w:adjustRightInd w:val="0"/>
              <w:snapToGrid w:val="0"/>
              <w:spacing w:before="46" w:beforeLines="15" w:line="240" w:lineRule="auto"/>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投标截止时间</w:t>
            </w:r>
          </w:p>
        </w:tc>
        <w:tc>
          <w:tcPr>
            <w:tcW w:w="6833" w:type="dxa"/>
            <w:noWrap w:val="0"/>
            <w:vAlign w:val="center"/>
          </w:tcPr>
          <w:p w14:paraId="3EE9C9FC">
            <w:pPr>
              <w:adjustRightInd w:val="0"/>
              <w:snapToGrid w:val="0"/>
              <w:spacing w:before="46" w:beforeLines="15" w:line="240" w:lineRule="auto"/>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lang w:val="zh-CN"/>
              </w:rPr>
              <w:t>202</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年</w:t>
            </w:r>
            <w:r>
              <w:rPr>
                <w:rFonts w:hint="eastAsia" w:ascii="宋体" w:hAnsi="宋体" w:cs="宋体"/>
                <w:color w:val="000000"/>
                <w:kern w:val="0"/>
                <w:sz w:val="21"/>
                <w:szCs w:val="21"/>
                <w:highlight w:val="none"/>
                <w:lang w:val="en-US" w:eastAsia="zh-CN"/>
              </w:rPr>
              <w:t>07</w:t>
            </w:r>
            <w:r>
              <w:rPr>
                <w:rFonts w:hint="eastAsia" w:ascii="宋体" w:hAnsi="宋体" w:eastAsia="宋体" w:cs="宋体"/>
                <w:color w:val="000000"/>
                <w:kern w:val="0"/>
                <w:sz w:val="21"/>
                <w:szCs w:val="21"/>
                <w:highlight w:val="none"/>
                <w:lang w:val="zh-CN"/>
              </w:rPr>
              <w:t>月</w:t>
            </w:r>
            <w:r>
              <w:rPr>
                <w:rFonts w:hint="eastAsia" w:ascii="宋体" w:hAnsi="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val="zh-CN"/>
              </w:rPr>
              <w:t>日</w:t>
            </w:r>
            <w:r>
              <w:rPr>
                <w:rFonts w:hint="eastAsia" w:ascii="宋体" w:hAnsi="宋体" w:eastAsia="宋体" w:cs="宋体"/>
                <w:color w:val="000000"/>
                <w:kern w:val="0"/>
                <w:sz w:val="21"/>
                <w:szCs w:val="21"/>
                <w:highlight w:val="none"/>
                <w:lang w:val="en-US" w:eastAsia="zh-CN"/>
              </w:rPr>
              <w:t>09</w:t>
            </w:r>
            <w:r>
              <w:rPr>
                <w:rFonts w:hint="eastAsia" w:ascii="宋体" w:hAnsi="宋体" w:eastAsia="宋体" w:cs="宋体"/>
                <w:color w:val="000000"/>
                <w:kern w:val="0"/>
                <w:sz w:val="21"/>
                <w:szCs w:val="21"/>
                <w:highlight w:val="none"/>
                <w:lang w:val="zh-CN"/>
              </w:rPr>
              <w:t>点</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0分</w:t>
            </w:r>
          </w:p>
        </w:tc>
      </w:tr>
      <w:tr w14:paraId="571C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61B13017">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4.2.2</w:t>
            </w:r>
          </w:p>
        </w:tc>
        <w:tc>
          <w:tcPr>
            <w:tcW w:w="1793" w:type="dxa"/>
            <w:noWrap w:val="0"/>
            <w:vAlign w:val="center"/>
          </w:tcPr>
          <w:p w14:paraId="514EDBEE">
            <w:pPr>
              <w:adjustRightInd w:val="0"/>
              <w:snapToGrid w:val="0"/>
              <w:spacing w:before="46" w:beforeLines="15" w:line="240" w:lineRule="auto"/>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递交投标文件地点</w:t>
            </w:r>
          </w:p>
        </w:tc>
        <w:tc>
          <w:tcPr>
            <w:tcW w:w="6833" w:type="dxa"/>
            <w:noWrap w:val="0"/>
            <w:vAlign w:val="center"/>
          </w:tcPr>
          <w:p w14:paraId="02499108">
            <w:pPr>
              <w:adjustRightInd w:val="0"/>
              <w:snapToGrid w:val="0"/>
              <w:spacing w:before="46" w:beforeLines="15" w:line="240"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时间：</w:t>
            </w:r>
            <w:r>
              <w:rPr>
                <w:rFonts w:hint="eastAsia" w:ascii="宋体" w:hAnsi="宋体" w:eastAsia="宋体" w:cs="宋体"/>
                <w:color w:val="000000"/>
                <w:kern w:val="0"/>
                <w:sz w:val="21"/>
                <w:szCs w:val="21"/>
                <w:highlight w:val="none"/>
                <w:lang w:val="zh-CN"/>
              </w:rPr>
              <w:t>202</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年</w:t>
            </w:r>
            <w:r>
              <w:rPr>
                <w:rFonts w:hint="eastAsia" w:ascii="宋体" w:hAnsi="宋体" w:cs="宋体"/>
                <w:color w:val="000000"/>
                <w:kern w:val="0"/>
                <w:sz w:val="21"/>
                <w:szCs w:val="21"/>
                <w:highlight w:val="none"/>
                <w:lang w:val="en-US" w:eastAsia="zh-CN"/>
              </w:rPr>
              <w:t>07</w:t>
            </w:r>
            <w:r>
              <w:rPr>
                <w:rFonts w:hint="eastAsia" w:ascii="宋体" w:hAnsi="宋体" w:eastAsia="宋体" w:cs="宋体"/>
                <w:color w:val="000000"/>
                <w:kern w:val="0"/>
                <w:sz w:val="21"/>
                <w:szCs w:val="21"/>
                <w:highlight w:val="none"/>
                <w:lang w:val="zh-CN"/>
              </w:rPr>
              <w:t>月</w:t>
            </w:r>
            <w:r>
              <w:rPr>
                <w:rFonts w:hint="eastAsia" w:ascii="宋体" w:hAnsi="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val="zh-CN"/>
              </w:rPr>
              <w:t>日</w:t>
            </w:r>
            <w:r>
              <w:rPr>
                <w:rFonts w:hint="eastAsia" w:ascii="宋体" w:hAnsi="宋体" w:eastAsia="宋体" w:cs="宋体"/>
                <w:color w:val="000000"/>
                <w:kern w:val="0"/>
                <w:sz w:val="21"/>
                <w:szCs w:val="21"/>
                <w:highlight w:val="none"/>
                <w:lang w:val="en-US" w:eastAsia="zh-CN"/>
              </w:rPr>
              <w:t>09</w:t>
            </w:r>
            <w:r>
              <w:rPr>
                <w:rFonts w:hint="eastAsia" w:ascii="宋体" w:hAnsi="宋体" w:eastAsia="宋体" w:cs="宋体"/>
                <w:color w:val="000000"/>
                <w:kern w:val="0"/>
                <w:sz w:val="21"/>
                <w:szCs w:val="21"/>
                <w:highlight w:val="none"/>
                <w:lang w:val="zh-CN"/>
              </w:rPr>
              <w:t>点</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0分</w:t>
            </w:r>
          </w:p>
          <w:p w14:paraId="67C52E69">
            <w:pPr>
              <w:adjustRightInd w:val="0"/>
              <w:snapToGrid w:val="0"/>
              <w:spacing w:before="46" w:beforeLines="15" w:line="240" w:lineRule="auto"/>
              <w:ind w:left="630" w:hanging="630" w:hangingChars="300"/>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地点：</w:t>
            </w:r>
            <w:r>
              <w:rPr>
                <w:rFonts w:hint="eastAsia" w:ascii="宋体" w:hAnsi="宋体" w:eastAsia="宋体" w:cs="宋体"/>
                <w:color w:val="auto"/>
                <w:sz w:val="21"/>
                <w:szCs w:val="21"/>
                <w:highlight w:val="none"/>
              </w:rPr>
              <w:t>长春新区政务服务中心公共资源交易大厅（龙湖大路5799号）</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lang w:val="en-US" w:eastAsia="zh-CN"/>
              </w:rPr>
              <w:t>B2</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开标室</w:t>
            </w:r>
          </w:p>
        </w:tc>
      </w:tr>
      <w:tr w14:paraId="2234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1E6A53F3">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5.1</w:t>
            </w:r>
          </w:p>
        </w:tc>
        <w:tc>
          <w:tcPr>
            <w:tcW w:w="1793" w:type="dxa"/>
            <w:noWrap w:val="0"/>
            <w:vAlign w:val="center"/>
          </w:tcPr>
          <w:p w14:paraId="5A3C41D1">
            <w:pPr>
              <w:adjustRightInd w:val="0"/>
              <w:snapToGrid w:val="0"/>
              <w:spacing w:before="46" w:beforeLines="15" w:line="240" w:lineRule="auto"/>
              <w:jc w:val="center"/>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开标时间和地点</w:t>
            </w:r>
          </w:p>
        </w:tc>
        <w:tc>
          <w:tcPr>
            <w:tcW w:w="6833" w:type="dxa"/>
            <w:noWrap w:val="0"/>
            <w:vAlign w:val="center"/>
          </w:tcPr>
          <w:p w14:paraId="7C0B4CDE">
            <w:pPr>
              <w:adjustRightInd w:val="0"/>
              <w:snapToGrid w:val="0"/>
              <w:spacing w:before="46" w:beforeLines="15" w:line="240" w:lineRule="auto"/>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时间：</w:t>
            </w:r>
            <w:r>
              <w:rPr>
                <w:rFonts w:hint="eastAsia" w:ascii="宋体" w:hAnsi="宋体" w:eastAsia="宋体" w:cs="宋体"/>
                <w:color w:val="000000"/>
                <w:kern w:val="0"/>
                <w:sz w:val="21"/>
                <w:szCs w:val="21"/>
                <w:highlight w:val="none"/>
                <w:lang w:val="zh-CN"/>
              </w:rPr>
              <w:t>202</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zh-CN"/>
              </w:rPr>
              <w:t>年</w:t>
            </w:r>
            <w:r>
              <w:rPr>
                <w:rFonts w:hint="eastAsia" w:ascii="宋体" w:hAnsi="宋体" w:cs="宋体"/>
                <w:color w:val="000000"/>
                <w:kern w:val="0"/>
                <w:sz w:val="21"/>
                <w:szCs w:val="21"/>
                <w:highlight w:val="none"/>
                <w:lang w:val="en-US" w:eastAsia="zh-CN"/>
              </w:rPr>
              <w:t>07</w:t>
            </w:r>
            <w:r>
              <w:rPr>
                <w:rFonts w:hint="eastAsia" w:ascii="宋体" w:hAnsi="宋体" w:eastAsia="宋体" w:cs="宋体"/>
                <w:color w:val="000000"/>
                <w:kern w:val="0"/>
                <w:sz w:val="21"/>
                <w:szCs w:val="21"/>
                <w:highlight w:val="none"/>
                <w:lang w:val="zh-CN"/>
              </w:rPr>
              <w:t>月</w:t>
            </w:r>
            <w:r>
              <w:rPr>
                <w:rFonts w:hint="eastAsia" w:ascii="宋体" w:hAnsi="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val="zh-CN"/>
              </w:rPr>
              <w:t>日</w:t>
            </w:r>
            <w:r>
              <w:rPr>
                <w:rFonts w:hint="eastAsia" w:ascii="宋体" w:hAnsi="宋体" w:eastAsia="宋体" w:cs="宋体"/>
                <w:color w:val="000000"/>
                <w:kern w:val="0"/>
                <w:sz w:val="21"/>
                <w:szCs w:val="21"/>
                <w:highlight w:val="none"/>
                <w:lang w:val="en-US" w:eastAsia="zh-CN"/>
              </w:rPr>
              <w:t>09</w:t>
            </w:r>
            <w:r>
              <w:rPr>
                <w:rFonts w:hint="eastAsia" w:ascii="宋体" w:hAnsi="宋体" w:eastAsia="宋体" w:cs="宋体"/>
                <w:color w:val="000000"/>
                <w:kern w:val="0"/>
                <w:sz w:val="21"/>
                <w:szCs w:val="21"/>
                <w:highlight w:val="none"/>
                <w:lang w:val="zh-CN"/>
              </w:rPr>
              <w:t>点</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zh-CN"/>
              </w:rPr>
              <w:t>0分</w:t>
            </w:r>
          </w:p>
          <w:p w14:paraId="4001F2C3">
            <w:pPr>
              <w:adjustRightInd w:val="0"/>
              <w:snapToGrid w:val="0"/>
              <w:spacing w:before="46" w:beforeLines="15" w:line="240" w:lineRule="auto"/>
              <w:ind w:left="630" w:leftChars="0" w:hanging="630" w:hangingChars="300"/>
              <w:jc w:val="left"/>
              <w:rPr>
                <w:rFonts w:hint="eastAsia" w:ascii="宋体" w:hAnsi="宋体" w:eastAsia="宋体" w:cs="宋体"/>
                <w:color w:val="000000"/>
                <w:kern w:val="0"/>
                <w:sz w:val="21"/>
                <w:szCs w:val="21"/>
                <w:highlight w:val="none"/>
                <w:lang w:val="zh-CN" w:eastAsia="zh-CN" w:bidi="ar-SA"/>
              </w:rPr>
            </w:pPr>
            <w:r>
              <w:rPr>
                <w:rFonts w:hint="eastAsia" w:ascii="宋体" w:hAnsi="宋体" w:eastAsia="宋体" w:cs="宋体"/>
                <w:color w:val="000000"/>
                <w:kern w:val="0"/>
                <w:sz w:val="21"/>
                <w:szCs w:val="21"/>
                <w:highlight w:val="none"/>
              </w:rPr>
              <w:t>地点：</w:t>
            </w:r>
            <w:r>
              <w:rPr>
                <w:rFonts w:hint="eastAsia" w:ascii="宋体" w:hAnsi="宋体" w:eastAsia="宋体" w:cs="宋体"/>
                <w:color w:val="auto"/>
                <w:sz w:val="21"/>
                <w:szCs w:val="21"/>
                <w:highlight w:val="none"/>
              </w:rPr>
              <w:t>长春新区政务服务中心公共资源交易大厅（龙湖大路5799号）</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楼</w:t>
            </w:r>
            <w:r>
              <w:rPr>
                <w:rFonts w:hint="eastAsia" w:ascii="宋体" w:hAnsi="宋体" w:eastAsia="宋体" w:cs="宋体"/>
                <w:color w:val="auto"/>
                <w:sz w:val="21"/>
                <w:szCs w:val="21"/>
                <w:highlight w:val="none"/>
                <w:lang w:val="en-US" w:eastAsia="zh-CN"/>
              </w:rPr>
              <w:t>B2</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开标室</w:t>
            </w:r>
          </w:p>
        </w:tc>
      </w:tr>
      <w:tr w14:paraId="787F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74B138F">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6.1.1</w:t>
            </w:r>
          </w:p>
        </w:tc>
        <w:tc>
          <w:tcPr>
            <w:tcW w:w="1793" w:type="dxa"/>
            <w:noWrap w:val="0"/>
            <w:vAlign w:val="center"/>
          </w:tcPr>
          <w:p w14:paraId="32106E46">
            <w:pPr>
              <w:adjustRightInd w:val="0"/>
              <w:snapToGrid w:val="0"/>
              <w:spacing w:before="46" w:beforeLines="15"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评标委员会的组建</w:t>
            </w:r>
          </w:p>
        </w:tc>
        <w:tc>
          <w:tcPr>
            <w:tcW w:w="6833" w:type="dxa"/>
            <w:noWrap w:val="0"/>
            <w:vAlign w:val="top"/>
          </w:tcPr>
          <w:p w14:paraId="312B2CBE">
            <w:pPr>
              <w:keepNext w:val="0"/>
              <w:keepLines w:val="0"/>
              <w:pageBreakBefore w:val="0"/>
              <w:wordWrap w:val="0"/>
              <w:overflowPunct/>
              <w:bidi w:val="0"/>
              <w:adjustRightInd w:val="0"/>
              <w:snapToGrid w:val="0"/>
              <w:spacing w:line="24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评标委员会构成：</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人，其中：</w:t>
            </w:r>
            <w:r>
              <w:rPr>
                <w:rFonts w:hint="eastAsia" w:ascii="宋体" w:hAnsi="宋体" w:eastAsia="宋体" w:cs="宋体"/>
                <w:sz w:val="21"/>
                <w:szCs w:val="21"/>
                <w:highlight w:val="none"/>
                <w:lang w:val="zh-CN" w:eastAsia="zh-CN"/>
              </w:rPr>
              <w:t>经济和技术评审专家</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eastAsia="zh-CN"/>
              </w:rPr>
              <w:t>人</w:t>
            </w:r>
            <w:r>
              <w:rPr>
                <w:rFonts w:hint="eastAsia" w:ascii="宋体" w:hAnsi="宋体" w:eastAsia="宋体" w:cs="宋体"/>
                <w:sz w:val="21"/>
                <w:szCs w:val="21"/>
                <w:highlight w:val="none"/>
                <w:lang w:val="zh-CN"/>
              </w:rPr>
              <w:t>；</w:t>
            </w:r>
          </w:p>
          <w:p w14:paraId="2D728ACC">
            <w:pPr>
              <w:keepNext w:val="0"/>
              <w:keepLines w:val="0"/>
              <w:pageBreakBefore w:val="0"/>
              <w:wordWrap w:val="0"/>
              <w:overflowPunct/>
              <w:bidi w:val="0"/>
              <w:adjustRightInd w:val="0"/>
              <w:snapToGrid w:val="0"/>
              <w:spacing w:line="240" w:lineRule="auto"/>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sz w:val="21"/>
                <w:szCs w:val="21"/>
                <w:highlight w:val="none"/>
                <w:lang w:val="zh-CN"/>
              </w:rPr>
              <w:t>评标专家确定方式：</w:t>
            </w:r>
            <w:r>
              <w:rPr>
                <w:rFonts w:hint="eastAsia" w:ascii="宋体" w:hAnsi="宋体" w:eastAsia="宋体" w:cs="宋体"/>
                <w:kern w:val="0"/>
                <w:sz w:val="21"/>
                <w:szCs w:val="21"/>
                <w:highlight w:val="none"/>
                <w:lang w:val="zh-CN"/>
              </w:rPr>
              <w:t>从吉林省政府采购云平台的评审专家库中随机抽取评审专家</w:t>
            </w:r>
            <w:r>
              <w:rPr>
                <w:rFonts w:hint="eastAsia" w:ascii="宋体" w:hAnsi="宋体" w:eastAsia="宋体" w:cs="宋体"/>
                <w:sz w:val="21"/>
                <w:szCs w:val="21"/>
                <w:highlight w:val="none"/>
                <w:lang w:val="zh-CN"/>
              </w:rPr>
              <w:t>。</w:t>
            </w:r>
          </w:p>
        </w:tc>
      </w:tr>
      <w:tr w14:paraId="03C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4D67BAF5">
            <w:pPr>
              <w:pStyle w:val="20"/>
              <w:snapToGrid w:val="0"/>
              <w:spacing w:before="46" w:beforeLines="15" w:line="240" w:lineRule="auto"/>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7.1</w:t>
            </w:r>
          </w:p>
        </w:tc>
        <w:tc>
          <w:tcPr>
            <w:tcW w:w="1793" w:type="dxa"/>
            <w:noWrap w:val="0"/>
            <w:vAlign w:val="center"/>
          </w:tcPr>
          <w:p w14:paraId="3B816B9B">
            <w:pPr>
              <w:adjustRightInd w:val="0"/>
              <w:snapToGrid w:val="0"/>
              <w:spacing w:before="46" w:beforeLines="15" w:line="240" w:lineRule="auto"/>
              <w:jc w:val="center"/>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rPr>
              <w:t>是否授权评标委员会确定中标人</w:t>
            </w:r>
          </w:p>
        </w:tc>
        <w:tc>
          <w:tcPr>
            <w:tcW w:w="6833" w:type="dxa"/>
            <w:noWrap w:val="0"/>
            <w:vAlign w:val="center"/>
          </w:tcPr>
          <w:p w14:paraId="40DE623F">
            <w:pPr>
              <w:adjustRightInd w:val="0"/>
              <w:snapToGrid w:val="0"/>
              <w:spacing w:before="46" w:beforeLines="15"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否，推荐3名中标候选人。</w:t>
            </w:r>
          </w:p>
          <w:p w14:paraId="5512BA9E">
            <w:pPr>
              <w:adjustRightInd w:val="0"/>
              <w:snapToGrid w:val="0"/>
              <w:spacing w:before="46" w:beforeLines="15" w:line="240" w:lineRule="auto"/>
              <w:jc w:val="lef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评标委员会根据综合评分情况，按照评审得分由高到低顺序推荐前3名中标候选投标人。原则上推荐排名位于第一名的中标候选投标人为中标投标人。</w:t>
            </w:r>
          </w:p>
        </w:tc>
      </w:tr>
      <w:tr w14:paraId="311A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8" w:type="dxa"/>
            <w:gridSpan w:val="3"/>
            <w:noWrap w:val="0"/>
            <w:vAlign w:val="center"/>
          </w:tcPr>
          <w:p w14:paraId="16008AFA">
            <w:pPr>
              <w:adjustRightInd w:val="0"/>
              <w:snapToGrid w:val="0"/>
              <w:spacing w:before="46" w:beforeLines="15" w:line="240" w:lineRule="auto"/>
              <w:ind w:left="105" w:leftChars="5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其他补充内容</w:t>
            </w:r>
          </w:p>
        </w:tc>
      </w:tr>
      <w:tr w14:paraId="50A1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0"/>
            <w:vAlign w:val="center"/>
          </w:tcPr>
          <w:p w14:paraId="77B3CD12">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793" w:type="dxa"/>
            <w:noWrap w:val="0"/>
            <w:vAlign w:val="center"/>
          </w:tcPr>
          <w:p w14:paraId="3A1E820D">
            <w:pPr>
              <w:pageBreakBefore w:val="0"/>
              <w:widowControl w:val="0"/>
              <w:wordWrap w:val="0"/>
              <w:overflowPunct/>
              <w:bidi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采购预算</w:t>
            </w:r>
          </w:p>
        </w:tc>
        <w:tc>
          <w:tcPr>
            <w:tcW w:w="6833" w:type="dxa"/>
            <w:shd w:val="clear" w:color="auto" w:fill="auto"/>
            <w:noWrap w:val="0"/>
            <w:vAlign w:val="center"/>
          </w:tcPr>
          <w:p w14:paraId="27DDE660">
            <w:pPr>
              <w:pageBreakBefore w:val="0"/>
              <w:kinsoku/>
              <w:wordWrap w:val="0"/>
              <w:overflowPunct/>
              <w:bidi w:val="0"/>
              <w:spacing w:line="240" w:lineRule="auto"/>
              <w:jc w:val="left"/>
              <w:rPr>
                <w:rFonts w:hint="eastAsia" w:ascii="宋体" w:cs="宋体"/>
                <w:highlight w:val="none"/>
              </w:rPr>
            </w:pPr>
            <w:r>
              <w:rPr>
                <w:rFonts w:hint="eastAsia" w:ascii="宋体" w:cs="宋体"/>
                <w:highlight w:val="none"/>
              </w:rPr>
              <w:t>采购预算</w:t>
            </w:r>
            <w:r>
              <w:rPr>
                <w:rFonts w:hint="eastAsia" w:ascii="宋体" w:cs="宋体"/>
                <w:highlight w:val="none"/>
                <w:lang w:val="zh-CN"/>
              </w:rPr>
              <w:t>217</w:t>
            </w:r>
            <w:r>
              <w:rPr>
                <w:rFonts w:hint="eastAsia" w:ascii="宋体" w:cs="宋体"/>
                <w:highlight w:val="none"/>
                <w:lang w:val="en-US" w:eastAsia="zh-CN"/>
              </w:rPr>
              <w:t>.</w:t>
            </w:r>
            <w:r>
              <w:rPr>
                <w:rFonts w:hint="eastAsia" w:ascii="宋体" w:cs="宋体"/>
                <w:highlight w:val="none"/>
                <w:lang w:val="zh-CN"/>
              </w:rPr>
              <w:t>08</w:t>
            </w:r>
            <w:r>
              <w:rPr>
                <w:rFonts w:hint="eastAsia" w:ascii="宋体" w:cs="宋体"/>
                <w:highlight w:val="none"/>
                <w:lang w:val="en-US" w:eastAsia="zh-CN"/>
              </w:rPr>
              <w:t>万</w:t>
            </w:r>
            <w:r>
              <w:rPr>
                <w:rFonts w:hint="eastAsia" w:ascii="宋体" w:cs="宋体"/>
                <w:highlight w:val="none"/>
              </w:rPr>
              <w:t>元</w:t>
            </w:r>
          </w:p>
          <w:p w14:paraId="145D2006">
            <w:pPr>
              <w:pageBreakBefore w:val="0"/>
              <w:kinsoku/>
              <w:wordWrap w:val="0"/>
              <w:overflowPunct/>
              <w:bidi w:val="0"/>
              <w:spacing w:line="240" w:lineRule="auto"/>
              <w:jc w:val="left"/>
              <w:rPr>
                <w:rFonts w:hint="eastAsia" w:ascii="宋体" w:cs="宋体"/>
                <w:highlight w:val="none"/>
                <w:lang w:eastAsia="zh-CN"/>
              </w:rPr>
            </w:pPr>
            <w:r>
              <w:rPr>
                <w:rFonts w:hint="eastAsia" w:ascii="宋体" w:cs="宋体"/>
                <w:highlight w:val="none"/>
                <w:lang w:eastAsia="zh-CN"/>
              </w:rPr>
              <w:t>1、投标报价超过采购预算价格的投标无效；</w:t>
            </w:r>
          </w:p>
          <w:p w14:paraId="7F53D5E9">
            <w:pPr>
              <w:pageBreakBefore w:val="0"/>
              <w:kinsoku/>
              <w:wordWrap w:val="0"/>
              <w:overflowPunct/>
              <w:bidi w:val="0"/>
              <w:spacing w:line="240" w:lineRule="auto"/>
              <w:jc w:val="left"/>
              <w:rPr>
                <w:rFonts w:hint="eastAsia" w:ascii="宋体" w:hAnsi="Calibri" w:eastAsia="宋体" w:cs="宋体"/>
                <w:kern w:val="2"/>
                <w:sz w:val="21"/>
                <w:szCs w:val="22"/>
                <w:highlight w:val="none"/>
                <w:lang w:val="zh-CN" w:eastAsia="zh-CN" w:bidi="ar-SA"/>
              </w:rPr>
            </w:pPr>
            <w:r>
              <w:rPr>
                <w:rFonts w:hint="eastAsia" w:ascii="宋体" w:cs="宋体"/>
                <w:highlight w:val="none"/>
                <w:lang w:eastAsia="zh-CN"/>
              </w:rPr>
              <w:t>2、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合理说明或者不能提供相关证明材料的，由评标委员会认定该投标人以低于成本报价竞标，低于成本视为废标处理。</w:t>
            </w:r>
          </w:p>
        </w:tc>
      </w:tr>
      <w:tr w14:paraId="5E79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3678E7B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793" w:type="dxa"/>
            <w:shd w:val="clear" w:color="auto" w:fill="auto"/>
            <w:noWrap w:val="0"/>
            <w:vAlign w:val="center"/>
          </w:tcPr>
          <w:p w14:paraId="0E8DACF7">
            <w:pPr>
              <w:pageBreakBefore w:val="0"/>
              <w:kinsoku/>
              <w:wordWrap w:val="0"/>
              <w:overflowPunct/>
              <w:bidi w:val="0"/>
              <w:spacing w:line="240" w:lineRule="auto"/>
              <w:jc w:val="center"/>
              <w:rPr>
                <w:rFonts w:hint="eastAsia" w:ascii="宋体" w:hAnsi="Calibri" w:eastAsia="宋体" w:cs="宋体"/>
                <w:kern w:val="2"/>
                <w:sz w:val="21"/>
                <w:szCs w:val="22"/>
                <w:highlight w:val="none"/>
                <w:lang w:val="zh-CN" w:eastAsia="zh-CN" w:bidi="ar-SA"/>
              </w:rPr>
            </w:pPr>
            <w:r>
              <w:rPr>
                <w:rFonts w:hint="eastAsia" w:ascii="宋体" w:cs="宋体"/>
                <w:highlight w:val="none"/>
              </w:rPr>
              <w:t>质保期</w:t>
            </w:r>
          </w:p>
        </w:tc>
        <w:tc>
          <w:tcPr>
            <w:tcW w:w="6833" w:type="dxa"/>
            <w:shd w:val="clear" w:color="auto" w:fill="auto"/>
            <w:noWrap w:val="0"/>
            <w:vAlign w:val="center"/>
          </w:tcPr>
          <w:p w14:paraId="18020D3D">
            <w:pPr>
              <w:pageBreakBefore w:val="0"/>
              <w:kinsoku/>
              <w:wordWrap w:val="0"/>
              <w:overflowPunct/>
              <w:bidi w:val="0"/>
              <w:spacing w:line="240" w:lineRule="auto"/>
              <w:jc w:val="left"/>
              <w:rPr>
                <w:rFonts w:hint="eastAsia" w:ascii="宋体" w:hAnsi="Calibri" w:eastAsia="宋体" w:cs="宋体"/>
                <w:kern w:val="2"/>
                <w:sz w:val="21"/>
                <w:szCs w:val="22"/>
                <w:highlight w:val="none"/>
                <w:lang w:val="zh-CN" w:eastAsia="zh-CN" w:bidi="ar-SA"/>
              </w:rPr>
            </w:pPr>
            <w:r>
              <w:rPr>
                <w:rFonts w:hint="eastAsia" w:ascii="宋体" w:hAnsi="Calibri" w:eastAsia="宋体" w:cs="宋体"/>
                <w:kern w:val="2"/>
                <w:sz w:val="21"/>
                <w:szCs w:val="22"/>
                <w:highlight w:val="none"/>
                <w:lang w:val="zh-CN" w:eastAsia="zh-CN" w:bidi="ar-SA"/>
              </w:rPr>
              <w:t>设备自验收之日起3年内为维保期其中第1年为质保期（如设备法定质保期或设备使用说明质保期长于1年，以法定质保期或说明书中质保期为准）。质保维保期所有软硬件服务均免费。</w:t>
            </w:r>
          </w:p>
        </w:tc>
      </w:tr>
      <w:tr w14:paraId="1EDD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0BE5E083">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793" w:type="dxa"/>
            <w:shd w:val="clear" w:color="auto" w:fill="auto"/>
            <w:noWrap w:val="0"/>
            <w:vAlign w:val="center"/>
          </w:tcPr>
          <w:p w14:paraId="47CF0AB4">
            <w:pPr>
              <w:pageBreakBefore w:val="0"/>
              <w:kinsoku/>
              <w:wordWrap w:val="0"/>
              <w:overflowPunct/>
              <w:bidi w:val="0"/>
              <w:spacing w:line="240" w:lineRule="auto"/>
              <w:jc w:val="center"/>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交货</w:t>
            </w:r>
            <w:r>
              <w:rPr>
                <w:rFonts w:hint="eastAsia" w:ascii="宋体" w:cs="宋体"/>
                <w:highlight w:val="none"/>
              </w:rPr>
              <w:t>地点</w:t>
            </w:r>
          </w:p>
        </w:tc>
        <w:tc>
          <w:tcPr>
            <w:tcW w:w="6833" w:type="dxa"/>
            <w:shd w:val="clear" w:color="auto" w:fill="auto"/>
            <w:noWrap w:val="0"/>
            <w:vAlign w:val="center"/>
          </w:tcPr>
          <w:p w14:paraId="43319D1A">
            <w:pPr>
              <w:pageBreakBefore w:val="0"/>
              <w:kinsoku/>
              <w:wordWrap w:val="0"/>
              <w:overflowPunct/>
              <w:bidi w:val="0"/>
              <w:spacing w:line="240" w:lineRule="auto"/>
              <w:jc w:val="left"/>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甲</w:t>
            </w:r>
            <w:r>
              <w:rPr>
                <w:rFonts w:hint="eastAsia" w:ascii="宋体" w:cs="宋体"/>
                <w:highlight w:val="none"/>
              </w:rPr>
              <w:t>方指定地点，送货上门服务。</w:t>
            </w:r>
          </w:p>
        </w:tc>
      </w:tr>
      <w:tr w14:paraId="60C1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2EC3503A">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793" w:type="dxa"/>
            <w:shd w:val="clear" w:color="auto" w:fill="auto"/>
            <w:noWrap w:val="0"/>
            <w:vAlign w:val="center"/>
          </w:tcPr>
          <w:p w14:paraId="26B2485F">
            <w:pPr>
              <w:pageBreakBefore w:val="0"/>
              <w:kinsoku/>
              <w:wordWrap w:val="0"/>
              <w:overflowPunct/>
              <w:bidi w:val="0"/>
              <w:adjustRightInd w:val="0"/>
              <w:snapToGrid w:val="0"/>
              <w:spacing w:line="240" w:lineRule="auto"/>
              <w:jc w:val="center"/>
              <w:rPr>
                <w:rFonts w:hint="eastAsia" w:ascii="宋体" w:hAnsi="Calibri" w:eastAsia="宋体" w:cs="宋体"/>
                <w:kern w:val="2"/>
                <w:sz w:val="21"/>
                <w:szCs w:val="22"/>
                <w:highlight w:val="none"/>
                <w:lang w:val="en-US" w:eastAsia="zh-CN" w:bidi="ar-SA"/>
              </w:rPr>
            </w:pPr>
            <w:r>
              <w:rPr>
                <w:rFonts w:hint="eastAsia" w:ascii="宋体" w:cs="宋体"/>
                <w:highlight w:val="none"/>
              </w:rPr>
              <w:t>履约担保</w:t>
            </w:r>
          </w:p>
        </w:tc>
        <w:tc>
          <w:tcPr>
            <w:tcW w:w="6833" w:type="dxa"/>
            <w:shd w:val="clear" w:color="auto" w:fill="auto"/>
            <w:noWrap w:val="0"/>
            <w:vAlign w:val="center"/>
          </w:tcPr>
          <w:p w14:paraId="6B620132">
            <w:pPr>
              <w:pageBreakBefore w:val="0"/>
              <w:kinsoku/>
              <w:wordWrap w:val="0"/>
              <w:overflowPunct/>
              <w:bidi w:val="0"/>
              <w:adjustRightInd w:val="0"/>
              <w:snapToGrid w:val="0"/>
              <w:spacing w:line="240" w:lineRule="auto"/>
              <w:jc w:val="left"/>
              <w:rPr>
                <w:rFonts w:hint="eastAsia" w:ascii="宋体" w:hAnsi="Calibri" w:eastAsia="宋体" w:cs="宋体"/>
                <w:kern w:val="2"/>
                <w:sz w:val="21"/>
                <w:szCs w:val="22"/>
                <w:highlight w:val="none"/>
                <w:lang w:val="en-US" w:eastAsia="zh-CN" w:bidi="ar-SA"/>
              </w:rPr>
            </w:pPr>
            <w:r>
              <w:rPr>
                <w:rFonts w:hint="eastAsia" w:ascii="宋体" w:cs="宋体"/>
                <w:highlight w:val="none"/>
                <w:lang w:val="en-US" w:eastAsia="zh-CN"/>
              </w:rPr>
              <w:t>诚信记录良好的供应商免收履约担保金</w:t>
            </w:r>
          </w:p>
        </w:tc>
      </w:tr>
      <w:tr w14:paraId="247B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CBC047E">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93" w:type="dxa"/>
            <w:shd w:val="clear" w:color="auto" w:fill="auto"/>
            <w:noWrap w:val="0"/>
            <w:vAlign w:val="center"/>
          </w:tcPr>
          <w:p w14:paraId="69353694">
            <w:pPr>
              <w:pageBreakBefore w:val="0"/>
              <w:kinsoku/>
              <w:wordWrap w:val="0"/>
              <w:overflowPunct/>
              <w:bidi w:val="0"/>
              <w:adjustRightInd w:val="0"/>
              <w:snapToGrid w:val="0"/>
              <w:spacing w:line="240" w:lineRule="auto"/>
              <w:jc w:val="center"/>
              <w:rPr>
                <w:rFonts w:hint="eastAsia" w:ascii="宋体" w:cs="宋体"/>
                <w:highlight w:val="none"/>
                <w:lang w:val="en-US" w:eastAsia="zh-CN"/>
              </w:rPr>
            </w:pPr>
            <w:r>
              <w:rPr>
                <w:rFonts w:hint="eastAsia" w:ascii="宋体" w:cs="宋体"/>
                <w:highlight w:val="none"/>
              </w:rPr>
              <w:t>付款方式</w:t>
            </w:r>
          </w:p>
        </w:tc>
        <w:tc>
          <w:tcPr>
            <w:tcW w:w="6833" w:type="dxa"/>
            <w:shd w:val="clear" w:color="auto" w:fill="auto"/>
            <w:noWrap w:val="0"/>
            <w:vAlign w:val="center"/>
          </w:tcPr>
          <w:p w14:paraId="5E6D3332">
            <w:pPr>
              <w:pageBreakBefore w:val="0"/>
              <w:kinsoku/>
              <w:wordWrap w:val="0"/>
              <w:overflowPunct/>
              <w:bidi w:val="0"/>
              <w:spacing w:line="240" w:lineRule="auto"/>
              <w:jc w:val="left"/>
              <w:rPr>
                <w:rFonts w:hint="eastAsia" w:ascii="宋体" w:cs="宋体"/>
                <w:highlight w:val="yellow"/>
                <w:lang w:val="en-US" w:eastAsia="zh-CN"/>
              </w:rPr>
            </w:pPr>
            <w:r>
              <w:rPr>
                <w:rFonts w:hint="eastAsia" w:ascii="宋体" w:hAnsi="Times New Roman" w:eastAsia="宋体" w:cs="宋体"/>
                <w:highlight w:val="none"/>
              </w:rPr>
              <w:t>设备安装、调试完毕经</w:t>
            </w:r>
            <w:r>
              <w:rPr>
                <w:rFonts w:hint="eastAsia" w:ascii="宋体" w:hAnsi="Times New Roman" w:eastAsia="宋体" w:cs="宋体"/>
                <w:highlight w:val="none"/>
                <w:lang w:val="en-US" w:eastAsia="zh-CN"/>
              </w:rPr>
              <w:t>实际使用单位</w:t>
            </w:r>
            <w:r>
              <w:rPr>
                <w:rFonts w:hint="eastAsia" w:ascii="宋体" w:hAnsi="Times New Roman" w:eastAsia="宋体" w:cs="宋体"/>
                <w:highlight w:val="none"/>
              </w:rPr>
              <w:t>验收合格后向乙方支付合同总价款</w:t>
            </w:r>
            <w:r>
              <w:rPr>
                <w:rFonts w:hint="eastAsia" w:ascii="宋体" w:hAnsi="Times New Roman" w:eastAsia="宋体" w:cs="宋体"/>
                <w:highlight w:val="none"/>
                <w:lang w:val="en-US" w:eastAsia="zh-CN"/>
              </w:rPr>
              <w:t>70</w:t>
            </w:r>
            <w:r>
              <w:rPr>
                <w:rFonts w:hint="eastAsia" w:ascii="宋体" w:hAnsi="Times New Roman" w:eastAsia="宋体" w:cs="宋体"/>
                <w:highlight w:val="none"/>
              </w:rPr>
              <w:t>%，剩余合同</w:t>
            </w:r>
            <w:r>
              <w:rPr>
                <w:rFonts w:hint="eastAsia" w:ascii="宋体" w:hAnsi="Times New Roman" w:eastAsia="宋体" w:cs="宋体"/>
                <w:highlight w:val="none"/>
                <w:lang w:val="en-US" w:eastAsia="zh-CN"/>
              </w:rPr>
              <w:t>30</w:t>
            </w:r>
            <w:r>
              <w:rPr>
                <w:rFonts w:hint="eastAsia" w:ascii="宋体" w:hAnsi="Times New Roman" w:eastAsia="宋体" w:cs="宋体"/>
                <w:highlight w:val="none"/>
              </w:rPr>
              <w:t>%</w:t>
            </w:r>
            <w:r>
              <w:rPr>
                <w:rFonts w:hint="eastAsia" w:ascii="宋体" w:hAnsi="Times New Roman" w:eastAsia="宋体" w:cs="宋体"/>
                <w:highlight w:val="none"/>
                <w:lang w:val="en-US" w:eastAsia="zh-CN"/>
              </w:rPr>
              <w:t>金额从验收之日起3年内完成付款</w:t>
            </w:r>
            <w:r>
              <w:rPr>
                <w:rFonts w:hint="eastAsia" w:ascii="宋体" w:hAnsi="Times New Roman" w:eastAsia="宋体" w:cs="宋体"/>
                <w:highlight w:val="none"/>
              </w:rPr>
              <w:t>。</w:t>
            </w:r>
          </w:p>
        </w:tc>
      </w:tr>
      <w:tr w14:paraId="7EA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5C0A350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793" w:type="dxa"/>
            <w:shd w:val="clear" w:color="auto" w:fill="auto"/>
            <w:noWrap w:val="0"/>
            <w:vAlign w:val="center"/>
          </w:tcPr>
          <w:p w14:paraId="1F4360E5">
            <w:pPr>
              <w:pageBreakBefore w:val="0"/>
              <w:kinsoku/>
              <w:wordWrap w:val="0"/>
              <w:overflowPunct/>
              <w:bidi w:val="0"/>
              <w:adjustRightInd w:val="0"/>
              <w:snapToGrid w:val="0"/>
              <w:spacing w:line="240" w:lineRule="auto"/>
              <w:jc w:val="center"/>
              <w:rPr>
                <w:rFonts w:hint="eastAsia" w:ascii="宋体" w:hAnsi="Calibri" w:eastAsia="宋体" w:cs="宋体"/>
                <w:kern w:val="2"/>
                <w:sz w:val="21"/>
                <w:szCs w:val="22"/>
                <w:highlight w:val="none"/>
                <w:lang w:val="zh-CN" w:eastAsia="zh-CN" w:bidi="ar-SA"/>
              </w:rPr>
            </w:pPr>
            <w:r>
              <w:rPr>
                <w:rFonts w:hint="eastAsia" w:ascii="宋体" w:cs="宋体"/>
                <w:highlight w:val="none"/>
              </w:rPr>
              <w:t>签订合同</w:t>
            </w:r>
          </w:p>
        </w:tc>
        <w:tc>
          <w:tcPr>
            <w:tcW w:w="6833" w:type="dxa"/>
            <w:shd w:val="clear" w:color="auto" w:fill="auto"/>
            <w:noWrap w:val="0"/>
            <w:vAlign w:val="center"/>
          </w:tcPr>
          <w:p w14:paraId="0A6D6662">
            <w:pPr>
              <w:pageBreakBefore w:val="0"/>
              <w:kinsoku/>
              <w:wordWrap w:val="0"/>
              <w:overflowPunct/>
              <w:bidi w:val="0"/>
              <w:adjustRightInd w:val="0"/>
              <w:snapToGrid w:val="0"/>
              <w:spacing w:line="240" w:lineRule="auto"/>
              <w:jc w:val="both"/>
              <w:rPr>
                <w:rFonts w:hint="eastAsia" w:ascii="宋体" w:hAnsi="Calibri" w:eastAsia="宋体" w:cs="宋体"/>
                <w:kern w:val="2"/>
                <w:sz w:val="21"/>
                <w:szCs w:val="22"/>
                <w:highlight w:val="none"/>
                <w:lang w:val="en-US" w:eastAsia="zh-CN" w:bidi="ar-SA"/>
              </w:rPr>
            </w:pPr>
            <w:r>
              <w:rPr>
                <w:rFonts w:hint="eastAsia" w:ascii="宋体" w:hAnsi="Calibri" w:eastAsia="宋体" w:cs="宋体"/>
                <w:kern w:val="2"/>
                <w:sz w:val="21"/>
                <w:szCs w:val="22"/>
                <w:highlight w:val="none"/>
                <w:lang w:val="en-US" w:eastAsia="zh-CN" w:bidi="ar-SA"/>
              </w:rPr>
              <w:t>中标人应在领取中标通知书后 30 天内</w:t>
            </w:r>
            <w:r>
              <w:rPr>
                <w:rFonts w:hint="eastAsia" w:ascii="宋体" w:hAnsi="Calibri" w:cs="宋体"/>
                <w:kern w:val="2"/>
                <w:sz w:val="21"/>
                <w:szCs w:val="22"/>
                <w:highlight w:val="none"/>
                <w:lang w:val="en-US" w:eastAsia="zh-CN" w:bidi="ar-SA"/>
              </w:rPr>
              <w:t>与采购人</w:t>
            </w:r>
            <w:r>
              <w:rPr>
                <w:rFonts w:hint="eastAsia" w:ascii="宋体" w:hAnsi="Calibri" w:eastAsia="宋体" w:cs="宋体"/>
                <w:kern w:val="2"/>
                <w:sz w:val="21"/>
                <w:szCs w:val="22"/>
                <w:highlight w:val="none"/>
                <w:lang w:val="en-US" w:eastAsia="zh-CN" w:bidi="ar-SA"/>
              </w:rPr>
              <w:t>签订采购合同。</w:t>
            </w:r>
          </w:p>
        </w:tc>
      </w:tr>
      <w:tr w14:paraId="6D92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00D6691F">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793" w:type="dxa"/>
            <w:noWrap w:val="0"/>
            <w:vAlign w:val="center"/>
          </w:tcPr>
          <w:p w14:paraId="4F30906C">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采购代理服务费</w:t>
            </w:r>
          </w:p>
        </w:tc>
        <w:tc>
          <w:tcPr>
            <w:tcW w:w="6833" w:type="dxa"/>
            <w:noWrap w:val="0"/>
            <w:vAlign w:val="center"/>
          </w:tcPr>
          <w:p w14:paraId="0DD6AE68">
            <w:pPr>
              <w:keepNext w:val="0"/>
              <w:keepLines w:val="0"/>
              <w:pageBreakBefore w:val="0"/>
              <w:widowControl/>
              <w:wordWrap w:val="0"/>
              <w:overflowPunct/>
              <w:bidi w:val="0"/>
              <w:spacing w:line="240" w:lineRule="auto"/>
              <w:jc w:val="left"/>
              <w:rPr>
                <w:rFonts w:hint="eastAsia" w:ascii="宋体" w:hAnsi="宋体" w:eastAsia="宋体" w:cs="宋体"/>
                <w:bCs/>
                <w:kern w:val="2"/>
                <w:sz w:val="21"/>
                <w:szCs w:val="21"/>
                <w:highlight w:val="none"/>
                <w:lang w:val="en-US" w:eastAsia="zh-CN" w:bidi="ar-SA"/>
              </w:rPr>
            </w:pPr>
            <w:r>
              <w:rPr>
                <w:rFonts w:hint="default" w:ascii="宋体" w:hAnsi="宋体" w:eastAsia="宋体" w:cs="宋体"/>
                <w:bCs/>
                <w:color w:val="auto"/>
                <w:kern w:val="2"/>
                <w:sz w:val="21"/>
                <w:szCs w:val="21"/>
                <w:highlight w:val="none"/>
                <w:lang w:val="en-US" w:eastAsia="zh-CN" w:bidi="ar-SA"/>
              </w:rPr>
              <w:t>按国家发展改革委发改价格[2015]299号文件</w:t>
            </w:r>
            <w:r>
              <w:rPr>
                <w:rFonts w:hint="eastAsia" w:ascii="宋体" w:hAnsi="宋体" w:cs="宋体"/>
                <w:bCs/>
                <w:color w:val="auto"/>
                <w:kern w:val="2"/>
                <w:sz w:val="21"/>
                <w:szCs w:val="21"/>
                <w:highlight w:val="none"/>
                <w:lang w:val="en-US" w:eastAsia="zh-CN" w:bidi="ar-SA"/>
              </w:rPr>
              <w:t>，按中标金额2%费率</w:t>
            </w:r>
            <w:r>
              <w:rPr>
                <w:rFonts w:hint="default" w:ascii="宋体" w:hAnsi="宋体" w:eastAsia="宋体" w:cs="宋体"/>
                <w:bCs/>
                <w:color w:val="auto"/>
                <w:kern w:val="2"/>
                <w:sz w:val="21"/>
                <w:szCs w:val="21"/>
                <w:highlight w:val="none"/>
                <w:lang w:val="en-US" w:eastAsia="zh-CN" w:bidi="ar-SA"/>
              </w:rPr>
              <w:t>计取，由</w:t>
            </w:r>
            <w:r>
              <w:rPr>
                <w:rFonts w:hint="eastAsia" w:ascii="宋体" w:hAnsi="宋体" w:eastAsia="宋体" w:cs="宋体"/>
                <w:bCs/>
                <w:color w:val="auto"/>
                <w:kern w:val="2"/>
                <w:sz w:val="21"/>
                <w:szCs w:val="21"/>
                <w:highlight w:val="none"/>
                <w:lang w:val="en-US" w:eastAsia="zh-CN" w:bidi="ar-SA"/>
              </w:rPr>
              <w:t>中标</w:t>
            </w:r>
            <w:r>
              <w:rPr>
                <w:rFonts w:hint="default" w:ascii="宋体" w:hAnsi="宋体" w:eastAsia="宋体" w:cs="宋体"/>
                <w:bCs/>
                <w:color w:val="auto"/>
                <w:kern w:val="2"/>
                <w:sz w:val="21"/>
                <w:szCs w:val="21"/>
                <w:highlight w:val="none"/>
                <w:lang w:val="en-US" w:eastAsia="zh-CN" w:bidi="ar-SA"/>
              </w:rPr>
              <w:t>单位支付。</w:t>
            </w:r>
          </w:p>
        </w:tc>
      </w:tr>
      <w:tr w14:paraId="79F3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31060F21">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793" w:type="dxa"/>
            <w:shd w:val="clear" w:color="auto" w:fill="auto"/>
            <w:noWrap w:val="0"/>
            <w:vAlign w:val="center"/>
          </w:tcPr>
          <w:p w14:paraId="7851BD8F">
            <w:pPr>
              <w:keepNext w:val="0"/>
              <w:keepLines w:val="0"/>
              <w:pageBreakBefore w:val="0"/>
              <w:wordWrap w:val="0"/>
              <w:overflowPunct/>
              <w:bidi w:val="0"/>
              <w:adjustRightInd w:val="0"/>
              <w:snapToGrid w:val="0"/>
              <w:spacing w:line="240" w:lineRule="auto"/>
              <w:ind w:firstLine="10" w:firstLineChars="0"/>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sz w:val="21"/>
                <w:szCs w:val="21"/>
                <w:highlight w:val="none"/>
              </w:rPr>
              <w:t>采购方式</w:t>
            </w:r>
          </w:p>
        </w:tc>
        <w:tc>
          <w:tcPr>
            <w:tcW w:w="6833" w:type="dxa"/>
            <w:shd w:val="clear" w:color="auto" w:fill="auto"/>
            <w:noWrap w:val="0"/>
            <w:vAlign w:val="center"/>
          </w:tcPr>
          <w:p w14:paraId="105FF3A7">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公开招标</w:t>
            </w:r>
            <w:r>
              <w:rPr>
                <w:rFonts w:hint="eastAsia" w:ascii="宋体" w:hAnsi="宋体" w:eastAsia="宋体" w:cs="宋体"/>
                <w:sz w:val="21"/>
                <w:szCs w:val="21"/>
                <w:highlight w:val="none"/>
              </w:rPr>
              <w:t>。</w:t>
            </w:r>
          </w:p>
        </w:tc>
      </w:tr>
      <w:tr w14:paraId="3E94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E9E5C5A">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793" w:type="dxa"/>
            <w:shd w:val="clear" w:color="auto" w:fill="auto"/>
            <w:noWrap w:val="0"/>
            <w:vAlign w:val="center"/>
          </w:tcPr>
          <w:p w14:paraId="540EE8E6">
            <w:pPr>
              <w:keepNext w:val="0"/>
              <w:keepLines w:val="0"/>
              <w:pageBreakBefore w:val="0"/>
              <w:wordWrap w:val="0"/>
              <w:overflowPunct/>
              <w:autoSpaceDE w:val="0"/>
              <w:autoSpaceDN w:val="0"/>
              <w:bidi w:val="0"/>
              <w:adjustRightInd w:val="0"/>
              <w:snapToGrid w:val="0"/>
              <w:spacing w:line="240" w:lineRule="auto"/>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rPr>
              <w:t>评审方法</w:t>
            </w:r>
          </w:p>
        </w:tc>
        <w:tc>
          <w:tcPr>
            <w:tcW w:w="6833" w:type="dxa"/>
            <w:shd w:val="clear" w:color="auto" w:fill="auto"/>
            <w:noWrap w:val="0"/>
            <w:vAlign w:val="center"/>
          </w:tcPr>
          <w:p w14:paraId="2B7A84BD">
            <w:pPr>
              <w:keepNext w:val="0"/>
              <w:keepLines w:val="0"/>
              <w:pageBreakBefore w:val="0"/>
              <w:wordWrap w:val="0"/>
              <w:overflowPunct/>
              <w:autoSpaceDE w:val="0"/>
              <w:autoSpaceDN w:val="0"/>
              <w:bidi w:val="0"/>
              <w:adjustRightInd w:val="0"/>
              <w:snapToGrid w:val="0"/>
              <w:spacing w:line="24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综合评分法</w:t>
            </w:r>
          </w:p>
        </w:tc>
      </w:tr>
      <w:tr w14:paraId="6842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12396843">
            <w:pPr>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793" w:type="dxa"/>
            <w:shd w:val="clear" w:color="auto" w:fill="auto"/>
            <w:noWrap w:val="0"/>
            <w:vAlign w:val="center"/>
          </w:tcPr>
          <w:p w14:paraId="4C84850A">
            <w:pPr>
              <w:pageBreakBefore w:val="0"/>
              <w:kinsoku/>
              <w:wordWrap w:val="0"/>
              <w:overflowPunct/>
              <w:bidi w:val="0"/>
              <w:snapToGrid w:val="0"/>
              <w:spacing w:line="240" w:lineRule="auto"/>
              <w:jc w:val="center"/>
              <w:rPr>
                <w:rFonts w:hint="eastAsia" w:ascii="Calibri" w:hAnsi="Calibri" w:eastAsia="宋体" w:cs="Times New Roman"/>
                <w:kern w:val="2"/>
                <w:sz w:val="21"/>
                <w:szCs w:val="22"/>
                <w:highlight w:val="none"/>
                <w:lang w:val="zh-CN" w:eastAsia="zh-CN" w:bidi="ar-SA"/>
              </w:rPr>
            </w:pPr>
            <w:r>
              <w:rPr>
                <w:rFonts w:hint="eastAsia" w:ascii="宋体"/>
                <w:szCs w:val="21"/>
                <w:highlight w:val="none"/>
              </w:rPr>
              <w:t>电子标说明</w:t>
            </w:r>
          </w:p>
        </w:tc>
        <w:tc>
          <w:tcPr>
            <w:tcW w:w="6833" w:type="dxa"/>
            <w:shd w:val="clear" w:color="auto" w:fill="auto"/>
            <w:noWrap w:val="0"/>
            <w:vAlign w:val="center"/>
          </w:tcPr>
          <w:p w14:paraId="36D376C4">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上传的电子证件及资料均需按要求签字盖章上传，否则按未签章处理。</w:t>
            </w:r>
          </w:p>
          <w:p w14:paraId="251BA1B4">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投标文件电子版方面技术支持：400-8817190</w:t>
            </w:r>
          </w:p>
          <w:p w14:paraId="6AB4EB57">
            <w:pPr>
              <w:pageBreakBefore w:val="0"/>
              <w:kinsoku/>
              <w:wordWrap w:val="0"/>
              <w:overflowPunct/>
              <w:bidi w:val="0"/>
              <w:snapToGrid w:val="0"/>
              <w:spacing w:line="240" w:lineRule="auto"/>
              <w:rPr>
                <w:rFonts w:hint="eastAsia" w:ascii="宋体" w:cs="宋体"/>
                <w:bCs/>
                <w:szCs w:val="21"/>
                <w:highlight w:val="none"/>
                <w:lang w:val="zh-CN"/>
              </w:rPr>
            </w:pPr>
          </w:p>
          <w:p w14:paraId="09908923">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投标人在政府采购云平台（网址：http:// www.zcygov.cn）通过数字证书制作投标文件1份（此投标文件需上传至政府采购云平台，并在开标现场持编制投标文件的供应商数字证书现场解密）。</w:t>
            </w:r>
          </w:p>
          <w:p w14:paraId="7795E9DA">
            <w:pPr>
              <w:pageBreakBefore w:val="0"/>
              <w:kinsoku/>
              <w:wordWrap w:val="0"/>
              <w:overflowPunct/>
              <w:bidi w:val="0"/>
              <w:snapToGrid w:val="0"/>
              <w:spacing w:line="240" w:lineRule="auto"/>
              <w:rPr>
                <w:rFonts w:hint="eastAsia" w:ascii="宋体" w:cs="宋体"/>
                <w:bCs/>
                <w:szCs w:val="21"/>
                <w:highlight w:val="none"/>
                <w:lang w:val="zh-CN"/>
              </w:rPr>
            </w:pPr>
            <w:r>
              <w:rPr>
                <w:rFonts w:hint="eastAsia" w:ascii="宋体" w:cs="宋体"/>
                <w:bCs/>
                <w:szCs w:val="21"/>
                <w:highlight w:val="none"/>
                <w:lang w:val="zh-CN"/>
              </w:rPr>
              <w:t>备注：</w:t>
            </w:r>
          </w:p>
          <w:p w14:paraId="0C7C14EB">
            <w:pPr>
              <w:pageBreakBefore w:val="0"/>
              <w:kinsoku/>
              <w:wordWrap w:val="0"/>
              <w:overflowPunct/>
              <w:bidi w:val="0"/>
              <w:snapToGrid w:val="0"/>
              <w:spacing w:line="240" w:lineRule="auto"/>
              <w:rPr>
                <w:rFonts w:hint="eastAsia" w:ascii="宋体" w:hAnsi="Calibri" w:eastAsia="宋体" w:cs="宋体"/>
                <w:kern w:val="2"/>
                <w:sz w:val="21"/>
                <w:szCs w:val="22"/>
                <w:highlight w:val="none"/>
                <w:lang w:val="en-US" w:eastAsia="zh-CN" w:bidi="ar-SA"/>
              </w:rPr>
            </w:pPr>
            <w:r>
              <w:rPr>
                <w:rFonts w:hint="eastAsia" w:ascii="宋体" w:cs="宋体"/>
                <w:bCs/>
                <w:szCs w:val="21"/>
                <w:highlight w:val="none"/>
                <w:lang w:val="zh-CN"/>
              </w:rPr>
              <w:t>1、投标文件电子版(U盘)按招标文件规定执行，用数字证书编制的电子版按《政府采购项目电子交易管理操作指南-供应商》进行投标操作。</w:t>
            </w:r>
          </w:p>
        </w:tc>
      </w:tr>
      <w:tr w14:paraId="5CC1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72" w:type="dxa"/>
            <w:noWrap w:val="0"/>
            <w:vAlign w:val="center"/>
          </w:tcPr>
          <w:p w14:paraId="625C5C20">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793" w:type="dxa"/>
            <w:shd w:val="clear" w:color="auto" w:fill="auto"/>
            <w:noWrap w:val="0"/>
            <w:vAlign w:val="center"/>
          </w:tcPr>
          <w:p w14:paraId="43A1DAA9">
            <w:pPr>
              <w:pageBreakBefore w:val="0"/>
              <w:kinsoku/>
              <w:wordWrap w:val="0"/>
              <w:overflowPunct/>
              <w:bidi w:val="0"/>
              <w:spacing w:line="240" w:lineRule="auto"/>
              <w:jc w:val="center"/>
              <w:rPr>
                <w:rFonts w:hint="eastAsia" w:ascii="宋体" w:hAnsi="Calibri" w:eastAsia="宋体" w:cs="Times New Roman"/>
                <w:kern w:val="2"/>
                <w:sz w:val="21"/>
                <w:szCs w:val="21"/>
                <w:highlight w:val="none"/>
                <w:lang w:val="zh-CN" w:eastAsia="zh-CN" w:bidi="ar-SA"/>
              </w:rPr>
            </w:pPr>
            <w:r>
              <w:rPr>
                <w:rFonts w:ascii="宋体" w:cs="宋体"/>
              </w:rPr>
              <w:t>投标文件远程解密方式</w:t>
            </w:r>
          </w:p>
        </w:tc>
        <w:tc>
          <w:tcPr>
            <w:tcW w:w="6833" w:type="dxa"/>
            <w:shd w:val="clear" w:color="auto" w:fill="auto"/>
            <w:noWrap w:val="0"/>
            <w:vAlign w:val="center"/>
          </w:tcPr>
          <w:p w14:paraId="727C4341">
            <w:pPr>
              <w:pageBreakBefore w:val="0"/>
              <w:kinsoku/>
              <w:wordWrap w:val="0"/>
              <w:overflowPunct/>
              <w:bidi w:val="0"/>
              <w:spacing w:line="240" w:lineRule="auto"/>
              <w:jc w:val="left"/>
              <w:rPr>
                <w:rFonts w:ascii="宋体" w:cs="宋体"/>
              </w:rPr>
            </w:pPr>
            <w:r>
              <w:rPr>
                <w:rFonts w:ascii="宋体" w:cs="宋体"/>
              </w:rPr>
              <w:t>本项目采用“政采云”平台(http：//www.zcygov.cn)不见面开标大厅进行远程采购活动。</w:t>
            </w:r>
          </w:p>
          <w:p w14:paraId="1C0600CF">
            <w:pPr>
              <w:pageBreakBefore w:val="0"/>
              <w:kinsoku/>
              <w:wordWrap w:val="0"/>
              <w:overflowPunct/>
              <w:bidi w:val="0"/>
              <w:spacing w:line="240" w:lineRule="auto"/>
              <w:jc w:val="left"/>
              <w:rPr>
                <w:rFonts w:ascii="宋体" w:cs="宋体"/>
              </w:rPr>
            </w:pPr>
            <w:r>
              <w:rPr>
                <w:rFonts w:ascii="宋体" w:cs="宋体"/>
              </w:rPr>
              <w:t>投标文件远程解密方式：</w:t>
            </w:r>
          </w:p>
          <w:p w14:paraId="02280112">
            <w:pPr>
              <w:pageBreakBefore w:val="0"/>
              <w:kinsoku/>
              <w:wordWrap w:val="0"/>
              <w:overflowPunct/>
              <w:bidi w:val="0"/>
              <w:spacing w:line="240" w:lineRule="auto"/>
              <w:jc w:val="left"/>
              <w:rPr>
                <w:rFonts w:ascii="宋体" w:cs="宋体"/>
              </w:rPr>
            </w:pPr>
            <w:r>
              <w:rPr>
                <w:rFonts w:ascii="宋体" w:cs="宋体"/>
              </w:rPr>
              <w:t>①公布供应商名单后30分钟内，由供应商持制作该电子投标文件的相同数字证书(CA锁)及电脑进行远程解密(各供应商在投标文件提交截止时间前及“政采云”系统公布供应商名单前，不要提前进行远程解密)。</w:t>
            </w:r>
          </w:p>
          <w:p w14:paraId="0B14F531">
            <w:pPr>
              <w:pageBreakBefore w:val="0"/>
              <w:kinsoku/>
              <w:wordWrap w:val="0"/>
              <w:overflowPunct/>
              <w:bidi w:val="0"/>
              <w:spacing w:line="240" w:lineRule="auto"/>
              <w:jc w:val="left"/>
              <w:rPr>
                <w:rFonts w:ascii="宋体" w:cs="宋体"/>
              </w:rPr>
            </w:pPr>
            <w:r>
              <w:rPr>
                <w:rFonts w:ascii="宋体" w:cs="宋体"/>
              </w:rPr>
              <w:t>②投标文件解密截止时间后，“政采云”平台公布投标报价信息，供应商需持企业数字证书登录“政采云”平台在线确认投标报价信息。</w:t>
            </w:r>
          </w:p>
          <w:p w14:paraId="5ADEA835">
            <w:pPr>
              <w:pageBreakBefore w:val="0"/>
              <w:kinsoku/>
              <w:wordWrap w:val="0"/>
              <w:overflowPunct/>
              <w:bidi w:val="0"/>
              <w:spacing w:line="240" w:lineRule="auto"/>
              <w:jc w:val="left"/>
              <w:rPr>
                <w:rFonts w:hint="eastAsia" w:ascii="宋体" w:hAnsi="Calibri" w:eastAsia="宋体" w:cs="宋体"/>
                <w:bCs/>
                <w:kern w:val="2"/>
                <w:sz w:val="21"/>
                <w:szCs w:val="21"/>
                <w:highlight w:val="none"/>
                <w:lang w:val="zh-CN" w:eastAsia="zh-CN" w:bidi="ar-SA"/>
              </w:rPr>
            </w:pPr>
            <w:r>
              <w:rPr>
                <w:rFonts w:ascii="宋体" w:cs="宋体"/>
              </w:rPr>
              <w:t>③因投标供应商自身原因未能按时完成解密的，视为逾期未提交</w:t>
            </w:r>
            <w:r>
              <w:rPr>
                <w:rFonts w:hint="eastAsia" w:ascii="宋体" w:cs="宋体"/>
                <w:lang w:eastAsia="zh-CN"/>
              </w:rPr>
              <w:t>投标文件</w:t>
            </w:r>
            <w:r>
              <w:rPr>
                <w:rFonts w:ascii="宋体" w:cs="宋体"/>
              </w:rPr>
              <w:t>，其投标无效。</w:t>
            </w:r>
          </w:p>
        </w:tc>
      </w:tr>
      <w:tr w14:paraId="5A8C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noWrap w:val="0"/>
            <w:vAlign w:val="center"/>
          </w:tcPr>
          <w:p w14:paraId="6B189B9A">
            <w:pPr>
              <w:spacing w:line="24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93" w:type="dxa"/>
            <w:shd w:val="clear" w:color="auto" w:fill="auto"/>
            <w:noWrap w:val="0"/>
            <w:vAlign w:val="center"/>
          </w:tcPr>
          <w:p w14:paraId="0DFCD790">
            <w:pPr>
              <w:pageBreakBefore w:val="0"/>
              <w:tabs>
                <w:tab w:val="left" w:pos="0"/>
              </w:tabs>
              <w:kinsoku/>
              <w:wordWrap w:val="0"/>
              <w:overflowPunct/>
              <w:bidi w:val="0"/>
              <w:spacing w:line="240" w:lineRule="auto"/>
              <w:jc w:val="center"/>
              <w:rPr>
                <w:rFonts w:hint="eastAsia"/>
              </w:rPr>
            </w:pPr>
            <w:r>
              <w:rPr>
                <w:rFonts w:hint="eastAsia"/>
              </w:rPr>
              <w:t>政策文件</w:t>
            </w:r>
          </w:p>
          <w:p w14:paraId="4E24A1F3">
            <w:pPr>
              <w:pageBreakBefore w:val="0"/>
              <w:tabs>
                <w:tab w:val="left" w:pos="0"/>
              </w:tabs>
              <w:kinsoku/>
              <w:wordWrap w:val="0"/>
              <w:overflowPunct/>
              <w:bidi w:val="0"/>
              <w:spacing w:line="240" w:lineRule="auto"/>
              <w:jc w:val="center"/>
              <w:rPr>
                <w:rFonts w:ascii="宋体" w:cs="宋体"/>
              </w:rPr>
            </w:pPr>
          </w:p>
        </w:tc>
        <w:tc>
          <w:tcPr>
            <w:tcW w:w="6833" w:type="dxa"/>
            <w:shd w:val="clear" w:color="auto" w:fill="auto"/>
            <w:noWrap w:val="0"/>
            <w:vAlign w:val="center"/>
          </w:tcPr>
          <w:p w14:paraId="0D1929EF">
            <w:pPr>
              <w:pageBreakBefore w:val="0"/>
              <w:kinsoku/>
              <w:wordWrap w:val="0"/>
              <w:overflowPunct/>
              <w:bidi w:val="0"/>
              <w:spacing w:line="240" w:lineRule="auto"/>
              <w:jc w:val="left"/>
              <w:rPr>
                <w:rFonts w:hint="eastAsia" w:ascii="宋体" w:hAnsi="宋体" w:cs="宋体"/>
              </w:rPr>
            </w:pPr>
            <w:r>
              <w:rPr>
                <w:rFonts w:hint="eastAsia" w:ascii="宋体" w:hAnsi="宋体" w:cs="宋体"/>
              </w:rPr>
              <w:t>根据长春市财政局文件《长春市财政局关于进一步做好我市政府采购促进中小企业发展有关工作的通知》（长财采购【2021】416号）相关规定，执行以下政策：</w:t>
            </w:r>
          </w:p>
          <w:p w14:paraId="368B3920">
            <w:pPr>
              <w:pageBreakBefore w:val="0"/>
              <w:kinsoku/>
              <w:wordWrap w:val="0"/>
              <w:overflowPunct/>
              <w:bidi w:val="0"/>
              <w:spacing w:line="240" w:lineRule="auto"/>
              <w:jc w:val="left"/>
              <w:rPr>
                <w:rFonts w:hint="eastAsia" w:ascii="宋体" w:hAnsi="宋体" w:cs="宋体"/>
              </w:rPr>
            </w:pPr>
            <w:r>
              <w:rPr>
                <w:rFonts w:hint="eastAsia" w:ascii="宋体" w:hAnsi="宋体" w:cs="宋体"/>
              </w:rPr>
              <w:t>1、享受中小企业扶持政策的情形：在政府采购活动中，供应商提供的货物、工程或者服务符合下列情形的，享受本通知规定的中小企业扶持政策：（一）在货物采购项目中，货物由中小企业制造，即货物由中小企业生产且使用该中小企业商号或注册商标。</w:t>
            </w:r>
          </w:p>
          <w:p w14:paraId="350ADC79">
            <w:pPr>
              <w:pageBreakBefore w:val="0"/>
              <w:kinsoku/>
              <w:wordWrap w:val="0"/>
              <w:overflowPunct/>
              <w:bidi w:val="0"/>
              <w:spacing w:line="240" w:lineRule="auto"/>
              <w:jc w:val="left"/>
              <w:rPr>
                <w:rFonts w:hint="eastAsia" w:ascii="宋体" w:hAnsi="宋体" w:cs="宋体"/>
              </w:rPr>
            </w:pPr>
            <w:r>
              <w:rPr>
                <w:rFonts w:hint="eastAsia" w:ascii="宋体" w:hAnsi="宋体" w:cs="宋体"/>
              </w:rPr>
              <w:t>在货物采购项目中，如果一个采购项目或采购包含多个采购标的的，则每个采购标的均应由中小企业制造。供应商提供的货物既有中小企业制造货物，也有大型企业制造货物的，不享受本通知规定的中小企业扶持政策。</w:t>
            </w:r>
          </w:p>
          <w:p w14:paraId="4363825D">
            <w:pPr>
              <w:pageBreakBefore w:val="0"/>
              <w:numPr>
                <w:ilvl w:val="0"/>
                <w:numId w:val="0"/>
              </w:numPr>
              <w:kinsoku/>
              <w:wordWrap w:val="0"/>
              <w:overflowPunct/>
              <w:bidi w:val="0"/>
              <w:spacing w:line="240" w:lineRule="auto"/>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w:t>
            </w:r>
            <w:r>
              <w:rPr>
                <w:rFonts w:hint="eastAsia" w:ascii="宋体" w:hAnsi="宋体" w:cs="宋体"/>
              </w:rPr>
              <w:t>公开中小企业声明函：中标、成交供应商享受本通知规定的中小企业</w:t>
            </w:r>
          </w:p>
          <w:p w14:paraId="3D85F5EB">
            <w:pPr>
              <w:pageBreakBefore w:val="0"/>
              <w:numPr>
                <w:ilvl w:val="0"/>
                <w:numId w:val="0"/>
              </w:numPr>
              <w:kinsoku/>
              <w:wordWrap w:val="0"/>
              <w:overflowPunct/>
              <w:bidi w:val="0"/>
              <w:spacing w:line="240" w:lineRule="auto"/>
              <w:jc w:val="left"/>
              <w:rPr>
                <w:rFonts w:hint="eastAsia" w:ascii="宋体" w:hAnsi="宋体" w:cs="宋体"/>
              </w:rPr>
            </w:pPr>
            <w:r>
              <w:rPr>
                <w:rFonts w:hint="eastAsia" w:ascii="宋体" w:hAnsi="宋体" w:cs="宋体"/>
              </w:rPr>
              <w:t>扶持政策的，采购人、采购代理机构应当随中标、成交结果公开中标、成交供应商的《中小企业声明函》。</w:t>
            </w:r>
          </w:p>
          <w:p w14:paraId="4773466D">
            <w:pPr>
              <w:pageBreakBefore w:val="0"/>
              <w:numPr>
                <w:ilvl w:val="0"/>
                <w:numId w:val="0"/>
              </w:numPr>
              <w:kinsoku/>
              <w:wordWrap w:val="0"/>
              <w:overflowPunct/>
              <w:bidi w:val="0"/>
              <w:spacing w:line="240" w:lineRule="auto"/>
              <w:jc w:val="left"/>
              <w:rPr>
                <w:rFonts w:hint="eastAsia" w:ascii="宋体" w:hAnsi="宋体" w:cs="宋体"/>
              </w:rPr>
            </w:pPr>
            <w:r>
              <w:rPr>
                <w:rFonts w:hint="eastAsia" w:ascii="宋体" w:hAnsi="宋体" w:eastAsia="宋体" w:cs="宋体"/>
                <w:kern w:val="2"/>
                <w:sz w:val="21"/>
                <w:szCs w:val="24"/>
                <w:lang w:val="en-US" w:eastAsia="zh-CN" w:bidi="ar-SA"/>
              </w:rPr>
              <w:t>3、</w:t>
            </w:r>
            <w:r>
              <w:rPr>
                <w:rFonts w:hint="eastAsia" w:ascii="宋体" w:hAnsi="宋体" w:cs="宋体"/>
              </w:rPr>
              <w:t>对于小型或微型企业参与本项目投标的：投标人需提供小微企业主管部门出具的《小微企业声明函》原件，在评审中将对小型或微型企业上生产的产品价格给予10%的扣除，用扣除后的价格参与评审。</w:t>
            </w:r>
          </w:p>
          <w:p w14:paraId="6D1CADD5">
            <w:pPr>
              <w:pageBreakBefore w:val="0"/>
              <w:kinsoku/>
              <w:wordWrap w:val="0"/>
              <w:overflowPunct/>
              <w:bidi w:val="0"/>
              <w:spacing w:line="240" w:lineRule="auto"/>
              <w:jc w:val="left"/>
              <w:rPr>
                <w:rFonts w:hint="eastAsia" w:ascii="宋体" w:hAnsi="宋体" w:cs="宋体"/>
              </w:rPr>
            </w:pPr>
            <w:r>
              <w:rPr>
                <w:rFonts w:hint="eastAsia" w:ascii="宋体" w:hAnsi="宋体" w:cs="宋体"/>
              </w:rPr>
              <w:t>4、节能产品：主要报价产品纳入财政部公布的《节能产品政府采购清单》目录（提供目录或证书复印件）的对报价给予3%的扣除。</w:t>
            </w:r>
          </w:p>
          <w:p w14:paraId="135BA94B">
            <w:pPr>
              <w:pageBreakBefore w:val="0"/>
              <w:kinsoku/>
              <w:wordWrap w:val="0"/>
              <w:overflowPunct/>
              <w:bidi w:val="0"/>
              <w:spacing w:line="240" w:lineRule="auto"/>
              <w:jc w:val="left"/>
              <w:rPr>
                <w:rFonts w:hint="eastAsia" w:ascii="宋体" w:hAnsi="Calibri" w:eastAsia="宋体" w:cs="宋体"/>
                <w:bCs/>
                <w:kern w:val="2"/>
                <w:sz w:val="21"/>
                <w:szCs w:val="21"/>
                <w:highlight w:val="none"/>
                <w:lang w:val="en-US" w:eastAsia="zh-CN" w:bidi="ar-SA"/>
              </w:rPr>
            </w:pPr>
            <w:r>
              <w:rPr>
                <w:rFonts w:hint="eastAsia" w:ascii="宋体" w:hAnsi="宋体" w:cs="宋体"/>
              </w:rPr>
              <w:t>5、环保标志产品：主要报价产品纳入财政部公布的《环境标志产品政府采购清单》目录的（提供目录或证书复印件）的对报价给予3%的扣除。</w:t>
            </w:r>
          </w:p>
        </w:tc>
      </w:tr>
      <w:tr w14:paraId="54A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98" w:type="dxa"/>
            <w:gridSpan w:val="3"/>
            <w:noWrap w:val="0"/>
            <w:vAlign w:val="center"/>
          </w:tcPr>
          <w:p w14:paraId="3B482FAF">
            <w:pPr>
              <w:keepNext w:val="0"/>
              <w:keepLines w:val="0"/>
              <w:pageBreakBefore w:val="0"/>
              <w:widowControl/>
              <w:wordWrap w:val="0"/>
              <w:overflowPunct/>
              <w:bidi w:val="0"/>
              <w:spacing w:line="240" w:lineRule="auto"/>
              <w:jc w:val="left"/>
            </w:pPr>
            <w:r>
              <w:rPr>
                <w:rFonts w:hint="eastAsia" w:ascii="宋体" w:hAnsi="宋体" w:eastAsia="宋体" w:cs="宋体"/>
                <w:b/>
                <w:bCs w:val="0"/>
                <w:kern w:val="0"/>
                <w:sz w:val="21"/>
                <w:szCs w:val="21"/>
                <w:lang w:val="zh-CN" w:bidi="ar"/>
              </w:rPr>
              <w:t>注：本项目</w:t>
            </w:r>
            <w:r>
              <w:rPr>
                <w:rFonts w:hint="eastAsia" w:ascii="宋体" w:hAnsi="宋体" w:eastAsia="宋体" w:cs="宋体"/>
                <w:b/>
                <w:bCs w:val="0"/>
                <w:kern w:val="0"/>
                <w:sz w:val="21"/>
                <w:szCs w:val="21"/>
                <w:lang w:val="en-US" w:eastAsia="zh-CN" w:bidi="ar"/>
              </w:rPr>
              <w:t>招标</w:t>
            </w:r>
            <w:r>
              <w:rPr>
                <w:rFonts w:hint="eastAsia" w:ascii="宋体" w:hAnsi="宋体" w:eastAsia="宋体" w:cs="宋体"/>
                <w:b/>
                <w:bCs w:val="0"/>
                <w:kern w:val="0"/>
                <w:sz w:val="21"/>
                <w:szCs w:val="21"/>
                <w:lang w:val="zh-CN" w:bidi="ar"/>
              </w:rPr>
              <w:t>公告与</w:t>
            </w:r>
            <w:r>
              <w:rPr>
                <w:rFonts w:hint="eastAsia" w:ascii="宋体" w:hAnsi="宋体" w:eastAsia="宋体" w:cs="宋体"/>
                <w:b/>
                <w:bCs w:val="0"/>
                <w:kern w:val="0"/>
                <w:sz w:val="21"/>
                <w:szCs w:val="21"/>
                <w:lang w:val="en-US" w:eastAsia="zh-CN" w:bidi="ar"/>
              </w:rPr>
              <w:t>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正文</w:t>
            </w:r>
            <w:r>
              <w:rPr>
                <w:rFonts w:hint="eastAsia" w:ascii="宋体" w:hAnsi="宋体" w:eastAsia="宋体" w:cs="宋体"/>
                <w:b/>
                <w:bCs w:val="0"/>
                <w:kern w:val="0"/>
                <w:sz w:val="21"/>
                <w:szCs w:val="21"/>
                <w:lang w:val="zh-CN" w:bidi="ar"/>
              </w:rPr>
              <w:t>内容有不符之处，以</w:t>
            </w:r>
            <w:r>
              <w:rPr>
                <w:rFonts w:hint="eastAsia" w:ascii="宋体" w:hAnsi="宋体" w:eastAsia="宋体" w:cs="宋体"/>
                <w:b/>
                <w:bCs w:val="0"/>
                <w:kern w:val="0"/>
                <w:sz w:val="21"/>
                <w:szCs w:val="21"/>
                <w:lang w:val="en-US" w:eastAsia="zh-CN" w:bidi="ar"/>
              </w:rPr>
              <w:t>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正文</w:t>
            </w:r>
            <w:r>
              <w:rPr>
                <w:rFonts w:hint="eastAsia" w:ascii="宋体" w:hAnsi="宋体" w:eastAsia="宋体" w:cs="宋体"/>
                <w:b/>
                <w:bCs w:val="0"/>
                <w:kern w:val="0"/>
                <w:sz w:val="21"/>
                <w:szCs w:val="21"/>
                <w:lang w:val="zh-CN" w:bidi="ar"/>
              </w:rPr>
              <w:t>内容为准；</w:t>
            </w:r>
            <w:r>
              <w:rPr>
                <w:rFonts w:hint="eastAsia" w:ascii="宋体" w:hAnsi="宋体" w:eastAsia="宋体" w:cs="宋体"/>
                <w:b/>
                <w:bCs w:val="0"/>
                <w:kern w:val="0"/>
                <w:sz w:val="21"/>
                <w:szCs w:val="21"/>
                <w:lang w:val="en-US" w:eastAsia="zh-CN" w:bidi="ar"/>
              </w:rPr>
              <w:t>投标人须知正文内容与投标人须知前附表有不符之处，以投标人</w:t>
            </w:r>
            <w:r>
              <w:rPr>
                <w:rFonts w:hint="eastAsia" w:ascii="宋体" w:hAnsi="宋体" w:eastAsia="宋体" w:cs="宋体"/>
                <w:b/>
                <w:bCs w:val="0"/>
                <w:kern w:val="0"/>
                <w:sz w:val="21"/>
                <w:szCs w:val="21"/>
                <w:lang w:val="zh-CN" w:bidi="ar"/>
              </w:rPr>
              <w:t>须知</w:t>
            </w:r>
            <w:r>
              <w:rPr>
                <w:rFonts w:hint="eastAsia" w:ascii="宋体" w:hAnsi="宋体" w:eastAsia="宋体" w:cs="宋体"/>
                <w:b/>
                <w:bCs w:val="0"/>
                <w:kern w:val="0"/>
                <w:sz w:val="21"/>
                <w:szCs w:val="21"/>
                <w:lang w:val="en-US" w:eastAsia="zh-CN" w:bidi="ar"/>
              </w:rPr>
              <w:t>前附表</w:t>
            </w:r>
            <w:r>
              <w:rPr>
                <w:rFonts w:hint="eastAsia" w:ascii="宋体" w:hAnsi="宋体" w:eastAsia="宋体" w:cs="宋体"/>
                <w:b/>
                <w:bCs w:val="0"/>
                <w:kern w:val="0"/>
                <w:sz w:val="21"/>
                <w:szCs w:val="21"/>
                <w:lang w:val="zh-CN" w:bidi="ar"/>
              </w:rPr>
              <w:t>内容为准。</w:t>
            </w:r>
          </w:p>
          <w:p w14:paraId="5B517739">
            <w:pPr>
              <w:bidi w:val="0"/>
              <w:spacing w:line="240" w:lineRule="auto"/>
              <w:rPr>
                <w:rFonts w:hint="eastAsia" w:ascii="宋体" w:hAnsi="宋体" w:eastAsia="宋体" w:cs="宋体"/>
                <w:sz w:val="21"/>
                <w:szCs w:val="21"/>
              </w:rPr>
            </w:pPr>
            <w:r>
              <w:rPr>
                <w:rFonts w:hint="eastAsia" w:ascii="宋体" w:hAnsi="宋体" w:eastAsia="宋体" w:cs="宋体"/>
                <w:b/>
                <w:bCs w:val="0"/>
                <w:kern w:val="0"/>
                <w:sz w:val="21"/>
                <w:szCs w:val="21"/>
                <w:lang w:val="zh-CN" w:bidi="ar"/>
              </w:rPr>
              <w:t>采购标的对应的中小企业划分</w:t>
            </w:r>
            <w:r>
              <w:rPr>
                <w:rFonts w:hint="eastAsia" w:ascii="宋体" w:hAnsi="宋体" w:eastAsia="宋体" w:cs="宋体"/>
                <w:b/>
                <w:bCs w:val="0"/>
                <w:kern w:val="0"/>
                <w:sz w:val="21"/>
                <w:szCs w:val="21"/>
                <w:highlight w:val="none"/>
                <w:lang w:val="zh-CN" w:bidi="ar"/>
              </w:rPr>
              <w:t>标准所属行业</w:t>
            </w:r>
            <w:r>
              <w:rPr>
                <w:rFonts w:hint="eastAsia" w:ascii="宋体" w:hAnsi="宋体" w:eastAsia="宋体" w:cs="宋体"/>
                <w:b/>
                <w:bCs w:val="0"/>
                <w:kern w:val="0"/>
                <w:sz w:val="21"/>
                <w:szCs w:val="21"/>
                <w:highlight w:val="none"/>
                <w:lang w:val="zh-CN" w:eastAsia="zh-CN" w:bidi="ar"/>
              </w:rPr>
              <w:t>(</w:t>
            </w:r>
            <w:r>
              <w:rPr>
                <w:rFonts w:hint="eastAsia" w:ascii="宋体" w:hAnsi="宋体" w:eastAsia="宋体" w:cs="宋体"/>
                <w:b/>
                <w:bCs w:val="0"/>
                <w:kern w:val="0"/>
                <w:sz w:val="21"/>
                <w:szCs w:val="21"/>
                <w:highlight w:val="none"/>
                <w:lang w:val="en-US" w:eastAsia="zh-CN" w:bidi="ar"/>
              </w:rPr>
              <w:t>投标</w:t>
            </w:r>
            <w:r>
              <w:rPr>
                <w:rFonts w:hint="eastAsia" w:ascii="宋体" w:hAnsi="宋体" w:eastAsia="宋体" w:cs="宋体"/>
                <w:b/>
                <w:bCs w:val="0"/>
                <w:kern w:val="0"/>
                <w:sz w:val="21"/>
                <w:szCs w:val="21"/>
                <w:highlight w:val="none"/>
                <w:lang w:val="zh-CN" w:eastAsia="zh-CN" w:bidi="ar"/>
              </w:rPr>
              <w:t>文件</w:t>
            </w:r>
            <w:r>
              <w:rPr>
                <w:rFonts w:hint="eastAsia" w:ascii="宋体" w:hAnsi="宋体" w:eastAsia="宋体" w:cs="宋体"/>
                <w:b/>
                <w:bCs w:val="0"/>
                <w:kern w:val="0"/>
                <w:sz w:val="21"/>
                <w:szCs w:val="21"/>
                <w:highlight w:val="none"/>
                <w:lang w:val="zh-CN" w:bidi="ar"/>
              </w:rPr>
              <w:t>中《中小企业声明函》中填写的“采购文件中明确的所属行业”应与下述行业一致</w:t>
            </w:r>
            <w:r>
              <w:rPr>
                <w:rFonts w:hint="eastAsia" w:ascii="宋体" w:hAnsi="宋体" w:eastAsia="宋体" w:cs="宋体"/>
                <w:b/>
                <w:bCs w:val="0"/>
                <w:kern w:val="0"/>
                <w:sz w:val="21"/>
                <w:szCs w:val="21"/>
                <w:highlight w:val="none"/>
                <w:lang w:val="zh-CN" w:eastAsia="zh-CN" w:bidi="ar"/>
              </w:rPr>
              <w:t>)</w:t>
            </w:r>
            <w:r>
              <w:rPr>
                <w:rFonts w:hint="eastAsia" w:ascii="宋体" w:hAnsi="宋体" w:eastAsia="宋体" w:cs="宋体"/>
                <w:b/>
                <w:bCs w:val="0"/>
                <w:kern w:val="0"/>
                <w:sz w:val="21"/>
                <w:szCs w:val="21"/>
                <w:highlight w:val="none"/>
                <w:lang w:val="zh-CN" w:bidi="ar"/>
              </w:rPr>
              <w:t>：</w:t>
            </w:r>
            <w:r>
              <w:rPr>
                <w:rFonts w:hint="eastAsia" w:ascii="宋体" w:hAnsi="宋体" w:eastAsia="宋体" w:cs="宋体"/>
                <w:b/>
                <w:bCs w:val="0"/>
                <w:kern w:val="0"/>
                <w:sz w:val="21"/>
                <w:szCs w:val="21"/>
                <w:highlight w:val="none"/>
                <w:lang w:val="zh-CN" w:eastAsia="zh-CN" w:bidi="ar"/>
              </w:rPr>
              <w:t>工业。</w:t>
            </w:r>
          </w:p>
        </w:tc>
      </w:tr>
    </w:tbl>
    <w:p w14:paraId="18C6F534">
      <w:pPr>
        <w:pageBreakBefore w:val="0"/>
        <w:kinsoku/>
        <w:wordWrap w:val="0"/>
        <w:overflowPunct/>
        <w:bidi w:val="0"/>
        <w:rPr>
          <w:rFonts w:hint="eastAsia" w:ascii="宋体"/>
          <w:color w:val="000000"/>
          <w:szCs w:val="21"/>
          <w:highlight w:val="none"/>
        </w:rPr>
      </w:pPr>
      <w:r>
        <w:rPr>
          <w:color w:val="000000"/>
          <w:highlight w:val="none"/>
        </w:rPr>
        <w:br w:type="page"/>
      </w:r>
    </w:p>
    <w:bookmarkEnd w:id="0"/>
    <w:bookmarkEnd w:id="1"/>
    <w:bookmarkEnd w:id="2"/>
    <w:p w14:paraId="1CB580B5">
      <w:pPr>
        <w:pageBreakBefore w:val="0"/>
        <w:kinsoku/>
        <w:wordWrap w:val="0"/>
        <w:overflowPunct/>
        <w:bidi w:val="0"/>
        <w:spacing w:line="300" w:lineRule="auto"/>
        <w:outlineLvl w:val="0"/>
        <w:rPr>
          <w:rFonts w:hint="eastAsia"/>
          <w:b/>
          <w:sz w:val="28"/>
          <w:szCs w:val="28"/>
          <w:highlight w:val="none"/>
        </w:rPr>
      </w:pPr>
      <w:bookmarkStart w:id="19" w:name="_Toc1181"/>
      <w:bookmarkStart w:id="20" w:name="_Toc14459"/>
      <w:r>
        <w:rPr>
          <w:rFonts w:hint="eastAsia"/>
          <w:b/>
          <w:sz w:val="28"/>
          <w:szCs w:val="28"/>
          <w:highlight w:val="none"/>
        </w:rPr>
        <w:t>附页</w:t>
      </w:r>
      <w:bookmarkEnd w:id="19"/>
      <w:bookmarkEnd w:id="20"/>
    </w:p>
    <w:p w14:paraId="1E2C0C3A">
      <w:pPr>
        <w:pageBreakBefore w:val="0"/>
        <w:kinsoku/>
        <w:wordWrap w:val="0"/>
        <w:overflowPunct/>
        <w:bidi w:val="0"/>
        <w:spacing w:line="300" w:lineRule="auto"/>
        <w:jc w:val="center"/>
        <w:rPr>
          <w:rFonts w:hint="eastAsia"/>
          <w:b/>
          <w:sz w:val="36"/>
          <w:szCs w:val="36"/>
          <w:highlight w:val="none"/>
        </w:rPr>
      </w:pPr>
      <w:r>
        <w:rPr>
          <w:rFonts w:hint="eastAsia"/>
          <w:b/>
          <w:sz w:val="36"/>
          <w:szCs w:val="36"/>
          <w:highlight w:val="none"/>
        </w:rPr>
        <w:t>投标疑问格式</w:t>
      </w:r>
    </w:p>
    <w:p w14:paraId="6F0C922E">
      <w:pPr>
        <w:pageBreakBefore w:val="0"/>
        <w:kinsoku/>
        <w:wordWrap w:val="0"/>
        <w:overflowPunct/>
        <w:bidi w:val="0"/>
        <w:snapToGrid w:val="0"/>
        <w:spacing w:line="300" w:lineRule="auto"/>
        <w:rPr>
          <w:rFonts w:hint="eastAsia"/>
          <w:highlight w:val="none"/>
        </w:rPr>
      </w:pPr>
      <w:r>
        <w:rPr>
          <w:rFonts w:hint="eastAsia"/>
          <w:highlight w:val="none"/>
        </w:rPr>
        <w:t>项目名称：</w:t>
      </w:r>
    </w:p>
    <w:p w14:paraId="161A62CB">
      <w:pPr>
        <w:pageBreakBefore w:val="0"/>
        <w:kinsoku/>
        <w:wordWrap w:val="0"/>
        <w:overflowPunct/>
        <w:bidi w:val="0"/>
        <w:snapToGrid w:val="0"/>
        <w:spacing w:line="300" w:lineRule="auto"/>
        <w:rPr>
          <w:rFonts w:hint="eastAsia"/>
          <w:highlight w:val="none"/>
        </w:rPr>
      </w:pPr>
      <w:r>
        <w:rPr>
          <w:rFonts w:hint="eastAsia"/>
          <w:highlight w:val="none"/>
        </w:rPr>
        <w:t>项目编号：</w:t>
      </w:r>
    </w:p>
    <w:tbl>
      <w:tblPr>
        <w:tblStyle w:val="16"/>
        <w:tblW w:w="935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09"/>
        <w:gridCol w:w="4350"/>
      </w:tblGrid>
      <w:tr w14:paraId="4C171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9" w:type="dxa"/>
            <w:noWrap w:val="0"/>
            <w:vAlign w:val="center"/>
          </w:tcPr>
          <w:p w14:paraId="0E10AECF">
            <w:pPr>
              <w:pageBreakBefore w:val="0"/>
              <w:kinsoku/>
              <w:wordWrap w:val="0"/>
              <w:overflowPunct/>
              <w:bidi w:val="0"/>
              <w:snapToGrid w:val="0"/>
              <w:spacing w:line="300" w:lineRule="auto"/>
              <w:rPr>
                <w:rFonts w:hint="eastAsia"/>
                <w:sz w:val="16"/>
                <w:highlight w:val="none"/>
              </w:rPr>
            </w:pPr>
            <w:r>
              <w:rPr>
                <w:rFonts w:hint="eastAsia"/>
                <w:highlight w:val="none"/>
              </w:rPr>
              <w:t>投标单位名称</w:t>
            </w:r>
          </w:p>
        </w:tc>
        <w:tc>
          <w:tcPr>
            <w:tcW w:w="4350" w:type="dxa"/>
            <w:noWrap w:val="0"/>
            <w:vAlign w:val="center"/>
          </w:tcPr>
          <w:p w14:paraId="0C26F013">
            <w:pPr>
              <w:pageBreakBefore w:val="0"/>
              <w:kinsoku/>
              <w:wordWrap w:val="0"/>
              <w:overflowPunct/>
              <w:bidi w:val="0"/>
              <w:snapToGrid w:val="0"/>
              <w:spacing w:line="300" w:lineRule="auto"/>
              <w:ind w:left="420" w:leftChars="200"/>
              <w:rPr>
                <w:rFonts w:hint="eastAsia"/>
                <w:sz w:val="16"/>
                <w:highlight w:val="none"/>
              </w:rPr>
            </w:pPr>
          </w:p>
        </w:tc>
      </w:tr>
      <w:tr w14:paraId="340FA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9359" w:type="dxa"/>
            <w:gridSpan w:val="2"/>
            <w:noWrap w:val="0"/>
            <w:vAlign w:val="top"/>
          </w:tcPr>
          <w:p w14:paraId="337F44EC">
            <w:pPr>
              <w:pageBreakBefore w:val="0"/>
              <w:kinsoku/>
              <w:wordWrap w:val="0"/>
              <w:overflowPunct/>
              <w:bidi w:val="0"/>
              <w:snapToGrid w:val="0"/>
              <w:spacing w:line="300" w:lineRule="auto"/>
              <w:ind w:left="420" w:leftChars="200"/>
              <w:rPr>
                <w:rFonts w:hint="eastAsia"/>
                <w:sz w:val="16"/>
                <w:highlight w:val="none"/>
              </w:rPr>
            </w:pPr>
          </w:p>
          <w:p w14:paraId="07AA9CFA">
            <w:pPr>
              <w:pageBreakBefore w:val="0"/>
              <w:kinsoku/>
              <w:wordWrap w:val="0"/>
              <w:overflowPunct/>
              <w:bidi w:val="0"/>
              <w:snapToGrid w:val="0"/>
              <w:spacing w:line="300" w:lineRule="auto"/>
              <w:ind w:left="420" w:leftChars="200"/>
              <w:rPr>
                <w:rFonts w:hint="eastAsia"/>
                <w:sz w:val="16"/>
                <w:highlight w:val="none"/>
              </w:rPr>
            </w:pPr>
          </w:p>
        </w:tc>
      </w:tr>
    </w:tbl>
    <w:p w14:paraId="5C549E3A">
      <w:pPr>
        <w:pageBreakBefore w:val="0"/>
        <w:kinsoku/>
        <w:wordWrap w:val="0"/>
        <w:overflowPunct/>
        <w:bidi w:val="0"/>
        <w:snapToGrid w:val="0"/>
        <w:spacing w:line="300" w:lineRule="auto"/>
        <w:jc w:val="right"/>
        <w:rPr>
          <w:rFonts w:hint="eastAsia"/>
          <w:highlight w:val="none"/>
        </w:rPr>
      </w:pPr>
    </w:p>
    <w:p w14:paraId="7D40EF78">
      <w:pPr>
        <w:pageBreakBefore w:val="0"/>
        <w:kinsoku/>
        <w:wordWrap w:val="0"/>
        <w:overflowPunct/>
        <w:bidi w:val="0"/>
        <w:snapToGrid w:val="0"/>
        <w:spacing w:line="300" w:lineRule="auto"/>
        <w:jc w:val="right"/>
        <w:rPr>
          <w:rFonts w:hint="eastAsia"/>
          <w:highlight w:val="none"/>
        </w:rPr>
      </w:pPr>
      <w:r>
        <w:rPr>
          <w:rFonts w:hint="eastAsia"/>
          <w:highlight w:val="none"/>
        </w:rPr>
        <w:t xml:space="preserve">  投标单位：                       （公章）</w:t>
      </w:r>
    </w:p>
    <w:p w14:paraId="6FDA2A72">
      <w:pPr>
        <w:pageBreakBefore w:val="0"/>
        <w:kinsoku/>
        <w:wordWrap w:val="0"/>
        <w:overflowPunct/>
        <w:bidi w:val="0"/>
        <w:spacing w:line="300" w:lineRule="auto"/>
        <w:ind w:left="99" w:leftChars="47" w:firstLine="4830" w:firstLineChars="2300"/>
        <w:rPr>
          <w:rFonts w:hint="eastAsia"/>
          <w:szCs w:val="21"/>
          <w:highlight w:val="none"/>
        </w:rPr>
      </w:pPr>
      <w:r>
        <w:rPr>
          <w:rFonts w:hint="eastAsia"/>
          <w:szCs w:val="21"/>
          <w:highlight w:val="none"/>
        </w:rPr>
        <w:t xml:space="preserve">日    期：                          </w:t>
      </w:r>
    </w:p>
    <w:p w14:paraId="69D1F098">
      <w:pPr>
        <w:pageBreakBefore w:val="0"/>
        <w:kinsoku/>
        <w:wordWrap w:val="0"/>
        <w:overflowPunct/>
        <w:bidi w:val="0"/>
        <w:spacing w:line="300" w:lineRule="auto"/>
        <w:rPr>
          <w:highlight w:val="none"/>
        </w:rPr>
      </w:pPr>
      <w:r>
        <w:rPr>
          <w:highlight w:val="none"/>
        </w:rPr>
        <w:br w:type="page"/>
      </w:r>
    </w:p>
    <w:p w14:paraId="68299F39">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1" w:name="_Toc152045529"/>
      <w:bookmarkStart w:id="22" w:name="_Toc246996175"/>
      <w:bookmarkStart w:id="23" w:name="_Toc246996918"/>
      <w:bookmarkStart w:id="24" w:name="_Toc179632546"/>
      <w:bookmarkStart w:id="25" w:name="_Toc409424374"/>
      <w:bookmarkStart w:id="26" w:name="_Toc468267455"/>
      <w:bookmarkStart w:id="27" w:name="_Toc144974497"/>
      <w:bookmarkStart w:id="28" w:name="_Toc152042305"/>
      <w:bookmarkStart w:id="29" w:name="_Toc247085689"/>
      <w:bookmarkStart w:id="30" w:name="_Toc409424313"/>
      <w:r>
        <w:rPr>
          <w:rFonts w:hint="eastAsia" w:ascii="Arial" w:hAnsi="Arial" w:eastAsia="黑体"/>
          <w:b/>
          <w:bCs/>
          <w:sz w:val="32"/>
          <w:szCs w:val="32"/>
          <w:highlight w:val="none"/>
        </w:rPr>
        <w:t>1. 总则</w:t>
      </w:r>
      <w:bookmarkEnd w:id="21"/>
      <w:bookmarkEnd w:id="22"/>
      <w:bookmarkEnd w:id="23"/>
      <w:bookmarkEnd w:id="24"/>
      <w:bookmarkEnd w:id="25"/>
      <w:bookmarkEnd w:id="26"/>
      <w:bookmarkEnd w:id="27"/>
      <w:bookmarkEnd w:id="28"/>
      <w:bookmarkEnd w:id="29"/>
      <w:bookmarkEnd w:id="30"/>
    </w:p>
    <w:p w14:paraId="35C0C45D">
      <w:pPr>
        <w:pageBreakBefore w:val="0"/>
        <w:kinsoku/>
        <w:wordWrap w:val="0"/>
        <w:overflowPunct/>
        <w:bidi w:val="0"/>
        <w:spacing w:line="300" w:lineRule="auto"/>
        <w:rPr>
          <w:rFonts w:hint="eastAsia"/>
          <w:b/>
          <w:highlight w:val="none"/>
        </w:rPr>
      </w:pPr>
      <w:bookmarkStart w:id="31" w:name="_Toc144974498"/>
      <w:bookmarkStart w:id="32" w:name="_Toc152045530"/>
      <w:bookmarkStart w:id="33" w:name="_Toc246996919"/>
      <w:bookmarkStart w:id="34" w:name="_Toc179632547"/>
      <w:bookmarkStart w:id="35" w:name="_Toc247085690"/>
      <w:bookmarkStart w:id="36" w:name="_Toc246996176"/>
      <w:bookmarkStart w:id="37" w:name="_Toc152042306"/>
      <w:r>
        <w:rPr>
          <w:rFonts w:hint="eastAsia"/>
          <w:b/>
          <w:highlight w:val="none"/>
        </w:rPr>
        <w:t>1.1 项目概况</w:t>
      </w:r>
      <w:bookmarkEnd w:id="31"/>
      <w:bookmarkEnd w:id="32"/>
      <w:bookmarkEnd w:id="33"/>
      <w:bookmarkEnd w:id="34"/>
      <w:bookmarkEnd w:id="35"/>
      <w:bookmarkEnd w:id="36"/>
      <w:bookmarkEnd w:id="37"/>
    </w:p>
    <w:p w14:paraId="3C382DC0">
      <w:pPr>
        <w:pageBreakBefore w:val="0"/>
        <w:kinsoku/>
        <w:wordWrap w:val="0"/>
        <w:overflowPunct/>
        <w:bidi w:val="0"/>
        <w:spacing w:line="300" w:lineRule="auto"/>
        <w:ind w:firstLine="420" w:firstLineChars="200"/>
        <w:rPr>
          <w:rFonts w:hint="eastAsia"/>
          <w:highlight w:val="none"/>
        </w:rPr>
      </w:pPr>
      <w:r>
        <w:rPr>
          <w:rFonts w:hint="eastAsia"/>
          <w:highlight w:val="none"/>
        </w:rPr>
        <w:t>1.1.1根据《中华人民共和国政府采购法》《中华人民共和国政府采购法实施条例》等有关法律、法规和规章的规定，本招标项目已具备招标条件，现对本项目</w:t>
      </w:r>
      <w:r>
        <w:rPr>
          <w:rFonts w:hint="eastAsia"/>
          <w:szCs w:val="21"/>
          <w:highlight w:val="none"/>
        </w:rPr>
        <w:t>采用资格后审方式</w:t>
      </w:r>
      <w:r>
        <w:rPr>
          <w:rFonts w:hint="eastAsia"/>
          <w:highlight w:val="none"/>
        </w:rPr>
        <w:t>进行招标。</w:t>
      </w:r>
    </w:p>
    <w:p w14:paraId="08594666">
      <w:pPr>
        <w:pageBreakBefore w:val="0"/>
        <w:kinsoku/>
        <w:wordWrap w:val="0"/>
        <w:overflowPunct/>
        <w:bidi w:val="0"/>
        <w:spacing w:line="300" w:lineRule="auto"/>
        <w:ind w:firstLine="420" w:firstLineChars="200"/>
        <w:rPr>
          <w:rFonts w:hint="eastAsia"/>
          <w:highlight w:val="none"/>
        </w:rPr>
      </w:pPr>
      <w:r>
        <w:rPr>
          <w:rFonts w:hint="eastAsia"/>
          <w:highlight w:val="none"/>
        </w:rPr>
        <w:t>1.1.2 本采购项目采购人：见投标人须知前附表。</w:t>
      </w:r>
    </w:p>
    <w:p w14:paraId="03034D10">
      <w:pPr>
        <w:pageBreakBefore w:val="0"/>
        <w:kinsoku/>
        <w:wordWrap w:val="0"/>
        <w:overflowPunct/>
        <w:bidi w:val="0"/>
        <w:spacing w:line="300" w:lineRule="auto"/>
        <w:ind w:firstLine="420" w:firstLineChars="200"/>
        <w:rPr>
          <w:rFonts w:hint="eastAsia"/>
          <w:highlight w:val="none"/>
        </w:rPr>
      </w:pPr>
      <w:r>
        <w:rPr>
          <w:rFonts w:hint="eastAsia"/>
          <w:highlight w:val="none"/>
        </w:rPr>
        <w:t>1.1.3 本采购项目招标代理机构：见投标人须知前附表。</w:t>
      </w:r>
    </w:p>
    <w:p w14:paraId="10AB54A6">
      <w:pPr>
        <w:pageBreakBefore w:val="0"/>
        <w:kinsoku/>
        <w:wordWrap w:val="0"/>
        <w:overflowPunct/>
        <w:bidi w:val="0"/>
        <w:spacing w:line="300" w:lineRule="auto"/>
        <w:ind w:firstLine="420" w:firstLineChars="200"/>
        <w:rPr>
          <w:rFonts w:hint="eastAsia"/>
          <w:highlight w:val="none"/>
        </w:rPr>
      </w:pPr>
      <w:r>
        <w:rPr>
          <w:rFonts w:hint="eastAsia"/>
          <w:highlight w:val="none"/>
        </w:rPr>
        <w:t>1.1.4 本采购项目名称：见投标人须知前附表。</w:t>
      </w:r>
    </w:p>
    <w:p w14:paraId="3A061D9C">
      <w:pPr>
        <w:pageBreakBefore w:val="0"/>
        <w:kinsoku/>
        <w:wordWrap w:val="0"/>
        <w:overflowPunct/>
        <w:bidi w:val="0"/>
        <w:spacing w:line="300" w:lineRule="auto"/>
        <w:ind w:firstLine="420" w:firstLineChars="200"/>
        <w:rPr>
          <w:rFonts w:hint="eastAsia"/>
          <w:highlight w:val="none"/>
        </w:rPr>
      </w:pPr>
      <w:r>
        <w:rPr>
          <w:rFonts w:hint="eastAsia"/>
          <w:highlight w:val="none"/>
        </w:rPr>
        <w:t>1.1.5 本采购项目供货地点：见投标人须知前附表。</w:t>
      </w:r>
    </w:p>
    <w:p w14:paraId="57EC3909">
      <w:pPr>
        <w:pageBreakBefore w:val="0"/>
        <w:kinsoku/>
        <w:wordWrap w:val="0"/>
        <w:overflowPunct/>
        <w:bidi w:val="0"/>
        <w:spacing w:line="300" w:lineRule="auto"/>
        <w:rPr>
          <w:rFonts w:hint="eastAsia"/>
          <w:b/>
          <w:highlight w:val="none"/>
        </w:rPr>
      </w:pPr>
      <w:bookmarkStart w:id="38" w:name="_Toc144974499"/>
      <w:bookmarkStart w:id="39" w:name="_Toc246996177"/>
      <w:bookmarkStart w:id="40" w:name="_Toc179632548"/>
      <w:bookmarkStart w:id="41" w:name="_Toc152042307"/>
      <w:bookmarkStart w:id="42" w:name="_Toc152045531"/>
      <w:bookmarkStart w:id="43" w:name="_Toc247085691"/>
      <w:bookmarkStart w:id="44" w:name="_Toc246996920"/>
      <w:r>
        <w:rPr>
          <w:rFonts w:hint="eastAsia"/>
          <w:b/>
          <w:highlight w:val="none"/>
        </w:rPr>
        <w:t>1.2 资金来源和落实情况</w:t>
      </w:r>
      <w:bookmarkEnd w:id="38"/>
      <w:bookmarkEnd w:id="39"/>
      <w:bookmarkEnd w:id="40"/>
      <w:bookmarkEnd w:id="41"/>
      <w:bookmarkEnd w:id="42"/>
      <w:bookmarkEnd w:id="43"/>
      <w:bookmarkEnd w:id="44"/>
    </w:p>
    <w:p w14:paraId="2ABA697A">
      <w:pPr>
        <w:pageBreakBefore w:val="0"/>
        <w:kinsoku/>
        <w:wordWrap w:val="0"/>
        <w:overflowPunct/>
        <w:bidi w:val="0"/>
        <w:spacing w:line="300" w:lineRule="auto"/>
        <w:ind w:firstLine="420" w:firstLineChars="200"/>
        <w:rPr>
          <w:rFonts w:hint="eastAsia"/>
          <w:highlight w:val="none"/>
        </w:rPr>
      </w:pPr>
      <w:r>
        <w:rPr>
          <w:rFonts w:hint="eastAsia"/>
          <w:highlight w:val="none"/>
        </w:rPr>
        <w:t>1.2.1 本采购项目的资金来源：见投标人须知前附表。</w:t>
      </w:r>
    </w:p>
    <w:p w14:paraId="65ECAE94">
      <w:pPr>
        <w:pageBreakBefore w:val="0"/>
        <w:kinsoku/>
        <w:wordWrap w:val="0"/>
        <w:overflowPunct/>
        <w:bidi w:val="0"/>
        <w:spacing w:line="300" w:lineRule="auto"/>
        <w:ind w:firstLine="420" w:firstLineChars="200"/>
        <w:rPr>
          <w:rFonts w:hint="eastAsia"/>
          <w:highlight w:val="none"/>
        </w:rPr>
      </w:pPr>
      <w:r>
        <w:rPr>
          <w:rFonts w:hint="eastAsia"/>
          <w:highlight w:val="none"/>
        </w:rPr>
        <w:t>1.2.2 本采购项目的资金落实情况：见投标人须知前附表。</w:t>
      </w:r>
    </w:p>
    <w:p w14:paraId="6C057926">
      <w:pPr>
        <w:pageBreakBefore w:val="0"/>
        <w:kinsoku/>
        <w:wordWrap w:val="0"/>
        <w:overflowPunct/>
        <w:bidi w:val="0"/>
        <w:spacing w:line="300" w:lineRule="auto"/>
        <w:rPr>
          <w:rFonts w:hint="eastAsia"/>
          <w:b/>
          <w:highlight w:val="none"/>
        </w:rPr>
      </w:pPr>
      <w:bookmarkStart w:id="45" w:name="_Toc152042308"/>
      <w:bookmarkStart w:id="46" w:name="_Toc152045532"/>
      <w:bookmarkStart w:id="47" w:name="_Toc246996921"/>
      <w:bookmarkStart w:id="48" w:name="_Toc179632549"/>
      <w:bookmarkStart w:id="49" w:name="_Toc144974500"/>
      <w:bookmarkStart w:id="50" w:name="_Toc246996178"/>
      <w:bookmarkStart w:id="51" w:name="_Toc247085692"/>
      <w:r>
        <w:rPr>
          <w:rFonts w:hint="eastAsia"/>
          <w:b/>
          <w:highlight w:val="none"/>
        </w:rPr>
        <w:t>1.3 采购需求、供货期、质量要求</w:t>
      </w:r>
      <w:bookmarkEnd w:id="45"/>
      <w:bookmarkEnd w:id="46"/>
      <w:bookmarkEnd w:id="47"/>
      <w:bookmarkEnd w:id="48"/>
      <w:bookmarkEnd w:id="49"/>
      <w:bookmarkEnd w:id="50"/>
      <w:bookmarkEnd w:id="51"/>
    </w:p>
    <w:p w14:paraId="0E383DA8">
      <w:pPr>
        <w:pageBreakBefore w:val="0"/>
        <w:kinsoku/>
        <w:wordWrap w:val="0"/>
        <w:overflowPunct/>
        <w:bidi w:val="0"/>
        <w:spacing w:line="300" w:lineRule="auto"/>
        <w:ind w:firstLine="420" w:firstLineChars="200"/>
        <w:rPr>
          <w:rFonts w:hint="eastAsia"/>
          <w:highlight w:val="none"/>
        </w:rPr>
      </w:pPr>
      <w:r>
        <w:rPr>
          <w:rFonts w:hint="eastAsia"/>
          <w:highlight w:val="none"/>
        </w:rPr>
        <w:t>1.3.1 本次采购需求：见投标人须知前附表。</w:t>
      </w:r>
    </w:p>
    <w:p w14:paraId="258F7AAA">
      <w:pPr>
        <w:pageBreakBefore w:val="0"/>
        <w:kinsoku/>
        <w:wordWrap w:val="0"/>
        <w:overflowPunct/>
        <w:bidi w:val="0"/>
        <w:spacing w:line="300" w:lineRule="auto"/>
        <w:ind w:firstLine="420" w:firstLineChars="200"/>
        <w:rPr>
          <w:rFonts w:hint="eastAsia"/>
          <w:highlight w:val="none"/>
        </w:rPr>
      </w:pPr>
      <w:r>
        <w:rPr>
          <w:rFonts w:hint="eastAsia"/>
          <w:highlight w:val="none"/>
        </w:rPr>
        <w:t>1.3.2 本采购项目的供货期：见投标人须知前附表。</w:t>
      </w:r>
    </w:p>
    <w:p w14:paraId="1BEC1F58">
      <w:pPr>
        <w:pageBreakBefore w:val="0"/>
        <w:kinsoku/>
        <w:wordWrap w:val="0"/>
        <w:overflowPunct/>
        <w:bidi w:val="0"/>
        <w:spacing w:line="300" w:lineRule="auto"/>
        <w:ind w:firstLine="420" w:firstLineChars="200"/>
        <w:rPr>
          <w:rFonts w:hint="eastAsia"/>
          <w:highlight w:val="none"/>
        </w:rPr>
      </w:pPr>
      <w:r>
        <w:rPr>
          <w:rFonts w:hint="eastAsia"/>
          <w:highlight w:val="none"/>
        </w:rPr>
        <w:t>1.3.3 本采购项目的质量要求：见投标人须知前附表。</w:t>
      </w:r>
    </w:p>
    <w:p w14:paraId="6F623CC0">
      <w:pPr>
        <w:pageBreakBefore w:val="0"/>
        <w:kinsoku/>
        <w:wordWrap w:val="0"/>
        <w:overflowPunct/>
        <w:bidi w:val="0"/>
        <w:spacing w:line="300" w:lineRule="auto"/>
        <w:rPr>
          <w:rFonts w:hint="eastAsia"/>
          <w:b/>
          <w:highlight w:val="none"/>
        </w:rPr>
      </w:pPr>
      <w:bookmarkStart w:id="52" w:name="_Toc246996179"/>
      <w:bookmarkStart w:id="53" w:name="_Toc246996922"/>
      <w:bookmarkStart w:id="54" w:name="_Toc144974502"/>
      <w:bookmarkStart w:id="55" w:name="_Toc179632551"/>
      <w:bookmarkStart w:id="56" w:name="_Toc152042310"/>
      <w:bookmarkStart w:id="57" w:name="_Toc152045534"/>
      <w:bookmarkStart w:id="58" w:name="_Toc247085693"/>
      <w:r>
        <w:rPr>
          <w:rFonts w:hint="eastAsia"/>
          <w:b/>
          <w:highlight w:val="none"/>
        </w:rPr>
        <w:t>1.4 投标人资格要求</w:t>
      </w:r>
      <w:bookmarkEnd w:id="52"/>
      <w:bookmarkEnd w:id="53"/>
      <w:bookmarkEnd w:id="54"/>
      <w:bookmarkEnd w:id="55"/>
      <w:bookmarkEnd w:id="56"/>
      <w:bookmarkEnd w:id="57"/>
      <w:bookmarkEnd w:id="58"/>
    </w:p>
    <w:p w14:paraId="22C51E12">
      <w:pPr>
        <w:pageBreakBefore w:val="0"/>
        <w:kinsoku/>
        <w:wordWrap w:val="0"/>
        <w:overflowPunct/>
        <w:bidi w:val="0"/>
        <w:spacing w:line="300" w:lineRule="auto"/>
        <w:ind w:firstLine="359" w:firstLineChars="171"/>
        <w:rPr>
          <w:rFonts w:hint="eastAsia"/>
          <w:highlight w:val="none"/>
        </w:rPr>
      </w:pPr>
      <w:r>
        <w:rPr>
          <w:rFonts w:hint="eastAsia"/>
          <w:highlight w:val="none"/>
        </w:rPr>
        <w:t>1.4.1 投标人应具备承担本项目的资质条件、能力和信誉。</w:t>
      </w:r>
    </w:p>
    <w:p w14:paraId="108F1C14">
      <w:pPr>
        <w:pageBreakBefore w:val="0"/>
        <w:kinsoku/>
        <w:wordWrap w:val="0"/>
        <w:overflowPunct/>
        <w:bidi w:val="0"/>
        <w:spacing w:line="300" w:lineRule="auto"/>
        <w:ind w:firstLine="359" w:firstLineChars="171"/>
        <w:rPr>
          <w:rFonts w:hint="eastAsia"/>
          <w:highlight w:val="none"/>
        </w:rPr>
      </w:pPr>
      <w:r>
        <w:rPr>
          <w:rFonts w:hint="eastAsia"/>
          <w:highlight w:val="none"/>
        </w:rPr>
        <w:t>（1）资质条件：见投标人须知前附表；</w:t>
      </w:r>
    </w:p>
    <w:p w14:paraId="684B0A9D">
      <w:pPr>
        <w:pageBreakBefore w:val="0"/>
        <w:kinsoku/>
        <w:wordWrap w:val="0"/>
        <w:overflowPunct/>
        <w:bidi w:val="0"/>
        <w:spacing w:line="300" w:lineRule="auto"/>
        <w:ind w:firstLine="359" w:firstLineChars="171"/>
        <w:rPr>
          <w:rFonts w:hint="eastAsia"/>
          <w:highlight w:val="none"/>
        </w:rPr>
      </w:pPr>
      <w:r>
        <w:rPr>
          <w:rFonts w:hint="eastAsia"/>
          <w:highlight w:val="none"/>
        </w:rPr>
        <w:t>（2）财务要求：见投标人须知前附表；</w:t>
      </w:r>
    </w:p>
    <w:p w14:paraId="755E969E">
      <w:pPr>
        <w:pageBreakBefore w:val="0"/>
        <w:kinsoku/>
        <w:wordWrap w:val="0"/>
        <w:overflowPunct/>
        <w:bidi w:val="0"/>
        <w:spacing w:line="300" w:lineRule="auto"/>
        <w:ind w:firstLine="359" w:firstLineChars="171"/>
        <w:rPr>
          <w:rFonts w:hint="eastAsia"/>
          <w:highlight w:val="none"/>
        </w:rPr>
      </w:pPr>
      <w:r>
        <w:rPr>
          <w:rFonts w:hint="eastAsia"/>
          <w:highlight w:val="none"/>
        </w:rPr>
        <w:t>（3）业绩要求：见投标人须知前附表；</w:t>
      </w:r>
    </w:p>
    <w:p w14:paraId="42445B15">
      <w:pPr>
        <w:pageBreakBefore w:val="0"/>
        <w:kinsoku/>
        <w:wordWrap w:val="0"/>
        <w:overflowPunct/>
        <w:bidi w:val="0"/>
        <w:spacing w:line="300" w:lineRule="auto"/>
        <w:ind w:firstLine="359" w:firstLineChars="171"/>
        <w:rPr>
          <w:rFonts w:hint="eastAsia"/>
          <w:highlight w:val="none"/>
        </w:rPr>
      </w:pPr>
      <w:r>
        <w:rPr>
          <w:rFonts w:hint="eastAsia"/>
          <w:highlight w:val="none"/>
        </w:rPr>
        <w:t>（4）其他要求：见投标人须知前附表。</w:t>
      </w:r>
    </w:p>
    <w:p w14:paraId="46D661DE">
      <w:pPr>
        <w:pageBreakBefore w:val="0"/>
        <w:kinsoku/>
        <w:wordWrap w:val="0"/>
        <w:overflowPunct/>
        <w:bidi w:val="0"/>
        <w:spacing w:line="300" w:lineRule="auto"/>
        <w:ind w:firstLine="359" w:firstLineChars="171"/>
        <w:rPr>
          <w:rFonts w:hint="eastAsia"/>
          <w:highlight w:val="none"/>
        </w:rPr>
      </w:pPr>
      <w:r>
        <w:rPr>
          <w:rFonts w:hint="eastAsia"/>
          <w:highlight w:val="none"/>
        </w:rPr>
        <w:t>1.4.2 投标人不得存在下列情形之一：</w:t>
      </w:r>
    </w:p>
    <w:p w14:paraId="51AFE584">
      <w:pPr>
        <w:pageBreakBefore w:val="0"/>
        <w:kinsoku/>
        <w:wordWrap w:val="0"/>
        <w:overflowPunct/>
        <w:bidi w:val="0"/>
        <w:spacing w:line="300" w:lineRule="auto"/>
        <w:ind w:firstLine="359" w:firstLineChars="171"/>
        <w:rPr>
          <w:rFonts w:hint="eastAsia"/>
          <w:highlight w:val="none"/>
        </w:rPr>
      </w:pPr>
      <w:r>
        <w:rPr>
          <w:rFonts w:hint="eastAsia"/>
          <w:highlight w:val="none"/>
        </w:rPr>
        <w:t>（1）为采购人不具有独立法人资格的附属机构（单位）；</w:t>
      </w:r>
    </w:p>
    <w:p w14:paraId="120BCA56">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（2）为本采购项目前期准备提供设计或咨询服务的； </w:t>
      </w:r>
    </w:p>
    <w:p w14:paraId="4C6DD377">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（3）为本采购项目提供招标代理服务的； </w:t>
      </w:r>
    </w:p>
    <w:p w14:paraId="1E677919">
      <w:pPr>
        <w:pageBreakBefore w:val="0"/>
        <w:kinsoku/>
        <w:wordWrap w:val="0"/>
        <w:overflowPunct/>
        <w:bidi w:val="0"/>
        <w:spacing w:line="300" w:lineRule="auto"/>
        <w:ind w:firstLine="359" w:firstLineChars="171"/>
        <w:rPr>
          <w:rFonts w:hint="eastAsia"/>
          <w:highlight w:val="none"/>
        </w:rPr>
      </w:pPr>
      <w:r>
        <w:rPr>
          <w:rFonts w:hint="eastAsia"/>
          <w:highlight w:val="none"/>
        </w:rPr>
        <w:t>（4）与本采购项目的招标代理机构同为一个法定代表人的；</w:t>
      </w:r>
    </w:p>
    <w:p w14:paraId="141D4FFB">
      <w:pPr>
        <w:pageBreakBefore w:val="0"/>
        <w:kinsoku/>
        <w:wordWrap w:val="0"/>
        <w:overflowPunct/>
        <w:bidi w:val="0"/>
        <w:spacing w:line="300" w:lineRule="auto"/>
        <w:ind w:firstLine="359" w:firstLineChars="171"/>
        <w:rPr>
          <w:rFonts w:hint="eastAsia"/>
          <w:highlight w:val="none"/>
        </w:rPr>
      </w:pPr>
      <w:r>
        <w:rPr>
          <w:rFonts w:hint="eastAsia"/>
          <w:highlight w:val="none"/>
        </w:rPr>
        <w:t>（5）与本采购项目的招标代理机构相互控股或参股的；</w:t>
      </w:r>
    </w:p>
    <w:p w14:paraId="4A2C71E7">
      <w:pPr>
        <w:pageBreakBefore w:val="0"/>
        <w:kinsoku/>
        <w:wordWrap w:val="0"/>
        <w:overflowPunct/>
        <w:bidi w:val="0"/>
        <w:spacing w:line="300" w:lineRule="auto"/>
        <w:ind w:firstLine="359" w:firstLineChars="171"/>
        <w:rPr>
          <w:rFonts w:hint="eastAsia"/>
          <w:highlight w:val="none"/>
        </w:rPr>
      </w:pPr>
      <w:r>
        <w:rPr>
          <w:rFonts w:hint="eastAsia"/>
          <w:highlight w:val="none"/>
        </w:rPr>
        <w:t>（6）与本采购项目的招标代理机构相互任职或工作的；</w:t>
      </w:r>
    </w:p>
    <w:p w14:paraId="4EAA01CE">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（7）被责令停业的； </w:t>
      </w:r>
    </w:p>
    <w:p w14:paraId="64F3773C">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（8）被暂停或取消投标资格的； </w:t>
      </w:r>
    </w:p>
    <w:p w14:paraId="3914EDA2">
      <w:pPr>
        <w:pageBreakBefore w:val="0"/>
        <w:kinsoku/>
        <w:wordWrap w:val="0"/>
        <w:overflowPunct/>
        <w:bidi w:val="0"/>
        <w:spacing w:line="300" w:lineRule="auto"/>
        <w:ind w:firstLine="359" w:firstLineChars="171"/>
        <w:rPr>
          <w:rFonts w:hint="eastAsia"/>
          <w:highlight w:val="none"/>
        </w:rPr>
      </w:pPr>
      <w:r>
        <w:rPr>
          <w:rFonts w:hint="eastAsia"/>
          <w:highlight w:val="none"/>
        </w:rPr>
        <w:t>（9）财产被接管或冻结的；</w:t>
      </w:r>
    </w:p>
    <w:p w14:paraId="22135051">
      <w:pPr>
        <w:pageBreakBefore w:val="0"/>
        <w:kinsoku/>
        <w:wordWrap w:val="0"/>
        <w:overflowPunct/>
        <w:bidi w:val="0"/>
        <w:spacing w:line="300" w:lineRule="auto"/>
        <w:ind w:firstLine="359" w:firstLineChars="171"/>
        <w:rPr>
          <w:rFonts w:hint="eastAsia"/>
          <w:highlight w:val="none"/>
        </w:rPr>
      </w:pPr>
      <w:r>
        <w:rPr>
          <w:rFonts w:hint="eastAsia"/>
          <w:highlight w:val="none"/>
        </w:rPr>
        <w:t>（10）在最近三年内有骗取中标或严重违约或重大工程质量问题的。</w:t>
      </w:r>
    </w:p>
    <w:p w14:paraId="5D1EC543">
      <w:pPr>
        <w:pageBreakBefore w:val="0"/>
        <w:kinsoku/>
        <w:wordWrap w:val="0"/>
        <w:overflowPunct/>
        <w:bidi w:val="0"/>
        <w:spacing w:line="300" w:lineRule="auto"/>
        <w:ind w:firstLine="420" w:firstLineChars="200"/>
        <w:rPr>
          <w:rFonts w:hint="eastAsia"/>
          <w:highlight w:val="none"/>
        </w:rPr>
      </w:pPr>
      <w:r>
        <w:rPr>
          <w:rFonts w:hint="eastAsia"/>
          <w:highlight w:val="none"/>
        </w:rPr>
        <w:t>1.4.3 单位负责人为同一人或者存在控股、管理关系的不同单位，不得同时参加本招标项目投标。</w:t>
      </w:r>
    </w:p>
    <w:p w14:paraId="254EE1C1">
      <w:pPr>
        <w:pageBreakBefore w:val="0"/>
        <w:kinsoku/>
        <w:wordWrap w:val="0"/>
        <w:overflowPunct/>
        <w:bidi w:val="0"/>
        <w:spacing w:line="300" w:lineRule="auto"/>
        <w:rPr>
          <w:rFonts w:hint="eastAsia"/>
          <w:b/>
          <w:highlight w:val="none"/>
        </w:rPr>
      </w:pPr>
      <w:bookmarkStart w:id="59" w:name="_Toc144974503"/>
      <w:bookmarkStart w:id="60" w:name="_Toc246996923"/>
      <w:bookmarkStart w:id="61" w:name="_Toc179632552"/>
      <w:bookmarkStart w:id="62" w:name="_Toc152042311"/>
      <w:bookmarkStart w:id="63" w:name="_Toc152045535"/>
      <w:bookmarkStart w:id="64" w:name="_Toc246996180"/>
      <w:bookmarkStart w:id="65" w:name="_Toc247085694"/>
      <w:r>
        <w:rPr>
          <w:rFonts w:hint="eastAsia"/>
          <w:b/>
          <w:highlight w:val="none"/>
        </w:rPr>
        <w:t>1.5 费用承担</w:t>
      </w:r>
      <w:bookmarkEnd w:id="59"/>
      <w:bookmarkEnd w:id="60"/>
      <w:bookmarkEnd w:id="61"/>
      <w:bookmarkEnd w:id="62"/>
      <w:bookmarkEnd w:id="63"/>
      <w:bookmarkEnd w:id="64"/>
      <w:bookmarkEnd w:id="65"/>
    </w:p>
    <w:p w14:paraId="40A9D083">
      <w:pPr>
        <w:pageBreakBefore w:val="0"/>
        <w:kinsoku/>
        <w:wordWrap w:val="0"/>
        <w:overflowPunct/>
        <w:bidi w:val="0"/>
        <w:spacing w:line="300" w:lineRule="auto"/>
        <w:ind w:firstLine="420" w:firstLineChars="200"/>
        <w:rPr>
          <w:rFonts w:hint="eastAsia"/>
          <w:highlight w:val="none"/>
        </w:rPr>
      </w:pPr>
      <w:r>
        <w:rPr>
          <w:rFonts w:hint="eastAsia"/>
          <w:highlight w:val="none"/>
        </w:rPr>
        <w:t>投标人准备和参加投标活动发生的费用自理。</w:t>
      </w:r>
    </w:p>
    <w:p w14:paraId="5CC999D8">
      <w:pPr>
        <w:pageBreakBefore w:val="0"/>
        <w:kinsoku/>
        <w:wordWrap w:val="0"/>
        <w:overflowPunct/>
        <w:bidi w:val="0"/>
        <w:spacing w:line="300" w:lineRule="auto"/>
        <w:rPr>
          <w:rFonts w:hint="eastAsia"/>
          <w:b/>
          <w:highlight w:val="none"/>
        </w:rPr>
      </w:pPr>
      <w:bookmarkStart w:id="66" w:name="_Toc179632553"/>
      <w:bookmarkStart w:id="67" w:name="_Toc247085695"/>
      <w:bookmarkStart w:id="68" w:name="_Toc246996181"/>
      <w:bookmarkStart w:id="69" w:name="_Toc246996924"/>
      <w:bookmarkStart w:id="70" w:name="_Toc152045536"/>
      <w:bookmarkStart w:id="71" w:name="_Toc152042312"/>
      <w:bookmarkStart w:id="72" w:name="_Toc144974504"/>
      <w:r>
        <w:rPr>
          <w:rFonts w:hint="eastAsia"/>
          <w:b/>
          <w:highlight w:val="none"/>
        </w:rPr>
        <w:t>1.6 保密</w:t>
      </w:r>
      <w:bookmarkEnd w:id="66"/>
      <w:bookmarkEnd w:id="67"/>
      <w:bookmarkEnd w:id="68"/>
      <w:bookmarkEnd w:id="69"/>
      <w:bookmarkEnd w:id="70"/>
      <w:bookmarkEnd w:id="71"/>
      <w:bookmarkEnd w:id="72"/>
    </w:p>
    <w:p w14:paraId="5BD3C7EC">
      <w:pPr>
        <w:pageBreakBefore w:val="0"/>
        <w:kinsoku/>
        <w:wordWrap w:val="0"/>
        <w:overflowPunct/>
        <w:bidi w:val="0"/>
        <w:spacing w:line="300" w:lineRule="auto"/>
        <w:ind w:firstLine="420" w:firstLineChars="200"/>
        <w:rPr>
          <w:rFonts w:hint="eastAsia"/>
          <w:highlight w:val="none"/>
        </w:rPr>
      </w:pPr>
      <w:r>
        <w:rPr>
          <w:rFonts w:hint="eastAsia"/>
          <w:highlight w:val="none"/>
        </w:rPr>
        <w:t xml:space="preserve">参与招标投标活动的各方应对招标文件和投标文件中的商业和技术等秘密保密，违者应对由此造成的后果承担法律责任。 </w:t>
      </w:r>
    </w:p>
    <w:p w14:paraId="504D1423">
      <w:pPr>
        <w:pageBreakBefore w:val="0"/>
        <w:kinsoku/>
        <w:wordWrap w:val="0"/>
        <w:overflowPunct/>
        <w:bidi w:val="0"/>
        <w:spacing w:line="300" w:lineRule="auto"/>
        <w:rPr>
          <w:rFonts w:hint="eastAsia"/>
          <w:b/>
          <w:highlight w:val="none"/>
        </w:rPr>
      </w:pPr>
      <w:bookmarkStart w:id="73" w:name="_Toc144974505"/>
      <w:bookmarkStart w:id="74" w:name="_Toc179632554"/>
      <w:bookmarkStart w:id="75" w:name="_Toc246996182"/>
      <w:bookmarkStart w:id="76" w:name="_Toc246996925"/>
      <w:bookmarkStart w:id="77" w:name="_Toc152045537"/>
      <w:bookmarkStart w:id="78" w:name="_Toc247085696"/>
      <w:bookmarkStart w:id="79" w:name="_Toc152042313"/>
      <w:r>
        <w:rPr>
          <w:rFonts w:hint="eastAsia"/>
          <w:b/>
          <w:highlight w:val="none"/>
        </w:rPr>
        <w:t>1.7 语言</w:t>
      </w:r>
      <w:bookmarkEnd w:id="73"/>
      <w:r>
        <w:rPr>
          <w:rFonts w:hint="eastAsia"/>
          <w:b/>
          <w:highlight w:val="none"/>
        </w:rPr>
        <w:t>文字</w:t>
      </w:r>
      <w:bookmarkEnd w:id="74"/>
      <w:bookmarkEnd w:id="75"/>
      <w:bookmarkEnd w:id="76"/>
      <w:bookmarkEnd w:id="77"/>
      <w:bookmarkEnd w:id="78"/>
      <w:bookmarkEnd w:id="79"/>
    </w:p>
    <w:p w14:paraId="7784BAEA">
      <w:pPr>
        <w:pageBreakBefore w:val="0"/>
        <w:kinsoku/>
        <w:wordWrap w:val="0"/>
        <w:overflowPunct/>
        <w:bidi w:val="0"/>
        <w:spacing w:line="300" w:lineRule="auto"/>
        <w:ind w:firstLine="420" w:firstLineChars="200"/>
        <w:rPr>
          <w:highlight w:val="none"/>
        </w:rPr>
      </w:pPr>
      <w:bookmarkStart w:id="80" w:name="_Toc246996926"/>
      <w:bookmarkStart w:id="81" w:name="_Toc152045538"/>
      <w:bookmarkStart w:id="82" w:name="_Toc144974506"/>
      <w:bookmarkStart w:id="83" w:name="_Toc247085697"/>
      <w:bookmarkStart w:id="84" w:name="_Toc179632555"/>
      <w:bookmarkStart w:id="85" w:name="_Toc246996183"/>
      <w:bookmarkStart w:id="86" w:name="_Toc152042314"/>
      <w:r>
        <w:rPr>
          <w:rFonts w:hint="eastAsia"/>
          <w:highlight w:val="none"/>
        </w:rPr>
        <w:t>招标投标文件使用的语言文字为中文。专用术语使用外文的，应附有中文注释。</w:t>
      </w:r>
    </w:p>
    <w:p w14:paraId="05A78B18">
      <w:pPr>
        <w:pageBreakBefore w:val="0"/>
        <w:kinsoku/>
        <w:wordWrap w:val="0"/>
        <w:overflowPunct/>
        <w:bidi w:val="0"/>
        <w:spacing w:line="300" w:lineRule="auto"/>
        <w:rPr>
          <w:rFonts w:hint="eastAsia"/>
          <w:b/>
          <w:highlight w:val="none"/>
        </w:rPr>
      </w:pPr>
      <w:r>
        <w:rPr>
          <w:rFonts w:hint="eastAsia"/>
          <w:b/>
          <w:highlight w:val="none"/>
        </w:rPr>
        <w:t>1.8 计量单位</w:t>
      </w:r>
      <w:bookmarkEnd w:id="80"/>
      <w:bookmarkEnd w:id="81"/>
      <w:bookmarkEnd w:id="82"/>
      <w:bookmarkEnd w:id="83"/>
      <w:bookmarkEnd w:id="84"/>
      <w:bookmarkEnd w:id="85"/>
      <w:bookmarkEnd w:id="86"/>
    </w:p>
    <w:p w14:paraId="2D7DFDC0">
      <w:pPr>
        <w:pageBreakBefore w:val="0"/>
        <w:kinsoku/>
        <w:wordWrap w:val="0"/>
        <w:overflowPunct/>
        <w:bidi w:val="0"/>
        <w:spacing w:line="300" w:lineRule="auto"/>
        <w:ind w:firstLine="420" w:firstLineChars="200"/>
        <w:rPr>
          <w:rFonts w:hint="eastAsia"/>
          <w:highlight w:val="none"/>
        </w:rPr>
      </w:pPr>
      <w:r>
        <w:rPr>
          <w:rFonts w:hint="eastAsia"/>
          <w:highlight w:val="none"/>
        </w:rPr>
        <w:t>所有计量均采用中华人民共和国法定计量单位。</w:t>
      </w:r>
    </w:p>
    <w:p w14:paraId="09BD2E07">
      <w:pPr>
        <w:pageBreakBefore w:val="0"/>
        <w:kinsoku/>
        <w:wordWrap w:val="0"/>
        <w:overflowPunct/>
        <w:bidi w:val="0"/>
        <w:spacing w:line="300" w:lineRule="auto"/>
        <w:rPr>
          <w:rFonts w:hint="eastAsia"/>
          <w:b/>
          <w:highlight w:val="none"/>
        </w:rPr>
      </w:pPr>
      <w:bookmarkStart w:id="87" w:name="_Toc247527564"/>
      <w:bookmarkStart w:id="88" w:name="_Toc152045540"/>
      <w:bookmarkStart w:id="89" w:name="_Toc247592877"/>
      <w:bookmarkStart w:id="90" w:name="_Toc152042316"/>
      <w:bookmarkStart w:id="91" w:name="_Toc144974508"/>
      <w:bookmarkStart w:id="92" w:name="_Toc247513963"/>
      <w:r>
        <w:rPr>
          <w:rFonts w:hint="eastAsia"/>
          <w:b/>
          <w:highlight w:val="none"/>
        </w:rPr>
        <w:t>1.9 投标预备会</w:t>
      </w:r>
      <w:bookmarkEnd w:id="87"/>
      <w:bookmarkEnd w:id="88"/>
      <w:bookmarkEnd w:id="89"/>
      <w:bookmarkEnd w:id="90"/>
      <w:bookmarkEnd w:id="91"/>
      <w:bookmarkEnd w:id="92"/>
    </w:p>
    <w:p w14:paraId="4553714B">
      <w:pPr>
        <w:pageBreakBefore w:val="0"/>
        <w:kinsoku/>
        <w:wordWrap w:val="0"/>
        <w:overflowPunct/>
        <w:bidi w:val="0"/>
        <w:spacing w:line="300" w:lineRule="auto"/>
        <w:ind w:firstLine="420" w:firstLineChars="200"/>
        <w:rPr>
          <w:rFonts w:hint="eastAsia"/>
          <w:highlight w:val="none"/>
        </w:rPr>
      </w:pPr>
      <w:r>
        <w:rPr>
          <w:rFonts w:hint="eastAsia"/>
          <w:highlight w:val="none"/>
        </w:rPr>
        <w:t>1.9.1 投标人须知前附表规定召开投标预备会的，采购人按投标人须知前附表规定的时间和地点召开投标预备会，澄清投标人提出的问题。</w:t>
      </w:r>
    </w:p>
    <w:p w14:paraId="31006C16">
      <w:pPr>
        <w:pageBreakBefore w:val="0"/>
        <w:kinsoku/>
        <w:wordWrap w:val="0"/>
        <w:overflowPunct/>
        <w:bidi w:val="0"/>
        <w:spacing w:line="300" w:lineRule="auto"/>
        <w:ind w:firstLine="420" w:firstLineChars="200"/>
        <w:rPr>
          <w:rFonts w:hint="eastAsia"/>
          <w:highlight w:val="none"/>
        </w:rPr>
      </w:pPr>
      <w:r>
        <w:rPr>
          <w:rFonts w:hint="eastAsia"/>
          <w:highlight w:val="none"/>
        </w:rPr>
        <w:t>1.9.2 投标人应在投标人须知前附表规定的时间前，以书面形式将提出的问题送达采购人，以便采购人在会议期间澄清。</w:t>
      </w:r>
    </w:p>
    <w:p w14:paraId="49D87C50">
      <w:pPr>
        <w:pageBreakBefore w:val="0"/>
        <w:kinsoku/>
        <w:wordWrap w:val="0"/>
        <w:overflowPunct/>
        <w:bidi w:val="0"/>
        <w:spacing w:line="300" w:lineRule="auto"/>
        <w:ind w:firstLine="420" w:firstLineChars="200"/>
        <w:rPr>
          <w:rFonts w:hint="eastAsia"/>
          <w:highlight w:val="none"/>
        </w:rPr>
      </w:pPr>
      <w:r>
        <w:rPr>
          <w:rFonts w:hint="eastAsia"/>
          <w:highlight w:val="none"/>
        </w:rPr>
        <w:t>1.9.3 投标预备会后，采购人在投标人须知前附表规定的时间内，将对投标人所提问题的澄清，以书面形式通知所有购买招标文件的投标人。该澄清内容为招标文件的组成部分。</w:t>
      </w:r>
    </w:p>
    <w:p w14:paraId="1C18B838">
      <w:pPr>
        <w:pageBreakBefore w:val="0"/>
        <w:kinsoku/>
        <w:wordWrap w:val="0"/>
        <w:overflowPunct/>
        <w:bidi w:val="0"/>
        <w:spacing w:line="300" w:lineRule="auto"/>
        <w:rPr>
          <w:rFonts w:hint="eastAsia"/>
          <w:b/>
          <w:highlight w:val="none"/>
        </w:rPr>
      </w:pPr>
      <w:r>
        <w:rPr>
          <w:rFonts w:hint="eastAsia"/>
          <w:b/>
          <w:highlight w:val="none"/>
        </w:rPr>
        <w:t>1.10 偏离</w:t>
      </w:r>
    </w:p>
    <w:p w14:paraId="7ED8092A">
      <w:pPr>
        <w:pageBreakBefore w:val="0"/>
        <w:kinsoku/>
        <w:wordWrap w:val="0"/>
        <w:overflowPunct/>
        <w:bidi w:val="0"/>
        <w:spacing w:line="300" w:lineRule="auto"/>
        <w:ind w:firstLine="420" w:firstLineChars="200"/>
        <w:rPr>
          <w:rFonts w:hint="eastAsia"/>
          <w:highlight w:val="none"/>
        </w:rPr>
      </w:pPr>
      <w:r>
        <w:rPr>
          <w:rFonts w:hint="eastAsia" w:ascii="宋体"/>
          <w:szCs w:val="21"/>
          <w:highlight w:val="none"/>
        </w:rPr>
        <w:t>见投标须知前附表</w:t>
      </w:r>
      <w:r>
        <w:rPr>
          <w:rFonts w:hint="eastAsia"/>
          <w:highlight w:val="none"/>
        </w:rPr>
        <w:t>。</w:t>
      </w:r>
    </w:p>
    <w:p w14:paraId="43C45D5C">
      <w:pPr>
        <w:pageBreakBefore w:val="0"/>
        <w:kinsoku/>
        <w:wordWrap w:val="0"/>
        <w:overflowPunct/>
        <w:bidi w:val="0"/>
        <w:spacing w:line="300" w:lineRule="auto"/>
        <w:rPr>
          <w:rFonts w:hint="eastAsia"/>
          <w:b/>
          <w:highlight w:val="none"/>
        </w:rPr>
      </w:pPr>
      <w:r>
        <w:rPr>
          <w:rFonts w:hint="eastAsia"/>
          <w:b/>
          <w:highlight w:val="none"/>
        </w:rPr>
        <w:t>1.11 分包</w:t>
      </w:r>
    </w:p>
    <w:p w14:paraId="13760DB0">
      <w:pPr>
        <w:pageBreakBefore w:val="0"/>
        <w:kinsoku/>
        <w:wordWrap w:val="0"/>
        <w:overflowPunct/>
        <w:bidi w:val="0"/>
        <w:spacing w:line="300" w:lineRule="auto"/>
        <w:ind w:firstLine="420" w:firstLineChars="200"/>
        <w:rPr>
          <w:rFonts w:hint="eastAsia"/>
          <w:highlight w:val="none"/>
        </w:rPr>
      </w:pPr>
      <w:r>
        <w:rPr>
          <w:rFonts w:hint="eastAsia"/>
          <w:highlight w:val="none"/>
        </w:rPr>
        <w:t>未经采购人同意不允许分包。</w:t>
      </w:r>
    </w:p>
    <w:p w14:paraId="50ABCAE6">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93" w:name="_Toc468267456"/>
      <w:bookmarkStart w:id="94" w:name="_Toc409424375"/>
      <w:bookmarkStart w:id="95" w:name="_Toc246996187"/>
      <w:bookmarkStart w:id="96" w:name="_Toc179632560"/>
      <w:bookmarkStart w:id="97" w:name="_Toc144974510"/>
      <w:bookmarkStart w:id="98" w:name="_Toc246996930"/>
      <w:bookmarkStart w:id="99" w:name="_Toc152045542"/>
      <w:bookmarkStart w:id="100" w:name="_Toc409424314"/>
      <w:bookmarkStart w:id="101" w:name="_Toc152042318"/>
      <w:bookmarkStart w:id="102" w:name="_Toc247085701"/>
      <w:r>
        <w:rPr>
          <w:rFonts w:hint="eastAsia" w:ascii="Arial" w:hAnsi="Arial" w:eastAsia="黑体"/>
          <w:b/>
          <w:bCs/>
          <w:sz w:val="32"/>
          <w:szCs w:val="32"/>
          <w:highlight w:val="none"/>
        </w:rPr>
        <w:t>2. 招标文件</w:t>
      </w:r>
      <w:bookmarkEnd w:id="93"/>
      <w:bookmarkEnd w:id="94"/>
      <w:bookmarkEnd w:id="95"/>
      <w:bookmarkEnd w:id="96"/>
      <w:bookmarkEnd w:id="97"/>
      <w:bookmarkEnd w:id="98"/>
      <w:bookmarkEnd w:id="99"/>
      <w:bookmarkEnd w:id="100"/>
      <w:bookmarkEnd w:id="101"/>
      <w:bookmarkEnd w:id="102"/>
    </w:p>
    <w:p w14:paraId="4C1FF0CC">
      <w:pPr>
        <w:pageBreakBefore w:val="0"/>
        <w:kinsoku/>
        <w:wordWrap w:val="0"/>
        <w:overflowPunct/>
        <w:bidi w:val="0"/>
        <w:spacing w:line="300" w:lineRule="auto"/>
        <w:rPr>
          <w:rFonts w:hint="eastAsia"/>
          <w:b/>
          <w:highlight w:val="none"/>
        </w:rPr>
      </w:pPr>
      <w:bookmarkStart w:id="103" w:name="_Toc247085702"/>
      <w:bookmarkStart w:id="104" w:name="_Toc246996931"/>
      <w:bookmarkStart w:id="105" w:name="_Toc144974511"/>
      <w:bookmarkStart w:id="106" w:name="_Toc179632561"/>
      <w:bookmarkStart w:id="107" w:name="_Toc246996188"/>
      <w:bookmarkStart w:id="108" w:name="_Toc152045543"/>
      <w:bookmarkStart w:id="109" w:name="_Toc152042319"/>
      <w:r>
        <w:rPr>
          <w:rFonts w:hint="eastAsia"/>
          <w:b/>
          <w:highlight w:val="none"/>
        </w:rPr>
        <w:t>2.1 招标文件的组成</w:t>
      </w:r>
      <w:bookmarkEnd w:id="103"/>
      <w:bookmarkEnd w:id="104"/>
      <w:bookmarkEnd w:id="105"/>
      <w:bookmarkEnd w:id="106"/>
      <w:bookmarkEnd w:id="107"/>
      <w:bookmarkEnd w:id="108"/>
      <w:bookmarkEnd w:id="109"/>
    </w:p>
    <w:p w14:paraId="67C8810D">
      <w:pPr>
        <w:pageBreakBefore w:val="0"/>
        <w:kinsoku/>
        <w:wordWrap w:val="0"/>
        <w:overflowPunct/>
        <w:bidi w:val="0"/>
        <w:spacing w:line="300" w:lineRule="auto"/>
        <w:rPr>
          <w:rFonts w:hint="eastAsia"/>
          <w:highlight w:val="none"/>
        </w:rPr>
      </w:pPr>
      <w:r>
        <w:rPr>
          <w:rFonts w:hint="eastAsia"/>
          <w:highlight w:val="none"/>
        </w:rPr>
        <w:t>　　2.1.1 本招标文件包括：</w:t>
      </w:r>
    </w:p>
    <w:p w14:paraId="63DB5738">
      <w:pPr>
        <w:pageBreakBefore w:val="0"/>
        <w:kinsoku/>
        <w:wordWrap w:val="0"/>
        <w:overflowPunct/>
        <w:bidi w:val="0"/>
        <w:spacing w:line="300" w:lineRule="auto"/>
        <w:ind w:firstLine="359" w:firstLineChars="171"/>
        <w:rPr>
          <w:rFonts w:hint="eastAsia"/>
          <w:highlight w:val="none"/>
        </w:rPr>
      </w:pPr>
      <w:r>
        <w:rPr>
          <w:rFonts w:hint="eastAsia"/>
          <w:highlight w:val="none"/>
        </w:rPr>
        <w:t>（1）招标公告；</w:t>
      </w:r>
    </w:p>
    <w:p w14:paraId="330346D9">
      <w:pPr>
        <w:pageBreakBefore w:val="0"/>
        <w:kinsoku/>
        <w:wordWrap w:val="0"/>
        <w:overflowPunct/>
        <w:bidi w:val="0"/>
        <w:spacing w:line="300" w:lineRule="auto"/>
        <w:ind w:firstLine="359" w:firstLineChars="171"/>
        <w:rPr>
          <w:rFonts w:hint="eastAsia"/>
          <w:highlight w:val="none"/>
        </w:rPr>
      </w:pPr>
      <w:r>
        <w:rPr>
          <w:rFonts w:hint="eastAsia"/>
          <w:highlight w:val="none"/>
        </w:rPr>
        <w:t>（2）投标人须知；</w:t>
      </w:r>
    </w:p>
    <w:p w14:paraId="39379091">
      <w:pPr>
        <w:pageBreakBefore w:val="0"/>
        <w:kinsoku/>
        <w:wordWrap w:val="0"/>
        <w:overflowPunct/>
        <w:bidi w:val="0"/>
        <w:spacing w:line="300" w:lineRule="auto"/>
        <w:ind w:firstLine="359" w:firstLineChars="171"/>
        <w:rPr>
          <w:rFonts w:hint="eastAsia"/>
          <w:highlight w:val="none"/>
        </w:rPr>
      </w:pPr>
      <w:r>
        <w:rPr>
          <w:rFonts w:hint="eastAsia"/>
          <w:highlight w:val="none"/>
        </w:rPr>
        <w:t>（3）评标办法；</w:t>
      </w:r>
    </w:p>
    <w:p w14:paraId="28AF8C2E">
      <w:pPr>
        <w:pageBreakBefore w:val="0"/>
        <w:kinsoku/>
        <w:wordWrap w:val="0"/>
        <w:overflowPunct/>
        <w:bidi w:val="0"/>
        <w:spacing w:line="300" w:lineRule="auto"/>
        <w:ind w:firstLine="359" w:firstLineChars="171"/>
        <w:rPr>
          <w:rFonts w:hint="eastAsia"/>
          <w:highlight w:val="none"/>
        </w:rPr>
      </w:pPr>
      <w:r>
        <w:rPr>
          <w:rFonts w:hint="eastAsia"/>
          <w:highlight w:val="none"/>
        </w:rPr>
        <w:t>（4）合同条款；</w:t>
      </w:r>
    </w:p>
    <w:p w14:paraId="5CF84D9C">
      <w:pPr>
        <w:pageBreakBefore w:val="0"/>
        <w:kinsoku/>
        <w:wordWrap w:val="0"/>
        <w:overflowPunct/>
        <w:bidi w:val="0"/>
        <w:spacing w:line="300" w:lineRule="auto"/>
        <w:ind w:firstLine="359" w:firstLineChars="171"/>
        <w:rPr>
          <w:rFonts w:hint="eastAsia"/>
          <w:highlight w:val="none"/>
        </w:rPr>
      </w:pPr>
      <w:r>
        <w:rPr>
          <w:rFonts w:hint="eastAsia"/>
          <w:highlight w:val="none"/>
        </w:rPr>
        <w:t xml:space="preserve">（5）货物需求一览表及技术要求 </w:t>
      </w:r>
    </w:p>
    <w:p w14:paraId="09006552">
      <w:pPr>
        <w:pageBreakBefore w:val="0"/>
        <w:kinsoku/>
        <w:wordWrap w:val="0"/>
        <w:overflowPunct/>
        <w:bidi w:val="0"/>
        <w:spacing w:line="300" w:lineRule="auto"/>
        <w:ind w:firstLine="359" w:firstLineChars="171"/>
        <w:rPr>
          <w:rFonts w:hint="eastAsia"/>
          <w:highlight w:val="none"/>
        </w:rPr>
      </w:pPr>
      <w:r>
        <w:rPr>
          <w:rFonts w:hint="eastAsia"/>
          <w:highlight w:val="none"/>
        </w:rPr>
        <w:t>（6）投标文件格式；</w:t>
      </w:r>
    </w:p>
    <w:p w14:paraId="1A9D9080">
      <w:pPr>
        <w:pageBreakBefore w:val="0"/>
        <w:kinsoku/>
        <w:wordWrap w:val="0"/>
        <w:overflowPunct/>
        <w:bidi w:val="0"/>
        <w:spacing w:line="300" w:lineRule="auto"/>
        <w:ind w:firstLine="359" w:firstLineChars="171"/>
        <w:rPr>
          <w:rFonts w:hint="eastAsia"/>
          <w:highlight w:val="none"/>
        </w:rPr>
      </w:pPr>
      <w:r>
        <w:rPr>
          <w:rFonts w:hint="eastAsia"/>
          <w:highlight w:val="none"/>
        </w:rPr>
        <w:t>（7）投标人须知前附表规定的其他材料。</w:t>
      </w:r>
    </w:p>
    <w:p w14:paraId="4E944304">
      <w:pPr>
        <w:pageBreakBefore w:val="0"/>
        <w:kinsoku/>
        <w:wordWrap w:val="0"/>
        <w:overflowPunct/>
        <w:bidi w:val="0"/>
        <w:spacing w:line="300" w:lineRule="auto"/>
        <w:ind w:firstLine="420" w:firstLineChars="200"/>
        <w:rPr>
          <w:rFonts w:hint="eastAsia"/>
          <w:highlight w:val="none"/>
        </w:rPr>
      </w:pPr>
      <w:r>
        <w:rPr>
          <w:rFonts w:hint="eastAsia"/>
          <w:highlight w:val="none"/>
        </w:rPr>
        <w:t>2.1.2 根据本章第1.10款、第2.2款和第2.3款对招标文件所作的澄清、修改，构成招标文件的组成部分。</w:t>
      </w:r>
    </w:p>
    <w:p w14:paraId="65636536">
      <w:pPr>
        <w:pageBreakBefore w:val="0"/>
        <w:kinsoku/>
        <w:wordWrap w:val="0"/>
        <w:overflowPunct/>
        <w:bidi w:val="0"/>
        <w:spacing w:line="300" w:lineRule="auto"/>
        <w:rPr>
          <w:rFonts w:hint="eastAsia"/>
          <w:b/>
          <w:highlight w:val="none"/>
        </w:rPr>
      </w:pPr>
      <w:bookmarkStart w:id="110" w:name="_Toc144974512"/>
      <w:bookmarkStart w:id="111" w:name="_Toc246996932"/>
      <w:bookmarkStart w:id="112" w:name="_Toc247085703"/>
      <w:bookmarkStart w:id="113" w:name="_Toc179632562"/>
      <w:bookmarkStart w:id="114" w:name="_Toc152045544"/>
      <w:bookmarkStart w:id="115" w:name="_Toc246996189"/>
      <w:bookmarkStart w:id="116" w:name="_Toc152042320"/>
      <w:r>
        <w:rPr>
          <w:rFonts w:hint="eastAsia"/>
          <w:b/>
          <w:highlight w:val="none"/>
        </w:rPr>
        <w:t>2.2 招标文件的澄清</w:t>
      </w:r>
      <w:bookmarkEnd w:id="110"/>
      <w:bookmarkEnd w:id="111"/>
      <w:bookmarkEnd w:id="112"/>
      <w:bookmarkEnd w:id="113"/>
      <w:bookmarkEnd w:id="114"/>
      <w:bookmarkEnd w:id="115"/>
      <w:bookmarkEnd w:id="116"/>
      <w:r>
        <w:rPr>
          <w:rFonts w:hint="eastAsia"/>
          <w:b/>
          <w:highlight w:val="none"/>
        </w:rPr>
        <w:t xml:space="preserve"> </w:t>
      </w:r>
    </w:p>
    <w:p w14:paraId="51284EA9">
      <w:pPr>
        <w:pageBreakBefore w:val="0"/>
        <w:kinsoku/>
        <w:wordWrap w:val="0"/>
        <w:overflowPunct/>
        <w:bidi w:val="0"/>
        <w:spacing w:line="300" w:lineRule="auto"/>
        <w:ind w:firstLine="420" w:firstLineChars="200"/>
        <w:rPr>
          <w:rFonts w:hint="eastAsia"/>
          <w:highlight w:val="none"/>
        </w:rPr>
      </w:pPr>
      <w:r>
        <w:rPr>
          <w:rFonts w:hint="eastAsia"/>
          <w:highlight w:val="none"/>
        </w:rPr>
        <w:t>2.2.1 投标人应仔细阅读和检查招标文件的全部内容。</w:t>
      </w:r>
      <w:r>
        <w:rPr>
          <w:rFonts w:hint="eastAsia" w:ascii="宋体"/>
          <w:szCs w:val="21"/>
          <w:highlight w:val="none"/>
        </w:rPr>
        <w:t>如发现缺页或附件不全，应及时向采购人提出，以便补齐。</w:t>
      </w:r>
      <w:r>
        <w:rPr>
          <w:rFonts w:hint="eastAsia"/>
          <w:highlight w:val="none"/>
        </w:rPr>
        <w:t>如有疑问，应在投标人须知前附表规定的时间前以书面形式（包括信函、电报、传真等可以有形地表现所载内容的形式，下同），要求采购人对招标文件予以澄清。</w:t>
      </w:r>
    </w:p>
    <w:p w14:paraId="167D2E18">
      <w:pPr>
        <w:pageBreakBefore w:val="0"/>
        <w:kinsoku/>
        <w:wordWrap w:val="0"/>
        <w:overflowPunct/>
        <w:bidi w:val="0"/>
        <w:spacing w:line="300" w:lineRule="auto"/>
        <w:ind w:firstLine="420" w:firstLineChars="200"/>
        <w:rPr>
          <w:rFonts w:hint="eastAsia" w:ascii="仿宋_GB2312" w:eastAsia="仿宋_GB2312"/>
          <w:sz w:val="32"/>
          <w:szCs w:val="32"/>
          <w:highlight w:val="none"/>
        </w:rPr>
      </w:pPr>
      <w:r>
        <w:rPr>
          <w:rFonts w:hint="eastAsia"/>
          <w:highlight w:val="none"/>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仿宋_GB2312" w:eastAsia="仿宋_GB2312"/>
          <w:sz w:val="32"/>
          <w:szCs w:val="32"/>
          <w:highlight w:val="none"/>
        </w:rPr>
        <w:t xml:space="preserve"> </w:t>
      </w:r>
    </w:p>
    <w:p w14:paraId="33F056E2">
      <w:pPr>
        <w:pageBreakBefore w:val="0"/>
        <w:kinsoku/>
        <w:wordWrap w:val="0"/>
        <w:overflowPunct/>
        <w:bidi w:val="0"/>
        <w:spacing w:line="300" w:lineRule="auto"/>
        <w:ind w:firstLine="420" w:firstLineChars="200"/>
        <w:rPr>
          <w:rFonts w:hint="eastAsia"/>
          <w:highlight w:val="none"/>
        </w:rPr>
      </w:pPr>
      <w:r>
        <w:rPr>
          <w:rFonts w:hint="eastAsia"/>
          <w:highlight w:val="none"/>
        </w:rPr>
        <w:t>2.2.3 投标人在收到澄清后，应在投标人须知前附表规定的时间内以书面形式通知采购人，确认已收到该澄清。</w:t>
      </w:r>
    </w:p>
    <w:p w14:paraId="2446C764">
      <w:pPr>
        <w:pageBreakBefore w:val="0"/>
        <w:kinsoku/>
        <w:wordWrap w:val="0"/>
        <w:overflowPunct/>
        <w:bidi w:val="0"/>
        <w:spacing w:line="300" w:lineRule="auto"/>
        <w:rPr>
          <w:rFonts w:hint="eastAsia"/>
          <w:b/>
          <w:highlight w:val="none"/>
        </w:rPr>
      </w:pPr>
      <w:bookmarkStart w:id="117" w:name="_Toc144974513"/>
      <w:bookmarkStart w:id="118" w:name="_Toc246996190"/>
      <w:bookmarkStart w:id="119" w:name="_Toc246996933"/>
      <w:bookmarkStart w:id="120" w:name="_Toc179632563"/>
      <w:bookmarkStart w:id="121" w:name="_Toc247085704"/>
      <w:bookmarkStart w:id="122" w:name="_Toc152042321"/>
      <w:bookmarkStart w:id="123" w:name="_Toc152045545"/>
      <w:r>
        <w:rPr>
          <w:rFonts w:hint="eastAsia"/>
          <w:b/>
          <w:highlight w:val="none"/>
        </w:rPr>
        <w:t>2.3 招标文件的修改</w:t>
      </w:r>
      <w:bookmarkEnd w:id="117"/>
      <w:bookmarkEnd w:id="118"/>
      <w:bookmarkEnd w:id="119"/>
      <w:bookmarkEnd w:id="120"/>
      <w:bookmarkEnd w:id="121"/>
      <w:bookmarkEnd w:id="122"/>
      <w:bookmarkEnd w:id="123"/>
    </w:p>
    <w:p w14:paraId="707E3234">
      <w:pPr>
        <w:pageBreakBefore w:val="0"/>
        <w:kinsoku/>
        <w:wordWrap w:val="0"/>
        <w:overflowPunct/>
        <w:bidi w:val="0"/>
        <w:spacing w:line="300" w:lineRule="auto"/>
        <w:ind w:firstLine="420" w:firstLineChars="200"/>
        <w:rPr>
          <w:rFonts w:hint="eastAsia"/>
          <w:highlight w:val="none"/>
        </w:rPr>
      </w:pPr>
      <w:r>
        <w:rPr>
          <w:rFonts w:hint="eastAsia"/>
          <w:highlight w:val="none"/>
        </w:rPr>
        <w:t>2.3.1采购人可以书面形式修改招标文件，并通知所有已购买招标文件的投标人。但如果修改招标文件的时间距投标截止时间不足15天，并且修改内容影响投标文件编制的，将相应延长投标截止时间。</w:t>
      </w:r>
    </w:p>
    <w:p w14:paraId="74E42F78">
      <w:pPr>
        <w:pageBreakBefore w:val="0"/>
        <w:kinsoku/>
        <w:wordWrap w:val="0"/>
        <w:overflowPunct/>
        <w:bidi w:val="0"/>
        <w:spacing w:line="300" w:lineRule="auto"/>
        <w:ind w:firstLine="420" w:firstLineChars="200"/>
        <w:rPr>
          <w:rFonts w:hint="eastAsia"/>
          <w:highlight w:val="none"/>
        </w:rPr>
      </w:pPr>
      <w:r>
        <w:rPr>
          <w:rFonts w:hint="eastAsia"/>
          <w:highlight w:val="none"/>
        </w:rPr>
        <w:t>2.3.2 投标人收到修改内容后，应在投标人须知前附表规定的时间内以书面形式通知采购人，确认已收到该修改。</w:t>
      </w:r>
    </w:p>
    <w:p w14:paraId="2A573CB1">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124" w:name="_Toc247085705"/>
      <w:bookmarkStart w:id="125" w:name="_Toc409424376"/>
      <w:bookmarkStart w:id="126" w:name="_Toc246996191"/>
      <w:bookmarkStart w:id="127" w:name="_Toc179632564"/>
      <w:bookmarkStart w:id="128" w:name="_Toc152042322"/>
      <w:bookmarkStart w:id="129" w:name="_Toc246996934"/>
      <w:bookmarkStart w:id="130" w:name="_Toc409424315"/>
      <w:bookmarkStart w:id="131" w:name="_Toc152045546"/>
      <w:bookmarkStart w:id="132" w:name="_Toc468267457"/>
      <w:bookmarkStart w:id="133" w:name="_Toc144974514"/>
      <w:r>
        <w:rPr>
          <w:rFonts w:hint="eastAsia" w:ascii="Arial" w:hAnsi="Arial" w:eastAsia="黑体"/>
          <w:b/>
          <w:bCs/>
          <w:sz w:val="32"/>
          <w:szCs w:val="32"/>
          <w:highlight w:val="none"/>
        </w:rPr>
        <w:t>3. 投标文件</w:t>
      </w:r>
      <w:bookmarkEnd w:id="124"/>
      <w:bookmarkEnd w:id="125"/>
      <w:bookmarkEnd w:id="126"/>
      <w:bookmarkEnd w:id="127"/>
      <w:bookmarkEnd w:id="128"/>
      <w:bookmarkEnd w:id="129"/>
      <w:bookmarkEnd w:id="130"/>
      <w:bookmarkEnd w:id="131"/>
      <w:bookmarkEnd w:id="132"/>
      <w:bookmarkEnd w:id="133"/>
    </w:p>
    <w:p w14:paraId="53C334A6">
      <w:pPr>
        <w:pageBreakBefore w:val="0"/>
        <w:kinsoku/>
        <w:wordWrap w:val="0"/>
        <w:overflowPunct/>
        <w:bidi w:val="0"/>
        <w:spacing w:line="300" w:lineRule="auto"/>
        <w:rPr>
          <w:rFonts w:hint="eastAsia"/>
          <w:b/>
          <w:highlight w:val="none"/>
        </w:rPr>
      </w:pPr>
      <w:bookmarkStart w:id="134" w:name="_Toc152042323"/>
      <w:bookmarkStart w:id="135" w:name="_Toc152045547"/>
      <w:bookmarkStart w:id="136" w:name="_Toc247085706"/>
      <w:bookmarkStart w:id="137" w:name="_Toc179632565"/>
      <w:bookmarkStart w:id="138" w:name="_Toc144974515"/>
      <w:bookmarkStart w:id="139" w:name="_Toc246996935"/>
      <w:bookmarkStart w:id="140" w:name="_Toc246996192"/>
      <w:r>
        <w:rPr>
          <w:rFonts w:hint="eastAsia"/>
          <w:b/>
          <w:highlight w:val="none"/>
        </w:rPr>
        <w:t>3.1 投标文件的组成</w:t>
      </w:r>
      <w:bookmarkEnd w:id="134"/>
      <w:bookmarkEnd w:id="135"/>
      <w:bookmarkEnd w:id="136"/>
      <w:bookmarkEnd w:id="137"/>
      <w:bookmarkEnd w:id="138"/>
      <w:bookmarkEnd w:id="139"/>
      <w:bookmarkEnd w:id="140"/>
    </w:p>
    <w:p w14:paraId="443DA31D">
      <w:pPr>
        <w:pageBreakBefore w:val="0"/>
        <w:kinsoku/>
        <w:wordWrap w:val="0"/>
        <w:overflowPunct/>
        <w:bidi w:val="0"/>
        <w:spacing w:line="300" w:lineRule="auto"/>
        <w:ind w:firstLine="420" w:firstLineChars="200"/>
        <w:rPr>
          <w:rFonts w:hint="eastAsia"/>
          <w:highlight w:val="none"/>
        </w:rPr>
      </w:pPr>
      <w:r>
        <w:rPr>
          <w:rFonts w:hint="eastAsia"/>
          <w:highlight w:val="none"/>
        </w:rPr>
        <w:t>投标文件应包括下列内容：</w:t>
      </w:r>
    </w:p>
    <w:p w14:paraId="17B4C1DD">
      <w:pPr>
        <w:pageBreakBefore w:val="0"/>
        <w:kinsoku/>
        <w:wordWrap w:val="0"/>
        <w:overflowPunct/>
        <w:bidi w:val="0"/>
        <w:spacing w:line="300" w:lineRule="auto"/>
        <w:ind w:firstLine="359" w:firstLineChars="171"/>
        <w:rPr>
          <w:rFonts w:hint="eastAsia"/>
          <w:highlight w:val="none"/>
        </w:rPr>
      </w:pPr>
      <w:r>
        <w:rPr>
          <w:rFonts w:hint="eastAsia"/>
          <w:highlight w:val="none"/>
        </w:rPr>
        <w:t>（1）投标函及投标函附录；</w:t>
      </w:r>
    </w:p>
    <w:p w14:paraId="3521100F">
      <w:pPr>
        <w:pageBreakBefore w:val="0"/>
        <w:kinsoku/>
        <w:wordWrap w:val="0"/>
        <w:overflowPunct/>
        <w:bidi w:val="0"/>
        <w:spacing w:line="300" w:lineRule="auto"/>
        <w:ind w:firstLine="359" w:firstLineChars="171"/>
        <w:rPr>
          <w:rFonts w:hint="eastAsia"/>
          <w:highlight w:val="none"/>
        </w:rPr>
      </w:pPr>
      <w:r>
        <w:rPr>
          <w:rFonts w:hint="eastAsia"/>
          <w:highlight w:val="none"/>
        </w:rPr>
        <w:t>（2）开标一览表；</w:t>
      </w:r>
    </w:p>
    <w:p w14:paraId="7A8F59CB">
      <w:pPr>
        <w:pageBreakBefore w:val="0"/>
        <w:kinsoku/>
        <w:wordWrap w:val="0"/>
        <w:overflowPunct/>
        <w:bidi w:val="0"/>
        <w:spacing w:line="300" w:lineRule="auto"/>
        <w:ind w:firstLine="359" w:firstLineChars="171"/>
        <w:rPr>
          <w:rFonts w:hint="eastAsia"/>
          <w:highlight w:val="none"/>
        </w:rPr>
      </w:pPr>
      <w:r>
        <w:rPr>
          <w:rFonts w:hint="eastAsia"/>
          <w:highlight w:val="none"/>
        </w:rPr>
        <w:t>（3）法定代表人身份证明或附有法定代表人身份证明的授权委托书；</w:t>
      </w:r>
    </w:p>
    <w:p w14:paraId="5EC370BC">
      <w:pPr>
        <w:pageBreakBefore w:val="0"/>
        <w:kinsoku/>
        <w:wordWrap w:val="0"/>
        <w:overflowPunct/>
        <w:bidi w:val="0"/>
        <w:spacing w:line="300" w:lineRule="auto"/>
        <w:ind w:firstLine="359" w:firstLineChars="171"/>
        <w:rPr>
          <w:rFonts w:hint="eastAsia"/>
          <w:highlight w:val="none"/>
        </w:rPr>
      </w:pPr>
      <w:r>
        <w:rPr>
          <w:rFonts w:hint="eastAsia"/>
          <w:highlight w:val="none"/>
        </w:rPr>
        <w:t>（4）投标报价表；</w:t>
      </w:r>
    </w:p>
    <w:p w14:paraId="5AEAD7B0">
      <w:pPr>
        <w:pageBreakBefore w:val="0"/>
        <w:kinsoku/>
        <w:wordWrap w:val="0"/>
        <w:overflowPunct/>
        <w:bidi w:val="0"/>
        <w:spacing w:line="300" w:lineRule="auto"/>
        <w:ind w:firstLine="359" w:firstLineChars="171"/>
        <w:rPr>
          <w:rFonts w:hint="eastAsia" w:ascii="宋体" w:cs="仿宋_GB2312"/>
          <w:kern w:val="0"/>
          <w:szCs w:val="21"/>
          <w:highlight w:val="none"/>
        </w:rPr>
      </w:pPr>
      <w:r>
        <w:rPr>
          <w:rFonts w:hint="eastAsia"/>
          <w:highlight w:val="none"/>
        </w:rPr>
        <w:t>（5）</w:t>
      </w:r>
      <w:r>
        <w:rPr>
          <w:rFonts w:hint="eastAsia" w:ascii="宋体"/>
          <w:szCs w:val="21"/>
          <w:highlight w:val="none"/>
        </w:rPr>
        <w:t>货物说明一览表</w:t>
      </w:r>
      <w:r>
        <w:rPr>
          <w:rFonts w:hint="eastAsia" w:ascii="宋体" w:cs="仿宋_GB2312"/>
          <w:kern w:val="0"/>
          <w:szCs w:val="21"/>
          <w:highlight w:val="none"/>
        </w:rPr>
        <w:t>；</w:t>
      </w:r>
    </w:p>
    <w:p w14:paraId="674CA45A">
      <w:pPr>
        <w:pageBreakBefore w:val="0"/>
        <w:kinsoku/>
        <w:wordWrap w:val="0"/>
        <w:overflowPunct/>
        <w:bidi w:val="0"/>
        <w:spacing w:line="300" w:lineRule="auto"/>
        <w:ind w:firstLine="359" w:firstLineChars="171"/>
        <w:rPr>
          <w:rFonts w:hint="eastAsia"/>
          <w:highlight w:val="none"/>
        </w:rPr>
      </w:pPr>
      <w:r>
        <w:rPr>
          <w:rFonts w:hint="eastAsia"/>
          <w:highlight w:val="none"/>
        </w:rPr>
        <w:t>（6）</w:t>
      </w:r>
      <w:r>
        <w:rPr>
          <w:rFonts w:hint="eastAsia" w:ascii="宋体"/>
          <w:szCs w:val="21"/>
          <w:highlight w:val="none"/>
        </w:rPr>
        <w:t>偏离表</w:t>
      </w:r>
    </w:p>
    <w:p w14:paraId="66EA2A36">
      <w:pPr>
        <w:pageBreakBefore w:val="0"/>
        <w:kinsoku/>
        <w:wordWrap w:val="0"/>
        <w:overflowPunct/>
        <w:bidi w:val="0"/>
        <w:spacing w:line="300" w:lineRule="auto"/>
        <w:ind w:firstLine="359" w:firstLineChars="171"/>
        <w:rPr>
          <w:rFonts w:hint="eastAsia"/>
          <w:highlight w:val="none"/>
        </w:rPr>
      </w:pPr>
      <w:r>
        <w:rPr>
          <w:rFonts w:hint="eastAsia"/>
          <w:highlight w:val="none"/>
        </w:rPr>
        <w:t>（7）优惠条件和售后服务；</w:t>
      </w:r>
    </w:p>
    <w:p w14:paraId="503E22EF">
      <w:pPr>
        <w:pageBreakBefore w:val="0"/>
        <w:kinsoku/>
        <w:wordWrap w:val="0"/>
        <w:overflowPunct/>
        <w:bidi w:val="0"/>
        <w:spacing w:line="300" w:lineRule="auto"/>
        <w:ind w:firstLine="359" w:firstLineChars="171"/>
        <w:rPr>
          <w:rFonts w:hint="eastAsia"/>
          <w:highlight w:val="none"/>
        </w:rPr>
      </w:pPr>
      <w:r>
        <w:rPr>
          <w:rFonts w:hint="eastAsia"/>
          <w:highlight w:val="none"/>
        </w:rPr>
        <w:t>（8）资格审查资料；</w:t>
      </w:r>
    </w:p>
    <w:p w14:paraId="24F45660">
      <w:pPr>
        <w:pageBreakBefore w:val="0"/>
        <w:kinsoku/>
        <w:wordWrap w:val="0"/>
        <w:overflowPunct/>
        <w:bidi w:val="0"/>
        <w:spacing w:line="300" w:lineRule="auto"/>
        <w:ind w:firstLine="359" w:firstLineChars="171"/>
        <w:rPr>
          <w:rFonts w:hint="eastAsia"/>
          <w:highlight w:val="none"/>
        </w:rPr>
      </w:pPr>
      <w:r>
        <w:rPr>
          <w:rFonts w:hint="eastAsia"/>
          <w:highlight w:val="none"/>
        </w:rPr>
        <w:t>（9）投标人须知前附表规定的其他材料。</w:t>
      </w:r>
    </w:p>
    <w:p w14:paraId="45578062">
      <w:pPr>
        <w:pageBreakBefore w:val="0"/>
        <w:kinsoku/>
        <w:wordWrap w:val="0"/>
        <w:overflowPunct/>
        <w:bidi w:val="0"/>
        <w:spacing w:line="300" w:lineRule="auto"/>
        <w:rPr>
          <w:rFonts w:hint="eastAsia"/>
          <w:b/>
          <w:highlight w:val="none"/>
        </w:rPr>
      </w:pPr>
      <w:bookmarkStart w:id="141" w:name="_Toc179632566"/>
      <w:bookmarkStart w:id="142" w:name="_Toc246996936"/>
      <w:bookmarkStart w:id="143" w:name="_Toc144974516"/>
      <w:bookmarkStart w:id="144" w:name="_Toc152045548"/>
      <w:bookmarkStart w:id="145" w:name="_Toc246996193"/>
      <w:bookmarkStart w:id="146" w:name="_Toc152042324"/>
      <w:bookmarkStart w:id="147" w:name="_Toc247085707"/>
      <w:r>
        <w:rPr>
          <w:rFonts w:hint="eastAsia"/>
          <w:b/>
          <w:highlight w:val="none"/>
        </w:rPr>
        <w:t>3.2 投标报价</w:t>
      </w:r>
      <w:bookmarkEnd w:id="141"/>
      <w:bookmarkEnd w:id="142"/>
      <w:bookmarkEnd w:id="143"/>
      <w:bookmarkEnd w:id="144"/>
      <w:bookmarkEnd w:id="145"/>
      <w:bookmarkEnd w:id="146"/>
      <w:bookmarkEnd w:id="147"/>
    </w:p>
    <w:p w14:paraId="405BF979">
      <w:pPr>
        <w:pageBreakBefore w:val="0"/>
        <w:kinsoku/>
        <w:wordWrap w:val="0"/>
        <w:overflowPunct/>
        <w:bidi w:val="0"/>
        <w:spacing w:line="300" w:lineRule="auto"/>
        <w:ind w:firstLine="420" w:firstLineChars="200"/>
        <w:rPr>
          <w:rFonts w:hint="eastAsia"/>
          <w:highlight w:val="none"/>
        </w:rPr>
      </w:pPr>
      <w:r>
        <w:rPr>
          <w:rFonts w:hint="eastAsia"/>
          <w:highlight w:val="none"/>
        </w:rPr>
        <w:t>3.2.1 投标人应按第五章“货物需求一览表及技术要求”的要求填写相应表格。</w:t>
      </w:r>
    </w:p>
    <w:p w14:paraId="3258D4E2">
      <w:pPr>
        <w:pageBreakBefore w:val="0"/>
        <w:kinsoku/>
        <w:wordWrap w:val="0"/>
        <w:overflowPunct/>
        <w:bidi w:val="0"/>
        <w:spacing w:line="300" w:lineRule="auto"/>
        <w:ind w:firstLine="420" w:firstLineChars="200"/>
        <w:rPr>
          <w:rFonts w:hint="eastAsia"/>
          <w:highlight w:val="none"/>
        </w:rPr>
      </w:pPr>
      <w:r>
        <w:rPr>
          <w:rFonts w:hint="eastAsia"/>
          <w:highlight w:val="none"/>
        </w:rPr>
        <w:t>3.2.2 投标人在投标截止时间前修改投标函中的投标报价总额，应同时修改“投标报价表”中的相应报价，投标报价总额为各分项金额之和。此修改须符合本章第4.3款的有关要求。</w:t>
      </w:r>
      <w:bookmarkStart w:id="148" w:name="_Toc179632567"/>
      <w:bookmarkStart w:id="149" w:name="_Toc152045549"/>
      <w:bookmarkStart w:id="150" w:name="_Toc144974517"/>
      <w:bookmarkStart w:id="151" w:name="_Toc152042325"/>
    </w:p>
    <w:p w14:paraId="364FCF2C">
      <w:pPr>
        <w:pageBreakBefore w:val="0"/>
        <w:kinsoku/>
        <w:wordWrap w:val="0"/>
        <w:overflowPunct/>
        <w:bidi w:val="0"/>
        <w:spacing w:line="300" w:lineRule="auto"/>
        <w:ind w:firstLine="420" w:firstLineChars="200"/>
        <w:rPr>
          <w:rFonts w:hint="eastAsia"/>
          <w:highlight w:val="none"/>
        </w:rPr>
      </w:pPr>
      <w:r>
        <w:rPr>
          <w:rFonts w:hint="eastAsia"/>
          <w:highlight w:val="none"/>
        </w:rPr>
        <w:t>3.2.3 采购人设有采购预算的，投标人的投标报价不得超过采购预算，采购预算或其计算方法在投标人须知前附表中载明。</w:t>
      </w:r>
    </w:p>
    <w:p w14:paraId="5F5326F2">
      <w:pPr>
        <w:pageBreakBefore w:val="0"/>
        <w:kinsoku/>
        <w:wordWrap w:val="0"/>
        <w:overflowPunct/>
        <w:bidi w:val="0"/>
        <w:spacing w:line="300" w:lineRule="auto"/>
        <w:rPr>
          <w:rFonts w:hint="eastAsia"/>
          <w:b/>
          <w:highlight w:val="none"/>
        </w:rPr>
      </w:pPr>
      <w:bookmarkStart w:id="152" w:name="_Toc247085708"/>
      <w:bookmarkStart w:id="153" w:name="_Toc246996937"/>
      <w:bookmarkStart w:id="154" w:name="_Toc246996194"/>
      <w:r>
        <w:rPr>
          <w:rFonts w:hint="eastAsia"/>
          <w:b/>
          <w:highlight w:val="none"/>
        </w:rPr>
        <w:t>3.3 投标有效期</w:t>
      </w:r>
      <w:bookmarkEnd w:id="148"/>
      <w:bookmarkEnd w:id="149"/>
      <w:bookmarkEnd w:id="150"/>
      <w:bookmarkEnd w:id="151"/>
      <w:bookmarkEnd w:id="152"/>
      <w:bookmarkEnd w:id="153"/>
      <w:bookmarkEnd w:id="154"/>
    </w:p>
    <w:p w14:paraId="6D0617A3">
      <w:pPr>
        <w:pageBreakBefore w:val="0"/>
        <w:kinsoku/>
        <w:wordWrap w:val="0"/>
        <w:overflowPunct/>
        <w:bidi w:val="0"/>
        <w:spacing w:line="300" w:lineRule="auto"/>
        <w:ind w:firstLine="420" w:firstLineChars="200"/>
        <w:rPr>
          <w:rFonts w:hint="eastAsia"/>
          <w:highlight w:val="none"/>
        </w:rPr>
      </w:pPr>
      <w:r>
        <w:rPr>
          <w:rFonts w:hint="eastAsia"/>
          <w:highlight w:val="none"/>
        </w:rPr>
        <w:t>3.3.1 除投标人须知前附表另有规定外，投标有效期为90天。</w:t>
      </w:r>
    </w:p>
    <w:p w14:paraId="1BF8E8D4">
      <w:pPr>
        <w:pageBreakBefore w:val="0"/>
        <w:kinsoku/>
        <w:wordWrap w:val="0"/>
        <w:overflowPunct/>
        <w:bidi w:val="0"/>
        <w:spacing w:line="300" w:lineRule="auto"/>
        <w:ind w:firstLine="420" w:firstLineChars="200"/>
        <w:rPr>
          <w:rFonts w:hint="eastAsia"/>
          <w:highlight w:val="none"/>
        </w:rPr>
      </w:pPr>
      <w:r>
        <w:rPr>
          <w:rFonts w:hint="eastAsia"/>
          <w:highlight w:val="none"/>
        </w:rPr>
        <w:t>3.3.2在投标有效期内，投标人撤销或修改其投标文件的，应承担招标文件和法律规定的责任。</w:t>
      </w:r>
    </w:p>
    <w:p w14:paraId="3685CBD4">
      <w:pPr>
        <w:pageBreakBefore w:val="0"/>
        <w:kinsoku/>
        <w:wordWrap w:val="0"/>
        <w:overflowPunct/>
        <w:bidi w:val="0"/>
        <w:spacing w:line="300" w:lineRule="auto"/>
        <w:ind w:firstLine="420" w:firstLineChars="200"/>
        <w:rPr>
          <w:rFonts w:hint="eastAsia" w:ascii="楷体_GB2312" w:eastAsia="楷体_GB2312"/>
          <w:szCs w:val="21"/>
          <w:highlight w:val="none"/>
        </w:rPr>
      </w:pPr>
      <w:r>
        <w:rPr>
          <w:rFonts w:hint="eastAsia"/>
          <w:highlight w:val="none"/>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CD1978D">
      <w:pPr>
        <w:pageBreakBefore w:val="0"/>
        <w:kinsoku/>
        <w:wordWrap w:val="0"/>
        <w:overflowPunct/>
        <w:bidi w:val="0"/>
        <w:spacing w:line="300" w:lineRule="auto"/>
        <w:rPr>
          <w:rFonts w:hint="eastAsia"/>
          <w:b/>
          <w:highlight w:val="none"/>
        </w:rPr>
      </w:pPr>
      <w:bookmarkStart w:id="155" w:name="_Toc246996195"/>
      <w:bookmarkStart w:id="156" w:name="_Toc179632568"/>
      <w:bookmarkStart w:id="157" w:name="_Toc152045550"/>
      <w:bookmarkStart w:id="158" w:name="_Toc144974518"/>
      <w:bookmarkStart w:id="159" w:name="_Toc246996938"/>
      <w:bookmarkStart w:id="160" w:name="_Toc152042326"/>
      <w:bookmarkStart w:id="161" w:name="_Toc247085709"/>
      <w:r>
        <w:rPr>
          <w:rFonts w:hint="eastAsia"/>
          <w:b/>
          <w:highlight w:val="none"/>
        </w:rPr>
        <w:t>3.4 投标保证金</w:t>
      </w:r>
      <w:bookmarkEnd w:id="155"/>
      <w:bookmarkEnd w:id="156"/>
      <w:bookmarkEnd w:id="157"/>
      <w:bookmarkEnd w:id="158"/>
      <w:bookmarkEnd w:id="159"/>
      <w:bookmarkEnd w:id="160"/>
      <w:bookmarkEnd w:id="161"/>
    </w:p>
    <w:p w14:paraId="3BBD3891">
      <w:pPr>
        <w:pageBreakBefore w:val="0"/>
        <w:kinsoku/>
        <w:wordWrap w:val="0"/>
        <w:overflowPunct/>
        <w:bidi w:val="0"/>
        <w:spacing w:line="300" w:lineRule="auto"/>
        <w:ind w:firstLine="420" w:firstLineChars="200"/>
        <w:rPr>
          <w:rFonts w:hint="eastAsia"/>
          <w:highlight w:val="none"/>
        </w:rPr>
      </w:pPr>
      <w:r>
        <w:rPr>
          <w:rFonts w:hint="eastAsia"/>
          <w:highlight w:val="none"/>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0DC84364">
      <w:pPr>
        <w:pageBreakBefore w:val="0"/>
        <w:kinsoku/>
        <w:wordWrap w:val="0"/>
        <w:overflowPunct/>
        <w:bidi w:val="0"/>
        <w:spacing w:line="300" w:lineRule="auto"/>
        <w:ind w:firstLine="420" w:firstLineChars="200"/>
        <w:rPr>
          <w:rFonts w:hint="eastAsia"/>
          <w:highlight w:val="none"/>
        </w:rPr>
      </w:pPr>
      <w:r>
        <w:rPr>
          <w:rFonts w:hint="eastAsia"/>
          <w:highlight w:val="none"/>
        </w:rPr>
        <w:t>3.4.2 投标人不按本章第3.4.1项要求提交投标保证金的，评标委员会将作无效投标处理。</w:t>
      </w:r>
    </w:p>
    <w:p w14:paraId="17158F54">
      <w:pPr>
        <w:pageBreakBefore w:val="0"/>
        <w:kinsoku/>
        <w:wordWrap w:val="0"/>
        <w:overflowPunct/>
        <w:bidi w:val="0"/>
        <w:spacing w:line="300" w:lineRule="auto"/>
        <w:ind w:firstLine="420" w:firstLineChars="200"/>
        <w:rPr>
          <w:rFonts w:hint="eastAsia"/>
          <w:highlight w:val="none"/>
        </w:rPr>
      </w:pPr>
      <w:r>
        <w:rPr>
          <w:rFonts w:hint="eastAsia"/>
          <w:highlight w:val="none"/>
        </w:rPr>
        <w:t>3.4.3 采购人向中标人发放中标通知书后五个工作日内，退还未中标投标人的投标保证金，采购人与中标人签订合同后五个工作日内，退还中标人的投标保证金。</w:t>
      </w:r>
    </w:p>
    <w:p w14:paraId="18B5EF10">
      <w:pPr>
        <w:pageBreakBefore w:val="0"/>
        <w:kinsoku/>
        <w:wordWrap w:val="0"/>
        <w:overflowPunct/>
        <w:bidi w:val="0"/>
        <w:spacing w:line="300" w:lineRule="auto"/>
        <w:ind w:firstLine="420" w:firstLineChars="200"/>
        <w:rPr>
          <w:rFonts w:hint="eastAsia"/>
          <w:highlight w:val="none"/>
        </w:rPr>
      </w:pPr>
      <w:r>
        <w:rPr>
          <w:rFonts w:hint="eastAsia"/>
          <w:highlight w:val="none"/>
        </w:rPr>
        <w:t xml:space="preserve">3.4.4 有下列情形之一的，投标保证金将不予退还： </w:t>
      </w:r>
    </w:p>
    <w:p w14:paraId="78B7D079">
      <w:pPr>
        <w:pageBreakBefore w:val="0"/>
        <w:kinsoku/>
        <w:wordWrap w:val="0"/>
        <w:overflowPunct/>
        <w:bidi w:val="0"/>
        <w:spacing w:line="300" w:lineRule="auto"/>
        <w:ind w:firstLine="718" w:firstLineChars="342"/>
        <w:rPr>
          <w:rFonts w:hint="eastAsia"/>
          <w:highlight w:val="none"/>
        </w:rPr>
      </w:pPr>
      <w:r>
        <w:rPr>
          <w:rFonts w:hint="eastAsia"/>
          <w:highlight w:val="none"/>
        </w:rPr>
        <w:t>（1）投标人在规定的投标有效期内撤销或修改其投标文件；</w:t>
      </w:r>
    </w:p>
    <w:p w14:paraId="3602CE01">
      <w:pPr>
        <w:pageBreakBefore w:val="0"/>
        <w:kinsoku/>
        <w:wordWrap w:val="0"/>
        <w:overflowPunct/>
        <w:bidi w:val="0"/>
        <w:spacing w:line="300" w:lineRule="auto"/>
        <w:ind w:firstLine="718" w:firstLineChars="342"/>
        <w:rPr>
          <w:rFonts w:hint="eastAsia"/>
          <w:highlight w:val="none"/>
        </w:rPr>
      </w:pPr>
      <w:r>
        <w:rPr>
          <w:rFonts w:hint="eastAsia"/>
          <w:highlight w:val="none"/>
        </w:rPr>
        <w:t>（2）中标人在收到中标通知书后，</w:t>
      </w:r>
      <w:r>
        <w:rPr>
          <w:rFonts w:hint="eastAsia" w:ascii="宋体" w:cs="宋体"/>
          <w:bCs/>
          <w:szCs w:val="21"/>
          <w:highlight w:val="none"/>
          <w:lang w:val="zh-CN"/>
        </w:rPr>
        <w:t>无正当理由拒签合同协议书或未按招标文件规定提交履约担保</w:t>
      </w:r>
      <w:r>
        <w:rPr>
          <w:rFonts w:hint="eastAsia"/>
          <w:highlight w:val="none"/>
        </w:rPr>
        <w:t>。</w:t>
      </w:r>
    </w:p>
    <w:p w14:paraId="4661A2F7">
      <w:pPr>
        <w:pageBreakBefore w:val="0"/>
        <w:kinsoku/>
        <w:wordWrap w:val="0"/>
        <w:overflowPunct/>
        <w:bidi w:val="0"/>
        <w:spacing w:line="300" w:lineRule="auto"/>
        <w:rPr>
          <w:rFonts w:hint="eastAsia"/>
          <w:b/>
          <w:highlight w:val="none"/>
        </w:rPr>
      </w:pPr>
      <w:bookmarkStart w:id="162" w:name="_Toc246996939"/>
      <w:bookmarkStart w:id="163" w:name="_Toc179632570"/>
      <w:bookmarkStart w:id="164" w:name="_Toc144974520"/>
      <w:bookmarkStart w:id="165" w:name="_Toc152042328"/>
      <w:bookmarkStart w:id="166" w:name="_Toc152045552"/>
      <w:bookmarkStart w:id="167" w:name="_Toc247085710"/>
      <w:bookmarkStart w:id="168" w:name="_Toc246996196"/>
      <w:r>
        <w:rPr>
          <w:rFonts w:hint="eastAsia"/>
          <w:b/>
          <w:highlight w:val="none"/>
        </w:rPr>
        <w:t>3.5 资格审查资料</w:t>
      </w:r>
      <w:bookmarkEnd w:id="162"/>
      <w:bookmarkEnd w:id="163"/>
      <w:bookmarkEnd w:id="164"/>
      <w:bookmarkEnd w:id="165"/>
      <w:bookmarkEnd w:id="166"/>
      <w:bookmarkEnd w:id="167"/>
      <w:bookmarkEnd w:id="168"/>
    </w:p>
    <w:p w14:paraId="38D87AFE">
      <w:pPr>
        <w:pageBreakBefore w:val="0"/>
        <w:kinsoku/>
        <w:wordWrap w:val="0"/>
        <w:overflowPunct/>
        <w:bidi w:val="0"/>
        <w:spacing w:line="300" w:lineRule="auto"/>
        <w:ind w:firstLine="420" w:firstLineChars="200"/>
        <w:rPr>
          <w:rFonts w:hint="eastAsia"/>
          <w:highlight w:val="none"/>
        </w:rPr>
      </w:pPr>
      <w:r>
        <w:rPr>
          <w:rFonts w:hint="eastAsia"/>
          <w:highlight w:val="none"/>
        </w:rPr>
        <w:t>3.5.1 “投标人基本情况表”应附投标人营业执照副本等材料的复印件。</w:t>
      </w:r>
    </w:p>
    <w:p w14:paraId="4A01CF4E">
      <w:pPr>
        <w:pageBreakBefore w:val="0"/>
        <w:kinsoku/>
        <w:wordWrap w:val="0"/>
        <w:overflowPunct/>
        <w:bidi w:val="0"/>
        <w:spacing w:line="300" w:lineRule="auto"/>
        <w:ind w:firstLine="420" w:firstLineChars="200"/>
        <w:rPr>
          <w:rFonts w:hint="eastAsia"/>
          <w:highlight w:val="none"/>
        </w:rPr>
      </w:pPr>
      <w:r>
        <w:rPr>
          <w:rFonts w:hint="eastAsia"/>
          <w:highlight w:val="none"/>
        </w:rPr>
        <w:t>3.5.2 “近年财务状况表”具体年份要求见投标人须知前附表。</w:t>
      </w:r>
    </w:p>
    <w:p w14:paraId="4C1118A3">
      <w:pPr>
        <w:pageBreakBefore w:val="0"/>
        <w:kinsoku/>
        <w:wordWrap w:val="0"/>
        <w:overflowPunct/>
        <w:bidi w:val="0"/>
        <w:spacing w:line="300" w:lineRule="auto"/>
        <w:ind w:firstLine="420" w:firstLineChars="200"/>
        <w:rPr>
          <w:rFonts w:hint="eastAsia"/>
          <w:highlight w:val="none"/>
        </w:rPr>
      </w:pPr>
      <w:r>
        <w:rPr>
          <w:rFonts w:hint="eastAsia"/>
          <w:highlight w:val="none"/>
        </w:rPr>
        <w:t>3.5.3 “近年完成的类似项目情况表”应附中标通知书或合同协议书复印件，具体年份要求见投标人须知前附表。每张表格只填写一个项目，并标明序号。</w:t>
      </w:r>
    </w:p>
    <w:p w14:paraId="6B8408E8">
      <w:pPr>
        <w:pageBreakBefore w:val="0"/>
        <w:kinsoku/>
        <w:wordWrap w:val="0"/>
        <w:overflowPunct/>
        <w:bidi w:val="0"/>
        <w:spacing w:line="300" w:lineRule="auto"/>
        <w:ind w:firstLine="420" w:firstLineChars="200"/>
        <w:rPr>
          <w:rFonts w:hint="eastAsia"/>
          <w:highlight w:val="none"/>
        </w:rPr>
      </w:pPr>
      <w:r>
        <w:rPr>
          <w:rFonts w:hint="eastAsia"/>
          <w:highlight w:val="none"/>
        </w:rPr>
        <w:t>3.5.4 “正在进行和新承接的项目情况表”应附中标通知书或合同协议书复印件。每张表格只填写一个项目，并标明序号。</w:t>
      </w:r>
    </w:p>
    <w:p w14:paraId="26158527">
      <w:pPr>
        <w:pageBreakBefore w:val="0"/>
        <w:kinsoku/>
        <w:wordWrap w:val="0"/>
        <w:overflowPunct/>
        <w:bidi w:val="0"/>
        <w:spacing w:line="300" w:lineRule="auto"/>
        <w:rPr>
          <w:rFonts w:hint="eastAsia"/>
          <w:b/>
          <w:highlight w:val="none"/>
        </w:rPr>
      </w:pPr>
      <w:bookmarkStart w:id="169" w:name="_Toc152042329"/>
      <w:bookmarkStart w:id="170" w:name="_Toc152045553"/>
      <w:bookmarkStart w:id="171" w:name="_Toc246996197"/>
      <w:bookmarkStart w:id="172" w:name="_Toc179632571"/>
      <w:bookmarkStart w:id="173" w:name="_Toc246996940"/>
      <w:bookmarkStart w:id="174" w:name="_Toc144974521"/>
      <w:bookmarkStart w:id="175" w:name="_Toc247085711"/>
      <w:r>
        <w:rPr>
          <w:rFonts w:hint="eastAsia"/>
          <w:b/>
          <w:highlight w:val="none"/>
        </w:rPr>
        <w:t>3.6投标文件的编制</w:t>
      </w:r>
    </w:p>
    <w:p w14:paraId="5DE5816A">
      <w:pPr>
        <w:pageBreakBefore w:val="0"/>
        <w:kinsoku/>
        <w:wordWrap w:val="0"/>
        <w:overflowPunct/>
        <w:bidi w:val="0"/>
        <w:spacing w:line="300" w:lineRule="auto"/>
        <w:ind w:firstLine="420" w:firstLineChars="200"/>
        <w:rPr>
          <w:rFonts w:hint="eastAsia"/>
          <w:highlight w:val="none"/>
        </w:rPr>
      </w:pPr>
      <w:r>
        <w:rPr>
          <w:rFonts w:hint="eastAsia"/>
          <w:highlight w:val="none"/>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4579919D">
      <w:pPr>
        <w:pageBreakBefore w:val="0"/>
        <w:kinsoku/>
        <w:wordWrap w:val="0"/>
        <w:overflowPunct/>
        <w:bidi w:val="0"/>
        <w:spacing w:line="300" w:lineRule="auto"/>
        <w:ind w:firstLine="420" w:firstLineChars="200"/>
        <w:rPr>
          <w:rFonts w:hint="eastAsia"/>
          <w:szCs w:val="21"/>
          <w:highlight w:val="none"/>
        </w:rPr>
      </w:pPr>
      <w:r>
        <w:rPr>
          <w:rFonts w:hint="eastAsia"/>
          <w:highlight w:val="none"/>
        </w:rPr>
        <w:t>3.6.2 投标文件应当对招标文件有关</w:t>
      </w:r>
      <w:r>
        <w:rPr>
          <w:rFonts w:hint="eastAsia"/>
          <w:szCs w:val="21"/>
          <w:highlight w:val="none"/>
        </w:rPr>
        <w:t>供货期、投标有效期、质量要求、</w:t>
      </w:r>
      <w:r>
        <w:rPr>
          <w:rFonts w:hint="eastAsia"/>
          <w:highlight w:val="none"/>
        </w:rPr>
        <w:t>货物需求一览表及技术要求</w:t>
      </w:r>
      <w:r>
        <w:rPr>
          <w:rFonts w:hint="eastAsia"/>
          <w:szCs w:val="21"/>
          <w:highlight w:val="none"/>
        </w:rPr>
        <w:t>、招标范围等实质性内容作出响应。</w:t>
      </w:r>
    </w:p>
    <w:p w14:paraId="76DD91BD">
      <w:pPr>
        <w:pageBreakBefore w:val="0"/>
        <w:kinsoku/>
        <w:wordWrap w:val="0"/>
        <w:overflowPunct/>
        <w:bidi w:val="0"/>
        <w:spacing w:line="300" w:lineRule="auto"/>
        <w:ind w:firstLine="420" w:firstLineChars="200"/>
        <w:rPr>
          <w:rFonts w:hint="eastAsia"/>
          <w:highlight w:val="none"/>
        </w:rPr>
      </w:pPr>
      <w:r>
        <w:rPr>
          <w:rFonts w:hint="eastAsia"/>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bookmarkEnd w:id="169"/>
    <w:bookmarkEnd w:id="170"/>
    <w:bookmarkEnd w:id="171"/>
    <w:bookmarkEnd w:id="172"/>
    <w:bookmarkEnd w:id="173"/>
    <w:bookmarkEnd w:id="174"/>
    <w:bookmarkEnd w:id="175"/>
    <w:p w14:paraId="444E6261">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176" w:name="_Toc247085713"/>
      <w:bookmarkStart w:id="177" w:name="_Toc468267458"/>
      <w:bookmarkStart w:id="178" w:name="_Toc246996199"/>
      <w:bookmarkStart w:id="179" w:name="_Toc144974523"/>
      <w:bookmarkStart w:id="180" w:name="_Toc409424316"/>
      <w:bookmarkStart w:id="181" w:name="_Toc152042331"/>
      <w:bookmarkStart w:id="182" w:name="_Toc152045555"/>
      <w:bookmarkStart w:id="183" w:name="_Toc409424377"/>
      <w:bookmarkStart w:id="184" w:name="_Toc179632573"/>
      <w:bookmarkStart w:id="185" w:name="_Toc246996942"/>
      <w:r>
        <w:rPr>
          <w:rFonts w:hint="eastAsia" w:ascii="Arial" w:hAnsi="Arial" w:eastAsia="黑体"/>
          <w:b/>
          <w:bCs/>
          <w:sz w:val="32"/>
          <w:szCs w:val="32"/>
          <w:highlight w:val="none"/>
        </w:rPr>
        <w:t>4. 投标</w:t>
      </w:r>
      <w:bookmarkEnd w:id="176"/>
      <w:bookmarkEnd w:id="177"/>
      <w:bookmarkEnd w:id="178"/>
      <w:bookmarkEnd w:id="179"/>
      <w:bookmarkEnd w:id="180"/>
      <w:bookmarkEnd w:id="181"/>
      <w:bookmarkEnd w:id="182"/>
      <w:bookmarkEnd w:id="183"/>
      <w:bookmarkEnd w:id="184"/>
      <w:bookmarkEnd w:id="185"/>
    </w:p>
    <w:p w14:paraId="509AB0AF">
      <w:pPr>
        <w:pageBreakBefore w:val="0"/>
        <w:kinsoku/>
        <w:wordWrap w:val="0"/>
        <w:overflowPunct/>
        <w:bidi w:val="0"/>
        <w:spacing w:line="300" w:lineRule="auto"/>
        <w:rPr>
          <w:rFonts w:hint="eastAsia" w:eastAsia="宋体"/>
          <w:b/>
          <w:highlight w:val="none"/>
          <w:lang w:eastAsia="zh-CN"/>
        </w:rPr>
      </w:pPr>
      <w:bookmarkStart w:id="186" w:name="_Toc152045556"/>
      <w:bookmarkStart w:id="187" w:name="_Toc246996200"/>
      <w:bookmarkStart w:id="188" w:name="_Toc152042332"/>
      <w:bookmarkStart w:id="189" w:name="_Toc179632574"/>
      <w:bookmarkStart w:id="190" w:name="_Toc246996943"/>
      <w:bookmarkStart w:id="191" w:name="_Toc144974524"/>
      <w:bookmarkStart w:id="192" w:name="_Toc247085714"/>
      <w:r>
        <w:rPr>
          <w:rFonts w:hint="eastAsia"/>
          <w:b/>
          <w:highlight w:val="none"/>
        </w:rPr>
        <w:t>4.1 投标文件的密封和标记</w:t>
      </w:r>
      <w:bookmarkEnd w:id="186"/>
      <w:bookmarkEnd w:id="187"/>
      <w:bookmarkEnd w:id="188"/>
      <w:bookmarkEnd w:id="189"/>
      <w:bookmarkEnd w:id="190"/>
      <w:bookmarkEnd w:id="191"/>
      <w:bookmarkEnd w:id="192"/>
      <w:r>
        <w:rPr>
          <w:rFonts w:hint="eastAsia"/>
          <w:b/>
          <w:highlight w:val="none"/>
          <w:lang w:eastAsia="zh-CN"/>
        </w:rPr>
        <w:t>（</w:t>
      </w:r>
      <w:r>
        <w:rPr>
          <w:rFonts w:hint="eastAsia"/>
          <w:b/>
          <w:highlight w:val="none"/>
          <w:lang w:val="en-US" w:eastAsia="zh-CN"/>
        </w:rPr>
        <w:t>电子标不适用</w:t>
      </w:r>
      <w:r>
        <w:rPr>
          <w:rFonts w:hint="eastAsia"/>
          <w:b/>
          <w:highlight w:val="none"/>
          <w:lang w:eastAsia="zh-CN"/>
        </w:rPr>
        <w:t>）</w:t>
      </w:r>
    </w:p>
    <w:p w14:paraId="2E675792">
      <w:pPr>
        <w:pageBreakBefore w:val="0"/>
        <w:kinsoku/>
        <w:wordWrap w:val="0"/>
        <w:overflowPunct/>
        <w:bidi w:val="0"/>
        <w:spacing w:line="300" w:lineRule="auto"/>
        <w:ind w:firstLine="420" w:firstLineChars="200"/>
        <w:rPr>
          <w:highlight w:val="none"/>
        </w:rPr>
      </w:pPr>
      <w:bookmarkStart w:id="193" w:name="_Toc152045557"/>
      <w:bookmarkStart w:id="194" w:name="_Toc246996944"/>
      <w:bookmarkStart w:id="195" w:name="_Toc179632575"/>
      <w:bookmarkStart w:id="196" w:name="_Toc152042333"/>
      <w:bookmarkStart w:id="197" w:name="_Toc144974525"/>
      <w:bookmarkStart w:id="198" w:name="_Toc247085715"/>
      <w:bookmarkStart w:id="199" w:name="_Toc246996201"/>
      <w:r>
        <w:rPr>
          <w:rFonts w:hint="eastAsia"/>
          <w:highlight w:val="none"/>
        </w:rPr>
        <w:t>4.1.1 投标文件应进行包装、加贴封条，</w:t>
      </w:r>
      <w:r>
        <w:rPr>
          <w:rFonts w:hint="eastAsia" w:ascii="宋体"/>
          <w:highlight w:val="none"/>
        </w:rPr>
        <w:t>外封套须在封口处加盖投标人单位章。</w:t>
      </w:r>
    </w:p>
    <w:p w14:paraId="14EBA7B8">
      <w:pPr>
        <w:pageBreakBefore w:val="0"/>
        <w:kinsoku/>
        <w:wordWrap w:val="0"/>
        <w:overflowPunct/>
        <w:bidi w:val="0"/>
        <w:spacing w:line="300" w:lineRule="auto"/>
        <w:ind w:firstLine="420" w:firstLineChars="200"/>
        <w:rPr>
          <w:highlight w:val="none"/>
        </w:rPr>
      </w:pPr>
      <w:r>
        <w:rPr>
          <w:rFonts w:hint="eastAsia"/>
          <w:highlight w:val="none"/>
        </w:rPr>
        <w:t>4.1.2 投标文件封套上应写明的内容见投标人须知前附表</w:t>
      </w:r>
      <w:r>
        <w:rPr>
          <w:rFonts w:hint="eastAsia" w:ascii="宋体"/>
          <w:highlight w:val="none"/>
        </w:rPr>
        <w:t>，并在内封套上标注正本、副本字样。另准备的开标一览表、电子版需单独密封提交。</w:t>
      </w:r>
    </w:p>
    <w:p w14:paraId="0FB56776">
      <w:pPr>
        <w:pageBreakBefore w:val="0"/>
        <w:kinsoku/>
        <w:wordWrap w:val="0"/>
        <w:overflowPunct/>
        <w:bidi w:val="0"/>
        <w:spacing w:line="300" w:lineRule="auto"/>
        <w:ind w:firstLine="420" w:firstLineChars="200"/>
        <w:rPr>
          <w:highlight w:val="none"/>
        </w:rPr>
      </w:pPr>
      <w:r>
        <w:rPr>
          <w:rFonts w:hint="eastAsia"/>
          <w:highlight w:val="none"/>
        </w:rPr>
        <w:t>4.1.3 未按本章第4.1.1项、第4.1.2项要求密封和加写标记的投标文件，采购人应予拒收。</w:t>
      </w:r>
    </w:p>
    <w:p w14:paraId="1E552656">
      <w:pPr>
        <w:pageBreakBefore w:val="0"/>
        <w:kinsoku/>
        <w:wordWrap w:val="0"/>
        <w:overflowPunct/>
        <w:bidi w:val="0"/>
        <w:spacing w:line="300" w:lineRule="auto"/>
        <w:rPr>
          <w:rFonts w:hint="eastAsia"/>
          <w:b/>
          <w:highlight w:val="none"/>
        </w:rPr>
      </w:pPr>
      <w:r>
        <w:rPr>
          <w:rFonts w:hint="eastAsia"/>
          <w:b/>
          <w:highlight w:val="none"/>
        </w:rPr>
        <w:t>4.2 投标文件的递交</w:t>
      </w:r>
      <w:bookmarkEnd w:id="193"/>
      <w:bookmarkEnd w:id="194"/>
      <w:bookmarkEnd w:id="195"/>
      <w:bookmarkEnd w:id="196"/>
      <w:bookmarkEnd w:id="197"/>
      <w:bookmarkEnd w:id="198"/>
      <w:bookmarkEnd w:id="199"/>
    </w:p>
    <w:p w14:paraId="228775D4">
      <w:pPr>
        <w:pageBreakBefore w:val="0"/>
        <w:kinsoku/>
        <w:wordWrap w:val="0"/>
        <w:overflowPunct/>
        <w:bidi w:val="0"/>
        <w:spacing w:line="300" w:lineRule="auto"/>
        <w:ind w:firstLine="420" w:firstLineChars="200"/>
        <w:rPr>
          <w:rFonts w:hint="eastAsia"/>
          <w:highlight w:val="none"/>
        </w:rPr>
      </w:pPr>
      <w:r>
        <w:rPr>
          <w:rFonts w:hint="eastAsia"/>
          <w:highlight w:val="none"/>
        </w:rPr>
        <w:t>4.2.1 投标人应在投标人须知前附表规定的投标截止时间前递交投标文件。</w:t>
      </w:r>
    </w:p>
    <w:p w14:paraId="735294C1">
      <w:pPr>
        <w:pageBreakBefore w:val="0"/>
        <w:kinsoku/>
        <w:wordWrap w:val="0"/>
        <w:overflowPunct/>
        <w:bidi w:val="0"/>
        <w:spacing w:line="300" w:lineRule="auto"/>
        <w:ind w:firstLine="420" w:firstLineChars="200"/>
        <w:rPr>
          <w:rFonts w:hint="eastAsia"/>
          <w:highlight w:val="none"/>
        </w:rPr>
      </w:pPr>
      <w:r>
        <w:rPr>
          <w:rFonts w:hint="eastAsia"/>
          <w:highlight w:val="none"/>
        </w:rPr>
        <w:t>4.2.2 投标人递交投标文件的地点：见投标人须知前附表。</w:t>
      </w:r>
    </w:p>
    <w:p w14:paraId="3B96EB3B">
      <w:pPr>
        <w:pageBreakBefore w:val="0"/>
        <w:kinsoku/>
        <w:wordWrap w:val="0"/>
        <w:overflowPunct/>
        <w:bidi w:val="0"/>
        <w:spacing w:line="300" w:lineRule="auto"/>
        <w:ind w:firstLine="420" w:firstLineChars="200"/>
        <w:rPr>
          <w:rFonts w:hint="eastAsia"/>
          <w:highlight w:val="none"/>
        </w:rPr>
      </w:pPr>
      <w:r>
        <w:rPr>
          <w:rFonts w:hint="eastAsia"/>
          <w:highlight w:val="none"/>
        </w:rPr>
        <w:t>4.2.3 除投标人须知前附表另有规定外，投标人所递交的投标文件不予退还。</w:t>
      </w:r>
    </w:p>
    <w:p w14:paraId="114FBD18">
      <w:pPr>
        <w:pageBreakBefore w:val="0"/>
        <w:kinsoku/>
        <w:wordWrap w:val="0"/>
        <w:overflowPunct/>
        <w:bidi w:val="0"/>
        <w:spacing w:line="300" w:lineRule="auto"/>
        <w:ind w:firstLine="420" w:firstLineChars="200"/>
        <w:rPr>
          <w:rFonts w:hint="eastAsia"/>
          <w:highlight w:val="none"/>
        </w:rPr>
      </w:pPr>
      <w:r>
        <w:rPr>
          <w:rFonts w:hint="eastAsia"/>
          <w:highlight w:val="none"/>
        </w:rPr>
        <w:t>4.2.4 采购人收到投标文件后，向投标人出具签收凭证。</w:t>
      </w:r>
    </w:p>
    <w:p w14:paraId="407B1BD9">
      <w:pPr>
        <w:pageBreakBefore w:val="0"/>
        <w:kinsoku/>
        <w:wordWrap w:val="0"/>
        <w:overflowPunct/>
        <w:bidi w:val="0"/>
        <w:spacing w:line="300" w:lineRule="auto"/>
        <w:ind w:firstLine="420" w:firstLineChars="200"/>
        <w:rPr>
          <w:rFonts w:hint="eastAsia"/>
          <w:highlight w:val="none"/>
        </w:rPr>
      </w:pPr>
      <w:r>
        <w:rPr>
          <w:rFonts w:hint="eastAsia"/>
          <w:highlight w:val="none"/>
        </w:rPr>
        <w:t>4.2.5 逾期送达的或者未送达指定地点的投标文件，采购人不予受理。</w:t>
      </w:r>
    </w:p>
    <w:p w14:paraId="2E621E04">
      <w:pPr>
        <w:pageBreakBefore w:val="0"/>
        <w:kinsoku/>
        <w:wordWrap w:val="0"/>
        <w:overflowPunct/>
        <w:bidi w:val="0"/>
        <w:spacing w:line="300" w:lineRule="auto"/>
        <w:rPr>
          <w:rFonts w:hint="eastAsia"/>
          <w:b/>
          <w:highlight w:val="none"/>
        </w:rPr>
      </w:pPr>
      <w:bookmarkStart w:id="200" w:name="_Toc179632576"/>
      <w:bookmarkStart w:id="201" w:name="_Toc144974526"/>
      <w:bookmarkStart w:id="202" w:name="_Toc247085716"/>
      <w:bookmarkStart w:id="203" w:name="_Toc246996945"/>
      <w:bookmarkStart w:id="204" w:name="_Toc152045558"/>
      <w:bookmarkStart w:id="205" w:name="_Toc246996202"/>
      <w:bookmarkStart w:id="206" w:name="_Toc152042334"/>
      <w:r>
        <w:rPr>
          <w:rFonts w:hint="eastAsia"/>
          <w:b/>
          <w:highlight w:val="none"/>
        </w:rPr>
        <w:t>4.3 投标文件的修改与撤回</w:t>
      </w:r>
      <w:bookmarkEnd w:id="200"/>
      <w:bookmarkEnd w:id="201"/>
      <w:bookmarkEnd w:id="202"/>
      <w:bookmarkEnd w:id="203"/>
      <w:bookmarkEnd w:id="204"/>
      <w:bookmarkEnd w:id="205"/>
      <w:bookmarkEnd w:id="206"/>
    </w:p>
    <w:p w14:paraId="391F02B2">
      <w:pPr>
        <w:pageBreakBefore w:val="0"/>
        <w:kinsoku/>
        <w:wordWrap w:val="0"/>
        <w:overflowPunct/>
        <w:bidi w:val="0"/>
        <w:spacing w:line="300" w:lineRule="auto"/>
        <w:ind w:firstLine="420" w:firstLineChars="200"/>
        <w:rPr>
          <w:rFonts w:hint="eastAsia"/>
          <w:highlight w:val="none"/>
        </w:rPr>
      </w:pPr>
      <w:r>
        <w:rPr>
          <w:rFonts w:hint="eastAsia"/>
          <w:highlight w:val="none"/>
        </w:rPr>
        <w:t>4.3.1 在本章第2.2.2项规定的投标截止时间前，投标人可以修改或撤回已递交的投标文件，但应以书面形式通知采购人。</w:t>
      </w:r>
    </w:p>
    <w:p w14:paraId="0C365D95">
      <w:pPr>
        <w:pageBreakBefore w:val="0"/>
        <w:kinsoku/>
        <w:wordWrap w:val="0"/>
        <w:overflowPunct/>
        <w:bidi w:val="0"/>
        <w:spacing w:line="300" w:lineRule="auto"/>
        <w:ind w:firstLine="420" w:firstLineChars="200"/>
        <w:rPr>
          <w:rFonts w:hint="eastAsia"/>
          <w:highlight w:val="none"/>
        </w:rPr>
      </w:pPr>
      <w:r>
        <w:rPr>
          <w:rFonts w:hint="eastAsia"/>
          <w:highlight w:val="none"/>
        </w:rPr>
        <w:t>4.3.2 投标人修改或撤回已递交投标文件的书面通知应按照本章第3.6.3项的要求签字或盖章。采购人收到书面通知后，向投标人出具签收凭证。</w:t>
      </w:r>
    </w:p>
    <w:p w14:paraId="40C32484">
      <w:pPr>
        <w:pageBreakBefore w:val="0"/>
        <w:kinsoku/>
        <w:wordWrap w:val="0"/>
        <w:overflowPunct/>
        <w:bidi w:val="0"/>
        <w:spacing w:line="300" w:lineRule="auto"/>
        <w:ind w:firstLine="420" w:firstLineChars="200"/>
        <w:rPr>
          <w:rFonts w:hint="eastAsia"/>
          <w:highlight w:val="none"/>
        </w:rPr>
      </w:pPr>
      <w:r>
        <w:rPr>
          <w:rFonts w:hint="eastAsia"/>
          <w:highlight w:val="none"/>
        </w:rPr>
        <w:t>4.3.3 投标人撤回投标文件的，采购人自收到投标人书面撤回通知之日起5日内退还已收取的投标保证金。</w:t>
      </w:r>
    </w:p>
    <w:p w14:paraId="21AEC526">
      <w:pPr>
        <w:pageBreakBefore w:val="0"/>
        <w:kinsoku/>
        <w:wordWrap w:val="0"/>
        <w:overflowPunct/>
        <w:bidi w:val="0"/>
        <w:spacing w:line="300" w:lineRule="auto"/>
        <w:ind w:firstLine="420" w:firstLineChars="200"/>
        <w:rPr>
          <w:rFonts w:hint="eastAsia"/>
          <w:highlight w:val="none"/>
        </w:rPr>
      </w:pPr>
      <w:r>
        <w:rPr>
          <w:rFonts w:hint="eastAsia"/>
          <w:highlight w:val="none"/>
        </w:rPr>
        <w:t>4.3.4 修改的内容为投标文件的组成部分。修改的投标文件应按照本章第3条、第4条规定进行编制、密封、标记和递交，并标明“修改”字样。</w:t>
      </w:r>
    </w:p>
    <w:p w14:paraId="0F9E81AB">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07" w:name="_Toc468267459"/>
      <w:bookmarkStart w:id="208" w:name="_Toc409424317"/>
      <w:bookmarkStart w:id="209" w:name="_Toc152045559"/>
      <w:bookmarkStart w:id="210" w:name="_Toc246996203"/>
      <w:bookmarkStart w:id="211" w:name="_Toc144974527"/>
      <w:bookmarkStart w:id="212" w:name="_Toc409424378"/>
      <w:bookmarkStart w:id="213" w:name="_Toc246996946"/>
      <w:bookmarkStart w:id="214" w:name="_Toc179632577"/>
      <w:bookmarkStart w:id="215" w:name="_Toc152042335"/>
      <w:bookmarkStart w:id="216" w:name="_Toc247085717"/>
      <w:r>
        <w:rPr>
          <w:rFonts w:hint="eastAsia" w:ascii="Arial" w:hAnsi="Arial" w:eastAsia="黑体"/>
          <w:b/>
          <w:bCs/>
          <w:sz w:val="32"/>
          <w:szCs w:val="32"/>
          <w:highlight w:val="none"/>
        </w:rPr>
        <w:t>5. 开标</w:t>
      </w:r>
      <w:bookmarkEnd w:id="207"/>
      <w:bookmarkEnd w:id="208"/>
      <w:bookmarkEnd w:id="209"/>
      <w:bookmarkEnd w:id="210"/>
      <w:bookmarkEnd w:id="211"/>
      <w:bookmarkEnd w:id="212"/>
      <w:bookmarkEnd w:id="213"/>
      <w:bookmarkEnd w:id="214"/>
      <w:bookmarkEnd w:id="215"/>
      <w:bookmarkEnd w:id="216"/>
    </w:p>
    <w:p w14:paraId="54B66775">
      <w:pPr>
        <w:pageBreakBefore w:val="0"/>
        <w:kinsoku/>
        <w:wordWrap w:val="0"/>
        <w:overflowPunct/>
        <w:bidi w:val="0"/>
        <w:spacing w:line="300" w:lineRule="auto"/>
        <w:rPr>
          <w:rFonts w:hint="eastAsia"/>
          <w:b/>
          <w:highlight w:val="none"/>
        </w:rPr>
      </w:pPr>
      <w:bookmarkStart w:id="217" w:name="_Toc152042336"/>
      <w:bookmarkStart w:id="218" w:name="_Toc246996204"/>
      <w:bookmarkStart w:id="219" w:name="_Toc144974528"/>
      <w:bookmarkStart w:id="220" w:name="_Toc246996947"/>
      <w:bookmarkStart w:id="221" w:name="_Toc179632578"/>
      <w:bookmarkStart w:id="222" w:name="_Toc247085718"/>
      <w:bookmarkStart w:id="223" w:name="_Toc152045560"/>
      <w:r>
        <w:rPr>
          <w:rFonts w:hint="eastAsia"/>
          <w:b/>
          <w:highlight w:val="none"/>
        </w:rPr>
        <w:t>5.1 开标时间和地点</w:t>
      </w:r>
      <w:bookmarkEnd w:id="217"/>
      <w:bookmarkEnd w:id="218"/>
      <w:bookmarkEnd w:id="219"/>
      <w:bookmarkEnd w:id="220"/>
      <w:bookmarkEnd w:id="221"/>
      <w:bookmarkEnd w:id="222"/>
      <w:bookmarkEnd w:id="223"/>
    </w:p>
    <w:p w14:paraId="4AA63B2E">
      <w:pPr>
        <w:pageBreakBefore w:val="0"/>
        <w:kinsoku/>
        <w:wordWrap w:val="0"/>
        <w:overflowPunct/>
        <w:bidi w:val="0"/>
        <w:spacing w:line="300" w:lineRule="auto"/>
        <w:ind w:firstLine="420" w:firstLineChars="200"/>
        <w:rPr>
          <w:rFonts w:hint="eastAsia"/>
          <w:highlight w:val="none"/>
        </w:rPr>
      </w:pPr>
      <w:r>
        <w:rPr>
          <w:rFonts w:hint="eastAsia"/>
          <w:highlight w:val="none"/>
        </w:rPr>
        <w:t>采购人在本章投标人须知前附表规定的投标截止时间（开标时间）和投标人须知前附表规定的地点公开开标，并邀请所有投标人的法定代表人或其委托代理人准时参加。</w:t>
      </w:r>
    </w:p>
    <w:p w14:paraId="4EDED2BD">
      <w:pPr>
        <w:pageBreakBefore w:val="0"/>
        <w:kinsoku/>
        <w:wordWrap w:val="0"/>
        <w:overflowPunct/>
        <w:bidi w:val="0"/>
        <w:spacing w:line="300" w:lineRule="auto"/>
        <w:rPr>
          <w:rFonts w:hint="eastAsia"/>
          <w:b/>
          <w:highlight w:val="none"/>
        </w:rPr>
      </w:pPr>
      <w:bookmarkStart w:id="224" w:name="_Toc246996205"/>
      <w:bookmarkStart w:id="225" w:name="_Toc152042337"/>
      <w:bookmarkStart w:id="226" w:name="_Toc247085719"/>
      <w:bookmarkStart w:id="227" w:name="_Toc144974529"/>
      <w:bookmarkStart w:id="228" w:name="_Toc246996948"/>
      <w:bookmarkStart w:id="229" w:name="_Toc179632579"/>
      <w:bookmarkStart w:id="230" w:name="_Toc152045561"/>
      <w:r>
        <w:rPr>
          <w:rFonts w:hint="eastAsia"/>
          <w:b/>
          <w:highlight w:val="none"/>
        </w:rPr>
        <w:t>5.2 开标程序</w:t>
      </w:r>
      <w:bookmarkEnd w:id="224"/>
      <w:bookmarkEnd w:id="225"/>
      <w:bookmarkEnd w:id="226"/>
      <w:bookmarkEnd w:id="227"/>
      <w:bookmarkEnd w:id="228"/>
      <w:bookmarkEnd w:id="229"/>
      <w:bookmarkEnd w:id="230"/>
    </w:p>
    <w:p w14:paraId="3F086BD0">
      <w:pPr>
        <w:pageBreakBefore w:val="0"/>
        <w:kinsoku/>
        <w:wordWrap w:val="0"/>
        <w:overflowPunct/>
        <w:bidi w:val="0"/>
        <w:spacing w:line="300" w:lineRule="auto"/>
        <w:ind w:firstLine="420" w:firstLineChars="200"/>
        <w:rPr>
          <w:rFonts w:hint="eastAsia"/>
          <w:highlight w:val="none"/>
        </w:rPr>
      </w:pPr>
      <w:r>
        <w:rPr>
          <w:rFonts w:hint="eastAsia"/>
          <w:highlight w:val="none"/>
        </w:rPr>
        <w:t>主持人按下列程序进行开标：</w:t>
      </w:r>
    </w:p>
    <w:p w14:paraId="5DF46CFE">
      <w:pPr>
        <w:pageBreakBefore w:val="0"/>
        <w:kinsoku/>
        <w:wordWrap w:val="0"/>
        <w:overflowPunct/>
        <w:bidi w:val="0"/>
        <w:spacing w:line="300" w:lineRule="auto"/>
        <w:ind w:firstLine="359" w:firstLineChars="171"/>
        <w:rPr>
          <w:rFonts w:hint="eastAsia"/>
          <w:highlight w:val="none"/>
        </w:rPr>
      </w:pPr>
      <w:r>
        <w:rPr>
          <w:rFonts w:hint="eastAsia"/>
          <w:highlight w:val="none"/>
        </w:rPr>
        <w:t>（1）宣布开标纪律；</w:t>
      </w:r>
    </w:p>
    <w:p w14:paraId="3F201629">
      <w:pPr>
        <w:pageBreakBefore w:val="0"/>
        <w:kinsoku/>
        <w:wordWrap w:val="0"/>
        <w:overflowPunct/>
        <w:bidi w:val="0"/>
        <w:spacing w:line="300" w:lineRule="auto"/>
        <w:ind w:firstLine="359" w:firstLineChars="171"/>
        <w:rPr>
          <w:rFonts w:hint="eastAsia"/>
          <w:highlight w:val="none"/>
        </w:rPr>
      </w:pPr>
      <w:r>
        <w:rPr>
          <w:rFonts w:hint="eastAsia"/>
          <w:highlight w:val="none"/>
        </w:rPr>
        <w:t>（2）公布在投标截止时间前递交投标文件的投标人名称，并点名确认投标人是否派人到场；</w:t>
      </w:r>
    </w:p>
    <w:p w14:paraId="4333AE93">
      <w:pPr>
        <w:pageBreakBefore w:val="0"/>
        <w:kinsoku/>
        <w:wordWrap w:val="0"/>
        <w:overflowPunct/>
        <w:bidi w:val="0"/>
        <w:spacing w:line="300" w:lineRule="auto"/>
        <w:ind w:firstLine="359" w:firstLineChars="171"/>
        <w:rPr>
          <w:rFonts w:hint="eastAsia"/>
          <w:highlight w:val="none"/>
        </w:rPr>
      </w:pPr>
      <w:r>
        <w:rPr>
          <w:rFonts w:hint="eastAsia"/>
          <w:highlight w:val="none"/>
        </w:rPr>
        <w:t>（3）宣布开标人、唱标人、记录人、监标人等有关人员姓名；</w:t>
      </w:r>
    </w:p>
    <w:p w14:paraId="35B39738">
      <w:pPr>
        <w:pageBreakBefore w:val="0"/>
        <w:kinsoku/>
        <w:wordWrap w:val="0"/>
        <w:overflowPunct/>
        <w:bidi w:val="0"/>
        <w:spacing w:line="300" w:lineRule="auto"/>
        <w:ind w:firstLine="359" w:firstLineChars="171"/>
        <w:rPr>
          <w:rFonts w:hint="eastAsia"/>
          <w:highlight w:val="none"/>
        </w:rPr>
      </w:pPr>
      <w:r>
        <w:rPr>
          <w:rFonts w:hint="eastAsia"/>
          <w:highlight w:val="none"/>
        </w:rPr>
        <w:t>（4）按照投标人须知前附表规定检查投标文件的密封情况；</w:t>
      </w:r>
    </w:p>
    <w:p w14:paraId="2848A0C1">
      <w:pPr>
        <w:pageBreakBefore w:val="0"/>
        <w:kinsoku/>
        <w:wordWrap w:val="0"/>
        <w:overflowPunct/>
        <w:bidi w:val="0"/>
        <w:spacing w:line="300" w:lineRule="auto"/>
        <w:ind w:firstLine="359" w:firstLineChars="171"/>
        <w:rPr>
          <w:rFonts w:hint="eastAsia"/>
          <w:highlight w:val="none"/>
        </w:rPr>
      </w:pPr>
      <w:r>
        <w:rPr>
          <w:rFonts w:hint="eastAsia"/>
          <w:highlight w:val="none"/>
        </w:rPr>
        <w:t>（5）按照投标人须知前附表的规定确定并宣布投标文件开标顺序；</w:t>
      </w:r>
    </w:p>
    <w:p w14:paraId="6FAE5648">
      <w:pPr>
        <w:pageBreakBefore w:val="0"/>
        <w:kinsoku/>
        <w:wordWrap w:val="0"/>
        <w:overflowPunct/>
        <w:bidi w:val="0"/>
        <w:spacing w:line="300" w:lineRule="auto"/>
        <w:ind w:firstLine="359" w:firstLineChars="171"/>
        <w:rPr>
          <w:rFonts w:hint="eastAsia"/>
          <w:highlight w:val="none"/>
        </w:rPr>
      </w:pPr>
      <w:r>
        <w:rPr>
          <w:rFonts w:hint="eastAsia"/>
          <w:highlight w:val="none"/>
        </w:rPr>
        <w:t>（6）按照宣布的开标顺序当众开标，公布投标人名称、投标保证金的递交情况、投标报价、质量标准、供货期及其他内容，并记录在案；</w:t>
      </w:r>
    </w:p>
    <w:p w14:paraId="129DBD88">
      <w:pPr>
        <w:pageBreakBefore w:val="0"/>
        <w:kinsoku/>
        <w:wordWrap w:val="0"/>
        <w:overflowPunct/>
        <w:bidi w:val="0"/>
        <w:spacing w:line="300" w:lineRule="auto"/>
        <w:ind w:firstLine="359" w:firstLineChars="171"/>
        <w:rPr>
          <w:rFonts w:hint="eastAsia"/>
          <w:highlight w:val="none"/>
        </w:rPr>
      </w:pPr>
      <w:r>
        <w:rPr>
          <w:rFonts w:hint="eastAsia"/>
          <w:highlight w:val="none"/>
        </w:rPr>
        <w:t>（7）规定采购预算的，公布采购预算；</w:t>
      </w:r>
    </w:p>
    <w:p w14:paraId="33ED9484">
      <w:pPr>
        <w:pageBreakBefore w:val="0"/>
        <w:kinsoku/>
        <w:wordWrap w:val="0"/>
        <w:overflowPunct/>
        <w:bidi w:val="0"/>
        <w:spacing w:line="300" w:lineRule="auto"/>
        <w:ind w:firstLine="359" w:firstLineChars="171"/>
        <w:rPr>
          <w:rFonts w:hint="eastAsia"/>
          <w:highlight w:val="none"/>
        </w:rPr>
      </w:pPr>
      <w:r>
        <w:rPr>
          <w:rFonts w:hint="eastAsia"/>
          <w:highlight w:val="none"/>
        </w:rPr>
        <w:t>（8）投标人代表、采购人代表、监标人、记录人等有关人员在开标记录上签字确认；</w:t>
      </w:r>
    </w:p>
    <w:p w14:paraId="3BCEB760">
      <w:pPr>
        <w:pageBreakBefore w:val="0"/>
        <w:kinsoku/>
        <w:wordWrap w:val="0"/>
        <w:overflowPunct/>
        <w:bidi w:val="0"/>
        <w:spacing w:line="300" w:lineRule="auto"/>
        <w:ind w:firstLine="359" w:firstLineChars="171"/>
        <w:rPr>
          <w:rFonts w:hint="eastAsia"/>
          <w:highlight w:val="none"/>
        </w:rPr>
      </w:pPr>
      <w:r>
        <w:rPr>
          <w:rFonts w:hint="eastAsia"/>
          <w:highlight w:val="none"/>
        </w:rPr>
        <w:t>（9）投标人若有异议应当当场提出；</w:t>
      </w:r>
    </w:p>
    <w:p w14:paraId="4FF58B85">
      <w:pPr>
        <w:pageBreakBefore w:val="0"/>
        <w:kinsoku/>
        <w:wordWrap w:val="0"/>
        <w:overflowPunct/>
        <w:bidi w:val="0"/>
        <w:spacing w:line="300" w:lineRule="auto"/>
        <w:ind w:firstLine="359" w:firstLineChars="171"/>
        <w:rPr>
          <w:rFonts w:hint="eastAsia"/>
          <w:highlight w:val="none"/>
        </w:rPr>
      </w:pPr>
      <w:r>
        <w:rPr>
          <w:rFonts w:hint="eastAsia"/>
          <w:highlight w:val="none"/>
        </w:rPr>
        <w:t>（10）开标结束。</w:t>
      </w:r>
    </w:p>
    <w:p w14:paraId="46EF01BB">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31" w:name="_Toc246996949"/>
      <w:bookmarkStart w:id="232" w:name="_Toc144974530"/>
      <w:bookmarkStart w:id="233" w:name="_Toc409424379"/>
      <w:bookmarkStart w:id="234" w:name="_Toc247085720"/>
      <w:bookmarkStart w:id="235" w:name="_Toc152045562"/>
      <w:bookmarkStart w:id="236" w:name="_Toc152042338"/>
      <w:bookmarkStart w:id="237" w:name="_Toc246996206"/>
      <w:bookmarkStart w:id="238" w:name="_Toc409424318"/>
      <w:bookmarkStart w:id="239" w:name="_Toc179632580"/>
      <w:bookmarkStart w:id="240" w:name="_Toc468267460"/>
      <w:r>
        <w:rPr>
          <w:rFonts w:hint="eastAsia" w:ascii="Arial" w:hAnsi="Arial" w:eastAsia="黑体"/>
          <w:b/>
          <w:bCs/>
          <w:sz w:val="32"/>
          <w:szCs w:val="32"/>
          <w:highlight w:val="none"/>
        </w:rPr>
        <w:t>6. 评标</w:t>
      </w:r>
      <w:bookmarkEnd w:id="231"/>
      <w:bookmarkEnd w:id="232"/>
      <w:bookmarkEnd w:id="233"/>
      <w:bookmarkEnd w:id="234"/>
      <w:bookmarkEnd w:id="235"/>
      <w:bookmarkEnd w:id="236"/>
      <w:bookmarkEnd w:id="237"/>
      <w:bookmarkEnd w:id="238"/>
      <w:bookmarkEnd w:id="239"/>
      <w:bookmarkEnd w:id="240"/>
    </w:p>
    <w:p w14:paraId="6728EAEE">
      <w:pPr>
        <w:pageBreakBefore w:val="0"/>
        <w:kinsoku/>
        <w:wordWrap w:val="0"/>
        <w:overflowPunct/>
        <w:bidi w:val="0"/>
        <w:spacing w:line="300" w:lineRule="auto"/>
        <w:rPr>
          <w:rFonts w:hint="eastAsia"/>
          <w:b/>
          <w:highlight w:val="none"/>
        </w:rPr>
      </w:pPr>
      <w:bookmarkStart w:id="241" w:name="_Toc247085721"/>
      <w:bookmarkStart w:id="242" w:name="_Toc179632581"/>
      <w:bookmarkStart w:id="243" w:name="_Toc246996207"/>
      <w:bookmarkStart w:id="244" w:name="_Toc144974531"/>
      <w:bookmarkStart w:id="245" w:name="_Toc152045563"/>
      <w:bookmarkStart w:id="246" w:name="_Toc152042339"/>
      <w:bookmarkStart w:id="247" w:name="_Toc246996950"/>
      <w:r>
        <w:rPr>
          <w:rFonts w:hint="eastAsia"/>
          <w:b/>
          <w:highlight w:val="none"/>
        </w:rPr>
        <w:t>6.1 评标委员会</w:t>
      </w:r>
      <w:bookmarkEnd w:id="241"/>
      <w:bookmarkEnd w:id="242"/>
      <w:bookmarkEnd w:id="243"/>
      <w:bookmarkEnd w:id="244"/>
      <w:bookmarkEnd w:id="245"/>
      <w:bookmarkEnd w:id="246"/>
      <w:bookmarkEnd w:id="247"/>
    </w:p>
    <w:p w14:paraId="2C036E3A">
      <w:pPr>
        <w:pageBreakBefore w:val="0"/>
        <w:kinsoku/>
        <w:wordWrap w:val="0"/>
        <w:overflowPunct/>
        <w:bidi w:val="0"/>
        <w:spacing w:line="300" w:lineRule="auto"/>
        <w:ind w:firstLine="420" w:firstLineChars="200"/>
        <w:rPr>
          <w:rFonts w:hint="eastAsia"/>
          <w:highlight w:val="none"/>
        </w:rPr>
      </w:pPr>
      <w:r>
        <w:rPr>
          <w:rFonts w:hint="eastAsia"/>
          <w:highlight w:val="none"/>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2EA63A53">
      <w:pPr>
        <w:pageBreakBefore w:val="0"/>
        <w:kinsoku/>
        <w:wordWrap w:val="0"/>
        <w:overflowPunct/>
        <w:bidi w:val="0"/>
        <w:spacing w:line="300" w:lineRule="auto"/>
        <w:ind w:firstLine="420" w:firstLineChars="200"/>
        <w:rPr>
          <w:rFonts w:hint="eastAsia"/>
          <w:highlight w:val="none"/>
        </w:rPr>
      </w:pPr>
      <w:r>
        <w:rPr>
          <w:rFonts w:hint="eastAsia"/>
          <w:highlight w:val="none"/>
        </w:rPr>
        <w:t>6.1.2 评标委员会成员有下列情形之一的，应当回避：</w:t>
      </w:r>
    </w:p>
    <w:p w14:paraId="43DCB7AC">
      <w:pPr>
        <w:pageBreakBefore w:val="0"/>
        <w:kinsoku/>
        <w:wordWrap w:val="0"/>
        <w:overflowPunct/>
        <w:bidi w:val="0"/>
        <w:spacing w:line="300" w:lineRule="auto"/>
        <w:ind w:firstLine="359" w:firstLineChars="171"/>
        <w:rPr>
          <w:rFonts w:hint="eastAsia"/>
          <w:highlight w:val="none"/>
        </w:rPr>
      </w:pPr>
      <w:r>
        <w:rPr>
          <w:rFonts w:hint="eastAsia"/>
          <w:highlight w:val="none"/>
        </w:rPr>
        <w:t>（1）投标人或投标人主要负责人的近亲属；</w:t>
      </w:r>
    </w:p>
    <w:p w14:paraId="5370AF04">
      <w:pPr>
        <w:pageBreakBefore w:val="0"/>
        <w:kinsoku/>
        <w:wordWrap w:val="0"/>
        <w:overflowPunct/>
        <w:bidi w:val="0"/>
        <w:spacing w:line="300" w:lineRule="auto"/>
        <w:ind w:firstLine="359" w:firstLineChars="171"/>
        <w:rPr>
          <w:rFonts w:hint="eastAsia"/>
          <w:highlight w:val="none"/>
        </w:rPr>
      </w:pPr>
      <w:r>
        <w:rPr>
          <w:rFonts w:hint="eastAsia"/>
          <w:highlight w:val="none"/>
        </w:rPr>
        <w:t>（2）项目主管部门或者行政监督部门的人员；</w:t>
      </w:r>
    </w:p>
    <w:p w14:paraId="4A25F833">
      <w:pPr>
        <w:pageBreakBefore w:val="0"/>
        <w:kinsoku/>
        <w:wordWrap w:val="0"/>
        <w:overflowPunct/>
        <w:bidi w:val="0"/>
        <w:spacing w:line="300" w:lineRule="auto"/>
        <w:ind w:firstLine="359" w:firstLineChars="171"/>
        <w:rPr>
          <w:rFonts w:hint="eastAsia"/>
          <w:highlight w:val="none"/>
        </w:rPr>
      </w:pPr>
      <w:r>
        <w:rPr>
          <w:rFonts w:hint="eastAsia"/>
          <w:highlight w:val="none"/>
        </w:rPr>
        <w:t>（3）与投标人有经济利益关系；</w:t>
      </w:r>
    </w:p>
    <w:p w14:paraId="63307A5C">
      <w:pPr>
        <w:pageBreakBefore w:val="0"/>
        <w:kinsoku/>
        <w:wordWrap w:val="0"/>
        <w:overflowPunct/>
        <w:bidi w:val="0"/>
        <w:spacing w:line="300" w:lineRule="auto"/>
        <w:ind w:firstLine="359" w:firstLineChars="171"/>
        <w:rPr>
          <w:rFonts w:hint="eastAsia"/>
          <w:highlight w:val="none"/>
        </w:rPr>
      </w:pPr>
      <w:r>
        <w:rPr>
          <w:rFonts w:hint="eastAsia"/>
          <w:highlight w:val="none"/>
        </w:rPr>
        <w:t>（4）曾因在招标、评标以及其他与招标投标有关活动中从事违法行为而受过行政处罚或刑事处罚的；</w:t>
      </w:r>
    </w:p>
    <w:p w14:paraId="5150584C">
      <w:pPr>
        <w:pageBreakBefore w:val="0"/>
        <w:kinsoku/>
        <w:wordWrap w:val="0"/>
        <w:overflowPunct/>
        <w:bidi w:val="0"/>
        <w:spacing w:line="300" w:lineRule="auto"/>
        <w:ind w:firstLine="359" w:firstLineChars="171"/>
        <w:rPr>
          <w:rFonts w:hint="eastAsia"/>
          <w:highlight w:val="none"/>
        </w:rPr>
      </w:pPr>
      <w:r>
        <w:rPr>
          <w:rFonts w:hint="eastAsia"/>
          <w:highlight w:val="none"/>
        </w:rPr>
        <w:t>（5）与投标人有其他利害关系。</w:t>
      </w:r>
    </w:p>
    <w:p w14:paraId="230AFAA6">
      <w:pPr>
        <w:pageBreakBefore w:val="0"/>
        <w:kinsoku/>
        <w:wordWrap w:val="0"/>
        <w:overflowPunct/>
        <w:bidi w:val="0"/>
        <w:spacing w:line="300" w:lineRule="auto"/>
        <w:rPr>
          <w:rFonts w:hint="eastAsia"/>
          <w:b/>
          <w:highlight w:val="none"/>
        </w:rPr>
      </w:pPr>
      <w:bookmarkStart w:id="248" w:name="_Toc152042340"/>
      <w:bookmarkStart w:id="249" w:name="_Toc144974532"/>
      <w:bookmarkStart w:id="250" w:name="_Toc247085722"/>
      <w:bookmarkStart w:id="251" w:name="_Toc246996951"/>
      <w:bookmarkStart w:id="252" w:name="_Toc152045564"/>
      <w:bookmarkStart w:id="253" w:name="_Toc179632582"/>
      <w:bookmarkStart w:id="254" w:name="_Toc246996208"/>
      <w:r>
        <w:rPr>
          <w:rFonts w:hint="eastAsia"/>
          <w:b/>
          <w:highlight w:val="none"/>
        </w:rPr>
        <w:t>6.2 评标原则</w:t>
      </w:r>
      <w:bookmarkEnd w:id="248"/>
      <w:bookmarkEnd w:id="249"/>
      <w:bookmarkEnd w:id="250"/>
      <w:bookmarkEnd w:id="251"/>
      <w:bookmarkEnd w:id="252"/>
      <w:bookmarkEnd w:id="253"/>
      <w:bookmarkEnd w:id="254"/>
    </w:p>
    <w:p w14:paraId="2C271EA8">
      <w:pPr>
        <w:pageBreakBefore w:val="0"/>
        <w:kinsoku/>
        <w:wordWrap w:val="0"/>
        <w:overflowPunct/>
        <w:bidi w:val="0"/>
        <w:spacing w:line="300" w:lineRule="auto"/>
        <w:ind w:firstLine="420" w:firstLineChars="200"/>
        <w:rPr>
          <w:rFonts w:hint="eastAsia"/>
          <w:highlight w:val="none"/>
        </w:rPr>
      </w:pPr>
      <w:r>
        <w:rPr>
          <w:rFonts w:hint="eastAsia"/>
          <w:highlight w:val="none"/>
        </w:rPr>
        <w:t>评标活动遵循公平、公正、科学和择优的原则。</w:t>
      </w:r>
    </w:p>
    <w:p w14:paraId="6A2042E5">
      <w:pPr>
        <w:pageBreakBefore w:val="0"/>
        <w:kinsoku/>
        <w:wordWrap w:val="0"/>
        <w:overflowPunct/>
        <w:bidi w:val="0"/>
        <w:spacing w:line="300" w:lineRule="auto"/>
        <w:rPr>
          <w:rFonts w:hint="eastAsia"/>
          <w:b/>
          <w:highlight w:val="none"/>
        </w:rPr>
      </w:pPr>
      <w:bookmarkStart w:id="255" w:name="_Toc246996952"/>
      <w:bookmarkStart w:id="256" w:name="_Toc144974533"/>
      <w:bookmarkStart w:id="257" w:name="_Toc152045565"/>
      <w:bookmarkStart w:id="258" w:name="_Toc246996209"/>
      <w:bookmarkStart w:id="259" w:name="_Toc152042341"/>
      <w:bookmarkStart w:id="260" w:name="_Toc247085723"/>
      <w:bookmarkStart w:id="261" w:name="_Toc179632583"/>
      <w:r>
        <w:rPr>
          <w:rFonts w:hint="eastAsia"/>
          <w:b/>
          <w:highlight w:val="none"/>
        </w:rPr>
        <w:t>6.3 评标</w:t>
      </w:r>
      <w:bookmarkEnd w:id="255"/>
      <w:bookmarkEnd w:id="256"/>
      <w:bookmarkEnd w:id="257"/>
      <w:bookmarkEnd w:id="258"/>
      <w:bookmarkEnd w:id="259"/>
      <w:bookmarkEnd w:id="260"/>
      <w:bookmarkEnd w:id="261"/>
    </w:p>
    <w:p w14:paraId="22587450">
      <w:pPr>
        <w:pageBreakBefore w:val="0"/>
        <w:kinsoku/>
        <w:wordWrap w:val="0"/>
        <w:overflowPunct/>
        <w:bidi w:val="0"/>
        <w:spacing w:line="300" w:lineRule="auto"/>
        <w:ind w:firstLine="420" w:firstLineChars="200"/>
        <w:rPr>
          <w:rFonts w:hint="eastAsia"/>
          <w:highlight w:val="none"/>
        </w:rPr>
      </w:pPr>
      <w:r>
        <w:rPr>
          <w:rFonts w:hint="eastAsia"/>
          <w:highlight w:val="none"/>
        </w:rPr>
        <w:t>评标委员会按照第三章“评标办法”规定的方法、评审因素、标准和程序对投标文件进行评审。第三章“评标办法”没有规定的方法、评审因素和标准，不作为评标依据。</w:t>
      </w:r>
    </w:p>
    <w:p w14:paraId="66DBBB30">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62" w:name="_Toc468267461"/>
      <w:bookmarkStart w:id="263" w:name="_Toc409424380"/>
      <w:bookmarkStart w:id="264" w:name="_Toc409424319"/>
      <w:bookmarkStart w:id="265" w:name="_Toc246996210"/>
      <w:bookmarkStart w:id="266" w:name="_Toc179632584"/>
      <w:bookmarkStart w:id="267" w:name="_Toc247085724"/>
      <w:bookmarkStart w:id="268" w:name="_Toc246996953"/>
      <w:bookmarkStart w:id="269" w:name="_Toc144974534"/>
      <w:bookmarkStart w:id="270" w:name="_Toc152042342"/>
      <w:bookmarkStart w:id="271" w:name="_Toc152045566"/>
      <w:r>
        <w:rPr>
          <w:rFonts w:hint="eastAsia" w:ascii="Arial" w:hAnsi="Arial" w:eastAsia="黑体"/>
          <w:b/>
          <w:bCs/>
          <w:sz w:val="32"/>
          <w:szCs w:val="32"/>
          <w:highlight w:val="none"/>
        </w:rPr>
        <w:t>7. 合同授予</w:t>
      </w:r>
      <w:bookmarkEnd w:id="262"/>
      <w:bookmarkEnd w:id="263"/>
      <w:bookmarkEnd w:id="264"/>
      <w:bookmarkEnd w:id="265"/>
      <w:bookmarkEnd w:id="266"/>
      <w:bookmarkEnd w:id="267"/>
      <w:bookmarkEnd w:id="268"/>
      <w:bookmarkEnd w:id="269"/>
      <w:bookmarkEnd w:id="270"/>
      <w:bookmarkEnd w:id="271"/>
    </w:p>
    <w:p w14:paraId="4D7F372F">
      <w:pPr>
        <w:pageBreakBefore w:val="0"/>
        <w:kinsoku/>
        <w:wordWrap w:val="0"/>
        <w:overflowPunct/>
        <w:bidi w:val="0"/>
        <w:spacing w:line="300" w:lineRule="auto"/>
        <w:rPr>
          <w:rFonts w:hint="eastAsia"/>
          <w:b/>
          <w:highlight w:val="none"/>
        </w:rPr>
      </w:pPr>
      <w:bookmarkStart w:id="272" w:name="_Toc152045567"/>
      <w:bookmarkStart w:id="273" w:name="_Toc247085725"/>
      <w:bookmarkStart w:id="274" w:name="_Toc246996211"/>
      <w:bookmarkStart w:id="275" w:name="_Toc179632585"/>
      <w:bookmarkStart w:id="276" w:name="_Toc152042343"/>
      <w:bookmarkStart w:id="277" w:name="_Toc144974535"/>
      <w:bookmarkStart w:id="278" w:name="_Toc246996954"/>
      <w:r>
        <w:rPr>
          <w:rFonts w:hint="eastAsia"/>
          <w:b/>
          <w:highlight w:val="none"/>
        </w:rPr>
        <w:t>7.1 定标方式</w:t>
      </w:r>
      <w:bookmarkEnd w:id="272"/>
      <w:bookmarkEnd w:id="273"/>
      <w:bookmarkEnd w:id="274"/>
      <w:bookmarkEnd w:id="275"/>
      <w:bookmarkEnd w:id="276"/>
      <w:bookmarkEnd w:id="277"/>
      <w:bookmarkEnd w:id="278"/>
    </w:p>
    <w:p w14:paraId="1B9473C4">
      <w:pPr>
        <w:pageBreakBefore w:val="0"/>
        <w:kinsoku/>
        <w:wordWrap w:val="0"/>
        <w:overflowPunct/>
        <w:bidi w:val="0"/>
        <w:spacing w:line="300" w:lineRule="auto"/>
        <w:ind w:firstLine="420" w:firstLineChars="200"/>
        <w:rPr>
          <w:rFonts w:hint="eastAsia" w:ascii="宋体" w:cs="仿宋_GB2312"/>
          <w:kern w:val="0"/>
          <w:szCs w:val="21"/>
          <w:highlight w:val="none"/>
        </w:rPr>
      </w:pPr>
      <w:r>
        <w:rPr>
          <w:rFonts w:hint="eastAsia" w:ascii="宋体" w:cs="仿宋_GB2312"/>
          <w:kern w:val="0"/>
          <w:szCs w:val="21"/>
          <w:highlight w:val="none"/>
        </w:rPr>
        <w:t>评标委员会直接确定中标人</w:t>
      </w:r>
    </w:p>
    <w:p w14:paraId="18E22254">
      <w:pPr>
        <w:pageBreakBefore w:val="0"/>
        <w:kinsoku/>
        <w:wordWrap w:val="0"/>
        <w:overflowPunct/>
        <w:bidi w:val="0"/>
        <w:spacing w:line="300" w:lineRule="auto"/>
        <w:rPr>
          <w:rFonts w:hint="eastAsia"/>
          <w:b/>
          <w:highlight w:val="none"/>
        </w:rPr>
      </w:pPr>
      <w:r>
        <w:rPr>
          <w:rFonts w:hint="eastAsia"/>
          <w:b/>
          <w:highlight w:val="none"/>
        </w:rPr>
        <w:t>7.2 中标结果公告</w:t>
      </w:r>
    </w:p>
    <w:p w14:paraId="2C2BA151">
      <w:pPr>
        <w:pageBreakBefore w:val="0"/>
        <w:kinsoku/>
        <w:wordWrap w:val="0"/>
        <w:overflowPunct/>
        <w:bidi w:val="0"/>
        <w:spacing w:line="300" w:lineRule="auto"/>
        <w:ind w:firstLine="420" w:firstLineChars="200"/>
        <w:rPr>
          <w:rFonts w:hint="eastAsia"/>
          <w:highlight w:val="none"/>
        </w:rPr>
      </w:pPr>
      <w:r>
        <w:rPr>
          <w:rFonts w:hint="eastAsia"/>
          <w:highlight w:val="none"/>
        </w:rPr>
        <w:t>详见投标人须知前附表。</w:t>
      </w:r>
    </w:p>
    <w:p w14:paraId="46E1524A">
      <w:pPr>
        <w:pageBreakBefore w:val="0"/>
        <w:kinsoku/>
        <w:wordWrap w:val="0"/>
        <w:overflowPunct/>
        <w:bidi w:val="0"/>
        <w:spacing w:line="300" w:lineRule="auto"/>
        <w:rPr>
          <w:rFonts w:hint="eastAsia"/>
          <w:b/>
          <w:highlight w:val="none"/>
        </w:rPr>
      </w:pPr>
      <w:bookmarkStart w:id="279" w:name="_Toc246996212"/>
      <w:bookmarkStart w:id="280" w:name="_Toc152042344"/>
      <w:bookmarkStart w:id="281" w:name="_Toc247085726"/>
      <w:bookmarkStart w:id="282" w:name="_Toc246996955"/>
      <w:bookmarkStart w:id="283" w:name="_Toc144974536"/>
      <w:bookmarkStart w:id="284" w:name="_Toc179632586"/>
      <w:bookmarkStart w:id="285" w:name="_Toc152045568"/>
      <w:r>
        <w:rPr>
          <w:rFonts w:hint="eastAsia"/>
          <w:b/>
          <w:highlight w:val="none"/>
        </w:rPr>
        <w:t>7.3 中标通知</w:t>
      </w:r>
      <w:bookmarkEnd w:id="279"/>
      <w:bookmarkEnd w:id="280"/>
      <w:bookmarkEnd w:id="281"/>
      <w:bookmarkEnd w:id="282"/>
      <w:bookmarkEnd w:id="283"/>
      <w:bookmarkEnd w:id="284"/>
      <w:bookmarkEnd w:id="285"/>
    </w:p>
    <w:p w14:paraId="243A9CB5">
      <w:pPr>
        <w:pageBreakBefore w:val="0"/>
        <w:kinsoku/>
        <w:wordWrap w:val="0"/>
        <w:overflowPunct/>
        <w:bidi w:val="0"/>
        <w:spacing w:line="300" w:lineRule="auto"/>
        <w:ind w:firstLine="420" w:firstLineChars="200"/>
        <w:rPr>
          <w:rFonts w:hint="eastAsia"/>
          <w:highlight w:val="none"/>
        </w:rPr>
      </w:pPr>
      <w:r>
        <w:rPr>
          <w:rFonts w:hint="eastAsia"/>
          <w:highlight w:val="none"/>
        </w:rPr>
        <w:t>在本章第3.3款规定的投标有效期内，采购人以书面形式向中标人发出中标通知书，同时将中标结果通知未中标的投标人。</w:t>
      </w:r>
    </w:p>
    <w:p w14:paraId="0F96906B">
      <w:pPr>
        <w:pageBreakBefore w:val="0"/>
        <w:kinsoku/>
        <w:wordWrap w:val="0"/>
        <w:overflowPunct/>
        <w:bidi w:val="0"/>
        <w:rPr>
          <w:b/>
          <w:highlight w:val="none"/>
        </w:rPr>
      </w:pPr>
      <w:r>
        <w:rPr>
          <w:b/>
          <w:highlight w:val="none"/>
        </w:rPr>
        <w:t>7.</w:t>
      </w:r>
      <w:r>
        <w:rPr>
          <w:rFonts w:hint="eastAsia"/>
          <w:b/>
          <w:highlight w:val="none"/>
        </w:rPr>
        <w:t>4 履约担保</w:t>
      </w:r>
    </w:p>
    <w:p w14:paraId="24D0A09C">
      <w:pPr>
        <w:pageBreakBefore w:val="0"/>
        <w:kinsoku/>
        <w:wordWrap w:val="0"/>
        <w:overflowPunct/>
        <w:autoSpaceDE w:val="0"/>
        <w:autoSpaceDN w:val="0"/>
        <w:bidi w:val="0"/>
        <w:adjustRightInd w:val="0"/>
        <w:spacing w:line="300" w:lineRule="auto"/>
        <w:ind w:firstLine="420" w:firstLineChars="200"/>
        <w:jc w:val="left"/>
        <w:rPr>
          <w:rFonts w:hint="eastAsia" w:ascii="宋体" w:cs="仿宋_GB2312"/>
          <w:kern w:val="0"/>
          <w:szCs w:val="21"/>
          <w:highlight w:val="none"/>
        </w:rPr>
      </w:pPr>
      <w:r>
        <w:rPr>
          <w:rFonts w:hint="eastAsia" w:ascii="宋体" w:cs="仿宋_GB2312"/>
          <w:kern w:val="0"/>
          <w:szCs w:val="21"/>
          <w:highlight w:val="none"/>
        </w:rPr>
        <w:t>7.4.1 在签订合同前，中标人应按投标人须知前附表规定的金额、担保形式向采购人提交履约担保。</w:t>
      </w:r>
    </w:p>
    <w:p w14:paraId="3219B391">
      <w:pPr>
        <w:pageBreakBefore w:val="0"/>
        <w:kinsoku/>
        <w:wordWrap w:val="0"/>
        <w:overflowPunct/>
        <w:autoSpaceDE w:val="0"/>
        <w:autoSpaceDN w:val="0"/>
        <w:bidi w:val="0"/>
        <w:adjustRightInd w:val="0"/>
        <w:spacing w:line="400" w:lineRule="exact"/>
        <w:ind w:firstLine="420" w:firstLineChars="200"/>
        <w:jc w:val="left"/>
        <w:rPr>
          <w:rFonts w:hint="eastAsia" w:ascii="宋体" w:cs="仿宋_GB2312"/>
          <w:kern w:val="0"/>
          <w:szCs w:val="21"/>
          <w:highlight w:val="none"/>
        </w:rPr>
      </w:pPr>
      <w:r>
        <w:rPr>
          <w:rFonts w:hint="eastAsia" w:ascii="宋体" w:cs="仿宋_GB2312"/>
          <w:kern w:val="0"/>
          <w:szCs w:val="21"/>
          <w:highlight w:val="none"/>
        </w:rPr>
        <w:t>7.4.2 中标人不能按本章第7.4.1项要求提交履约担保的，视为放弃中标，其投标保证金不予退还，给采购人造成的损失超过投标保证金数额的，中标人还应当对超过部分予以赔偿。</w:t>
      </w:r>
    </w:p>
    <w:p w14:paraId="689BC558">
      <w:pPr>
        <w:pageBreakBefore w:val="0"/>
        <w:kinsoku/>
        <w:wordWrap w:val="0"/>
        <w:overflowPunct/>
        <w:bidi w:val="0"/>
        <w:spacing w:line="300" w:lineRule="auto"/>
        <w:rPr>
          <w:rFonts w:hint="eastAsia"/>
          <w:b/>
          <w:highlight w:val="none"/>
        </w:rPr>
      </w:pPr>
      <w:bookmarkStart w:id="286" w:name="_Toc144974538"/>
      <w:bookmarkStart w:id="287" w:name="_Toc152045570"/>
      <w:bookmarkStart w:id="288" w:name="_Toc246996214"/>
      <w:bookmarkStart w:id="289" w:name="_Toc179632588"/>
      <w:bookmarkStart w:id="290" w:name="_Toc246996957"/>
      <w:bookmarkStart w:id="291" w:name="_Toc152042346"/>
      <w:bookmarkStart w:id="292" w:name="_Toc247085728"/>
      <w:r>
        <w:rPr>
          <w:rFonts w:hint="eastAsia"/>
          <w:b/>
          <w:highlight w:val="none"/>
        </w:rPr>
        <w:t>7.5 签订合同</w:t>
      </w:r>
      <w:bookmarkEnd w:id="286"/>
      <w:bookmarkEnd w:id="287"/>
      <w:bookmarkEnd w:id="288"/>
      <w:bookmarkEnd w:id="289"/>
      <w:bookmarkEnd w:id="290"/>
      <w:bookmarkEnd w:id="291"/>
      <w:bookmarkEnd w:id="292"/>
    </w:p>
    <w:p w14:paraId="58D8AD24">
      <w:pPr>
        <w:pageBreakBefore w:val="0"/>
        <w:kinsoku/>
        <w:wordWrap w:val="0"/>
        <w:overflowPunct/>
        <w:bidi w:val="0"/>
        <w:spacing w:line="300" w:lineRule="auto"/>
        <w:ind w:firstLine="420" w:firstLineChars="200"/>
        <w:rPr>
          <w:rFonts w:hint="eastAsia"/>
          <w:highlight w:val="none"/>
        </w:rPr>
      </w:pPr>
      <w:r>
        <w:rPr>
          <w:rFonts w:hint="eastAsia"/>
          <w:highlight w:val="none"/>
        </w:rPr>
        <w:t>7.5.1采购人和中标人应当自中标通知书发出之日起15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29DA5E10">
      <w:pPr>
        <w:pageBreakBefore w:val="0"/>
        <w:kinsoku/>
        <w:wordWrap w:val="0"/>
        <w:overflowPunct/>
        <w:bidi w:val="0"/>
        <w:spacing w:line="300" w:lineRule="auto"/>
        <w:ind w:firstLine="420" w:firstLineChars="200"/>
        <w:rPr>
          <w:rFonts w:hint="eastAsia"/>
          <w:highlight w:val="none"/>
        </w:rPr>
      </w:pPr>
      <w:r>
        <w:rPr>
          <w:rFonts w:hint="eastAsia"/>
          <w:highlight w:val="none"/>
        </w:rPr>
        <w:t>7.5.2 发出中标通知书后，采购人无正当理由拒签合同或未按规定递交履约担保的，采购人向中标人退还投标保证金；给中标人造成损失的，还应当赔偿损失。</w:t>
      </w:r>
    </w:p>
    <w:p w14:paraId="069D06F5">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93" w:name="_Toc468267462"/>
      <w:r>
        <w:rPr>
          <w:rFonts w:hint="eastAsia" w:ascii="Arial" w:hAnsi="Arial" w:eastAsia="黑体"/>
          <w:b/>
          <w:bCs/>
          <w:sz w:val="32"/>
          <w:szCs w:val="32"/>
          <w:highlight w:val="none"/>
        </w:rPr>
        <w:t>8. 重新招标</w:t>
      </w:r>
      <w:bookmarkEnd w:id="293"/>
    </w:p>
    <w:p w14:paraId="412C596D">
      <w:pPr>
        <w:pageBreakBefore w:val="0"/>
        <w:kinsoku/>
        <w:wordWrap w:val="0"/>
        <w:overflowPunct/>
        <w:bidi w:val="0"/>
        <w:spacing w:line="300" w:lineRule="auto"/>
        <w:rPr>
          <w:rFonts w:hint="eastAsia"/>
          <w:b/>
          <w:highlight w:val="none"/>
        </w:rPr>
      </w:pPr>
      <w:r>
        <w:rPr>
          <w:rFonts w:hint="eastAsia"/>
          <w:b/>
          <w:highlight w:val="none"/>
        </w:rPr>
        <w:t>8.1 重新招标</w:t>
      </w:r>
    </w:p>
    <w:p w14:paraId="433E29AF">
      <w:pPr>
        <w:pageBreakBefore w:val="0"/>
        <w:kinsoku/>
        <w:wordWrap w:val="0"/>
        <w:overflowPunct/>
        <w:bidi w:val="0"/>
        <w:spacing w:line="300" w:lineRule="auto"/>
        <w:ind w:firstLine="420" w:firstLineChars="200"/>
        <w:rPr>
          <w:rFonts w:hint="eastAsia"/>
          <w:highlight w:val="none"/>
        </w:rPr>
      </w:pPr>
      <w:r>
        <w:rPr>
          <w:rFonts w:hint="eastAsia"/>
          <w:highlight w:val="none"/>
        </w:rPr>
        <w:t>有下列情形之一的，采购人将重新招标：</w:t>
      </w:r>
    </w:p>
    <w:p w14:paraId="68DAB054">
      <w:pPr>
        <w:pageBreakBefore w:val="0"/>
        <w:kinsoku/>
        <w:wordWrap w:val="0"/>
        <w:overflowPunct/>
        <w:bidi w:val="0"/>
        <w:spacing w:line="300" w:lineRule="auto"/>
        <w:ind w:firstLine="420" w:firstLineChars="200"/>
        <w:rPr>
          <w:rFonts w:hint="eastAsia"/>
          <w:highlight w:val="none"/>
        </w:rPr>
      </w:pPr>
      <w:r>
        <w:rPr>
          <w:rFonts w:hint="eastAsia"/>
          <w:highlight w:val="none"/>
        </w:rPr>
        <w:t>（1）投标截止时间止，投标人少于3个的；</w:t>
      </w:r>
    </w:p>
    <w:p w14:paraId="30ACB28B">
      <w:pPr>
        <w:pageBreakBefore w:val="0"/>
        <w:kinsoku/>
        <w:wordWrap w:val="0"/>
        <w:overflowPunct/>
        <w:bidi w:val="0"/>
        <w:spacing w:line="300" w:lineRule="auto"/>
        <w:ind w:firstLine="420" w:firstLineChars="200"/>
        <w:rPr>
          <w:rFonts w:hint="eastAsia"/>
          <w:highlight w:val="none"/>
        </w:rPr>
      </w:pPr>
      <w:r>
        <w:rPr>
          <w:rFonts w:hint="eastAsia"/>
          <w:highlight w:val="none"/>
        </w:rPr>
        <w:t>（2）符合专业条件的投标人或者对招标文件作实质响应的投标人不足三家的。</w:t>
      </w:r>
    </w:p>
    <w:p w14:paraId="38E32CB4">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294" w:name="_Toc409424320"/>
      <w:bookmarkStart w:id="295" w:name="_Toc409424381"/>
      <w:bookmarkStart w:id="296" w:name="_Toc468267463"/>
      <w:r>
        <w:rPr>
          <w:rFonts w:hint="eastAsia" w:ascii="Arial" w:hAnsi="Arial" w:eastAsia="黑体"/>
          <w:b/>
          <w:bCs/>
          <w:sz w:val="32"/>
          <w:szCs w:val="32"/>
          <w:highlight w:val="none"/>
        </w:rPr>
        <w:t>9. 纪律和监督</w:t>
      </w:r>
      <w:bookmarkEnd w:id="294"/>
      <w:bookmarkEnd w:id="295"/>
      <w:bookmarkEnd w:id="296"/>
    </w:p>
    <w:p w14:paraId="535753A0">
      <w:pPr>
        <w:pageBreakBefore w:val="0"/>
        <w:kinsoku/>
        <w:wordWrap w:val="0"/>
        <w:overflowPunct/>
        <w:bidi w:val="0"/>
        <w:spacing w:line="300" w:lineRule="auto"/>
        <w:rPr>
          <w:rFonts w:hint="eastAsia"/>
          <w:b/>
          <w:highlight w:val="none"/>
        </w:rPr>
      </w:pPr>
      <w:bookmarkStart w:id="297" w:name="_Toc296590983"/>
      <w:bookmarkStart w:id="298" w:name="_Toc246996962"/>
      <w:bookmarkStart w:id="299" w:name="_Toc246996219"/>
      <w:bookmarkStart w:id="300" w:name="_Toc247085733"/>
      <w:bookmarkStart w:id="301" w:name="_Toc152042351"/>
      <w:bookmarkStart w:id="302" w:name="_Toc152045575"/>
      <w:bookmarkStart w:id="303" w:name="_Toc179632593"/>
      <w:bookmarkStart w:id="304" w:name="_Toc144974543"/>
      <w:r>
        <w:rPr>
          <w:rFonts w:hint="eastAsia"/>
          <w:b/>
          <w:highlight w:val="none"/>
        </w:rPr>
        <w:t>9.1 对采购人的纪律要求</w:t>
      </w:r>
      <w:bookmarkEnd w:id="297"/>
      <w:bookmarkEnd w:id="298"/>
      <w:bookmarkEnd w:id="299"/>
      <w:bookmarkEnd w:id="300"/>
      <w:bookmarkEnd w:id="301"/>
      <w:bookmarkEnd w:id="302"/>
      <w:bookmarkEnd w:id="303"/>
      <w:bookmarkEnd w:id="304"/>
    </w:p>
    <w:p w14:paraId="2B9985E3">
      <w:pPr>
        <w:pageBreakBefore w:val="0"/>
        <w:kinsoku/>
        <w:wordWrap w:val="0"/>
        <w:overflowPunct/>
        <w:bidi w:val="0"/>
        <w:spacing w:line="300" w:lineRule="auto"/>
        <w:ind w:firstLine="420" w:firstLineChars="200"/>
        <w:rPr>
          <w:rFonts w:hint="eastAsia"/>
          <w:highlight w:val="none"/>
        </w:rPr>
      </w:pPr>
      <w:r>
        <w:rPr>
          <w:rFonts w:hint="eastAsia"/>
          <w:highlight w:val="none"/>
        </w:rPr>
        <w:t>采购人不得泄漏招标投标活动中应当保密的情况和资料，不得与投标人串通损害国家利益、社会公共利益或者他人合法权益。</w:t>
      </w:r>
    </w:p>
    <w:p w14:paraId="6627AB15">
      <w:pPr>
        <w:pageBreakBefore w:val="0"/>
        <w:kinsoku/>
        <w:wordWrap w:val="0"/>
        <w:overflowPunct/>
        <w:bidi w:val="0"/>
        <w:spacing w:line="300" w:lineRule="auto"/>
        <w:rPr>
          <w:rFonts w:hint="eastAsia"/>
          <w:b/>
          <w:highlight w:val="none"/>
        </w:rPr>
      </w:pPr>
      <w:bookmarkStart w:id="305" w:name="_Toc179632594"/>
      <w:bookmarkStart w:id="306" w:name="_Toc152042352"/>
      <w:bookmarkStart w:id="307" w:name="_Toc246996220"/>
      <w:bookmarkStart w:id="308" w:name="_Toc246996963"/>
      <w:bookmarkStart w:id="309" w:name="_Toc247085734"/>
      <w:bookmarkStart w:id="310" w:name="_Toc152045576"/>
      <w:bookmarkStart w:id="311" w:name="_Toc144974544"/>
      <w:r>
        <w:rPr>
          <w:rFonts w:hint="eastAsia"/>
          <w:b/>
          <w:highlight w:val="none"/>
        </w:rPr>
        <w:t>9.2 对投标人的纪律要求</w:t>
      </w:r>
      <w:bookmarkEnd w:id="305"/>
      <w:bookmarkEnd w:id="306"/>
      <w:bookmarkEnd w:id="307"/>
      <w:bookmarkEnd w:id="308"/>
      <w:bookmarkEnd w:id="309"/>
      <w:bookmarkEnd w:id="310"/>
      <w:bookmarkEnd w:id="311"/>
    </w:p>
    <w:p w14:paraId="51770C87">
      <w:pPr>
        <w:pageBreakBefore w:val="0"/>
        <w:kinsoku/>
        <w:wordWrap w:val="0"/>
        <w:overflowPunct/>
        <w:bidi w:val="0"/>
        <w:spacing w:line="300" w:lineRule="auto"/>
        <w:ind w:firstLine="420" w:firstLineChars="200"/>
        <w:rPr>
          <w:rFonts w:hint="eastAsia"/>
          <w:highlight w:val="none"/>
        </w:rPr>
      </w:pPr>
      <w:r>
        <w:rPr>
          <w:rFonts w:hint="eastAsia"/>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7031D90E">
      <w:pPr>
        <w:pageBreakBefore w:val="0"/>
        <w:kinsoku/>
        <w:wordWrap w:val="0"/>
        <w:overflowPunct/>
        <w:bidi w:val="0"/>
        <w:spacing w:line="300" w:lineRule="auto"/>
        <w:rPr>
          <w:rFonts w:hint="eastAsia"/>
          <w:b/>
          <w:highlight w:val="none"/>
        </w:rPr>
      </w:pPr>
      <w:bookmarkStart w:id="312" w:name="_Toc152042353"/>
      <w:bookmarkStart w:id="313" w:name="_Toc179632595"/>
      <w:bookmarkStart w:id="314" w:name="_Toc144974545"/>
      <w:bookmarkStart w:id="315" w:name="_Toc246996221"/>
      <w:bookmarkStart w:id="316" w:name="_Toc246996964"/>
      <w:bookmarkStart w:id="317" w:name="_Toc247085735"/>
      <w:bookmarkStart w:id="318" w:name="_Toc152045577"/>
      <w:r>
        <w:rPr>
          <w:rFonts w:hint="eastAsia"/>
          <w:b/>
          <w:highlight w:val="none"/>
        </w:rPr>
        <w:t>9.3 对评标委员会成员的纪律要求</w:t>
      </w:r>
      <w:bookmarkEnd w:id="312"/>
      <w:bookmarkEnd w:id="313"/>
      <w:bookmarkEnd w:id="314"/>
      <w:bookmarkEnd w:id="315"/>
      <w:bookmarkEnd w:id="316"/>
      <w:bookmarkEnd w:id="317"/>
      <w:bookmarkEnd w:id="318"/>
    </w:p>
    <w:p w14:paraId="3B5F63AC">
      <w:pPr>
        <w:pageBreakBefore w:val="0"/>
        <w:kinsoku/>
        <w:wordWrap w:val="0"/>
        <w:overflowPunct/>
        <w:bidi w:val="0"/>
        <w:spacing w:line="300" w:lineRule="auto"/>
        <w:ind w:firstLine="420" w:firstLineChars="200"/>
        <w:rPr>
          <w:rFonts w:hint="eastAsia"/>
          <w:highlight w:val="none"/>
        </w:rPr>
      </w:pPr>
      <w:r>
        <w:rPr>
          <w:rFonts w:hint="eastAsia"/>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3FDEB690">
      <w:pPr>
        <w:pageBreakBefore w:val="0"/>
        <w:kinsoku/>
        <w:wordWrap w:val="0"/>
        <w:overflowPunct/>
        <w:bidi w:val="0"/>
        <w:spacing w:line="300" w:lineRule="auto"/>
        <w:rPr>
          <w:rFonts w:hint="eastAsia"/>
          <w:b/>
          <w:highlight w:val="none"/>
        </w:rPr>
      </w:pPr>
      <w:bookmarkStart w:id="319" w:name="_Toc152042354"/>
      <w:bookmarkStart w:id="320" w:name="_Toc247085736"/>
      <w:bookmarkStart w:id="321" w:name="_Toc246996965"/>
      <w:bookmarkStart w:id="322" w:name="_Toc246996222"/>
      <w:bookmarkStart w:id="323" w:name="_Toc179632596"/>
      <w:bookmarkStart w:id="324" w:name="_Toc152045578"/>
      <w:bookmarkStart w:id="325" w:name="_Toc144974546"/>
      <w:r>
        <w:rPr>
          <w:rFonts w:hint="eastAsia"/>
          <w:b/>
          <w:highlight w:val="none"/>
        </w:rPr>
        <w:t>9.4 对与评标活动有关的工作人员的纪律要求</w:t>
      </w:r>
      <w:bookmarkEnd w:id="319"/>
      <w:bookmarkEnd w:id="320"/>
      <w:bookmarkEnd w:id="321"/>
      <w:bookmarkEnd w:id="322"/>
      <w:bookmarkEnd w:id="323"/>
      <w:bookmarkEnd w:id="324"/>
    </w:p>
    <w:p w14:paraId="169030A3">
      <w:pPr>
        <w:pageBreakBefore w:val="0"/>
        <w:kinsoku/>
        <w:wordWrap w:val="0"/>
        <w:overflowPunct/>
        <w:bidi w:val="0"/>
        <w:spacing w:line="300" w:lineRule="auto"/>
        <w:ind w:firstLine="420" w:firstLineChars="200"/>
        <w:rPr>
          <w:rFonts w:hint="eastAsia"/>
          <w:highlight w:val="none"/>
        </w:rPr>
      </w:pPr>
      <w:bookmarkStart w:id="326" w:name="_Toc152042355"/>
      <w:r>
        <w:rPr>
          <w:rFonts w:hint="eastAsia"/>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6"/>
    </w:p>
    <w:p w14:paraId="3FA7DFAC">
      <w:pPr>
        <w:pageBreakBefore w:val="0"/>
        <w:kinsoku/>
        <w:wordWrap w:val="0"/>
        <w:overflowPunct/>
        <w:bidi w:val="0"/>
        <w:spacing w:line="300" w:lineRule="auto"/>
        <w:rPr>
          <w:rFonts w:hint="eastAsia"/>
          <w:b/>
          <w:highlight w:val="none"/>
        </w:rPr>
      </w:pPr>
      <w:bookmarkStart w:id="327" w:name="_Toc247085737"/>
      <w:bookmarkStart w:id="328" w:name="_Toc152045579"/>
      <w:bookmarkStart w:id="329" w:name="_Toc179632597"/>
      <w:bookmarkStart w:id="330" w:name="_Toc152042356"/>
      <w:bookmarkStart w:id="331" w:name="_Toc246996223"/>
      <w:bookmarkStart w:id="332" w:name="_Toc246996966"/>
      <w:r>
        <w:rPr>
          <w:rFonts w:hint="eastAsia"/>
          <w:b/>
          <w:highlight w:val="none"/>
        </w:rPr>
        <w:t>9.5 投诉</w:t>
      </w:r>
      <w:bookmarkEnd w:id="325"/>
      <w:bookmarkEnd w:id="327"/>
      <w:bookmarkEnd w:id="328"/>
      <w:bookmarkEnd w:id="329"/>
      <w:bookmarkEnd w:id="330"/>
      <w:bookmarkEnd w:id="331"/>
      <w:bookmarkEnd w:id="332"/>
    </w:p>
    <w:p w14:paraId="353592DB">
      <w:pPr>
        <w:pageBreakBefore w:val="0"/>
        <w:kinsoku/>
        <w:wordWrap w:val="0"/>
        <w:overflowPunct/>
        <w:bidi w:val="0"/>
        <w:spacing w:line="300" w:lineRule="auto"/>
        <w:ind w:firstLine="420" w:firstLineChars="200"/>
        <w:rPr>
          <w:rFonts w:hint="eastAsia"/>
          <w:highlight w:val="none"/>
        </w:rPr>
      </w:pPr>
      <w:r>
        <w:rPr>
          <w:rFonts w:hint="eastAsia"/>
          <w:highlight w:val="none"/>
        </w:rPr>
        <w:t>投标人和其他利害关系人认为本次招标活动违反法律、法规和规章规定的，有权向有关行政监督部门投诉。</w:t>
      </w:r>
    </w:p>
    <w:p w14:paraId="57E486EA">
      <w:pPr>
        <w:keepNext/>
        <w:keepLines/>
        <w:pageBreakBefore w:val="0"/>
        <w:kinsoku/>
        <w:wordWrap w:val="0"/>
        <w:overflowPunct/>
        <w:bidi w:val="0"/>
        <w:spacing w:line="300" w:lineRule="auto"/>
        <w:outlineLvl w:val="1"/>
        <w:rPr>
          <w:rFonts w:hint="eastAsia" w:ascii="Arial" w:hAnsi="Arial" w:eastAsia="黑体"/>
          <w:b/>
          <w:bCs/>
          <w:sz w:val="32"/>
          <w:szCs w:val="32"/>
          <w:highlight w:val="none"/>
        </w:rPr>
      </w:pPr>
      <w:bookmarkStart w:id="333" w:name="_Toc152042357"/>
      <w:bookmarkStart w:id="334" w:name="_Toc409424382"/>
      <w:bookmarkStart w:id="335" w:name="_Toc246996224"/>
      <w:bookmarkStart w:id="336" w:name="_Toc409424321"/>
      <w:bookmarkStart w:id="337" w:name="_Toc144974547"/>
      <w:bookmarkStart w:id="338" w:name="_Toc179632598"/>
      <w:bookmarkStart w:id="339" w:name="_Toc152045580"/>
      <w:bookmarkStart w:id="340" w:name="_Toc468267464"/>
      <w:bookmarkStart w:id="341" w:name="_Toc246996967"/>
      <w:bookmarkStart w:id="342" w:name="_Toc247085738"/>
      <w:r>
        <w:rPr>
          <w:rFonts w:hint="eastAsia" w:ascii="Arial" w:hAnsi="Arial" w:eastAsia="黑体"/>
          <w:b/>
          <w:bCs/>
          <w:sz w:val="32"/>
          <w:szCs w:val="32"/>
          <w:highlight w:val="none"/>
        </w:rPr>
        <w:t>10. 需要补充的其他内容</w:t>
      </w:r>
      <w:bookmarkEnd w:id="333"/>
      <w:bookmarkEnd w:id="334"/>
      <w:bookmarkEnd w:id="335"/>
      <w:bookmarkEnd w:id="336"/>
      <w:bookmarkEnd w:id="337"/>
      <w:bookmarkEnd w:id="338"/>
      <w:bookmarkEnd w:id="339"/>
      <w:bookmarkEnd w:id="340"/>
      <w:bookmarkEnd w:id="341"/>
      <w:bookmarkEnd w:id="342"/>
    </w:p>
    <w:p w14:paraId="55483940">
      <w:pPr>
        <w:pageBreakBefore w:val="0"/>
        <w:kinsoku/>
        <w:wordWrap w:val="0"/>
        <w:overflowPunct/>
        <w:bidi w:val="0"/>
        <w:spacing w:line="300" w:lineRule="auto"/>
        <w:ind w:firstLine="420" w:firstLineChars="200"/>
        <w:rPr>
          <w:rFonts w:hint="eastAsia"/>
          <w:highlight w:val="none"/>
        </w:rPr>
      </w:pPr>
      <w:r>
        <w:rPr>
          <w:rFonts w:hint="eastAsia"/>
          <w:highlight w:val="none"/>
        </w:rPr>
        <w:t>供应商认为采购文件、采购过程、中标或者成交结果使自己的权益受到损害的，可以在知道或者应知其权益受到损害之日起7个工作日，以书面形式向采购人、采购代理机构提出质疑。（质疑须满足《中华人民共和国政府采购法》、《中华人民共和国政府采购法实施条例》、《政府采购质疑和投诉办法》）</w:t>
      </w:r>
    </w:p>
    <w:p w14:paraId="7B6C7F6C">
      <w:pPr>
        <w:pageBreakBefore w:val="0"/>
        <w:kinsoku/>
        <w:wordWrap w:val="0"/>
        <w:overflowPunct/>
        <w:bidi w:val="0"/>
        <w:spacing w:line="300" w:lineRule="auto"/>
        <w:ind w:firstLine="420" w:firstLineChars="200"/>
        <w:rPr>
          <w:rFonts w:hint="eastAsia"/>
          <w:highlight w:val="none"/>
        </w:rPr>
      </w:pPr>
    </w:p>
    <w:p w14:paraId="29CFA1DB">
      <w:pPr>
        <w:pageBreakBefore w:val="0"/>
        <w:kinsoku/>
        <w:wordWrap w:val="0"/>
        <w:overflowPunct/>
        <w:bidi w:val="0"/>
        <w:spacing w:line="300" w:lineRule="auto"/>
        <w:ind w:firstLine="420" w:firstLineChars="200"/>
        <w:rPr>
          <w:rFonts w:hint="eastAsia"/>
          <w:highlight w:val="none"/>
        </w:rPr>
      </w:pPr>
      <w:r>
        <w:rPr>
          <w:highlight w:val="none"/>
        </w:rPr>
        <w:br w:type="page"/>
      </w:r>
    </w:p>
    <w:p w14:paraId="699C5E8A">
      <w:pPr>
        <w:spacing w:line="240" w:lineRule="auto"/>
        <w:rPr>
          <w:rFonts w:hint="eastAsia" w:ascii="宋体" w:hAnsi="宋体" w:eastAsia="宋体" w:cs="宋体"/>
          <w:b/>
          <w:color w:val="auto"/>
          <w:sz w:val="24"/>
          <w:highlight w:val="none"/>
        </w:rPr>
      </w:pPr>
      <w:bookmarkStart w:id="343" w:name="_Toc144974565"/>
      <w:bookmarkStart w:id="344" w:name="_Toc247085756"/>
      <w:bookmarkStart w:id="345" w:name="_Toc24483"/>
      <w:bookmarkStart w:id="346" w:name="_Toc77166514"/>
      <w:bookmarkStart w:id="347" w:name="_Toc246996984"/>
      <w:bookmarkStart w:id="348" w:name="_Toc19824"/>
      <w:bookmarkStart w:id="349" w:name="_Toc152045598"/>
      <w:bookmarkStart w:id="350" w:name="_Toc152042375"/>
      <w:bookmarkStart w:id="351" w:name="_Toc246996241"/>
      <w:bookmarkStart w:id="352" w:name="_Toc468267471"/>
      <w:bookmarkStart w:id="353" w:name="_Toc179632616"/>
      <w:r>
        <w:rPr>
          <w:rFonts w:hint="eastAsia" w:ascii="宋体" w:hAnsi="宋体" w:eastAsia="宋体" w:cs="宋体"/>
          <w:b/>
          <w:color w:val="auto"/>
          <w:sz w:val="24"/>
          <w:highlight w:val="none"/>
        </w:rPr>
        <w:t>附件一：开标记录表</w:t>
      </w:r>
    </w:p>
    <w:p w14:paraId="6F83B571">
      <w:pPr>
        <w:spacing w:line="360" w:lineRule="auto"/>
        <w:rPr>
          <w:rFonts w:hint="eastAsia" w:ascii="宋体" w:hAnsi="宋体" w:eastAsia="宋体" w:cs="宋体"/>
          <w:b/>
          <w:color w:val="auto"/>
          <w:sz w:val="24"/>
          <w:highlight w:val="none"/>
        </w:rPr>
      </w:pPr>
      <w:bookmarkStart w:id="354" w:name="_Toc152045584"/>
      <w:bookmarkStart w:id="355" w:name="_Toc152042362"/>
      <w:bookmarkStart w:id="356" w:name="_Toc247085742"/>
      <w:bookmarkStart w:id="357" w:name="_Toc246996228"/>
      <w:bookmarkStart w:id="358" w:name="_Toc247085743"/>
      <w:bookmarkStart w:id="359" w:name="_Toc246996227"/>
      <w:bookmarkStart w:id="360" w:name="_Toc144974551"/>
      <w:bookmarkStart w:id="361" w:name="_Toc246996970"/>
      <w:bookmarkStart w:id="362" w:name="_Toc246996971"/>
      <w:bookmarkStart w:id="363" w:name="_Toc179632603"/>
      <w:bookmarkStart w:id="364" w:name="_Toc152042361"/>
      <w:bookmarkStart w:id="365" w:name="_Toc152045585"/>
      <w:bookmarkStart w:id="366" w:name="_Toc179632602"/>
      <w:bookmarkStart w:id="367" w:name="_Toc144974552"/>
    </w:p>
    <w:p w14:paraId="3E265439">
      <w:pPr>
        <w:spacing w:line="360" w:lineRule="auto"/>
        <w:ind w:firstLine="3780" w:firstLineChars="18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以“政采云”平台格式为准</w:t>
      </w:r>
    </w:p>
    <w:p w14:paraId="582E693E">
      <w:pPr>
        <w:pStyle w:val="2"/>
        <w:spacing w:line="360" w:lineRule="auto"/>
        <w:jc w:val="center"/>
        <w:rPr>
          <w:rFonts w:hint="eastAsia" w:ascii="宋体" w:hAnsi="宋体" w:eastAsia="宋体" w:cs="宋体"/>
          <w:color w:val="auto"/>
          <w:highlight w:val="none"/>
        </w:rPr>
      </w:pPr>
    </w:p>
    <w:p w14:paraId="1BA2F0C2">
      <w:pPr>
        <w:spacing w:line="360" w:lineRule="auto"/>
        <w:outlineLvl w:val="0"/>
        <w:rPr>
          <w:rFonts w:hint="eastAsia" w:ascii="宋体" w:hAnsi="宋体" w:eastAsia="宋体" w:cs="宋体"/>
          <w:color w:val="auto"/>
          <w:sz w:val="24"/>
          <w:highlight w:val="none"/>
        </w:rPr>
      </w:pPr>
      <w:r>
        <w:rPr>
          <w:rFonts w:hint="eastAsia" w:ascii="宋体" w:hAnsi="宋体" w:eastAsia="宋体" w:cs="宋体"/>
          <w:b/>
          <w:color w:val="auto"/>
          <w:sz w:val="24"/>
          <w:highlight w:val="none"/>
        </w:rPr>
        <w:br w:type="page"/>
      </w:r>
      <w:bookmarkStart w:id="368" w:name="_Toc6166"/>
      <w:r>
        <w:rPr>
          <w:rFonts w:hint="eastAsia" w:ascii="宋体" w:hAnsi="宋体" w:eastAsia="宋体" w:cs="宋体"/>
          <w:b/>
          <w:color w:val="auto"/>
          <w:sz w:val="24"/>
          <w:highlight w:val="none"/>
        </w:rPr>
        <w:t>附件二：问题澄清通知</w:t>
      </w:r>
      <w:bookmarkEnd w:id="368"/>
    </w:p>
    <w:p w14:paraId="0BEAD140">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14:paraId="1B96D0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p>
    <w:p w14:paraId="739336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55D8CB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（项目名称）招标的评标委员会，对你方的投标文件进行了仔细的审查，现需你方对下列问题以书面形式予以澄清：</w:t>
      </w:r>
    </w:p>
    <w:p w14:paraId="07B354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50372DC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14:paraId="382664B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请将上述问题的澄清于年月日时前递交至（详细地址）或传真至（传真号码）。采用传真方式的，应在年月日时前将原件递交至（详细地址）。</w:t>
      </w:r>
    </w:p>
    <w:p w14:paraId="4E489562">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经评标委员会授权的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机构：（签字或盖章）</w:t>
      </w:r>
    </w:p>
    <w:p w14:paraId="2BF7F044">
      <w:pPr>
        <w:spacing w:line="360" w:lineRule="auto"/>
        <w:jc w:val="right"/>
        <w:rPr>
          <w:rFonts w:hint="eastAsia" w:ascii="宋体" w:hAnsi="宋体" w:eastAsia="宋体" w:cs="宋体"/>
          <w:color w:val="auto"/>
          <w:szCs w:val="21"/>
          <w:highlight w:val="none"/>
        </w:rPr>
      </w:pPr>
    </w:p>
    <w:p w14:paraId="719947EE">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3884C193">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附件三：问题的澄清</w:t>
      </w:r>
    </w:p>
    <w:p w14:paraId="7A4C1C2D">
      <w:pPr>
        <w:spacing w:before="312" w:beforeLines="100" w:after="312" w:afterLines="100" w:line="360" w:lineRule="auto"/>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问题的澄清、说明或补正</w:t>
      </w:r>
    </w:p>
    <w:p w14:paraId="57E613F5">
      <w:pPr>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rPr>
        <w:t>编号：</w:t>
      </w:r>
    </w:p>
    <w:p w14:paraId="3EFBF8E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（项目名称）招标评标委员会：</w:t>
      </w:r>
    </w:p>
    <w:p w14:paraId="303BC0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问题澄清通知（编号：）已收悉，现澄清、说明或者补正如下：</w:t>
      </w:r>
    </w:p>
    <w:p w14:paraId="08E7E14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14:paraId="7F86A8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14:paraId="575AB2DE">
      <w:pPr>
        <w:spacing w:line="360" w:lineRule="auto"/>
        <w:ind w:firstLine="420" w:firstLineChars="200"/>
        <w:rPr>
          <w:rFonts w:hint="eastAsia" w:ascii="宋体" w:hAnsi="宋体" w:eastAsia="宋体" w:cs="宋体"/>
          <w:color w:val="auto"/>
          <w:highlight w:val="none"/>
        </w:rPr>
      </w:pPr>
    </w:p>
    <w:p w14:paraId="023FEB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14:paraId="3A47127A">
      <w:pPr>
        <w:spacing w:line="360" w:lineRule="auto"/>
        <w:ind w:firstLine="420" w:firstLineChars="200"/>
        <w:rPr>
          <w:rFonts w:hint="eastAsia" w:ascii="宋体" w:hAnsi="宋体" w:eastAsia="宋体" w:cs="宋体"/>
          <w:color w:val="auto"/>
          <w:highlight w:val="none"/>
        </w:rPr>
      </w:pPr>
    </w:p>
    <w:p w14:paraId="67897F80">
      <w:pPr>
        <w:spacing w:line="360" w:lineRule="auto"/>
        <w:ind w:firstLine="420" w:firstLineChars="200"/>
        <w:rPr>
          <w:rFonts w:hint="eastAsia" w:ascii="宋体" w:hAnsi="宋体" w:eastAsia="宋体" w:cs="宋体"/>
          <w:color w:val="auto"/>
          <w:highlight w:val="none"/>
        </w:rPr>
      </w:pPr>
    </w:p>
    <w:p w14:paraId="1FBA30E9">
      <w:pPr>
        <w:spacing w:line="360" w:lineRule="auto"/>
        <w:ind w:firstLine="420" w:firstLineChars="200"/>
        <w:rPr>
          <w:rFonts w:hint="eastAsia" w:ascii="宋体" w:hAnsi="宋体" w:eastAsia="宋体" w:cs="宋体"/>
          <w:color w:val="auto"/>
          <w:highlight w:val="none"/>
        </w:rPr>
      </w:pPr>
    </w:p>
    <w:p w14:paraId="0BB04A0B">
      <w:pPr>
        <w:spacing w:line="360" w:lineRule="auto"/>
        <w:ind w:firstLine="420" w:firstLineChars="200"/>
        <w:rPr>
          <w:rFonts w:hint="eastAsia" w:ascii="宋体" w:hAnsi="宋体" w:eastAsia="宋体" w:cs="宋体"/>
          <w:color w:val="auto"/>
          <w:highlight w:val="none"/>
        </w:rPr>
      </w:pPr>
    </w:p>
    <w:p w14:paraId="41C41244">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投标人：（盖单位章）</w:t>
      </w:r>
    </w:p>
    <w:p w14:paraId="257663FF">
      <w:pPr>
        <w:wordWrap w:val="0"/>
        <w:spacing w:before="156" w:beforeLines="50" w:after="156" w:afterLines="50" w:line="360" w:lineRule="auto"/>
        <w:ind w:right="21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w:t>
      </w:r>
    </w:p>
    <w:p w14:paraId="0B671DCF">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年月日</w:t>
      </w:r>
    </w:p>
    <w:p w14:paraId="63D2C4A9">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：中标结果通知书</w:t>
      </w:r>
    </w:p>
    <w:p w14:paraId="367FBCCB">
      <w:pPr>
        <w:spacing w:before="312" w:beforeLines="100" w:after="312" w:afterLines="10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中标结果通知书</w:t>
      </w:r>
    </w:p>
    <w:p w14:paraId="2C7D0D0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（未中标人名称）：</w:t>
      </w:r>
    </w:p>
    <w:p w14:paraId="22B33794">
      <w:pPr>
        <w:spacing w:line="360" w:lineRule="auto"/>
        <w:rPr>
          <w:rFonts w:hint="eastAsia" w:ascii="宋体" w:hAnsi="宋体" w:eastAsia="宋体" w:cs="宋体"/>
          <w:color w:val="auto"/>
          <w:highlight w:val="none"/>
        </w:rPr>
      </w:pPr>
    </w:p>
    <w:p w14:paraId="643CC2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我方已接受（中标人名称）于（投标日期）所递交的（项目名称）投标文件，确定（中标人名称）为中标人。</w:t>
      </w:r>
    </w:p>
    <w:p w14:paraId="4AB90300">
      <w:pPr>
        <w:spacing w:line="360" w:lineRule="auto"/>
        <w:ind w:firstLine="420" w:firstLineChars="200"/>
        <w:rPr>
          <w:rFonts w:hint="eastAsia" w:ascii="宋体" w:hAnsi="宋体" w:eastAsia="宋体" w:cs="宋体"/>
          <w:color w:val="auto"/>
          <w:highlight w:val="none"/>
        </w:rPr>
      </w:pPr>
    </w:p>
    <w:p w14:paraId="68D00E7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感谢你单位对我方工作的大力支持!</w:t>
      </w:r>
    </w:p>
    <w:p w14:paraId="7E392C9A">
      <w:pPr>
        <w:spacing w:line="360" w:lineRule="auto"/>
        <w:ind w:firstLine="420" w:firstLineChars="200"/>
        <w:rPr>
          <w:rFonts w:hint="eastAsia" w:ascii="宋体" w:hAnsi="宋体" w:eastAsia="宋体" w:cs="宋体"/>
          <w:color w:val="auto"/>
          <w:highlight w:val="none"/>
        </w:rPr>
      </w:pPr>
    </w:p>
    <w:p w14:paraId="727CE319">
      <w:pPr>
        <w:spacing w:line="360" w:lineRule="auto"/>
        <w:ind w:firstLine="420" w:firstLineChars="200"/>
        <w:rPr>
          <w:rFonts w:hint="eastAsia" w:ascii="宋体" w:hAnsi="宋体" w:eastAsia="宋体" w:cs="宋体"/>
          <w:color w:val="auto"/>
          <w:highlight w:val="none"/>
        </w:rPr>
      </w:pPr>
    </w:p>
    <w:p w14:paraId="378FD643">
      <w:pPr>
        <w:spacing w:line="360" w:lineRule="auto"/>
        <w:ind w:firstLine="420" w:firstLineChars="200"/>
        <w:rPr>
          <w:rFonts w:hint="eastAsia" w:ascii="宋体" w:hAnsi="宋体" w:eastAsia="宋体" w:cs="宋体"/>
          <w:color w:val="auto"/>
          <w:highlight w:val="none"/>
        </w:rPr>
      </w:pPr>
    </w:p>
    <w:p w14:paraId="76B0A85D">
      <w:pPr>
        <w:spacing w:line="360" w:lineRule="auto"/>
        <w:ind w:firstLine="420" w:firstLineChars="200"/>
        <w:rPr>
          <w:rFonts w:hint="eastAsia" w:ascii="宋体" w:hAnsi="宋体" w:eastAsia="宋体" w:cs="宋体"/>
          <w:color w:val="auto"/>
          <w:highlight w:val="none"/>
        </w:rPr>
      </w:pPr>
    </w:p>
    <w:p w14:paraId="04F828A9">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采购人：（盖单位章）</w:t>
      </w:r>
    </w:p>
    <w:p w14:paraId="742E0EB4">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法定代表人：（签字）</w:t>
      </w:r>
    </w:p>
    <w:p w14:paraId="253154C2">
      <w:pPr>
        <w:spacing w:line="360" w:lineRule="auto"/>
        <w:ind w:firstLine="4620" w:firstLineChars="2200"/>
        <w:jc w:val="right"/>
        <w:rPr>
          <w:rFonts w:hint="eastAsia" w:ascii="宋体" w:hAnsi="宋体" w:eastAsia="宋体" w:cs="宋体"/>
          <w:color w:val="auto"/>
          <w:szCs w:val="21"/>
          <w:highlight w:val="none"/>
        </w:rPr>
      </w:pPr>
      <w:r>
        <w:rPr>
          <w:rFonts w:hint="eastAsia" w:ascii="宋体" w:hAnsi="宋体" w:eastAsia="宋体" w:cs="宋体"/>
          <w:color w:val="auto"/>
          <w:highlight w:val="none"/>
        </w:rPr>
        <w:t>年月日</w:t>
      </w:r>
    </w:p>
    <w:p w14:paraId="43F68325">
      <w:pPr>
        <w:spacing w:line="360" w:lineRule="auto"/>
        <w:rPr>
          <w:rFonts w:hint="eastAsia" w:ascii="宋体" w:hAnsi="宋体" w:eastAsia="宋体" w:cs="宋体"/>
          <w:color w:val="auto"/>
          <w:highlight w:val="none"/>
        </w:rPr>
      </w:pPr>
    </w:p>
    <w:p w14:paraId="634E833B">
      <w:pPr>
        <w:spacing w:line="360" w:lineRule="auto"/>
        <w:rPr>
          <w:rFonts w:hint="eastAsia" w:ascii="宋体" w:hAnsi="宋体" w:eastAsia="宋体" w:cs="宋体"/>
          <w:color w:val="auto"/>
          <w:highlight w:val="none"/>
        </w:rPr>
      </w:pPr>
    </w:p>
    <w:p w14:paraId="31475CEB">
      <w:pPr>
        <w:spacing w:line="360" w:lineRule="auto"/>
        <w:rPr>
          <w:rFonts w:hint="eastAsia" w:ascii="宋体" w:hAnsi="宋体" w:eastAsia="宋体" w:cs="宋体"/>
          <w:b/>
          <w:color w:val="auto"/>
          <w:sz w:val="24"/>
          <w:highlight w:val="none"/>
        </w:rPr>
      </w:pPr>
      <w:bookmarkStart w:id="369" w:name="_Toc179632604"/>
      <w:bookmarkStart w:id="370" w:name="_Toc144974553"/>
      <w:bookmarkStart w:id="371" w:name="_Toc247085744"/>
      <w:bookmarkStart w:id="372" w:name="_Toc152045586"/>
      <w:bookmarkStart w:id="373" w:name="_Toc246996229"/>
      <w:bookmarkStart w:id="374" w:name="_Toc152042363"/>
      <w:bookmarkStart w:id="375" w:name="_Toc246996972"/>
    </w:p>
    <w:p w14:paraId="257010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：确认通知</w:t>
      </w:r>
      <w:bookmarkEnd w:id="369"/>
      <w:bookmarkEnd w:id="370"/>
      <w:bookmarkEnd w:id="371"/>
      <w:bookmarkEnd w:id="372"/>
      <w:bookmarkEnd w:id="373"/>
      <w:bookmarkEnd w:id="374"/>
      <w:bookmarkEnd w:id="375"/>
    </w:p>
    <w:p w14:paraId="6474BEF8">
      <w:pPr>
        <w:spacing w:line="360" w:lineRule="auto"/>
        <w:rPr>
          <w:rFonts w:hint="eastAsia" w:ascii="宋体" w:hAnsi="宋体" w:eastAsia="宋体" w:cs="宋体"/>
          <w:color w:val="auto"/>
          <w:highlight w:val="none"/>
        </w:rPr>
      </w:pPr>
    </w:p>
    <w:p w14:paraId="2CEEE593">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确认通知</w:t>
      </w:r>
    </w:p>
    <w:p w14:paraId="1480E374">
      <w:pPr>
        <w:spacing w:line="360" w:lineRule="auto"/>
        <w:rPr>
          <w:rFonts w:hint="eastAsia" w:ascii="宋体" w:hAnsi="宋体" w:eastAsia="宋体" w:cs="宋体"/>
          <w:color w:val="auto"/>
          <w:highlight w:val="none"/>
        </w:rPr>
      </w:pPr>
    </w:p>
    <w:p w14:paraId="203C47E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p>
    <w:p w14:paraId="5E57B0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p w14:paraId="777F44AB">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你方于年月日发出的（项目名称）关于</w:t>
      </w:r>
    </w:p>
    <w:p w14:paraId="49BEDB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的通知，我方已于年月日收到。</w:t>
      </w:r>
    </w:p>
    <w:p w14:paraId="657C8CC3">
      <w:pPr>
        <w:spacing w:line="360" w:lineRule="auto"/>
        <w:rPr>
          <w:rFonts w:hint="eastAsia" w:ascii="宋体" w:hAnsi="宋体" w:eastAsia="宋体" w:cs="宋体"/>
          <w:color w:val="auto"/>
          <w:szCs w:val="21"/>
          <w:highlight w:val="none"/>
        </w:rPr>
      </w:pPr>
    </w:p>
    <w:p w14:paraId="6FB93AC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特此确认。</w:t>
      </w:r>
    </w:p>
    <w:p w14:paraId="18575DB8">
      <w:pPr>
        <w:spacing w:line="360" w:lineRule="auto"/>
        <w:rPr>
          <w:rFonts w:hint="eastAsia" w:ascii="宋体" w:hAnsi="宋体" w:eastAsia="宋体" w:cs="宋体"/>
          <w:color w:val="auto"/>
          <w:szCs w:val="21"/>
          <w:highlight w:val="none"/>
        </w:rPr>
      </w:pPr>
    </w:p>
    <w:p w14:paraId="70A72E04">
      <w:pPr>
        <w:spacing w:line="360" w:lineRule="auto"/>
        <w:rPr>
          <w:rFonts w:hint="eastAsia" w:ascii="宋体" w:hAnsi="宋体" w:eastAsia="宋体" w:cs="宋体"/>
          <w:color w:val="auto"/>
          <w:szCs w:val="21"/>
          <w:highlight w:val="none"/>
        </w:rPr>
      </w:pPr>
    </w:p>
    <w:p w14:paraId="66930288">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投标人：（盖单位章）</w:t>
      </w:r>
    </w:p>
    <w:p w14:paraId="49EBC725">
      <w:pPr>
        <w:pStyle w:val="6"/>
        <w:spacing w:line="360" w:lineRule="auto"/>
        <w:ind w:left="1688"/>
        <w:rPr>
          <w:rFonts w:hint="eastAsia" w:ascii="宋体" w:hAnsi="宋体" w:eastAsia="宋体" w:cs="宋体"/>
          <w:color w:val="auto"/>
          <w:highlight w:val="none"/>
        </w:rPr>
      </w:pPr>
    </w:p>
    <w:p w14:paraId="7572C636">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szCs w:val="21"/>
          <w:highlight w:val="none"/>
        </w:rPr>
        <w:t>：（签字）</w:t>
      </w:r>
    </w:p>
    <w:p w14:paraId="35E37450">
      <w:pPr>
        <w:spacing w:line="360" w:lineRule="auto"/>
        <w:rPr>
          <w:rFonts w:hint="eastAsia" w:ascii="宋体" w:hAnsi="宋体" w:eastAsia="宋体" w:cs="宋体"/>
          <w:color w:val="auto"/>
          <w:szCs w:val="21"/>
          <w:highlight w:val="none"/>
        </w:rPr>
      </w:pPr>
    </w:p>
    <w:p w14:paraId="0CEA5116">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182FCE26">
      <w:pPr>
        <w:spacing w:line="360" w:lineRule="auto"/>
        <w:rPr>
          <w:rFonts w:hint="eastAsia" w:ascii="宋体" w:hAnsi="宋体" w:eastAsia="宋体" w:cs="宋体"/>
          <w:color w:val="auto"/>
          <w:highlight w:val="none"/>
        </w:rPr>
      </w:pPr>
    </w:p>
    <w:p w14:paraId="1A145ADC">
      <w:pPr>
        <w:rPr>
          <w:rFonts w:hint="eastAsia" w:ascii="宋体" w:hAnsi="宋体" w:eastAsia="宋体" w:cs="宋体"/>
          <w:b/>
          <w:bCs/>
          <w:color w:val="auto"/>
          <w:sz w:val="24"/>
          <w:szCs w:val="30"/>
          <w:highlight w:val="none"/>
        </w:rPr>
      </w:pPr>
      <w:r>
        <w:rPr>
          <w:rFonts w:hint="eastAsia" w:ascii="宋体" w:hAnsi="宋体" w:eastAsia="宋体" w:cs="宋体"/>
          <w:b/>
          <w:bCs/>
          <w:color w:val="auto"/>
          <w:sz w:val="24"/>
          <w:szCs w:val="30"/>
          <w:highlight w:val="none"/>
        </w:rPr>
        <w:br w:type="page"/>
      </w:r>
      <w:r>
        <w:rPr>
          <w:rFonts w:hint="eastAsia" w:ascii="宋体" w:hAnsi="宋体" w:eastAsia="宋体" w:cs="宋体"/>
          <w:b/>
          <w:bCs/>
          <w:color w:val="auto"/>
          <w:sz w:val="24"/>
          <w:szCs w:val="30"/>
          <w:highlight w:val="none"/>
        </w:rPr>
        <w:t>附件</w:t>
      </w:r>
      <w:r>
        <w:rPr>
          <w:rFonts w:hint="eastAsia" w:ascii="宋体" w:hAnsi="宋体" w:eastAsia="宋体" w:cs="宋体"/>
          <w:b/>
          <w:bCs/>
          <w:color w:val="auto"/>
          <w:sz w:val="24"/>
          <w:szCs w:val="30"/>
          <w:highlight w:val="none"/>
          <w:lang w:val="en-US" w:eastAsia="zh-CN"/>
        </w:rPr>
        <w:t>六</w:t>
      </w:r>
      <w:r>
        <w:rPr>
          <w:rFonts w:hint="eastAsia" w:ascii="宋体" w:hAnsi="宋体" w:eastAsia="宋体" w:cs="宋体"/>
          <w:b/>
          <w:bCs/>
          <w:color w:val="auto"/>
          <w:sz w:val="24"/>
          <w:szCs w:val="30"/>
          <w:highlight w:val="none"/>
        </w:rPr>
        <w:t>：电子投标文件编制及报送要求</w:t>
      </w:r>
    </w:p>
    <w:p w14:paraId="71BF1546">
      <w:pPr>
        <w:spacing w:line="360" w:lineRule="auto"/>
        <w:jc w:val="center"/>
        <w:rPr>
          <w:rFonts w:hint="eastAsia" w:ascii="宋体" w:hAnsi="宋体" w:eastAsia="宋体" w:cs="宋体"/>
          <w:b/>
          <w:color w:val="auto"/>
          <w:sz w:val="24"/>
          <w:szCs w:val="30"/>
          <w:highlight w:val="none"/>
        </w:rPr>
      </w:pPr>
      <w:r>
        <w:rPr>
          <w:rFonts w:hint="eastAsia" w:ascii="宋体" w:hAnsi="宋体" w:eastAsia="宋体" w:cs="宋体"/>
          <w:b/>
          <w:color w:val="auto"/>
          <w:sz w:val="24"/>
          <w:szCs w:val="30"/>
          <w:highlight w:val="none"/>
        </w:rPr>
        <w:t>电子投标文件编制要求</w:t>
      </w:r>
    </w:p>
    <w:p w14:paraId="4320C07B">
      <w:pPr>
        <w:spacing w:line="360" w:lineRule="auto"/>
        <w:rPr>
          <w:rFonts w:hint="eastAsia"/>
          <w:sz w:val="24"/>
          <w:szCs w:val="28"/>
        </w:rPr>
      </w:pPr>
      <w:r>
        <w:rPr>
          <w:rFonts w:hint="eastAsia"/>
          <w:sz w:val="24"/>
          <w:szCs w:val="28"/>
        </w:rPr>
        <w:t>一、投标人应按</w:t>
      </w:r>
      <w:r>
        <w:rPr>
          <w:rFonts w:hint="eastAsia"/>
          <w:sz w:val="24"/>
          <w:szCs w:val="28"/>
          <w:lang w:eastAsia="zh-CN"/>
        </w:rPr>
        <w:t>采购文件</w:t>
      </w:r>
      <w:r>
        <w:rPr>
          <w:rFonts w:hint="eastAsia"/>
          <w:sz w:val="24"/>
          <w:szCs w:val="28"/>
        </w:rPr>
        <w:t>要求编制投标文件，将所有投标文件内容上传至“政采云”平台，并使用制作投标文件时用来加密的有效数字证书（CA认证）对投标文件进行解密。</w:t>
      </w:r>
    </w:p>
    <w:p w14:paraId="494BF0CB">
      <w:pPr>
        <w:spacing w:line="360" w:lineRule="auto"/>
        <w:rPr>
          <w:rFonts w:hint="eastAsia"/>
          <w:sz w:val="24"/>
          <w:szCs w:val="28"/>
        </w:rPr>
      </w:pPr>
      <w:r>
        <w:rPr>
          <w:rFonts w:hint="eastAsia"/>
          <w:sz w:val="24"/>
          <w:szCs w:val="28"/>
        </w:rPr>
        <w:t>二、电子投标文件中</w:t>
      </w:r>
      <w:r>
        <w:rPr>
          <w:rFonts w:hint="eastAsia"/>
          <w:sz w:val="24"/>
          <w:szCs w:val="28"/>
          <w:lang w:eastAsia="zh-CN"/>
        </w:rPr>
        <w:t>反映</w:t>
      </w:r>
      <w:r>
        <w:rPr>
          <w:rFonts w:hint="eastAsia"/>
          <w:sz w:val="24"/>
          <w:szCs w:val="28"/>
        </w:rPr>
        <w:t>投标人资格审查的图片、扫描件、文字描述等，必须清晰可见。其中所有证书和执照必须为原件扫描。</w:t>
      </w:r>
    </w:p>
    <w:p w14:paraId="3824161A">
      <w:pPr>
        <w:spacing w:line="360" w:lineRule="auto"/>
        <w:rPr>
          <w:rFonts w:hint="eastAsia"/>
          <w:sz w:val="24"/>
          <w:szCs w:val="28"/>
        </w:rPr>
      </w:pPr>
      <w:r>
        <w:rPr>
          <w:rFonts w:hint="eastAsia"/>
          <w:sz w:val="24"/>
          <w:szCs w:val="28"/>
        </w:rPr>
        <w:t>三、投标人应在</w:t>
      </w:r>
      <w:r>
        <w:rPr>
          <w:rFonts w:hint="eastAsia"/>
          <w:sz w:val="24"/>
          <w:szCs w:val="28"/>
          <w:lang w:eastAsia="zh-CN"/>
        </w:rPr>
        <w:t>采购文件</w:t>
      </w:r>
      <w:r>
        <w:rPr>
          <w:rFonts w:hint="eastAsia"/>
          <w:sz w:val="24"/>
          <w:szCs w:val="28"/>
        </w:rPr>
        <w:t>要求提交投标文件的截止时间前，完成电子投标文件上传。</w:t>
      </w:r>
    </w:p>
    <w:p w14:paraId="1040C7F2">
      <w:pPr>
        <w:spacing w:line="360" w:lineRule="auto"/>
        <w:jc w:val="left"/>
        <w:rPr>
          <w:rFonts w:hint="eastAsia" w:ascii="宋体" w:hAnsi="宋体" w:eastAsia="宋体" w:cs="宋体"/>
          <w:color w:val="auto"/>
          <w:highlight w:val="none"/>
        </w:rPr>
      </w:pPr>
    </w:p>
    <w:p w14:paraId="7FE41E77">
      <w:pPr>
        <w:wordWrap w:val="0"/>
        <w:overflowPunct/>
        <w:bidi w:val="0"/>
        <w:spacing w:line="360" w:lineRule="auto"/>
        <w:rPr>
          <w:rFonts w:hint="eastAsia" w:ascii="宋体" w:hAnsi="宋体" w:eastAsia="宋体" w:cs="宋体"/>
          <w:sz w:val="24"/>
          <w:szCs w:val="24"/>
        </w:rPr>
        <w:sectPr>
          <w:footerReference r:id="rId9" w:type="default"/>
          <w:pgSz w:w="11906" w:h="16838"/>
          <w:pgMar w:top="1134" w:right="1134" w:bottom="1134" w:left="1134" w:header="1134" w:footer="737" w:gutter="0"/>
          <w:pgNumType w:fmt="decimal" w:start="1"/>
          <w:cols w:space="720" w:num="1"/>
          <w:docGrid w:type="lines" w:linePitch="490" w:charSpace="0"/>
        </w:sectPr>
      </w:pPr>
    </w:p>
    <w:p w14:paraId="34329697">
      <w:pPr>
        <w:keepNext/>
        <w:keepLines/>
        <w:pageBreakBefore w:val="0"/>
        <w:kinsoku/>
        <w:wordWrap w:val="0"/>
        <w:overflowPunct/>
        <w:bidi w:val="0"/>
        <w:spacing w:line="300" w:lineRule="auto"/>
        <w:jc w:val="center"/>
        <w:outlineLvl w:val="0"/>
        <w:rPr>
          <w:rFonts w:hint="eastAsia"/>
          <w:b/>
          <w:bCs/>
          <w:kern w:val="44"/>
          <w:sz w:val="44"/>
          <w:szCs w:val="44"/>
          <w:highlight w:val="none"/>
        </w:rPr>
      </w:pPr>
      <w:r>
        <w:rPr>
          <w:rFonts w:hint="eastAsia"/>
          <w:b/>
          <w:bCs/>
          <w:kern w:val="44"/>
          <w:sz w:val="44"/>
          <w:szCs w:val="44"/>
          <w:highlight w:val="none"/>
        </w:rPr>
        <w:t>第三章 评标办法（综合评分法）</w:t>
      </w:r>
      <w:bookmarkEnd w:id="343"/>
      <w:bookmarkEnd w:id="344"/>
      <w:bookmarkEnd w:id="345"/>
      <w:bookmarkEnd w:id="346"/>
      <w:bookmarkEnd w:id="347"/>
      <w:bookmarkEnd w:id="348"/>
      <w:bookmarkEnd w:id="349"/>
      <w:bookmarkEnd w:id="350"/>
      <w:bookmarkEnd w:id="351"/>
      <w:bookmarkEnd w:id="352"/>
      <w:bookmarkEnd w:id="353"/>
    </w:p>
    <w:p w14:paraId="24CCD629">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val="en-US" w:eastAsia="zh-CN"/>
        </w:rPr>
      </w:pPr>
      <w:bookmarkStart w:id="376" w:name="_Toc333991578"/>
      <w:r>
        <w:rPr>
          <w:rFonts w:hint="eastAsia" w:ascii="宋体" w:hAnsi="宋体" w:eastAsia="宋体" w:cs="宋体"/>
          <w:sz w:val="24"/>
        </w:rPr>
        <w:t>1、</w:t>
      </w:r>
      <w:r>
        <w:rPr>
          <w:rFonts w:hint="eastAsia" w:ascii="宋体" w:hAnsi="宋体" w:eastAsia="宋体" w:cs="宋体"/>
          <w:sz w:val="24"/>
          <w:lang w:val="en-US" w:eastAsia="zh-CN"/>
        </w:rPr>
        <w:t>开标</w:t>
      </w:r>
    </w:p>
    <w:p w14:paraId="619D3A05">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采购人在</w:t>
      </w:r>
      <w:r>
        <w:rPr>
          <w:rFonts w:hint="eastAsia" w:ascii="宋体" w:hAnsi="宋体" w:eastAsia="宋体" w:cs="宋体"/>
          <w:sz w:val="24"/>
          <w:lang w:eastAsia="zh-CN"/>
        </w:rPr>
        <w:t>招标文件</w:t>
      </w:r>
      <w:r>
        <w:rPr>
          <w:rFonts w:hint="eastAsia" w:ascii="宋体" w:hAnsi="宋体" w:eastAsia="宋体" w:cs="宋体"/>
          <w:sz w:val="24"/>
        </w:rPr>
        <w:t>规定的时间和地点组织</w:t>
      </w:r>
      <w:r>
        <w:rPr>
          <w:rFonts w:hint="eastAsia" w:ascii="宋体" w:hAnsi="宋体" w:eastAsia="宋体" w:cs="宋体"/>
          <w:sz w:val="24"/>
          <w:lang w:val="en-US" w:eastAsia="zh-CN"/>
        </w:rPr>
        <w:t>开标</w:t>
      </w:r>
      <w:r>
        <w:rPr>
          <w:rFonts w:hint="eastAsia" w:ascii="宋体" w:hAnsi="宋体" w:eastAsia="宋体" w:cs="宋体"/>
          <w:sz w:val="24"/>
        </w:rPr>
        <w:t>，</w:t>
      </w:r>
      <w:r>
        <w:rPr>
          <w:rFonts w:hint="eastAsia" w:ascii="宋体" w:hAnsi="宋体" w:eastAsia="宋体" w:cs="宋体"/>
          <w:sz w:val="24"/>
          <w:lang w:val="en-US" w:eastAsia="zh-CN"/>
        </w:rPr>
        <w:t>投标</w:t>
      </w:r>
      <w:r>
        <w:rPr>
          <w:rFonts w:hint="eastAsia" w:ascii="宋体" w:hAnsi="宋体" w:eastAsia="宋体" w:cs="宋体"/>
          <w:sz w:val="24"/>
        </w:rPr>
        <w:t>单位须</w:t>
      </w:r>
      <w:r>
        <w:rPr>
          <w:rFonts w:hint="eastAsia" w:ascii="宋体" w:hAnsi="宋体" w:eastAsia="宋体" w:cs="宋体"/>
          <w:sz w:val="24"/>
          <w:lang w:val="en-US" w:eastAsia="zh-CN"/>
        </w:rPr>
        <w:t>按时</w:t>
      </w:r>
      <w:r>
        <w:rPr>
          <w:rFonts w:hint="eastAsia" w:ascii="宋体" w:hAnsi="宋体" w:eastAsia="宋体" w:cs="宋体"/>
          <w:sz w:val="24"/>
        </w:rPr>
        <w:t>参加。</w:t>
      </w:r>
    </w:p>
    <w:p w14:paraId="7700067E">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2、</w:t>
      </w:r>
      <w:r>
        <w:rPr>
          <w:rFonts w:hint="eastAsia" w:ascii="宋体" w:hAnsi="宋体" w:eastAsia="宋体" w:cs="宋体"/>
          <w:sz w:val="24"/>
          <w:lang w:eastAsia="zh-CN"/>
        </w:rPr>
        <w:t>评标委员会</w:t>
      </w:r>
    </w:p>
    <w:p w14:paraId="66EEE88F">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eastAsia="zh-CN"/>
        </w:rPr>
        <w:t>评标委员会</w:t>
      </w:r>
      <w:r>
        <w:rPr>
          <w:rFonts w:hint="eastAsia" w:ascii="宋体" w:hAnsi="宋体" w:eastAsia="宋体" w:cs="宋体"/>
          <w:sz w:val="24"/>
        </w:rPr>
        <w:t>由</w:t>
      </w:r>
      <w:r>
        <w:rPr>
          <w:rFonts w:hint="eastAsia" w:ascii="宋体" w:hAnsi="宋体" w:eastAsia="宋体" w:cs="宋体"/>
          <w:sz w:val="24"/>
          <w:lang w:val="en-US" w:eastAsia="zh-CN"/>
        </w:rPr>
        <w:t>5</w:t>
      </w:r>
      <w:r>
        <w:rPr>
          <w:rFonts w:hint="eastAsia" w:ascii="宋体" w:hAnsi="宋体" w:eastAsia="宋体" w:cs="宋体"/>
          <w:sz w:val="24"/>
        </w:rPr>
        <w:t>人组成，其中专家的人数不少于成员总数的三分之二，</w:t>
      </w:r>
      <w:r>
        <w:rPr>
          <w:rFonts w:hint="eastAsia" w:ascii="宋体" w:hAnsi="宋体" w:eastAsia="宋体" w:cs="宋体"/>
          <w:sz w:val="24"/>
          <w:lang w:eastAsia="zh-CN"/>
        </w:rPr>
        <w:t>评标委员会</w:t>
      </w:r>
      <w:r>
        <w:rPr>
          <w:rFonts w:hint="eastAsia" w:ascii="宋体" w:hAnsi="宋体" w:eastAsia="宋体" w:cs="宋体"/>
          <w:sz w:val="24"/>
        </w:rPr>
        <w:t>对</w:t>
      </w:r>
      <w:r>
        <w:rPr>
          <w:rFonts w:hint="eastAsia" w:ascii="宋体" w:hAnsi="宋体" w:eastAsia="宋体" w:cs="宋体"/>
          <w:sz w:val="24"/>
          <w:lang w:eastAsia="zh-CN"/>
        </w:rPr>
        <w:t>投标文件</w:t>
      </w:r>
      <w:r>
        <w:rPr>
          <w:rFonts w:hint="eastAsia" w:ascii="宋体" w:hAnsi="宋体" w:eastAsia="宋体" w:cs="宋体"/>
          <w:sz w:val="24"/>
        </w:rPr>
        <w:t>进行审查、质疑、评估和比较。</w:t>
      </w:r>
    </w:p>
    <w:p w14:paraId="57FBDEDE">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lang w:eastAsia="zh-CN"/>
        </w:rPr>
      </w:pPr>
      <w:r>
        <w:rPr>
          <w:rFonts w:hint="eastAsia" w:ascii="宋体" w:hAnsi="宋体" w:eastAsia="宋体" w:cs="宋体"/>
          <w:sz w:val="24"/>
        </w:rPr>
        <w:t>3、</w:t>
      </w:r>
      <w:r>
        <w:rPr>
          <w:rFonts w:hint="eastAsia" w:ascii="宋体" w:hAnsi="宋体" w:eastAsia="宋体" w:cs="宋体"/>
          <w:sz w:val="24"/>
          <w:lang w:val="en-US" w:eastAsia="zh-CN"/>
        </w:rPr>
        <w:t>投标单位</w:t>
      </w:r>
    </w:p>
    <w:p w14:paraId="37E4B2C7">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期间，</w:t>
      </w:r>
      <w:r>
        <w:rPr>
          <w:rFonts w:hint="eastAsia" w:ascii="宋体" w:hAnsi="宋体" w:eastAsia="宋体" w:cs="宋体"/>
          <w:sz w:val="24"/>
          <w:lang w:val="en-US" w:eastAsia="zh-CN"/>
        </w:rPr>
        <w:t>投标单位</w:t>
      </w:r>
      <w:r>
        <w:rPr>
          <w:rFonts w:hint="eastAsia" w:ascii="宋体" w:hAnsi="宋体" w:eastAsia="宋体" w:cs="宋体"/>
          <w:sz w:val="24"/>
        </w:rPr>
        <w:t>法人代表或法人授权委托人必须保持通讯畅通，负责解答有关事宜，根据有关事宜作出书面回复澄清，其书面回复作为签订合同的依据，具有同等法律效力</w:t>
      </w:r>
    </w:p>
    <w:p w14:paraId="57B2B292">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4、对</w:t>
      </w:r>
      <w:r>
        <w:rPr>
          <w:rFonts w:hint="eastAsia" w:ascii="宋体" w:hAnsi="宋体" w:eastAsia="宋体" w:cs="宋体"/>
          <w:sz w:val="24"/>
          <w:lang w:eastAsia="zh-CN"/>
        </w:rPr>
        <w:t>投标文件</w:t>
      </w:r>
      <w:r>
        <w:rPr>
          <w:rFonts w:hint="eastAsia" w:ascii="宋体" w:hAnsi="宋体" w:eastAsia="宋体" w:cs="宋体"/>
          <w:sz w:val="24"/>
        </w:rPr>
        <w:t>的审查和响应性的确定</w:t>
      </w:r>
    </w:p>
    <w:p w14:paraId="00326554">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采购人将组织审查</w:t>
      </w:r>
      <w:r>
        <w:rPr>
          <w:rFonts w:hint="eastAsia" w:ascii="宋体" w:hAnsi="宋体" w:eastAsia="宋体" w:cs="宋体"/>
          <w:sz w:val="24"/>
          <w:lang w:eastAsia="zh-CN"/>
        </w:rPr>
        <w:t>投标文件</w:t>
      </w:r>
      <w:r>
        <w:rPr>
          <w:rFonts w:hint="eastAsia" w:ascii="宋体" w:hAnsi="宋体" w:eastAsia="宋体" w:cs="宋体"/>
          <w:sz w:val="24"/>
        </w:rPr>
        <w:t>是否完整，是否有计算错误，文件是否恰当地签署。如果确定</w:t>
      </w:r>
      <w:r>
        <w:rPr>
          <w:rFonts w:hint="eastAsia" w:ascii="宋体" w:hAnsi="宋体" w:eastAsia="宋体" w:cs="宋体"/>
          <w:sz w:val="24"/>
          <w:lang w:val="en-US" w:eastAsia="zh-CN"/>
        </w:rPr>
        <w:t>投标方</w:t>
      </w:r>
      <w:r>
        <w:rPr>
          <w:rFonts w:hint="eastAsia" w:ascii="宋体" w:hAnsi="宋体" w:eastAsia="宋体" w:cs="宋体"/>
          <w:sz w:val="24"/>
        </w:rPr>
        <w:t>无资格履行合同，将取消其</w:t>
      </w:r>
      <w:r>
        <w:rPr>
          <w:rFonts w:hint="eastAsia" w:ascii="宋体" w:hAnsi="宋体" w:eastAsia="宋体" w:cs="宋体"/>
          <w:sz w:val="24"/>
          <w:lang w:val="en-US" w:eastAsia="zh-CN"/>
        </w:rPr>
        <w:t>投标</w:t>
      </w:r>
      <w:r>
        <w:rPr>
          <w:rFonts w:hint="eastAsia" w:ascii="宋体" w:hAnsi="宋体" w:eastAsia="宋体" w:cs="宋体"/>
          <w:sz w:val="24"/>
        </w:rPr>
        <w:t>资格。</w:t>
      </w:r>
    </w:p>
    <w:p w14:paraId="1D57FCFD">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5、</w:t>
      </w:r>
      <w:r>
        <w:rPr>
          <w:rFonts w:hint="eastAsia" w:ascii="宋体" w:hAnsi="宋体" w:eastAsia="宋体" w:cs="宋体"/>
          <w:sz w:val="24"/>
          <w:lang w:val="en-US" w:eastAsia="zh-CN"/>
        </w:rPr>
        <w:t>评审</w:t>
      </w:r>
      <w:r>
        <w:rPr>
          <w:rFonts w:hint="eastAsia" w:ascii="宋体" w:hAnsi="宋体" w:eastAsia="宋体" w:cs="宋体"/>
          <w:sz w:val="24"/>
        </w:rPr>
        <w:t>原则和方法</w:t>
      </w:r>
    </w:p>
    <w:p w14:paraId="683684F8">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eastAsia="zh-CN"/>
        </w:rPr>
        <w:t>评标委员会</w:t>
      </w:r>
      <w:r>
        <w:rPr>
          <w:rFonts w:hint="eastAsia" w:ascii="宋体" w:hAnsi="宋体" w:eastAsia="宋体" w:cs="宋体"/>
          <w:sz w:val="24"/>
        </w:rPr>
        <w:t>将遵循公开、公平、公正的原则，对</w:t>
      </w:r>
      <w:r>
        <w:rPr>
          <w:rFonts w:hint="eastAsia" w:ascii="宋体" w:hAnsi="宋体" w:eastAsia="宋体" w:cs="宋体"/>
          <w:sz w:val="24"/>
          <w:lang w:val="en-US" w:eastAsia="zh-CN"/>
        </w:rPr>
        <w:t>投标</w:t>
      </w:r>
      <w:r>
        <w:rPr>
          <w:rFonts w:hint="eastAsia" w:ascii="宋体" w:hAnsi="宋体" w:eastAsia="宋体" w:cs="宋体"/>
          <w:sz w:val="24"/>
        </w:rPr>
        <w:t>响应方提供的资信情况、履约能力和报价等进行综合分析评审，由</w:t>
      </w:r>
      <w:r>
        <w:rPr>
          <w:rFonts w:hint="eastAsia" w:ascii="宋体" w:hAnsi="宋体" w:eastAsia="宋体" w:cs="宋体"/>
          <w:sz w:val="24"/>
          <w:lang w:eastAsia="zh-CN"/>
        </w:rPr>
        <w:t>评标委员会</w:t>
      </w:r>
      <w:r>
        <w:rPr>
          <w:rFonts w:hint="eastAsia" w:ascii="宋体" w:hAnsi="宋体" w:eastAsia="宋体" w:cs="宋体"/>
          <w:sz w:val="24"/>
        </w:rPr>
        <w:t>以综合评估法，确定</w:t>
      </w:r>
      <w:r>
        <w:rPr>
          <w:rFonts w:hint="eastAsia" w:ascii="宋体" w:hAnsi="宋体" w:eastAsia="宋体" w:cs="宋体"/>
          <w:sz w:val="24"/>
          <w:lang w:eastAsia="zh-CN"/>
        </w:rPr>
        <w:t>中标</w:t>
      </w:r>
      <w:r>
        <w:rPr>
          <w:rFonts w:hint="eastAsia" w:ascii="宋体" w:hAnsi="宋体" w:eastAsia="宋体" w:cs="宋体"/>
          <w:sz w:val="24"/>
        </w:rPr>
        <w:t>单位。</w:t>
      </w:r>
    </w:p>
    <w:p w14:paraId="158C1AC0">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客观﹑公正的对待所有</w:t>
      </w:r>
      <w:r>
        <w:rPr>
          <w:rFonts w:hint="eastAsia" w:ascii="宋体" w:hAnsi="宋体" w:eastAsia="宋体" w:cs="宋体"/>
          <w:sz w:val="24"/>
          <w:lang w:val="en-US" w:eastAsia="zh-CN"/>
        </w:rPr>
        <w:t>投标</w:t>
      </w:r>
      <w:r>
        <w:rPr>
          <w:rFonts w:hint="eastAsia" w:ascii="宋体" w:hAnsi="宋体" w:eastAsia="宋体" w:cs="宋体"/>
          <w:sz w:val="24"/>
        </w:rPr>
        <w:t>响应方，对所有</w:t>
      </w:r>
      <w:r>
        <w:rPr>
          <w:rFonts w:hint="eastAsia" w:ascii="宋体" w:hAnsi="宋体" w:eastAsia="宋体" w:cs="宋体"/>
          <w:sz w:val="24"/>
          <w:lang w:val="en-US" w:eastAsia="zh-CN"/>
        </w:rPr>
        <w:t>投标</w:t>
      </w:r>
      <w:r>
        <w:rPr>
          <w:rFonts w:hint="eastAsia" w:ascii="宋体" w:hAnsi="宋体" w:eastAsia="宋体" w:cs="宋体"/>
          <w:sz w:val="24"/>
        </w:rPr>
        <w:t>评价，均采用相同的程序和标准。在</w:t>
      </w:r>
      <w:r>
        <w:rPr>
          <w:rFonts w:hint="eastAsia" w:ascii="宋体" w:hAnsi="宋体" w:eastAsia="宋体" w:cs="宋体"/>
          <w:sz w:val="24"/>
          <w:lang w:val="en-US" w:eastAsia="zh-CN"/>
        </w:rPr>
        <w:t>评审</w:t>
      </w:r>
      <w:r>
        <w:rPr>
          <w:rFonts w:hint="eastAsia" w:ascii="宋体" w:hAnsi="宋体" w:eastAsia="宋体" w:cs="宋体"/>
          <w:sz w:val="24"/>
        </w:rPr>
        <w:t>期间，</w:t>
      </w:r>
      <w:r>
        <w:rPr>
          <w:rFonts w:hint="eastAsia" w:ascii="宋体" w:hAnsi="宋体" w:eastAsia="宋体" w:cs="宋体"/>
          <w:sz w:val="24"/>
          <w:lang w:val="en-US" w:eastAsia="zh-CN"/>
        </w:rPr>
        <w:t>投标</w:t>
      </w:r>
      <w:r>
        <w:rPr>
          <w:rFonts w:hint="eastAsia" w:ascii="宋体" w:hAnsi="宋体" w:eastAsia="宋体" w:cs="宋体"/>
          <w:sz w:val="24"/>
        </w:rPr>
        <w:t>响应方不得向</w:t>
      </w:r>
      <w:r>
        <w:rPr>
          <w:rFonts w:hint="eastAsia" w:ascii="宋体" w:hAnsi="宋体" w:eastAsia="宋体" w:cs="宋体"/>
          <w:sz w:val="24"/>
          <w:lang w:eastAsia="zh-CN"/>
        </w:rPr>
        <w:t>评标委员会</w:t>
      </w:r>
      <w:r>
        <w:rPr>
          <w:rFonts w:hint="eastAsia" w:ascii="宋体" w:hAnsi="宋体" w:eastAsia="宋体" w:cs="宋体"/>
          <w:sz w:val="24"/>
        </w:rPr>
        <w:t>成员询问</w:t>
      </w:r>
      <w:r>
        <w:rPr>
          <w:rFonts w:hint="eastAsia" w:ascii="宋体" w:hAnsi="宋体" w:eastAsia="宋体" w:cs="宋体"/>
          <w:sz w:val="24"/>
          <w:lang w:val="en-US" w:eastAsia="zh-CN"/>
        </w:rPr>
        <w:t>评审</w:t>
      </w:r>
      <w:r>
        <w:rPr>
          <w:rFonts w:hint="eastAsia" w:ascii="宋体" w:hAnsi="宋体" w:eastAsia="宋体" w:cs="宋体"/>
          <w:sz w:val="24"/>
        </w:rPr>
        <w:t>情况，不得进行旨在影响</w:t>
      </w:r>
      <w:r>
        <w:rPr>
          <w:rFonts w:hint="eastAsia" w:ascii="宋体" w:hAnsi="宋体" w:eastAsia="宋体" w:cs="宋体"/>
          <w:sz w:val="24"/>
          <w:lang w:val="en-US" w:eastAsia="zh-CN"/>
        </w:rPr>
        <w:t>评审</w:t>
      </w:r>
      <w:r>
        <w:rPr>
          <w:rFonts w:hint="eastAsia" w:ascii="宋体" w:hAnsi="宋体" w:eastAsia="宋体" w:cs="宋体"/>
          <w:sz w:val="24"/>
        </w:rPr>
        <w:t>结果的活动。否则将废除其参加</w:t>
      </w:r>
      <w:r>
        <w:rPr>
          <w:rFonts w:hint="eastAsia" w:ascii="宋体" w:hAnsi="宋体" w:eastAsia="宋体" w:cs="宋体"/>
          <w:sz w:val="24"/>
          <w:lang w:val="en-US" w:eastAsia="zh-CN"/>
        </w:rPr>
        <w:t>投标</w:t>
      </w:r>
      <w:r>
        <w:rPr>
          <w:rFonts w:hint="eastAsia" w:ascii="宋体" w:hAnsi="宋体" w:eastAsia="宋体" w:cs="宋体"/>
          <w:sz w:val="24"/>
        </w:rPr>
        <w:t>资格。</w:t>
      </w:r>
    </w:p>
    <w:p w14:paraId="01DA101A">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在</w:t>
      </w:r>
      <w:r>
        <w:rPr>
          <w:rFonts w:hint="eastAsia" w:ascii="宋体" w:hAnsi="宋体" w:eastAsia="宋体" w:cs="宋体"/>
          <w:sz w:val="24"/>
          <w:lang w:val="en-US" w:eastAsia="zh-CN"/>
        </w:rPr>
        <w:t>评审</w:t>
      </w:r>
      <w:r>
        <w:rPr>
          <w:rFonts w:hint="eastAsia" w:ascii="宋体" w:hAnsi="宋体" w:eastAsia="宋体" w:cs="宋体"/>
          <w:sz w:val="24"/>
        </w:rPr>
        <w:t>过程中，</w:t>
      </w:r>
      <w:r>
        <w:rPr>
          <w:rFonts w:hint="eastAsia" w:ascii="宋体" w:hAnsi="宋体" w:eastAsia="宋体" w:cs="宋体"/>
          <w:sz w:val="24"/>
          <w:lang w:eastAsia="zh-CN"/>
        </w:rPr>
        <w:t>评标委员会</w:t>
      </w:r>
      <w:r>
        <w:rPr>
          <w:rFonts w:hint="eastAsia" w:ascii="宋体" w:hAnsi="宋体" w:eastAsia="宋体" w:cs="宋体"/>
          <w:sz w:val="24"/>
        </w:rPr>
        <w:t>成员不得与</w:t>
      </w:r>
      <w:r>
        <w:rPr>
          <w:rFonts w:hint="eastAsia" w:ascii="宋体" w:hAnsi="宋体" w:eastAsia="宋体" w:cs="宋体"/>
          <w:sz w:val="24"/>
          <w:lang w:val="en-US" w:eastAsia="zh-CN"/>
        </w:rPr>
        <w:t>投标</w:t>
      </w:r>
      <w:r>
        <w:rPr>
          <w:rFonts w:hint="eastAsia" w:ascii="宋体" w:hAnsi="宋体" w:eastAsia="宋体" w:cs="宋体"/>
          <w:sz w:val="24"/>
        </w:rPr>
        <w:t>响应方私下交换意见。在</w:t>
      </w:r>
      <w:r>
        <w:rPr>
          <w:rFonts w:hint="eastAsia" w:ascii="宋体" w:hAnsi="宋体" w:eastAsia="宋体" w:cs="宋体"/>
          <w:sz w:val="24"/>
          <w:lang w:val="en-US" w:eastAsia="zh-CN"/>
        </w:rPr>
        <w:t>评审</w:t>
      </w:r>
      <w:r>
        <w:rPr>
          <w:rFonts w:hint="eastAsia" w:ascii="宋体" w:hAnsi="宋体" w:eastAsia="宋体" w:cs="宋体"/>
          <w:sz w:val="24"/>
        </w:rPr>
        <w:t>直至授予合同的整个时间内，任何评审人员和工作人员不得对外公布</w:t>
      </w:r>
      <w:r>
        <w:rPr>
          <w:rFonts w:hint="eastAsia" w:ascii="宋体" w:hAnsi="宋体" w:eastAsia="宋体" w:cs="宋体"/>
          <w:sz w:val="24"/>
          <w:lang w:val="en-US" w:eastAsia="zh-CN"/>
        </w:rPr>
        <w:t>评审</w:t>
      </w:r>
      <w:r>
        <w:rPr>
          <w:rFonts w:hint="eastAsia" w:ascii="宋体" w:hAnsi="宋体" w:eastAsia="宋体" w:cs="宋体"/>
          <w:sz w:val="24"/>
        </w:rPr>
        <w:t>的一切内容，若确有需要则需经</w:t>
      </w:r>
      <w:r>
        <w:rPr>
          <w:rFonts w:hint="eastAsia" w:ascii="宋体" w:hAnsi="宋体" w:eastAsia="宋体" w:cs="宋体"/>
          <w:sz w:val="24"/>
          <w:lang w:eastAsia="zh-CN"/>
        </w:rPr>
        <w:t>评标委员会</w:t>
      </w:r>
      <w:r>
        <w:rPr>
          <w:rFonts w:hint="eastAsia" w:ascii="宋体" w:hAnsi="宋体" w:eastAsia="宋体" w:cs="宋体"/>
          <w:sz w:val="24"/>
        </w:rPr>
        <w:t>组长批准，统一对外。</w:t>
      </w:r>
      <w:r>
        <w:rPr>
          <w:rFonts w:hint="eastAsia" w:ascii="宋体" w:hAnsi="宋体" w:eastAsia="宋体" w:cs="宋体"/>
          <w:sz w:val="24"/>
          <w:lang w:eastAsia="zh-CN"/>
        </w:rPr>
        <w:t>评标委员会</w:t>
      </w:r>
      <w:r>
        <w:rPr>
          <w:rFonts w:hint="eastAsia" w:ascii="宋体" w:hAnsi="宋体" w:eastAsia="宋体" w:cs="宋体"/>
          <w:sz w:val="24"/>
        </w:rPr>
        <w:t>不向落标方解释落标原因，不退还</w:t>
      </w:r>
      <w:r>
        <w:rPr>
          <w:rFonts w:hint="eastAsia" w:ascii="宋体" w:hAnsi="宋体" w:eastAsia="宋体" w:cs="宋体"/>
          <w:sz w:val="24"/>
          <w:lang w:eastAsia="zh-CN"/>
        </w:rPr>
        <w:t>投标文件</w:t>
      </w:r>
      <w:r>
        <w:rPr>
          <w:rFonts w:hint="eastAsia" w:ascii="宋体" w:hAnsi="宋体" w:eastAsia="宋体" w:cs="宋体"/>
          <w:sz w:val="24"/>
        </w:rPr>
        <w:t>。</w:t>
      </w:r>
    </w:p>
    <w:p w14:paraId="1E2CB707">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6、价格评审标准</w:t>
      </w:r>
    </w:p>
    <w:p w14:paraId="20BBB1C8">
      <w:pPr>
        <w:tabs>
          <w:tab w:val="left" w:pos="540"/>
        </w:tabs>
        <w:kinsoku/>
        <w:wordWrap w:val="0"/>
        <w:overflowPunct/>
        <w:topLinePunct w:val="0"/>
        <w:bidi w:val="0"/>
        <w:snapToGrid w:val="0"/>
        <w:spacing w:line="360" w:lineRule="auto"/>
        <w:ind w:firstLine="480" w:firstLineChars="200"/>
        <w:rPr>
          <w:rFonts w:hint="eastAsia" w:ascii="宋体" w:hAnsi="宋体" w:eastAsia="宋体" w:cs="宋体"/>
        </w:rPr>
      </w:pPr>
      <w:r>
        <w:rPr>
          <w:rFonts w:hint="eastAsia" w:ascii="宋体" w:hAnsi="宋体" w:eastAsia="宋体" w:cs="宋体"/>
          <w:sz w:val="24"/>
        </w:rPr>
        <w:t>6.1</w:t>
      </w:r>
      <w:r>
        <w:rPr>
          <w:rFonts w:hint="eastAsia" w:ascii="宋体" w:hAnsi="宋体" w:eastAsia="宋体" w:cs="宋体"/>
          <w:sz w:val="24"/>
          <w:lang w:val="en-US" w:eastAsia="zh-CN"/>
        </w:rPr>
        <w:t>对满足政策要求的</w:t>
      </w:r>
      <w:r>
        <w:rPr>
          <w:rFonts w:hint="eastAsia" w:ascii="宋体" w:hAnsi="宋体" w:eastAsia="宋体" w:cs="宋体"/>
          <w:sz w:val="24"/>
        </w:rPr>
        <w:t>，报价给予10%的价格扣除，即：评标价格＝核实后的投标总价×(</w:t>
      </w:r>
      <w:r>
        <w:rPr>
          <w:rFonts w:hint="eastAsia" w:ascii="宋体" w:hAnsi="宋体" w:eastAsia="宋体" w:cs="宋体"/>
          <w:sz w:val="24"/>
          <w:lang w:val="en-US" w:eastAsia="zh-CN"/>
        </w:rPr>
        <w:t>100%-</w:t>
      </w:r>
      <w:r>
        <w:rPr>
          <w:rFonts w:hint="eastAsia" w:ascii="宋体" w:hAnsi="宋体" w:eastAsia="宋体" w:cs="宋体"/>
          <w:sz w:val="24"/>
        </w:rPr>
        <w:t>10%)；</w:t>
      </w:r>
    </w:p>
    <w:p w14:paraId="2140E79A">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6.2本条款所称小型或微型企业应当符合以下条件：符合小型或微型企业划分标准，提供本企业制造的货物或者提供其他小型或微型企业制造的货物(</w:t>
      </w:r>
      <w:r>
        <w:rPr>
          <w:rFonts w:hint="eastAsia" w:ascii="宋体" w:hAnsi="宋体" w:eastAsia="宋体" w:cs="宋体"/>
          <w:sz w:val="24"/>
          <w:lang w:val="en-US" w:eastAsia="zh-CN"/>
        </w:rPr>
        <w:t>投标文件内附中小企业声明函；监狱企业投标的附由省级以上监狱管理局、戒毒管理局(含新疆生产建设兵团)出具的属于监狱企业的证明文件；残疾人福利性单位在参加政府采购活动时，应当附《残疾人福利性单位声明函》。</w:t>
      </w:r>
      <w:r>
        <w:rPr>
          <w:rFonts w:hint="eastAsia" w:ascii="宋体" w:hAnsi="宋体" w:eastAsia="宋体" w:cs="宋体"/>
          <w:sz w:val="24"/>
        </w:rPr>
        <w:t>)；</w:t>
      </w:r>
    </w:p>
    <w:p w14:paraId="4BB31C66">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rPr>
        <w:t>7、</w:t>
      </w:r>
      <w:r>
        <w:rPr>
          <w:rFonts w:hint="eastAsia" w:ascii="宋体" w:hAnsi="宋体" w:eastAsia="宋体" w:cs="宋体"/>
          <w:sz w:val="24"/>
          <w:lang w:eastAsia="zh-CN"/>
        </w:rPr>
        <w:t>中标</w:t>
      </w:r>
      <w:r>
        <w:rPr>
          <w:rFonts w:hint="eastAsia" w:ascii="宋体" w:hAnsi="宋体" w:eastAsia="宋体" w:cs="宋体"/>
          <w:sz w:val="24"/>
        </w:rPr>
        <w:t>通知</w:t>
      </w:r>
    </w:p>
    <w:p w14:paraId="2CBB97D1">
      <w:pPr>
        <w:keepNext w:val="0"/>
        <w:keepLines w:val="0"/>
        <w:pageBreakBefore w:val="0"/>
        <w:widowControl w:val="0"/>
        <w:tabs>
          <w:tab w:val="left" w:pos="540"/>
        </w:tabs>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sz w:val="24"/>
          <w:lang w:val="en-US" w:eastAsia="zh-CN"/>
        </w:rPr>
        <w:t>评审</w:t>
      </w:r>
      <w:r>
        <w:rPr>
          <w:rFonts w:hint="eastAsia" w:ascii="宋体" w:hAnsi="宋体" w:eastAsia="宋体" w:cs="宋体"/>
          <w:sz w:val="24"/>
        </w:rPr>
        <w:t>结束后，本项目公告期为一个工作日。公告期限届满之日起7个工作日内,参与采购活动的</w:t>
      </w:r>
      <w:r>
        <w:rPr>
          <w:rFonts w:hint="eastAsia" w:ascii="宋体" w:hAnsi="宋体" w:eastAsia="宋体" w:cs="宋体"/>
          <w:sz w:val="24"/>
          <w:lang w:eastAsia="zh-CN"/>
        </w:rPr>
        <w:t>投标人</w:t>
      </w:r>
      <w:r>
        <w:rPr>
          <w:rFonts w:hint="eastAsia" w:ascii="宋体" w:hAnsi="宋体" w:eastAsia="宋体" w:cs="宋体"/>
          <w:sz w:val="24"/>
        </w:rPr>
        <w:t>认为采购过程和</w:t>
      </w:r>
      <w:r>
        <w:rPr>
          <w:rFonts w:hint="eastAsia" w:ascii="宋体" w:hAnsi="宋体" w:eastAsia="宋体" w:cs="宋体"/>
          <w:sz w:val="24"/>
          <w:lang w:eastAsia="zh-CN"/>
        </w:rPr>
        <w:t>中标</w:t>
      </w:r>
      <w:r>
        <w:rPr>
          <w:rFonts w:hint="eastAsia" w:ascii="宋体" w:hAnsi="宋体" w:eastAsia="宋体" w:cs="宋体"/>
          <w:sz w:val="24"/>
        </w:rPr>
        <w:t>结果使自己权益受到损害的,可以以书面形式向采购人或采购代理机构提出质疑。</w:t>
      </w:r>
    </w:p>
    <w:p w14:paraId="6F1ED71A">
      <w:pPr>
        <w:keepNext w:val="0"/>
        <w:keepLines w:val="0"/>
        <w:pageBreakBefore w:val="0"/>
        <w:widowControl w:val="0"/>
        <w:numPr>
          <w:ilvl w:val="0"/>
          <w:numId w:val="2"/>
        </w:numPr>
        <w:kinsoku/>
        <w:wordWrap w:val="0"/>
        <w:overflowPunct/>
        <w:topLinePunct w:val="0"/>
        <w:autoSpaceDE/>
        <w:autoSpaceDN/>
        <w:bidi w:val="0"/>
        <w:adjustRightInd/>
        <w:spacing w:line="360" w:lineRule="auto"/>
        <w:ind w:firstLine="562" w:firstLineChars="200"/>
        <w:jc w:val="center"/>
        <w:textAlignment w:val="auto"/>
        <w:rPr>
          <w:rFonts w:hint="eastAsia" w:ascii="宋体" w:hAnsi="宋体" w:eastAsia="宋体" w:cs="宋体"/>
          <w:b/>
          <w:bCs/>
          <w:sz w:val="28"/>
          <w:szCs w:val="28"/>
        </w:rPr>
        <w:sectPr>
          <w:footerReference r:id="rId11" w:type="first"/>
          <w:footerReference r:id="rId10" w:type="default"/>
          <w:pgSz w:w="11906" w:h="16838"/>
          <w:pgMar w:top="1134" w:right="1134" w:bottom="1134" w:left="1134" w:header="1134" w:footer="992" w:gutter="0"/>
          <w:pgNumType w:fmt="decimal"/>
          <w:cols w:space="720" w:num="1"/>
          <w:titlePg/>
          <w:docGrid w:type="lines" w:linePitch="312" w:charSpace="0"/>
        </w:sectPr>
      </w:pPr>
    </w:p>
    <w:p w14:paraId="0F076CA3">
      <w:pPr>
        <w:wordWrap w:val="0"/>
        <w:spacing w:line="360" w:lineRule="auto"/>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(一)资格审查表</w:t>
      </w:r>
    </w:p>
    <w:tbl>
      <w:tblPr>
        <w:tblStyle w:val="16"/>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00"/>
        <w:gridCol w:w="1634"/>
        <w:gridCol w:w="5406"/>
        <w:gridCol w:w="1066"/>
      </w:tblGrid>
      <w:tr w14:paraId="5228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772" w:type="dxa"/>
            <w:noWrap w:val="0"/>
            <w:vAlign w:val="center"/>
          </w:tcPr>
          <w:p w14:paraId="25C0FB21">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1100" w:type="dxa"/>
            <w:noWrap w:val="0"/>
            <w:vAlign w:val="center"/>
          </w:tcPr>
          <w:p w14:paraId="25486A61">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类型</w:t>
            </w:r>
          </w:p>
        </w:tc>
        <w:tc>
          <w:tcPr>
            <w:tcW w:w="1634" w:type="dxa"/>
            <w:noWrap w:val="0"/>
            <w:vAlign w:val="center"/>
          </w:tcPr>
          <w:p w14:paraId="6C2FB6AA">
            <w:pPr>
              <w:wordWrap w:val="0"/>
              <w:jc w:val="center"/>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评审内容</w:t>
            </w:r>
          </w:p>
        </w:tc>
        <w:tc>
          <w:tcPr>
            <w:tcW w:w="5406" w:type="dxa"/>
            <w:noWrap w:val="0"/>
            <w:vAlign w:val="center"/>
          </w:tcPr>
          <w:p w14:paraId="4C7C197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审查要求</w:t>
            </w:r>
          </w:p>
        </w:tc>
        <w:tc>
          <w:tcPr>
            <w:tcW w:w="1066" w:type="dxa"/>
            <w:noWrap w:val="0"/>
            <w:vAlign w:val="center"/>
          </w:tcPr>
          <w:p w14:paraId="338AFE33">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要求说明</w:t>
            </w:r>
          </w:p>
        </w:tc>
      </w:tr>
      <w:tr w14:paraId="376D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noWrap w:val="0"/>
            <w:vAlign w:val="center"/>
          </w:tcPr>
          <w:p w14:paraId="3AA08246">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56C60D52">
            <w:pPr>
              <w:pStyle w:val="31"/>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基本资质</w:t>
            </w:r>
          </w:p>
        </w:tc>
        <w:tc>
          <w:tcPr>
            <w:tcW w:w="1634" w:type="dxa"/>
            <w:noWrap w:val="0"/>
            <w:vAlign w:val="center"/>
          </w:tcPr>
          <w:p w14:paraId="73BF359D">
            <w:pPr>
              <w:pStyle w:val="31"/>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营业执照</w:t>
            </w:r>
          </w:p>
        </w:tc>
        <w:tc>
          <w:tcPr>
            <w:tcW w:w="5406" w:type="dxa"/>
            <w:noWrap w:val="0"/>
            <w:vAlign w:val="center"/>
          </w:tcPr>
          <w:p w14:paraId="4979470D">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须是在中国境内注册具有独立承担民事责任能力的法人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其他组织</w:t>
            </w:r>
            <w:r>
              <w:rPr>
                <w:rFonts w:hint="eastAsia" w:ascii="宋体" w:hAnsi="宋体" w:eastAsia="宋体" w:cs="宋体"/>
                <w:kern w:val="2"/>
                <w:sz w:val="24"/>
                <w:szCs w:val="24"/>
                <w:highlight w:val="none"/>
                <w:lang w:eastAsia="zh-CN"/>
              </w:rPr>
              <w:t>。</w:t>
            </w:r>
          </w:p>
          <w:p w14:paraId="4A548042">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sz w:val="24"/>
                <w:szCs w:val="24"/>
                <w:highlight w:val="none"/>
                <w:lang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提供营业执照副本</w:t>
            </w:r>
            <w:r>
              <w:rPr>
                <w:rFonts w:hint="eastAsia" w:ascii="宋体" w:hAnsi="宋体" w:eastAsia="宋体" w:cs="宋体"/>
                <w:b/>
                <w:bCs/>
                <w:kern w:val="2"/>
                <w:sz w:val="24"/>
                <w:szCs w:val="24"/>
                <w:highlight w:val="none"/>
                <w:lang w:eastAsia="zh-CN"/>
              </w:rPr>
              <w:t>复印件加盖公章</w:t>
            </w:r>
            <w:r>
              <w:rPr>
                <w:rFonts w:hint="eastAsia" w:ascii="宋体" w:hAnsi="宋体" w:eastAsia="宋体" w:cs="宋体"/>
                <w:kern w:val="2"/>
                <w:sz w:val="24"/>
                <w:szCs w:val="24"/>
                <w:highlight w:val="none"/>
                <w:lang w:eastAsia="zh-CN"/>
              </w:rPr>
              <w:t>。</w:t>
            </w:r>
          </w:p>
        </w:tc>
        <w:tc>
          <w:tcPr>
            <w:tcW w:w="1066" w:type="dxa"/>
            <w:noWrap w:val="0"/>
            <w:vAlign w:val="center"/>
          </w:tcPr>
          <w:p w14:paraId="6D926387">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投标文件内附复印件加盖单位公章</w:t>
            </w:r>
          </w:p>
        </w:tc>
      </w:tr>
      <w:tr w14:paraId="794D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772" w:type="dxa"/>
            <w:noWrap w:val="0"/>
            <w:vAlign w:val="center"/>
          </w:tcPr>
          <w:p w14:paraId="58103D7B">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61B67789">
            <w:pPr>
              <w:pStyle w:val="31"/>
              <w:wordWrap w:val="0"/>
              <w:jc w:val="center"/>
              <w:rPr>
                <w:rFonts w:hint="eastAsia" w:ascii="宋体" w:hAnsi="宋体" w:eastAsia="宋体" w:cs="宋体"/>
                <w:sz w:val="24"/>
                <w:szCs w:val="24"/>
                <w:highlight w:val="none"/>
              </w:rPr>
            </w:pPr>
            <w:r>
              <w:rPr>
                <w:rFonts w:hint="eastAsia" w:cs="宋体"/>
                <w:b w:val="0"/>
                <w:bCs w:val="0"/>
                <w:spacing w:val="-3"/>
                <w:sz w:val="24"/>
                <w:szCs w:val="24"/>
                <w:highlight w:val="none"/>
                <w:lang w:val="en-US" w:eastAsia="zh-CN"/>
              </w:rPr>
              <w:t>财务状况</w:t>
            </w:r>
          </w:p>
        </w:tc>
        <w:tc>
          <w:tcPr>
            <w:tcW w:w="1634" w:type="dxa"/>
            <w:noWrap w:val="0"/>
            <w:vAlign w:val="center"/>
          </w:tcPr>
          <w:p w14:paraId="3F04361D">
            <w:pPr>
              <w:pStyle w:val="31"/>
              <w:wordWrap w:val="0"/>
              <w:jc w:val="center"/>
              <w:rPr>
                <w:rFonts w:hint="default" w:cs="宋体"/>
                <w:b w:val="0"/>
                <w:bCs w:val="0"/>
                <w:spacing w:val="-3"/>
                <w:sz w:val="24"/>
                <w:szCs w:val="24"/>
                <w:highlight w:val="none"/>
                <w:lang w:val="en-US" w:eastAsia="zh-CN"/>
              </w:rPr>
            </w:pPr>
            <w:r>
              <w:rPr>
                <w:rFonts w:hint="eastAsia" w:cs="宋体"/>
                <w:b w:val="0"/>
                <w:bCs w:val="0"/>
                <w:spacing w:val="-3"/>
                <w:sz w:val="24"/>
                <w:szCs w:val="24"/>
                <w:highlight w:val="none"/>
                <w:lang w:val="en-US" w:eastAsia="zh-CN"/>
              </w:rPr>
              <w:t>财务要求</w:t>
            </w:r>
          </w:p>
        </w:tc>
        <w:tc>
          <w:tcPr>
            <w:tcW w:w="5406" w:type="dxa"/>
            <w:noWrap w:val="0"/>
            <w:vAlign w:val="center"/>
          </w:tcPr>
          <w:p w14:paraId="4AEFAD44">
            <w:pPr>
              <w:pStyle w:val="31"/>
              <w:wordWrap w:val="0"/>
              <w:jc w:val="both"/>
              <w:rPr>
                <w:rFonts w:hint="eastAsia" w:cs="宋体"/>
                <w:b w:val="0"/>
                <w:bCs w:val="0"/>
                <w:spacing w:val="-3"/>
                <w:sz w:val="24"/>
                <w:szCs w:val="24"/>
                <w:highlight w:val="none"/>
                <w:lang w:val="en-US" w:eastAsia="zh-CN"/>
              </w:rPr>
            </w:pPr>
            <w:r>
              <w:rPr>
                <w:rFonts w:hint="eastAsia" w:cs="宋体"/>
                <w:b w:val="0"/>
                <w:bCs w:val="0"/>
                <w:spacing w:val="-3"/>
                <w:sz w:val="24"/>
                <w:szCs w:val="24"/>
                <w:highlight w:val="none"/>
                <w:lang w:val="en-US" w:eastAsia="zh-CN"/>
              </w:rPr>
              <w:t>具有良好的商业信誉和健全的财务会计制度，近三年（2022年、2023年、2024年）财务状况良好，具有会计师事务所或审计机构出具的财务审计报告（当投标单位成立日期在2022年-2024年之间的，提供从成立日期起至2024年之间的经会计师事务所或审计机构审计的财务审计报告，2024年12月31日以后新成立的公司无财务审计报告的，提供成立之日起至今的财务状况良好承诺书。）</w:t>
            </w:r>
          </w:p>
          <w:p w14:paraId="21DADD6B">
            <w:pPr>
              <w:pStyle w:val="31"/>
              <w:wordWrap w:val="0"/>
              <w:jc w:val="both"/>
              <w:rPr>
                <w:rFonts w:hint="eastAsia" w:ascii="宋体" w:hAnsi="宋体" w:eastAsia="宋体" w:cs="宋体"/>
                <w:color w:val="000000"/>
                <w:sz w:val="24"/>
                <w:szCs w:val="24"/>
                <w:highlight w:val="none"/>
                <w:lang w:val="en-US" w:eastAsia="zh-CN"/>
              </w:rPr>
            </w:pPr>
            <w:r>
              <w:rPr>
                <w:rFonts w:hint="eastAsia" w:cs="宋体"/>
                <w:b/>
                <w:bCs/>
                <w:spacing w:val="-3"/>
                <w:sz w:val="24"/>
                <w:szCs w:val="24"/>
                <w:highlight w:val="none"/>
                <w:lang w:eastAsia="zh-CN"/>
              </w:rPr>
              <w:t>投标文件</w:t>
            </w:r>
            <w:r>
              <w:rPr>
                <w:rFonts w:hint="eastAsia" w:ascii="宋体" w:hAnsi="宋体" w:eastAsia="宋体" w:cs="宋体"/>
                <w:b/>
                <w:bCs/>
                <w:spacing w:val="-3"/>
                <w:sz w:val="24"/>
                <w:szCs w:val="24"/>
                <w:highlight w:val="none"/>
                <w:lang w:eastAsia="zh-CN"/>
              </w:rPr>
              <w:t>中</w:t>
            </w:r>
            <w:r>
              <w:rPr>
                <w:rFonts w:hint="eastAsia" w:ascii="宋体" w:hAnsi="宋体" w:eastAsia="宋体" w:cs="宋体"/>
                <w:b/>
                <w:bCs/>
                <w:spacing w:val="-3"/>
                <w:sz w:val="24"/>
                <w:szCs w:val="24"/>
                <w:highlight w:val="none"/>
                <w:lang w:val="en-US" w:eastAsia="zh-CN"/>
              </w:rPr>
              <w:t>提供财务审计报告</w:t>
            </w:r>
            <w:r>
              <w:rPr>
                <w:rFonts w:hint="eastAsia" w:ascii="宋体" w:hAnsi="宋体" w:eastAsia="宋体" w:cs="宋体"/>
                <w:b/>
                <w:bCs/>
                <w:color w:val="auto"/>
                <w:sz w:val="24"/>
                <w:szCs w:val="24"/>
                <w:highlight w:val="none"/>
                <w:lang w:val="en-US" w:eastAsia="zh-CN"/>
              </w:rPr>
              <w:t>复印件或</w:t>
            </w:r>
            <w:r>
              <w:rPr>
                <w:rFonts w:hint="eastAsia" w:ascii="宋体" w:hAnsi="宋体" w:eastAsia="宋体" w:cs="宋体"/>
                <w:b/>
                <w:bCs/>
                <w:spacing w:val="-3"/>
                <w:sz w:val="24"/>
                <w:szCs w:val="24"/>
                <w:highlight w:val="none"/>
                <w:lang w:eastAsia="zh-CN"/>
              </w:rPr>
              <w:t>由法定代表人或其委托代理人签字并加盖公章的</w:t>
            </w:r>
            <w:r>
              <w:rPr>
                <w:rFonts w:hint="eastAsia" w:ascii="宋体" w:hAnsi="宋体" w:eastAsia="宋体" w:cs="宋体"/>
                <w:b/>
                <w:bCs/>
                <w:color w:val="auto"/>
                <w:sz w:val="24"/>
                <w:szCs w:val="24"/>
                <w:highlight w:val="none"/>
                <w:lang w:val="en-US" w:eastAsia="zh-CN"/>
              </w:rPr>
              <w:t>财务状况良好承诺书。</w:t>
            </w:r>
          </w:p>
        </w:tc>
        <w:tc>
          <w:tcPr>
            <w:tcW w:w="1066" w:type="dxa"/>
            <w:noWrap w:val="0"/>
            <w:vAlign w:val="center"/>
          </w:tcPr>
          <w:p w14:paraId="58F2F4A2">
            <w:pPr>
              <w:wordWrap w:val="0"/>
              <w:jc w:val="cente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5A4C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2" w:type="dxa"/>
            <w:noWrap w:val="0"/>
            <w:vAlign w:val="center"/>
          </w:tcPr>
          <w:p w14:paraId="1782CB63">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072225B3">
            <w:pPr>
              <w:pStyle w:val="31"/>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基本资质</w:t>
            </w:r>
          </w:p>
        </w:tc>
        <w:tc>
          <w:tcPr>
            <w:tcW w:w="1634" w:type="dxa"/>
            <w:noWrap w:val="0"/>
            <w:vAlign w:val="center"/>
          </w:tcPr>
          <w:p w14:paraId="10CB8DC2">
            <w:pPr>
              <w:pStyle w:val="31"/>
              <w:wordWrap w:val="0"/>
              <w:jc w:val="center"/>
              <w:rPr>
                <w:rFonts w:hint="eastAsia" w:cs="宋体"/>
                <w:b w:val="0"/>
                <w:bCs w:val="0"/>
                <w:spacing w:val="-3"/>
                <w:sz w:val="24"/>
                <w:szCs w:val="24"/>
                <w:highlight w:val="none"/>
                <w:lang w:eastAsia="zh-CN"/>
              </w:rPr>
            </w:pPr>
            <w:r>
              <w:rPr>
                <w:rFonts w:hint="eastAsia" w:ascii="宋体" w:hAnsi="宋体" w:eastAsia="宋体" w:cs="宋体"/>
                <w:color w:val="000000"/>
                <w:sz w:val="24"/>
                <w:szCs w:val="24"/>
                <w:highlight w:val="none"/>
                <w:lang w:val="en-US" w:eastAsia="zh-CN"/>
              </w:rPr>
              <w:t>依法缴纳税收和社会保障资金</w:t>
            </w:r>
          </w:p>
        </w:tc>
        <w:tc>
          <w:tcPr>
            <w:tcW w:w="5406" w:type="dxa"/>
            <w:noWrap w:val="0"/>
            <w:vAlign w:val="center"/>
          </w:tcPr>
          <w:p w14:paraId="2A8EA830">
            <w:pPr>
              <w:pageBreakBefore w:val="0"/>
              <w:kinsoku/>
              <w:wordWrap w:val="0"/>
              <w:overflowPunct/>
              <w:bidi w:val="0"/>
              <w:snapToGrid/>
              <w:spacing w:line="240" w:lineRule="auto"/>
              <w:textAlignment w:val="baseline"/>
              <w:rPr>
                <w:rFonts w:hint="eastAsia" w:ascii="宋体" w:hAnsi="宋体" w:eastAsia="宋体" w:cs="宋体"/>
                <w:b w:val="0"/>
                <w:bCs w:val="0"/>
                <w:snapToGrid w:val="0"/>
                <w:color w:val="000000"/>
                <w:spacing w:val="-3"/>
                <w:kern w:val="0"/>
                <w:sz w:val="24"/>
                <w:szCs w:val="24"/>
                <w:highlight w:val="none"/>
                <w:lang w:val="en-US" w:eastAsia="zh-CN" w:bidi="ar-SA"/>
              </w:rPr>
            </w:pPr>
            <w:r>
              <w:rPr>
                <w:rFonts w:hint="eastAsia" w:ascii="宋体" w:hAnsi="宋体" w:eastAsia="宋体" w:cs="宋体"/>
                <w:b w:val="0"/>
                <w:bCs w:val="0"/>
                <w:snapToGrid w:val="0"/>
                <w:color w:val="000000"/>
                <w:spacing w:val="-3"/>
                <w:kern w:val="0"/>
                <w:sz w:val="24"/>
                <w:szCs w:val="24"/>
                <w:highlight w:val="none"/>
                <w:lang w:val="en-US" w:eastAsia="zh-CN" w:bidi="ar-SA"/>
              </w:rPr>
              <w:t>投标人具有依法缴纳税收和社会保障资金的良好记录，提供2025年1月至投标截止时间内任意一个月依法缴纳税收和社会保障资金的证明材料；</w:t>
            </w:r>
          </w:p>
          <w:p w14:paraId="7A6F2242">
            <w:pPr>
              <w:pageBreakBefore w:val="0"/>
              <w:kinsoku/>
              <w:wordWrap w:val="0"/>
              <w:overflowPunct/>
              <w:bidi w:val="0"/>
              <w:snapToGrid/>
              <w:spacing w:line="240" w:lineRule="auto"/>
              <w:textAlignment w:val="baseline"/>
              <w:rPr>
                <w:rFonts w:hint="eastAsia" w:ascii="宋体" w:hAnsi="宋体" w:eastAsia="宋体" w:cs="宋体"/>
                <w:kern w:val="2"/>
                <w:sz w:val="24"/>
                <w:szCs w:val="24"/>
                <w:highlight w:val="none"/>
                <w:lang w:eastAsia="zh-CN"/>
              </w:rPr>
            </w:pPr>
            <w:r>
              <w:rPr>
                <w:rFonts w:hint="eastAsia" w:ascii="宋体" w:hAnsi="宋体" w:eastAsia="宋体" w:cs="宋体"/>
                <w:b w:val="0"/>
                <w:bCs w:val="0"/>
                <w:snapToGrid w:val="0"/>
                <w:color w:val="000000"/>
                <w:spacing w:val="-3"/>
                <w:kern w:val="0"/>
                <w:sz w:val="24"/>
                <w:szCs w:val="24"/>
                <w:highlight w:val="none"/>
                <w:lang w:val="en-US" w:eastAsia="zh-CN" w:bidi="ar-SA"/>
              </w:rPr>
              <w:t>（依法免税或不需要缴纳社会保障资金的投标人，须提供相应文件证明其依法免税或不需要缴纳社会保障资金。）</w:t>
            </w:r>
          </w:p>
        </w:tc>
        <w:tc>
          <w:tcPr>
            <w:tcW w:w="1066" w:type="dxa"/>
            <w:noWrap w:val="0"/>
            <w:vAlign w:val="center"/>
          </w:tcPr>
          <w:p w14:paraId="090ABBC9">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5E4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72" w:type="dxa"/>
            <w:noWrap w:val="0"/>
            <w:vAlign w:val="center"/>
          </w:tcPr>
          <w:p w14:paraId="1DF21BD4">
            <w:pPr>
              <w:numPr>
                <w:ilvl w:val="0"/>
                <w:numId w:val="3"/>
              </w:numPr>
              <w:bidi w:val="0"/>
              <w:ind w:left="0" w:leftChars="0" w:firstLine="0" w:firstLineChars="0"/>
              <w:jc w:val="center"/>
              <w:rPr>
                <w:rFonts w:hint="eastAsia" w:ascii="宋体" w:hAnsi="宋体" w:eastAsia="宋体" w:cs="宋体"/>
              </w:rPr>
            </w:pPr>
          </w:p>
        </w:tc>
        <w:tc>
          <w:tcPr>
            <w:tcW w:w="1100" w:type="dxa"/>
            <w:noWrap w:val="0"/>
            <w:vAlign w:val="center"/>
          </w:tcPr>
          <w:p w14:paraId="24470F8C">
            <w:pPr>
              <w:pStyle w:val="31"/>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基本资质</w:t>
            </w:r>
          </w:p>
        </w:tc>
        <w:tc>
          <w:tcPr>
            <w:tcW w:w="1634" w:type="dxa"/>
            <w:noWrap w:val="0"/>
            <w:vAlign w:val="center"/>
          </w:tcPr>
          <w:p w14:paraId="10E26F04">
            <w:pPr>
              <w:pStyle w:val="31"/>
              <w:wordWrap w:val="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参加政府采购活动前三年内，在经营活动中没有重大违法记录</w:t>
            </w:r>
          </w:p>
        </w:tc>
        <w:tc>
          <w:tcPr>
            <w:tcW w:w="5406" w:type="dxa"/>
            <w:noWrap w:val="0"/>
            <w:vAlign w:val="center"/>
          </w:tcPr>
          <w:p w14:paraId="1C73B28C">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投标人参加政府采购活动前三年内，在经营活动中没有重大违法记录（注：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2284D35">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由法定代表人或</w:t>
            </w:r>
            <w:r>
              <w:rPr>
                <w:rFonts w:hint="eastAsia" w:ascii="宋体" w:hAnsi="宋体" w:eastAsia="宋体" w:cs="宋体"/>
                <w:b/>
                <w:bCs/>
                <w:kern w:val="2"/>
                <w:sz w:val="24"/>
                <w:szCs w:val="24"/>
                <w:highlight w:val="none"/>
                <w:lang w:val="en-US" w:eastAsia="zh-CN"/>
              </w:rPr>
              <w:t>委托代理人</w:t>
            </w:r>
            <w:r>
              <w:rPr>
                <w:rFonts w:hint="eastAsia" w:ascii="宋体" w:hAnsi="宋体" w:eastAsia="宋体" w:cs="宋体"/>
                <w:b/>
                <w:bCs/>
                <w:kern w:val="2"/>
                <w:sz w:val="24"/>
                <w:szCs w:val="24"/>
                <w:highlight w:val="none"/>
                <w:lang w:eastAsia="zh-CN"/>
              </w:rPr>
              <w:t>签字或盖章并加盖单位公章的</w:t>
            </w:r>
            <w:r>
              <w:rPr>
                <w:rFonts w:hint="eastAsia" w:ascii="宋体" w:hAnsi="宋体" w:eastAsia="宋体" w:cs="宋体"/>
                <w:b/>
                <w:bCs/>
                <w:kern w:val="2"/>
                <w:sz w:val="24"/>
                <w:szCs w:val="24"/>
                <w:highlight w:val="none"/>
                <w:lang w:val="en-US" w:eastAsia="zh-CN"/>
              </w:rPr>
              <w:t>无重大违法记录声明函</w:t>
            </w:r>
            <w:r>
              <w:rPr>
                <w:rFonts w:hint="eastAsia" w:ascii="宋体" w:hAnsi="宋体" w:eastAsia="宋体" w:cs="宋体"/>
                <w:b/>
                <w:bCs/>
                <w:kern w:val="2"/>
                <w:sz w:val="24"/>
                <w:szCs w:val="24"/>
                <w:highlight w:val="none"/>
                <w:lang w:eastAsia="zh-CN"/>
              </w:rPr>
              <w:t>。</w:t>
            </w:r>
          </w:p>
        </w:tc>
        <w:tc>
          <w:tcPr>
            <w:tcW w:w="1066" w:type="dxa"/>
            <w:noWrap w:val="0"/>
            <w:vAlign w:val="center"/>
          </w:tcPr>
          <w:p w14:paraId="7D7CA17A">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410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2" w:type="dxa"/>
            <w:vMerge w:val="restart"/>
            <w:noWrap w:val="0"/>
            <w:vAlign w:val="center"/>
          </w:tcPr>
          <w:p w14:paraId="1BF4DBA5">
            <w:pPr>
              <w:numPr>
                <w:ilvl w:val="0"/>
                <w:numId w:val="3"/>
              </w:numPr>
              <w:bidi w:val="0"/>
              <w:ind w:left="0" w:leftChars="0" w:firstLine="0" w:firstLineChars="0"/>
              <w:jc w:val="center"/>
              <w:rPr>
                <w:rFonts w:hint="eastAsia" w:ascii="宋体" w:hAnsi="宋体" w:eastAsia="宋体" w:cs="宋体"/>
              </w:rPr>
            </w:pPr>
          </w:p>
        </w:tc>
        <w:tc>
          <w:tcPr>
            <w:tcW w:w="1100" w:type="dxa"/>
            <w:vMerge w:val="restart"/>
            <w:noWrap w:val="0"/>
            <w:vAlign w:val="center"/>
          </w:tcPr>
          <w:p w14:paraId="3BDA409B">
            <w:pPr>
              <w:pStyle w:val="31"/>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基本资质</w:t>
            </w:r>
          </w:p>
        </w:tc>
        <w:tc>
          <w:tcPr>
            <w:tcW w:w="1634" w:type="dxa"/>
            <w:vMerge w:val="restart"/>
            <w:noWrap w:val="0"/>
            <w:vAlign w:val="center"/>
          </w:tcPr>
          <w:p w14:paraId="77E329AE">
            <w:pPr>
              <w:pStyle w:val="31"/>
              <w:wordWrap w:val="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信誉要求</w:t>
            </w:r>
          </w:p>
        </w:tc>
        <w:tc>
          <w:tcPr>
            <w:tcW w:w="5406" w:type="dxa"/>
            <w:noWrap w:val="0"/>
            <w:vAlign w:val="center"/>
          </w:tcPr>
          <w:p w14:paraId="7E8BE5B2">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在“信用中国”网站(www.creditchina.gov.cn)、中国政府采购网(www.ccgp.gov.cn)列入失信被执行人、 重大税收违法失信主体、政府采购严重违法失信行为记录名单的投标人，拒绝其参与投标；</w:t>
            </w:r>
          </w:p>
          <w:p w14:paraId="61A63020">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由法定代表人或</w:t>
            </w:r>
            <w:r>
              <w:rPr>
                <w:rFonts w:hint="eastAsia" w:ascii="宋体" w:hAnsi="宋体" w:eastAsia="宋体" w:cs="宋体"/>
                <w:b/>
                <w:bCs/>
                <w:kern w:val="2"/>
                <w:sz w:val="24"/>
                <w:szCs w:val="24"/>
                <w:highlight w:val="none"/>
                <w:lang w:val="en-US" w:eastAsia="zh-CN"/>
              </w:rPr>
              <w:t>委托代理人</w:t>
            </w:r>
            <w:r>
              <w:rPr>
                <w:rFonts w:hint="eastAsia" w:ascii="宋体" w:hAnsi="宋体" w:eastAsia="宋体" w:cs="宋体"/>
                <w:b/>
                <w:bCs/>
                <w:kern w:val="2"/>
                <w:sz w:val="24"/>
                <w:szCs w:val="24"/>
                <w:highlight w:val="none"/>
                <w:lang w:eastAsia="zh-CN"/>
              </w:rPr>
              <w:t>签字或盖章并加盖单位公章的</w:t>
            </w:r>
            <w:r>
              <w:rPr>
                <w:rFonts w:hint="eastAsia" w:ascii="宋体" w:hAnsi="宋体" w:eastAsia="宋体" w:cs="宋体"/>
                <w:b/>
                <w:bCs/>
                <w:kern w:val="2"/>
                <w:sz w:val="24"/>
                <w:szCs w:val="24"/>
                <w:highlight w:val="none"/>
                <w:lang w:val="en-US" w:eastAsia="zh-CN"/>
              </w:rPr>
              <w:t>信誉要求</w:t>
            </w:r>
            <w:r>
              <w:rPr>
                <w:rFonts w:hint="eastAsia" w:ascii="宋体" w:hAnsi="宋体" w:eastAsia="宋体" w:cs="宋体"/>
                <w:b/>
                <w:bCs/>
                <w:kern w:val="2"/>
                <w:sz w:val="24"/>
                <w:szCs w:val="24"/>
                <w:highlight w:val="none"/>
                <w:lang w:eastAsia="zh-CN"/>
              </w:rPr>
              <w:t>承诺书</w:t>
            </w:r>
            <w:r>
              <w:rPr>
                <w:rFonts w:hint="eastAsia" w:cs="宋体"/>
                <w:b/>
                <w:bCs/>
                <w:kern w:val="2"/>
                <w:sz w:val="24"/>
                <w:szCs w:val="24"/>
                <w:highlight w:val="none"/>
                <w:lang w:eastAsia="zh-CN"/>
              </w:rPr>
              <w:t>，</w:t>
            </w:r>
            <w:r>
              <w:rPr>
                <w:rFonts w:hint="eastAsia" w:cs="宋体"/>
                <w:b/>
                <w:bCs/>
                <w:kern w:val="2"/>
                <w:sz w:val="24"/>
                <w:szCs w:val="24"/>
                <w:highlight w:val="none"/>
                <w:lang w:val="en-US" w:eastAsia="zh-CN"/>
              </w:rPr>
              <w:t>并附相关网站查询截图证明（查询时间需在招标公告发布时间之后）</w:t>
            </w:r>
            <w:r>
              <w:rPr>
                <w:rFonts w:hint="eastAsia" w:ascii="宋体" w:hAnsi="宋体" w:eastAsia="宋体" w:cs="宋体"/>
                <w:b/>
                <w:bCs/>
                <w:kern w:val="2"/>
                <w:sz w:val="24"/>
                <w:szCs w:val="24"/>
                <w:highlight w:val="none"/>
                <w:lang w:eastAsia="zh-CN"/>
              </w:rPr>
              <w:t>。</w:t>
            </w:r>
          </w:p>
        </w:tc>
        <w:tc>
          <w:tcPr>
            <w:tcW w:w="1066" w:type="dxa"/>
            <w:noWrap w:val="0"/>
            <w:vAlign w:val="center"/>
          </w:tcPr>
          <w:p w14:paraId="1C7F48DC">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6092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72" w:type="dxa"/>
            <w:vMerge w:val="continue"/>
            <w:noWrap w:val="0"/>
            <w:vAlign w:val="center"/>
          </w:tcPr>
          <w:p w14:paraId="11C67546">
            <w:pPr>
              <w:bidi w:val="0"/>
              <w:ind w:left="0" w:leftChars="0" w:firstLine="0" w:firstLineChars="0"/>
              <w:jc w:val="center"/>
              <w:rPr>
                <w:rFonts w:hint="eastAsia" w:ascii="宋体" w:hAnsi="宋体" w:eastAsia="宋体" w:cs="宋体"/>
              </w:rPr>
            </w:pPr>
          </w:p>
        </w:tc>
        <w:tc>
          <w:tcPr>
            <w:tcW w:w="1100" w:type="dxa"/>
            <w:vMerge w:val="continue"/>
            <w:noWrap w:val="0"/>
            <w:vAlign w:val="center"/>
          </w:tcPr>
          <w:p w14:paraId="77FC7C39">
            <w:pPr>
              <w:pStyle w:val="31"/>
              <w:wordWrap w:val="0"/>
              <w:jc w:val="center"/>
              <w:rPr>
                <w:rFonts w:hint="eastAsia" w:ascii="宋体" w:hAnsi="宋体" w:eastAsia="宋体" w:cs="宋体"/>
                <w:sz w:val="24"/>
                <w:szCs w:val="24"/>
                <w:highlight w:val="none"/>
                <w:lang w:eastAsia="zh-CN"/>
              </w:rPr>
            </w:pPr>
          </w:p>
        </w:tc>
        <w:tc>
          <w:tcPr>
            <w:tcW w:w="1634" w:type="dxa"/>
            <w:vMerge w:val="continue"/>
            <w:noWrap w:val="0"/>
            <w:vAlign w:val="center"/>
          </w:tcPr>
          <w:p w14:paraId="03D99049">
            <w:pPr>
              <w:pStyle w:val="31"/>
              <w:wordWrap w:val="0"/>
              <w:jc w:val="both"/>
              <w:rPr>
                <w:rFonts w:hint="eastAsia" w:ascii="宋体" w:hAnsi="宋体" w:eastAsia="宋体" w:cs="宋体"/>
                <w:kern w:val="2"/>
                <w:sz w:val="24"/>
                <w:szCs w:val="24"/>
                <w:highlight w:val="none"/>
                <w:lang w:val="en-US" w:eastAsia="zh-CN"/>
              </w:rPr>
            </w:pPr>
          </w:p>
        </w:tc>
        <w:tc>
          <w:tcPr>
            <w:tcW w:w="5406" w:type="dxa"/>
            <w:noWrap w:val="0"/>
            <w:vAlign w:val="center"/>
          </w:tcPr>
          <w:p w14:paraId="52D42BF6">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(1)拒绝列入政府取消投标资格记录期间的企业或个人投标；</w:t>
            </w:r>
          </w:p>
          <w:p w14:paraId="781C702F">
            <w:pPr>
              <w:pStyle w:val="31"/>
              <w:wordWrap w:val="0"/>
              <w:jc w:val="both"/>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(2)与采购人存在利害关系可能影响招标公正性的法人、其他组织或者个人，不得参加投标。单位负责人为同一人或者存在直接控股、管理关系的不同供应商，不得参加同一合同项下的政府采购活动。</w:t>
            </w:r>
          </w:p>
          <w:p w14:paraId="1928D335">
            <w:pPr>
              <w:pStyle w:val="31"/>
              <w:wordWrap w:val="0"/>
              <w:jc w:val="both"/>
              <w:rPr>
                <w:rFonts w:hint="eastAsia" w:ascii="宋体" w:hAnsi="宋体" w:eastAsia="宋体" w:cs="宋体"/>
                <w:kern w:val="2"/>
                <w:sz w:val="24"/>
                <w:szCs w:val="24"/>
                <w:highlight w:val="none"/>
                <w:lang w:eastAsia="zh-CN"/>
              </w:rPr>
            </w:pPr>
            <w:r>
              <w:rPr>
                <w:rFonts w:hint="eastAsia" w:ascii="宋体" w:hAnsi="宋体" w:eastAsia="宋体" w:cs="宋体"/>
                <w:b/>
                <w:bCs/>
                <w:kern w:val="2"/>
                <w:sz w:val="24"/>
                <w:szCs w:val="24"/>
                <w:highlight w:val="none"/>
                <w:lang w:val="en-US" w:eastAsia="zh-CN"/>
              </w:rPr>
              <w:t>投标</w:t>
            </w:r>
            <w:r>
              <w:rPr>
                <w:rFonts w:hint="eastAsia" w:ascii="宋体" w:hAnsi="宋体" w:eastAsia="宋体" w:cs="宋体"/>
                <w:b/>
                <w:bCs/>
                <w:kern w:val="2"/>
                <w:sz w:val="24"/>
                <w:szCs w:val="24"/>
                <w:highlight w:val="none"/>
                <w:lang w:eastAsia="zh-CN"/>
              </w:rPr>
              <w:t>文件中</w:t>
            </w:r>
            <w:r>
              <w:rPr>
                <w:rFonts w:hint="eastAsia" w:ascii="宋体" w:hAnsi="宋体" w:eastAsia="宋体" w:cs="宋体"/>
                <w:b/>
                <w:bCs/>
                <w:kern w:val="2"/>
                <w:sz w:val="24"/>
                <w:szCs w:val="24"/>
                <w:highlight w:val="none"/>
                <w:lang w:val="en-US" w:eastAsia="zh-CN"/>
              </w:rPr>
              <w:t>提供</w:t>
            </w:r>
            <w:r>
              <w:rPr>
                <w:rFonts w:hint="eastAsia" w:ascii="宋体" w:hAnsi="宋体" w:eastAsia="宋体" w:cs="宋体"/>
                <w:b/>
                <w:bCs/>
                <w:kern w:val="2"/>
                <w:sz w:val="24"/>
                <w:szCs w:val="24"/>
                <w:highlight w:val="none"/>
                <w:lang w:eastAsia="zh-CN"/>
              </w:rPr>
              <w:t>由法定代表人签字并加盖单位公章的</w:t>
            </w:r>
            <w:r>
              <w:rPr>
                <w:rFonts w:hint="eastAsia" w:ascii="宋体" w:hAnsi="宋体" w:eastAsia="宋体" w:cs="宋体"/>
                <w:b/>
                <w:bCs/>
                <w:kern w:val="2"/>
                <w:sz w:val="24"/>
                <w:szCs w:val="24"/>
                <w:highlight w:val="none"/>
                <w:lang w:val="en-US" w:eastAsia="zh-CN"/>
              </w:rPr>
              <w:t>其他要求</w:t>
            </w:r>
            <w:r>
              <w:rPr>
                <w:rFonts w:hint="eastAsia" w:ascii="宋体" w:hAnsi="宋体" w:eastAsia="宋体" w:cs="宋体"/>
                <w:b/>
                <w:bCs/>
                <w:kern w:val="2"/>
                <w:sz w:val="24"/>
                <w:szCs w:val="24"/>
                <w:highlight w:val="none"/>
                <w:lang w:eastAsia="zh-CN"/>
              </w:rPr>
              <w:t>承诺书。</w:t>
            </w:r>
          </w:p>
        </w:tc>
        <w:tc>
          <w:tcPr>
            <w:tcW w:w="1066" w:type="dxa"/>
            <w:noWrap w:val="0"/>
            <w:vAlign w:val="center"/>
          </w:tcPr>
          <w:p w14:paraId="3DE7A2E1">
            <w:pPr>
              <w:pStyle w:val="31"/>
              <w:wordWrap w:val="0"/>
              <w:jc w:val="center"/>
              <w:rPr>
                <w:rFonts w:hint="eastAsia" w:ascii="宋体" w:hAnsi="宋体" w:eastAsia="宋体" w:cs="宋体"/>
                <w:kern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r w14:paraId="22F3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772" w:type="dxa"/>
            <w:noWrap w:val="0"/>
            <w:vAlign w:val="center"/>
          </w:tcPr>
          <w:p w14:paraId="1C4ED7D5">
            <w:pPr>
              <w:numPr>
                <w:ilvl w:val="0"/>
                <w:numId w:val="0"/>
              </w:numPr>
              <w:bidi w:val="0"/>
              <w:ind w:leftChars="0"/>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1100" w:type="dxa"/>
            <w:noWrap w:val="0"/>
            <w:vAlign w:val="center"/>
          </w:tcPr>
          <w:p w14:paraId="4F592E17">
            <w:pPr>
              <w:autoSpaceDE w:val="0"/>
              <w:autoSpaceDN w:val="0"/>
              <w:adjustRightIn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其他</w:t>
            </w:r>
          </w:p>
        </w:tc>
        <w:tc>
          <w:tcPr>
            <w:tcW w:w="1634" w:type="dxa"/>
            <w:noWrap w:val="0"/>
            <w:vAlign w:val="center"/>
          </w:tcPr>
          <w:p w14:paraId="66077E61">
            <w:pPr>
              <w:adjustRightInd w:val="0"/>
              <w:snapToGrid w:val="0"/>
              <w:spacing w:line="240" w:lineRule="auto"/>
              <w:jc w:val="center"/>
              <w:rPr>
                <w:rFonts w:hint="eastAsia" w:ascii="宋体" w:hAnsi="宋体" w:eastAsia="宋体" w:cs="宋体"/>
                <w:sz w:val="24"/>
                <w:szCs w:val="28"/>
                <w:highlight w:val="none"/>
                <w:lang w:val="en-US" w:eastAsia="zh-CN"/>
              </w:rPr>
            </w:pPr>
            <w:r>
              <w:rPr>
                <w:rFonts w:hint="eastAsia" w:ascii="宋体" w:hAnsi="宋体" w:eastAsia="宋体" w:cs="宋体"/>
                <w:sz w:val="24"/>
                <w:szCs w:val="24"/>
                <w:highlight w:val="none"/>
                <w:lang w:val="en-US" w:eastAsia="zh-CN"/>
              </w:rPr>
              <w:t>其他</w:t>
            </w:r>
          </w:p>
        </w:tc>
        <w:tc>
          <w:tcPr>
            <w:tcW w:w="5406" w:type="dxa"/>
            <w:noWrap w:val="0"/>
            <w:vAlign w:val="center"/>
          </w:tcPr>
          <w:p w14:paraId="056B217F">
            <w:pPr>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文件内附中小企业声明函；监狱企业投标的附由省级以上监狱管理局、戒毒管理局(含新疆生产建设兵团)出具的属于监狱企业的证明文件；残疾人福利性单位在参加政府采购活动时，应当附《残疾人福利性单位声明函》；</w:t>
            </w:r>
          </w:p>
          <w:p w14:paraId="6A5CCC1E">
            <w:pPr>
              <w:adjustRightInd w:val="0"/>
              <w:snapToGrid w:val="0"/>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8"/>
                <w:highlight w:val="none"/>
              </w:rPr>
              <w:t>采购标的对应的中小企业划分标准所属行业</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lang w:val="en-US" w:eastAsia="zh-CN"/>
              </w:rPr>
              <w:t>投标</w:t>
            </w:r>
            <w:r>
              <w:rPr>
                <w:rFonts w:hint="eastAsia" w:ascii="宋体" w:hAnsi="宋体" w:eastAsia="宋体" w:cs="宋体"/>
                <w:sz w:val="24"/>
                <w:szCs w:val="28"/>
                <w:highlight w:val="none"/>
                <w:lang w:eastAsia="zh-CN"/>
              </w:rPr>
              <w:t>文件</w:t>
            </w:r>
            <w:r>
              <w:rPr>
                <w:rFonts w:hint="eastAsia" w:ascii="宋体" w:hAnsi="宋体" w:eastAsia="宋体" w:cs="宋体"/>
                <w:sz w:val="24"/>
                <w:szCs w:val="28"/>
                <w:highlight w:val="none"/>
              </w:rPr>
              <w:t>中《中小企业声明函》中填写的“采购文件中明确的所属行业”应与下述行业一致</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rPr>
              <w:t>：</w:t>
            </w:r>
            <w:r>
              <w:rPr>
                <w:rFonts w:hint="eastAsia" w:ascii="宋体" w:hAnsi="宋体" w:eastAsia="宋体" w:cs="宋体"/>
                <w:sz w:val="24"/>
                <w:szCs w:val="28"/>
                <w:highlight w:val="none"/>
                <w:lang w:val="en-US" w:eastAsia="zh-CN"/>
              </w:rPr>
              <w:t>制造业</w:t>
            </w:r>
            <w:r>
              <w:rPr>
                <w:rFonts w:hint="eastAsia" w:ascii="宋体" w:hAnsi="宋体" w:eastAsia="宋体" w:cs="宋体"/>
                <w:sz w:val="24"/>
                <w:szCs w:val="28"/>
                <w:highlight w:val="none"/>
                <w:lang w:eastAsia="zh-CN"/>
              </w:rPr>
              <w:t>。</w:t>
            </w:r>
          </w:p>
        </w:tc>
        <w:tc>
          <w:tcPr>
            <w:tcW w:w="1066" w:type="dxa"/>
            <w:noWrap w:val="0"/>
            <w:vAlign w:val="center"/>
          </w:tcPr>
          <w:p w14:paraId="6241D4DC">
            <w:pPr>
              <w:pStyle w:val="31"/>
              <w:wordWrap w:val="0"/>
              <w:jc w:val="center"/>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是否响应招标文件要求</w:t>
            </w:r>
          </w:p>
        </w:tc>
      </w:tr>
    </w:tbl>
    <w:p w14:paraId="3195A297">
      <w:pPr>
        <w:wordWrap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注：上述审查项目中，有一项不符合招标文件要求，该投标文件则作无效投标处理，不再进入符合性审查。</w:t>
      </w:r>
    </w:p>
    <w:p w14:paraId="70A00467">
      <w:pPr>
        <w:wordWrap w:val="0"/>
        <w:spacing w:line="360" w:lineRule="auto"/>
        <w:jc w:val="center"/>
        <w:rPr>
          <w:rFonts w:hint="eastAsia" w:ascii="宋体" w:hAnsi="宋体" w:eastAsia="宋体" w:cs="宋体"/>
          <w:b/>
          <w:color w:val="000000"/>
          <w:sz w:val="28"/>
          <w:szCs w:val="24"/>
          <w:highlight w:val="none"/>
        </w:rPr>
      </w:pPr>
      <w:r>
        <w:rPr>
          <w:rFonts w:hint="eastAsia" w:ascii="宋体" w:hAnsi="宋体" w:eastAsia="宋体" w:cs="宋体"/>
          <w:b/>
          <w:color w:val="000000"/>
          <w:sz w:val="28"/>
          <w:szCs w:val="24"/>
          <w:highlight w:val="none"/>
        </w:rPr>
        <w:br w:type="page"/>
      </w:r>
      <w:r>
        <w:rPr>
          <w:rFonts w:hint="eastAsia" w:ascii="宋体" w:hAnsi="宋体" w:eastAsia="宋体" w:cs="宋体"/>
          <w:b/>
          <w:color w:val="000000"/>
          <w:sz w:val="28"/>
          <w:szCs w:val="24"/>
          <w:highlight w:val="none"/>
        </w:rPr>
        <w:t>(二)符合性审查表</w:t>
      </w:r>
    </w:p>
    <w:tbl>
      <w:tblPr>
        <w:tblStyle w:val="16"/>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37"/>
        <w:gridCol w:w="1965"/>
        <w:gridCol w:w="6375"/>
      </w:tblGrid>
      <w:tr w14:paraId="4A8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AB4C2E7">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序号</w:t>
            </w:r>
          </w:p>
        </w:tc>
        <w:tc>
          <w:tcPr>
            <w:tcW w:w="837" w:type="dxa"/>
            <w:noWrap w:val="0"/>
            <w:vAlign w:val="center"/>
          </w:tcPr>
          <w:p w14:paraId="5C7DAC14">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类型</w:t>
            </w:r>
          </w:p>
        </w:tc>
        <w:tc>
          <w:tcPr>
            <w:tcW w:w="1965" w:type="dxa"/>
            <w:noWrap w:val="0"/>
            <w:vAlign w:val="center"/>
          </w:tcPr>
          <w:p w14:paraId="767A526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审查要求</w:t>
            </w:r>
          </w:p>
        </w:tc>
        <w:tc>
          <w:tcPr>
            <w:tcW w:w="6375" w:type="dxa"/>
            <w:noWrap w:val="0"/>
            <w:vAlign w:val="center"/>
          </w:tcPr>
          <w:p w14:paraId="09870CBF">
            <w:pPr>
              <w:wordWrap w:val="0"/>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要求说明</w:t>
            </w:r>
          </w:p>
        </w:tc>
      </w:tr>
      <w:tr w14:paraId="5CC9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F2F9DC9">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37" w:type="dxa"/>
            <w:noWrap w:val="0"/>
            <w:vAlign w:val="center"/>
          </w:tcPr>
          <w:p w14:paraId="07939AD9">
            <w:pPr>
              <w:pStyle w:val="31"/>
              <w:wordWrap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w:t>
            </w:r>
          </w:p>
        </w:tc>
        <w:tc>
          <w:tcPr>
            <w:tcW w:w="1965" w:type="dxa"/>
            <w:noWrap w:val="0"/>
            <w:vAlign w:val="center"/>
          </w:tcPr>
          <w:p w14:paraId="6EC94011">
            <w:pPr>
              <w:pStyle w:val="31"/>
              <w:wordWrap w:val="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投标人</w:t>
            </w:r>
            <w:r>
              <w:rPr>
                <w:rFonts w:hint="eastAsia" w:ascii="宋体" w:hAnsi="宋体" w:eastAsia="宋体" w:cs="宋体"/>
                <w:kern w:val="2"/>
                <w:sz w:val="24"/>
                <w:szCs w:val="24"/>
                <w:highlight w:val="none"/>
              </w:rPr>
              <w:t>名称</w:t>
            </w:r>
          </w:p>
        </w:tc>
        <w:tc>
          <w:tcPr>
            <w:tcW w:w="6375" w:type="dxa"/>
            <w:noWrap w:val="0"/>
            <w:vAlign w:val="center"/>
          </w:tcPr>
          <w:p w14:paraId="64A741B5">
            <w:pPr>
              <w:widowControl/>
              <w:kinsoku w:val="0"/>
              <w:wordWrap w:val="0"/>
              <w:autoSpaceDE w:val="0"/>
              <w:autoSpaceDN w:val="0"/>
              <w:adjustRightInd w:val="0"/>
              <w:snapToGrid w:val="0"/>
              <w:jc w:val="left"/>
              <w:textAlignment w:val="baseline"/>
              <w:rPr>
                <w:rFonts w:hint="eastAsia" w:ascii="宋体" w:hAnsi="宋体" w:eastAsia="宋体" w:cs="宋体"/>
                <w:color w:val="000000"/>
                <w:sz w:val="24"/>
                <w:szCs w:val="24"/>
                <w:highlight w:val="none"/>
                <w:lang w:eastAsia="en-US"/>
              </w:rPr>
            </w:pPr>
            <w:r>
              <w:rPr>
                <w:rFonts w:hint="eastAsia" w:ascii="宋体" w:hAnsi="宋体" w:eastAsia="宋体" w:cs="宋体"/>
                <w:sz w:val="24"/>
                <w:szCs w:val="24"/>
                <w:highlight w:val="none"/>
              </w:rPr>
              <w:t>与营业执照一致</w:t>
            </w:r>
            <w:r>
              <w:rPr>
                <w:rFonts w:hint="eastAsia" w:ascii="宋体" w:hAnsi="宋体" w:eastAsia="宋体" w:cs="宋体"/>
                <w:color w:val="000000"/>
                <w:sz w:val="24"/>
                <w:szCs w:val="24"/>
                <w:highlight w:val="none"/>
                <w:lang w:val="en-US" w:eastAsia="zh-CN"/>
              </w:rPr>
              <w:t>一致</w:t>
            </w:r>
            <w:r>
              <w:rPr>
                <w:rFonts w:hint="eastAsia" w:ascii="宋体" w:hAnsi="宋体" w:eastAsia="宋体" w:cs="宋体"/>
                <w:sz w:val="24"/>
                <w:szCs w:val="24"/>
                <w:highlight w:val="none"/>
              </w:rPr>
              <w:t>。</w:t>
            </w:r>
          </w:p>
        </w:tc>
      </w:tr>
      <w:tr w14:paraId="06FF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555EBCD8">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37" w:type="dxa"/>
            <w:noWrap w:val="0"/>
            <w:vAlign w:val="center"/>
          </w:tcPr>
          <w:p w14:paraId="6F0875DE">
            <w:pPr>
              <w:pStyle w:val="31"/>
              <w:wordWrap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商务</w:t>
            </w:r>
          </w:p>
        </w:tc>
        <w:tc>
          <w:tcPr>
            <w:tcW w:w="1965" w:type="dxa"/>
            <w:noWrap w:val="0"/>
            <w:vAlign w:val="center"/>
          </w:tcPr>
          <w:p w14:paraId="53B50E6C">
            <w:pPr>
              <w:pStyle w:val="31"/>
              <w:wordWrap w:val="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授权委托书</w:t>
            </w:r>
          </w:p>
        </w:tc>
        <w:tc>
          <w:tcPr>
            <w:tcW w:w="6375" w:type="dxa"/>
            <w:noWrap w:val="0"/>
            <w:vAlign w:val="center"/>
          </w:tcPr>
          <w:p w14:paraId="18094CBC">
            <w:pPr>
              <w:widowControl/>
              <w:kinsoku w:val="0"/>
              <w:wordWrap w:val="0"/>
              <w:autoSpaceDE w:val="0"/>
              <w:autoSpaceDN w:val="0"/>
              <w:adjustRightInd w:val="0"/>
              <w:snapToGrid w:val="0"/>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按照</w:t>
            </w:r>
            <w:r>
              <w:rPr>
                <w:rFonts w:hint="eastAsia" w:ascii="宋体" w:hAnsi="宋体" w:eastAsia="宋体" w:cs="宋体"/>
                <w:color w:val="000000"/>
                <w:sz w:val="24"/>
                <w:szCs w:val="24"/>
                <w:highlight w:val="none"/>
                <w:lang w:eastAsia="zh-CN"/>
              </w:rPr>
              <w:t>招标文件</w:t>
            </w:r>
            <w:r>
              <w:rPr>
                <w:rFonts w:hint="eastAsia" w:ascii="宋体" w:hAnsi="宋体" w:eastAsia="宋体" w:cs="宋体"/>
                <w:color w:val="000000"/>
                <w:sz w:val="24"/>
                <w:szCs w:val="24"/>
                <w:highlight w:val="none"/>
              </w:rPr>
              <w:t>的规定提供</w:t>
            </w:r>
            <w:r>
              <w:rPr>
                <w:rFonts w:hint="eastAsia" w:ascii="宋体" w:hAnsi="宋体" w:eastAsia="宋体" w:cs="宋体"/>
                <w:color w:val="000000"/>
                <w:sz w:val="24"/>
                <w:szCs w:val="24"/>
                <w:highlight w:val="none"/>
                <w:lang w:val="en-US" w:eastAsia="zh-CN"/>
              </w:rPr>
              <w:t>法定代表人身份证明书和</w:t>
            </w:r>
            <w:r>
              <w:rPr>
                <w:rFonts w:hint="eastAsia" w:ascii="宋体" w:hAnsi="宋体" w:eastAsia="宋体" w:cs="宋体"/>
                <w:color w:val="000000"/>
                <w:sz w:val="24"/>
                <w:szCs w:val="24"/>
                <w:highlight w:val="none"/>
              </w:rPr>
              <w:t>法定代表人授权委托书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法定代表人参加的则只需提供法定代表人身份证明书</w:t>
            </w:r>
            <w:r>
              <w:rPr>
                <w:rFonts w:hint="eastAsia" w:ascii="宋体" w:hAnsi="宋体" w:eastAsia="宋体" w:cs="宋体"/>
                <w:color w:val="000000"/>
                <w:sz w:val="24"/>
                <w:szCs w:val="24"/>
                <w:highlight w:val="none"/>
                <w:lang w:eastAsia="zh-CN"/>
              </w:rPr>
              <w:t>）</w:t>
            </w:r>
          </w:p>
        </w:tc>
      </w:tr>
      <w:tr w14:paraId="26D0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4A348E2">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37" w:type="dxa"/>
            <w:noWrap w:val="0"/>
            <w:vAlign w:val="center"/>
          </w:tcPr>
          <w:p w14:paraId="206F3F46">
            <w:pPr>
              <w:pStyle w:val="31"/>
              <w:wordWrap w:val="0"/>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lang w:eastAsia="zh-CN"/>
              </w:rPr>
              <w:t>商务</w:t>
            </w:r>
          </w:p>
        </w:tc>
        <w:tc>
          <w:tcPr>
            <w:tcW w:w="1965" w:type="dxa"/>
            <w:noWrap w:val="0"/>
            <w:vAlign w:val="center"/>
          </w:tcPr>
          <w:p w14:paraId="68DB7211">
            <w:pPr>
              <w:pStyle w:val="31"/>
              <w:wordWrap w:val="0"/>
              <w:jc w:val="center"/>
              <w:rPr>
                <w:rFonts w:hint="eastAsia" w:ascii="宋体" w:hAnsi="宋体" w:eastAsia="宋体" w:cs="宋体"/>
                <w:snapToGrid w:val="0"/>
                <w:color w:val="000000"/>
                <w:kern w:val="2"/>
                <w:sz w:val="24"/>
                <w:szCs w:val="24"/>
                <w:highlight w:val="none"/>
                <w:lang w:val="en-US" w:eastAsia="en-US" w:bidi="ar-SA"/>
              </w:rPr>
            </w:pPr>
            <w:r>
              <w:rPr>
                <w:rFonts w:hint="eastAsia" w:ascii="宋体" w:hAnsi="宋体" w:eastAsia="宋体" w:cs="宋体"/>
                <w:kern w:val="2"/>
                <w:sz w:val="24"/>
                <w:szCs w:val="24"/>
                <w:highlight w:val="none"/>
              </w:rPr>
              <w:t>投标函签字盖章</w:t>
            </w:r>
          </w:p>
        </w:tc>
        <w:tc>
          <w:tcPr>
            <w:tcW w:w="6375" w:type="dxa"/>
            <w:noWrap w:val="0"/>
            <w:vAlign w:val="center"/>
          </w:tcPr>
          <w:p w14:paraId="0FA43C7D">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均应加盖投标人印章并经法定代表人或其委托代理人签字或盖章。</w:t>
            </w:r>
          </w:p>
        </w:tc>
      </w:tr>
      <w:tr w14:paraId="0E9B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4A48A0E">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37" w:type="dxa"/>
            <w:noWrap w:val="0"/>
            <w:vAlign w:val="center"/>
          </w:tcPr>
          <w:p w14:paraId="4D4C466C">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2FF3246A">
            <w:pPr>
              <w:pStyle w:val="31"/>
              <w:wordWrap w:val="0"/>
              <w:jc w:val="center"/>
              <w:rPr>
                <w:rFonts w:hint="eastAsia" w:ascii="宋体" w:hAnsi="宋体" w:eastAsia="宋体" w:cs="宋体"/>
                <w:snapToGrid w:val="0"/>
                <w:color w:val="000000"/>
                <w:kern w:val="2"/>
                <w:sz w:val="24"/>
                <w:szCs w:val="24"/>
                <w:highlight w:val="none"/>
                <w:lang w:val="en-US" w:eastAsia="en-US" w:bidi="ar-SA"/>
              </w:rPr>
            </w:pPr>
            <w:r>
              <w:rPr>
                <w:rFonts w:hint="eastAsia" w:ascii="宋体" w:hAnsi="宋体" w:eastAsia="宋体" w:cs="宋体"/>
                <w:kern w:val="2"/>
                <w:sz w:val="24"/>
                <w:szCs w:val="24"/>
                <w:highlight w:val="none"/>
                <w:lang w:eastAsia="zh-CN"/>
              </w:rPr>
              <w:t>投标文件</w:t>
            </w:r>
            <w:r>
              <w:rPr>
                <w:rFonts w:hint="eastAsia" w:ascii="宋体" w:hAnsi="宋体" w:eastAsia="宋体" w:cs="宋体"/>
                <w:kern w:val="2"/>
                <w:sz w:val="24"/>
                <w:szCs w:val="24"/>
                <w:highlight w:val="none"/>
              </w:rPr>
              <w:t>格式</w:t>
            </w:r>
          </w:p>
        </w:tc>
        <w:tc>
          <w:tcPr>
            <w:tcW w:w="6375" w:type="dxa"/>
            <w:noWrap w:val="0"/>
            <w:vAlign w:val="center"/>
          </w:tcPr>
          <w:p w14:paraId="5E7EC5EE">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符合招标文件中“投标文件格式”的要求，按招标文件的要求盖章、签署。</w:t>
            </w:r>
          </w:p>
        </w:tc>
      </w:tr>
      <w:tr w14:paraId="23E5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6EA5C93C">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837" w:type="dxa"/>
            <w:noWrap w:val="0"/>
            <w:vAlign w:val="center"/>
          </w:tcPr>
          <w:p w14:paraId="799D44D6">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7909C814">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bCs/>
                <w:snapToGrid w:val="0"/>
                <w:sz w:val="24"/>
                <w:szCs w:val="24"/>
                <w:highlight w:val="none"/>
                <w:lang w:val="en-US" w:eastAsia="zh-CN"/>
              </w:rPr>
              <w:t>投标保证金</w:t>
            </w:r>
          </w:p>
        </w:tc>
        <w:tc>
          <w:tcPr>
            <w:tcW w:w="6375" w:type="dxa"/>
            <w:noWrap w:val="0"/>
            <w:vAlign w:val="center"/>
          </w:tcPr>
          <w:p w14:paraId="548B3DBE">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按照投标文件的规定提供投标保证金。</w:t>
            </w:r>
          </w:p>
        </w:tc>
      </w:tr>
      <w:tr w14:paraId="0E35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94D52F2">
            <w:pPr>
              <w:wordWrap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37" w:type="dxa"/>
            <w:noWrap w:val="0"/>
            <w:vAlign w:val="center"/>
          </w:tcPr>
          <w:p w14:paraId="7FBA50AC">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71BFA3E1">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kern w:val="2"/>
                <w:sz w:val="24"/>
                <w:szCs w:val="24"/>
                <w:highlight w:val="none"/>
                <w:lang w:eastAsia="zh-CN"/>
              </w:rPr>
              <w:t>合同履行期限</w:t>
            </w:r>
          </w:p>
        </w:tc>
        <w:tc>
          <w:tcPr>
            <w:tcW w:w="6375" w:type="dxa"/>
            <w:noWrap w:val="0"/>
            <w:vAlign w:val="center"/>
          </w:tcPr>
          <w:p w14:paraId="21667899">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yellow"/>
                <w:lang w:val="en-US" w:eastAsia="zh-CN" w:bidi="ar-SA"/>
              </w:rPr>
            </w:pPr>
            <w:r>
              <w:rPr>
                <w:rFonts w:hint="eastAsia" w:ascii="宋体" w:hAnsi="宋体" w:eastAsia="宋体" w:cs="宋体"/>
                <w:spacing w:val="-2"/>
                <w:kern w:val="2"/>
                <w:sz w:val="24"/>
                <w:szCs w:val="24"/>
                <w:highlight w:val="none"/>
                <w:lang w:val="en-US" w:eastAsia="zh-CN" w:bidi="ar-SA"/>
              </w:rPr>
              <w:t>接到供货指令后30日内完成供货、安装、调试；</w:t>
            </w:r>
          </w:p>
        </w:tc>
      </w:tr>
      <w:tr w14:paraId="530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57EA872F">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7</w:t>
            </w:r>
          </w:p>
        </w:tc>
        <w:tc>
          <w:tcPr>
            <w:tcW w:w="837" w:type="dxa"/>
            <w:noWrap w:val="0"/>
            <w:vAlign w:val="center"/>
          </w:tcPr>
          <w:p w14:paraId="6A08E0A1">
            <w:pPr>
              <w:pStyle w:val="31"/>
              <w:wordWrap w:val="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w:t>
            </w:r>
          </w:p>
        </w:tc>
        <w:tc>
          <w:tcPr>
            <w:tcW w:w="1965" w:type="dxa"/>
            <w:noWrap w:val="0"/>
            <w:vAlign w:val="center"/>
          </w:tcPr>
          <w:p w14:paraId="77070304">
            <w:pPr>
              <w:pStyle w:val="31"/>
              <w:wordWrap w:val="0"/>
              <w:jc w:val="center"/>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质量要求</w:t>
            </w:r>
          </w:p>
        </w:tc>
        <w:tc>
          <w:tcPr>
            <w:tcW w:w="6375" w:type="dxa"/>
            <w:noWrap w:val="0"/>
            <w:vAlign w:val="center"/>
          </w:tcPr>
          <w:p w14:paraId="6B2CC64C">
            <w:pPr>
              <w:widowControl/>
              <w:kinsoku w:val="0"/>
              <w:wordWrap w:val="0"/>
              <w:autoSpaceDE w:val="0"/>
              <w:autoSpaceDN w:val="0"/>
              <w:adjustRightInd w:val="0"/>
              <w:snapToGrid w:val="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符合国家及行业相关合格标准</w:t>
            </w:r>
          </w:p>
        </w:tc>
      </w:tr>
      <w:tr w14:paraId="2836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FD6EED1">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8</w:t>
            </w:r>
          </w:p>
        </w:tc>
        <w:tc>
          <w:tcPr>
            <w:tcW w:w="837" w:type="dxa"/>
            <w:noWrap w:val="0"/>
            <w:vAlign w:val="center"/>
          </w:tcPr>
          <w:p w14:paraId="6676681B">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商务</w:t>
            </w:r>
          </w:p>
        </w:tc>
        <w:tc>
          <w:tcPr>
            <w:tcW w:w="1965" w:type="dxa"/>
            <w:noWrap w:val="0"/>
            <w:vAlign w:val="center"/>
          </w:tcPr>
          <w:p w14:paraId="377D7536">
            <w:pPr>
              <w:pStyle w:val="31"/>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kern w:val="2"/>
                <w:sz w:val="24"/>
                <w:szCs w:val="24"/>
                <w:highlight w:val="none"/>
                <w:lang w:eastAsia="zh-CN"/>
              </w:rPr>
              <w:t>投标有效期</w:t>
            </w:r>
          </w:p>
        </w:tc>
        <w:tc>
          <w:tcPr>
            <w:tcW w:w="6375" w:type="dxa"/>
            <w:noWrap w:val="0"/>
            <w:vAlign w:val="center"/>
          </w:tcPr>
          <w:p w14:paraId="2E921073">
            <w:pPr>
              <w:widowControl/>
              <w:kinsoku w:val="0"/>
              <w:wordWrap w:val="0"/>
              <w:autoSpaceDE w:val="0"/>
              <w:autoSpaceDN w:val="0"/>
              <w:adjustRightInd w:val="0"/>
              <w:snapToGrid w:val="0"/>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投标文件递交截止之日后90天(日历天)</w:t>
            </w:r>
            <w:r>
              <w:rPr>
                <w:rFonts w:hint="eastAsia" w:ascii="宋体" w:hAnsi="宋体" w:eastAsia="宋体" w:cs="宋体"/>
                <w:sz w:val="24"/>
                <w:szCs w:val="24"/>
                <w:highlight w:val="none"/>
                <w:lang w:eastAsia="zh-CN"/>
              </w:rPr>
              <w:t>。</w:t>
            </w:r>
          </w:p>
        </w:tc>
      </w:tr>
      <w:tr w14:paraId="3670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12E4E98F">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9</w:t>
            </w:r>
          </w:p>
        </w:tc>
        <w:tc>
          <w:tcPr>
            <w:tcW w:w="837" w:type="dxa"/>
            <w:noWrap w:val="0"/>
            <w:vAlign w:val="center"/>
          </w:tcPr>
          <w:p w14:paraId="7FF75258">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425661E8">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联合体投标</w:t>
            </w:r>
          </w:p>
        </w:tc>
        <w:tc>
          <w:tcPr>
            <w:tcW w:w="6375" w:type="dxa"/>
            <w:noWrap w:val="0"/>
            <w:vAlign w:val="center"/>
          </w:tcPr>
          <w:p w14:paraId="5173CB5B">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投标人非联合体投标。</w:t>
            </w:r>
          </w:p>
        </w:tc>
      </w:tr>
      <w:tr w14:paraId="794E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37171CB2">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10</w:t>
            </w:r>
          </w:p>
        </w:tc>
        <w:tc>
          <w:tcPr>
            <w:tcW w:w="837" w:type="dxa"/>
            <w:noWrap w:val="0"/>
            <w:vAlign w:val="center"/>
          </w:tcPr>
          <w:p w14:paraId="40517104">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商务</w:t>
            </w:r>
          </w:p>
        </w:tc>
        <w:tc>
          <w:tcPr>
            <w:tcW w:w="1965" w:type="dxa"/>
            <w:noWrap w:val="0"/>
            <w:vAlign w:val="center"/>
          </w:tcPr>
          <w:p w14:paraId="57B39B02">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实质性条款</w:t>
            </w:r>
          </w:p>
        </w:tc>
        <w:tc>
          <w:tcPr>
            <w:tcW w:w="6375" w:type="dxa"/>
            <w:noWrap w:val="0"/>
            <w:vAlign w:val="center"/>
          </w:tcPr>
          <w:p w14:paraId="5A12A698">
            <w:pPr>
              <w:widowControl/>
              <w:kinsoku w:val="0"/>
              <w:wordWrap w:val="0"/>
              <w:autoSpaceDE w:val="0"/>
              <w:autoSpaceDN w:val="0"/>
              <w:adjustRightInd w:val="0"/>
              <w:snapToGrid w:val="0"/>
              <w:jc w:val="left"/>
              <w:textAlignment w:val="baseline"/>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spacing w:val="-2"/>
                <w:kern w:val="2"/>
                <w:sz w:val="24"/>
                <w:szCs w:val="24"/>
                <w:highlight w:val="none"/>
                <w:lang w:val="en-US" w:eastAsia="zh-CN" w:bidi="ar-SA"/>
              </w:rPr>
              <w:t>响应招标文件规定的全部实质性条款。</w:t>
            </w:r>
          </w:p>
        </w:tc>
      </w:tr>
      <w:tr w14:paraId="17A9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03A6AC1D">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11</w:t>
            </w:r>
          </w:p>
        </w:tc>
        <w:tc>
          <w:tcPr>
            <w:tcW w:w="837" w:type="dxa"/>
            <w:noWrap w:val="0"/>
            <w:vAlign w:val="center"/>
          </w:tcPr>
          <w:p w14:paraId="2CB31D42">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技术</w:t>
            </w:r>
          </w:p>
        </w:tc>
        <w:tc>
          <w:tcPr>
            <w:tcW w:w="1965" w:type="dxa"/>
            <w:noWrap w:val="0"/>
            <w:vAlign w:val="center"/>
          </w:tcPr>
          <w:p w14:paraId="1D5C68EF">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eastAsia="zh-CN"/>
              </w:rPr>
              <w:t>采购需求</w:t>
            </w:r>
          </w:p>
        </w:tc>
        <w:tc>
          <w:tcPr>
            <w:tcW w:w="6375" w:type="dxa"/>
            <w:noWrap w:val="0"/>
            <w:vAlign w:val="center"/>
          </w:tcPr>
          <w:p w14:paraId="58353804">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z w:val="24"/>
                <w:szCs w:val="24"/>
                <w:highlight w:val="none"/>
              </w:rPr>
              <w:t>满足招标文件第五章"采购需求"</w:t>
            </w:r>
            <w:r>
              <w:rPr>
                <w:rFonts w:hint="eastAsia" w:ascii="宋体" w:hAnsi="宋体" w:eastAsia="宋体" w:cs="宋体"/>
                <w:sz w:val="24"/>
                <w:szCs w:val="24"/>
                <w:highlight w:val="none"/>
                <w:lang w:eastAsia="zh-CN"/>
              </w:rPr>
              <w:t>。</w:t>
            </w:r>
          </w:p>
        </w:tc>
      </w:tr>
      <w:tr w14:paraId="0C2C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2E1632B4">
            <w:pPr>
              <w:wordWrap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12</w:t>
            </w:r>
          </w:p>
        </w:tc>
        <w:tc>
          <w:tcPr>
            <w:tcW w:w="837" w:type="dxa"/>
            <w:noWrap w:val="0"/>
            <w:vAlign w:val="center"/>
          </w:tcPr>
          <w:p w14:paraId="581A385F">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报价</w:t>
            </w:r>
          </w:p>
        </w:tc>
        <w:tc>
          <w:tcPr>
            <w:tcW w:w="1965" w:type="dxa"/>
            <w:noWrap w:val="0"/>
            <w:vAlign w:val="center"/>
          </w:tcPr>
          <w:p w14:paraId="0DE0B400">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kern w:val="2"/>
                <w:sz w:val="24"/>
                <w:szCs w:val="24"/>
                <w:highlight w:val="none"/>
              </w:rPr>
              <w:t>报价唯一</w:t>
            </w:r>
          </w:p>
        </w:tc>
        <w:tc>
          <w:tcPr>
            <w:tcW w:w="6375" w:type="dxa"/>
            <w:noWrap w:val="0"/>
            <w:vAlign w:val="center"/>
          </w:tcPr>
          <w:p w14:paraId="76068265">
            <w:pPr>
              <w:widowControl/>
              <w:kinsoku w:val="0"/>
              <w:wordWrap w:val="0"/>
              <w:autoSpaceDE w:val="0"/>
              <w:autoSpaceDN w:val="0"/>
              <w:adjustRightInd w:val="0"/>
              <w:snapToGrid w:val="0"/>
              <w:jc w:val="left"/>
              <w:textAlignment w:val="baseline"/>
              <w:rPr>
                <w:rFonts w:hint="eastAsia" w:ascii="宋体" w:hAnsi="宋体" w:eastAsia="宋体" w:cs="宋体"/>
                <w:spacing w:val="-2"/>
                <w:kern w:val="2"/>
                <w:sz w:val="24"/>
                <w:szCs w:val="24"/>
                <w:highlight w:val="none"/>
                <w:lang w:val="en-US" w:eastAsia="zh-CN" w:bidi="ar-SA"/>
              </w:rPr>
            </w:pPr>
            <w:r>
              <w:rPr>
                <w:rFonts w:hint="eastAsia" w:ascii="宋体" w:hAnsi="宋体" w:eastAsia="宋体" w:cs="宋体"/>
                <w:sz w:val="24"/>
                <w:szCs w:val="24"/>
                <w:highlight w:val="none"/>
              </w:rPr>
              <w:t>只能有一个有效报价。</w:t>
            </w:r>
          </w:p>
        </w:tc>
      </w:tr>
      <w:tr w14:paraId="7EA1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1" w:type="dxa"/>
            <w:noWrap w:val="0"/>
            <w:vAlign w:val="center"/>
          </w:tcPr>
          <w:p w14:paraId="013C75F4">
            <w:pPr>
              <w:wordWrap w:val="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837" w:type="dxa"/>
            <w:noWrap w:val="0"/>
            <w:vAlign w:val="center"/>
          </w:tcPr>
          <w:p w14:paraId="6C7E2BED">
            <w:pPr>
              <w:pStyle w:val="31"/>
              <w:wordWrap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eastAsia="zh-CN"/>
              </w:rPr>
              <w:t>报价</w:t>
            </w:r>
          </w:p>
        </w:tc>
        <w:tc>
          <w:tcPr>
            <w:tcW w:w="1965" w:type="dxa"/>
            <w:noWrap w:val="0"/>
            <w:vAlign w:val="center"/>
          </w:tcPr>
          <w:p w14:paraId="238947C3">
            <w:pPr>
              <w:pStyle w:val="31"/>
              <w:wordWrap w:val="0"/>
              <w:jc w:val="center"/>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报价</w:t>
            </w:r>
          </w:p>
        </w:tc>
        <w:tc>
          <w:tcPr>
            <w:tcW w:w="6375" w:type="dxa"/>
            <w:noWrap w:val="0"/>
            <w:vAlign w:val="center"/>
          </w:tcPr>
          <w:p w14:paraId="5ED2DE2F">
            <w:pPr>
              <w:widowControl/>
              <w:kinsoku w:val="0"/>
              <w:wordWrap w:val="0"/>
              <w:autoSpaceDE w:val="0"/>
              <w:autoSpaceDN w:val="0"/>
              <w:adjustRightInd w:val="0"/>
              <w:snapToGrid w:val="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不超过最高限价(超出最高限价的投标报价其投标文件将被否决)</w:t>
            </w:r>
            <w:r>
              <w:rPr>
                <w:rFonts w:hint="eastAsia" w:ascii="宋体" w:hAnsi="宋体" w:eastAsia="宋体" w:cs="宋体"/>
                <w:sz w:val="24"/>
                <w:szCs w:val="24"/>
                <w:highlight w:val="none"/>
                <w:lang w:eastAsia="zh-CN"/>
              </w:rPr>
              <w:t>。</w:t>
            </w:r>
          </w:p>
        </w:tc>
      </w:tr>
    </w:tbl>
    <w:p w14:paraId="55151F7D">
      <w:pPr>
        <w:wordWrap w:val="0"/>
        <w:spacing w:line="360" w:lineRule="auto"/>
        <w:ind w:firstLine="105" w:firstLineChars="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注：投标文件不符合以上条件之一的，该投标文件作无效处理。不再</w:t>
      </w:r>
      <w:r>
        <w:rPr>
          <w:rFonts w:hint="eastAsia" w:ascii="宋体" w:hAnsi="宋体" w:eastAsia="宋体" w:cs="宋体"/>
          <w:color w:val="000000"/>
          <w:kern w:val="0"/>
          <w:szCs w:val="21"/>
          <w:highlight w:val="none"/>
        </w:rPr>
        <w:t>进行</w:t>
      </w:r>
      <w:r>
        <w:rPr>
          <w:rFonts w:hint="eastAsia" w:ascii="宋体" w:hAnsi="宋体" w:eastAsia="宋体" w:cs="宋体"/>
          <w:color w:val="000000"/>
          <w:szCs w:val="21"/>
          <w:highlight w:val="none"/>
          <w:shd w:val="clear" w:color="auto" w:fill="FFFFFF"/>
        </w:rPr>
        <w:t>详细评审</w:t>
      </w:r>
      <w:r>
        <w:rPr>
          <w:rFonts w:hint="eastAsia" w:ascii="宋体" w:hAnsi="宋体" w:eastAsia="宋体" w:cs="宋体"/>
          <w:color w:val="000000"/>
          <w:kern w:val="0"/>
          <w:szCs w:val="21"/>
          <w:highlight w:val="none"/>
        </w:rPr>
        <w:t>。</w:t>
      </w:r>
    </w:p>
    <w:p w14:paraId="54AD2BD8">
      <w:pPr>
        <w:wordWrap w:val="0"/>
        <w:spacing w:line="360" w:lineRule="auto"/>
        <w:jc w:val="center"/>
        <w:rPr>
          <w:rFonts w:hint="eastAsia" w:ascii="宋体" w:hAnsi="宋体" w:eastAsia="宋体" w:cs="宋体"/>
          <w:b/>
          <w:bCs/>
          <w:color w:val="000000"/>
          <w:sz w:val="24"/>
          <w:highlight w:val="none"/>
          <w:lang w:val="zh-CN"/>
        </w:rPr>
      </w:pPr>
    </w:p>
    <w:p w14:paraId="4AB7BA14">
      <w:pPr>
        <w:wordWrap w:val="0"/>
        <w:spacing w:line="360" w:lineRule="auto"/>
        <w:jc w:val="center"/>
        <w:rPr>
          <w:rFonts w:hint="eastAsia" w:ascii="宋体" w:hAnsi="宋体" w:eastAsia="宋体" w:cs="宋体"/>
          <w:b/>
          <w:bCs/>
          <w:color w:val="000000"/>
          <w:sz w:val="24"/>
          <w:highlight w:val="none"/>
          <w:lang w:val="zh-CN"/>
        </w:rPr>
      </w:pPr>
    </w:p>
    <w:p w14:paraId="71B9C0CA">
      <w:pPr>
        <w:wordWrap w:val="0"/>
        <w:spacing w:line="360" w:lineRule="auto"/>
        <w:jc w:val="center"/>
        <w:rPr>
          <w:rFonts w:hint="eastAsia" w:ascii="宋体" w:hAnsi="宋体" w:eastAsia="宋体" w:cs="宋体"/>
          <w:b/>
          <w:bCs/>
          <w:color w:val="000000"/>
          <w:sz w:val="24"/>
          <w:highlight w:val="none"/>
          <w:lang w:val="zh-CN"/>
        </w:rPr>
      </w:pPr>
    </w:p>
    <w:p w14:paraId="11E10313">
      <w:pPr>
        <w:wordWrap w:val="0"/>
        <w:spacing w:line="360" w:lineRule="auto"/>
        <w:jc w:val="center"/>
        <w:rPr>
          <w:rFonts w:hint="eastAsia" w:ascii="宋体" w:hAnsi="宋体" w:eastAsia="宋体" w:cs="宋体"/>
          <w:b/>
          <w:bCs/>
          <w:color w:val="000000"/>
          <w:sz w:val="24"/>
          <w:highlight w:val="none"/>
          <w:lang w:val="zh-CN"/>
        </w:rPr>
      </w:pPr>
    </w:p>
    <w:p w14:paraId="227633D3">
      <w:pPr>
        <w:wordWrap w:val="0"/>
        <w:spacing w:line="360" w:lineRule="auto"/>
        <w:jc w:val="center"/>
        <w:rPr>
          <w:rFonts w:hint="eastAsia" w:ascii="宋体" w:hAnsi="宋体" w:eastAsia="宋体" w:cs="宋体"/>
          <w:b/>
          <w:bCs/>
          <w:color w:val="000000"/>
          <w:sz w:val="24"/>
          <w:highlight w:val="none"/>
          <w:lang w:val="zh-CN"/>
        </w:rPr>
      </w:pPr>
    </w:p>
    <w:p w14:paraId="35E21B0B">
      <w:pPr>
        <w:pStyle w:val="15"/>
        <w:wordWrap w:val="0"/>
        <w:spacing w:line="360" w:lineRule="auto"/>
        <w:rPr>
          <w:rFonts w:hint="eastAsia" w:ascii="宋体" w:hAnsi="宋体" w:eastAsia="宋体" w:cs="宋体"/>
          <w:bCs/>
          <w:color w:val="000000"/>
          <w:highlight w:val="none"/>
          <w:lang w:val="zh-CN"/>
        </w:rPr>
      </w:pPr>
    </w:p>
    <w:p w14:paraId="1B5C36B4">
      <w:pPr>
        <w:pStyle w:val="15"/>
        <w:wordWrap w:val="0"/>
        <w:spacing w:line="360" w:lineRule="auto"/>
        <w:rPr>
          <w:rFonts w:hint="eastAsia" w:ascii="宋体" w:hAnsi="宋体" w:eastAsia="宋体" w:cs="宋体"/>
          <w:bCs/>
          <w:color w:val="000000"/>
          <w:highlight w:val="none"/>
          <w:lang w:val="zh-CN"/>
        </w:rPr>
      </w:pPr>
    </w:p>
    <w:p w14:paraId="28AF80F1">
      <w:pPr>
        <w:pStyle w:val="15"/>
        <w:wordWrap w:val="0"/>
        <w:spacing w:line="360" w:lineRule="auto"/>
        <w:rPr>
          <w:rFonts w:hint="eastAsia" w:ascii="宋体" w:hAnsi="宋体" w:eastAsia="宋体" w:cs="宋体"/>
          <w:bCs/>
          <w:color w:val="000000"/>
          <w:highlight w:val="none"/>
          <w:lang w:val="zh-CN"/>
        </w:rPr>
      </w:pPr>
    </w:p>
    <w:p w14:paraId="72F838FE">
      <w:pPr>
        <w:pStyle w:val="15"/>
        <w:wordWrap w:val="0"/>
        <w:spacing w:line="360" w:lineRule="auto"/>
        <w:rPr>
          <w:rFonts w:hint="eastAsia" w:ascii="宋体" w:hAnsi="宋体" w:eastAsia="宋体" w:cs="宋体"/>
          <w:bCs/>
          <w:color w:val="000000"/>
          <w:highlight w:val="none"/>
          <w:lang w:val="zh-CN"/>
        </w:rPr>
      </w:pPr>
    </w:p>
    <w:p w14:paraId="2ABCA4DF">
      <w:pPr>
        <w:numPr>
          <w:ilvl w:val="0"/>
          <w:numId w:val="2"/>
        </w:numPr>
        <w:wordWrap w:val="0"/>
        <w:spacing w:line="360" w:lineRule="auto"/>
        <w:jc w:val="center"/>
        <w:rPr>
          <w:rFonts w:hint="eastAsia" w:ascii="宋体" w:hAnsi="宋体" w:eastAsia="宋体" w:cs="宋体"/>
          <w:b/>
          <w:bCs/>
          <w:sz w:val="28"/>
          <w:szCs w:val="28"/>
          <w:highlight w:val="none"/>
        </w:rPr>
        <w:sectPr>
          <w:footerReference r:id="rId13" w:type="first"/>
          <w:footerReference r:id="rId12" w:type="default"/>
          <w:pgSz w:w="11906" w:h="16838"/>
          <w:pgMar w:top="1134" w:right="1134" w:bottom="1134" w:left="1134" w:header="1134" w:footer="992" w:gutter="0"/>
          <w:pgNumType w:fmt="decimal"/>
          <w:cols w:space="720" w:num="1"/>
          <w:titlePg/>
          <w:docGrid w:type="lines" w:linePitch="312" w:charSpace="0"/>
        </w:sectPr>
      </w:pPr>
    </w:p>
    <w:p w14:paraId="6F0E1274">
      <w:pPr>
        <w:pageBreakBefore w:val="0"/>
        <w:widowControl/>
        <w:kinsoku/>
        <w:wordWrap w:val="0"/>
        <w:overflowPunct/>
        <w:bidi w:val="0"/>
        <w:jc w:val="center"/>
        <w:rPr>
          <w:rFonts w:hint="eastAsia" w:ascii="仿宋" w:eastAsia="仿宋" w:cs="仿宋"/>
          <w:b/>
          <w:sz w:val="28"/>
          <w:szCs w:val="20"/>
          <w:highlight w:val="none"/>
        </w:rPr>
      </w:pPr>
      <w:r>
        <w:rPr>
          <w:rFonts w:hint="eastAsia" w:ascii="宋体" w:hAnsi="宋体" w:cs="宋体"/>
          <w:b/>
          <w:sz w:val="28"/>
          <w:szCs w:val="20"/>
          <w:highlight w:val="none"/>
        </w:rPr>
        <w:t>评分标准（详细评审）</w:t>
      </w:r>
    </w:p>
    <w:bookmarkEnd w:id="376"/>
    <w:tbl>
      <w:tblPr>
        <w:tblStyle w:val="16"/>
        <w:tblW w:w="9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55"/>
        <w:gridCol w:w="1495"/>
        <w:gridCol w:w="5841"/>
        <w:gridCol w:w="1145"/>
      </w:tblGrid>
      <w:tr w14:paraId="58BA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29" w:type="dxa"/>
            <w:vAlign w:val="center"/>
          </w:tcPr>
          <w:p w14:paraId="0DB2B2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bookmarkStart w:id="377" w:name="_Toc247085758"/>
            <w:bookmarkStart w:id="378" w:name="_Toc144974567"/>
            <w:bookmarkStart w:id="379" w:name="_Toc152045600"/>
            <w:bookmarkStart w:id="380" w:name="_Toc409424392"/>
            <w:bookmarkStart w:id="381" w:name="_Toc246996986"/>
            <w:bookmarkStart w:id="382" w:name="_Toc152042377"/>
            <w:bookmarkStart w:id="383" w:name="_Toc468267473"/>
            <w:bookmarkStart w:id="384" w:name="_Toc246996243"/>
            <w:bookmarkStart w:id="385" w:name="_Toc409424331"/>
            <w:bookmarkStart w:id="386" w:name="_Toc179632618"/>
            <w:r>
              <w:rPr>
                <w:rFonts w:hint="eastAsia" w:ascii="宋体" w:hAnsi="宋体" w:eastAsia="宋体" w:cs="宋体"/>
                <w:color w:val="auto"/>
                <w:sz w:val="22"/>
                <w:szCs w:val="22"/>
                <w:highlight w:val="none"/>
              </w:rPr>
              <w:t>序号</w:t>
            </w:r>
          </w:p>
        </w:tc>
        <w:tc>
          <w:tcPr>
            <w:tcW w:w="855" w:type="dxa"/>
            <w:vAlign w:val="center"/>
          </w:tcPr>
          <w:p w14:paraId="5F322CF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评审内容</w:t>
            </w:r>
          </w:p>
        </w:tc>
        <w:tc>
          <w:tcPr>
            <w:tcW w:w="1495" w:type="dxa"/>
            <w:vAlign w:val="center"/>
          </w:tcPr>
          <w:p w14:paraId="779507C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3669F7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p>
        </w:tc>
        <w:tc>
          <w:tcPr>
            <w:tcW w:w="5841" w:type="dxa"/>
            <w:vAlign w:val="center"/>
          </w:tcPr>
          <w:p w14:paraId="31D468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评审标准说明</w:t>
            </w:r>
          </w:p>
        </w:tc>
        <w:tc>
          <w:tcPr>
            <w:tcW w:w="1145" w:type="dxa"/>
            <w:vAlign w:val="center"/>
          </w:tcPr>
          <w:p w14:paraId="1E2F106D">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w:t>
            </w:r>
          </w:p>
        </w:tc>
      </w:tr>
      <w:tr w14:paraId="396F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Align w:val="center"/>
          </w:tcPr>
          <w:p w14:paraId="10056B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55" w:type="dxa"/>
            <w:vAlign w:val="center"/>
          </w:tcPr>
          <w:p w14:paraId="23BC407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价格</w:t>
            </w:r>
          </w:p>
          <w:p w14:paraId="6969EB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因素（</w:t>
            </w:r>
            <w:r>
              <w:rPr>
                <w:rFonts w:hint="eastAsia" w:ascii="宋体" w:hAnsi="宋体" w:eastAsia="宋体" w:cs="宋体"/>
                <w:color w:val="auto"/>
                <w:kern w:val="0"/>
                <w:sz w:val="22"/>
                <w:szCs w:val="22"/>
                <w:highlight w:val="none"/>
                <w:lang w:val="en-US" w:eastAsia="zh-CN"/>
              </w:rPr>
              <w:t>30分</w:t>
            </w:r>
            <w:r>
              <w:rPr>
                <w:rFonts w:hint="eastAsia" w:ascii="宋体" w:hAnsi="宋体" w:eastAsia="宋体" w:cs="宋体"/>
                <w:color w:val="auto"/>
                <w:kern w:val="0"/>
                <w:sz w:val="22"/>
                <w:szCs w:val="22"/>
                <w:highlight w:val="none"/>
                <w:lang w:eastAsia="zh-CN"/>
              </w:rPr>
              <w:t>）</w:t>
            </w:r>
          </w:p>
          <w:p w14:paraId="5226E48B">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auto"/>
                <w:kern w:val="0"/>
                <w:sz w:val="22"/>
                <w:szCs w:val="22"/>
                <w:highlight w:val="none"/>
                <w:lang w:eastAsia="zh-CN"/>
              </w:rPr>
            </w:pPr>
          </w:p>
        </w:tc>
        <w:tc>
          <w:tcPr>
            <w:tcW w:w="1495" w:type="dxa"/>
            <w:vAlign w:val="center"/>
          </w:tcPr>
          <w:p w14:paraId="52FED77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投标报价</w:t>
            </w:r>
          </w:p>
          <w:p w14:paraId="604A606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30分</w:t>
            </w:r>
            <w:r>
              <w:rPr>
                <w:rFonts w:hint="eastAsia" w:ascii="宋体" w:hAnsi="宋体" w:eastAsia="宋体" w:cs="宋体"/>
                <w:color w:val="auto"/>
                <w:kern w:val="0"/>
                <w:sz w:val="22"/>
                <w:szCs w:val="22"/>
                <w:highlight w:val="none"/>
                <w:lang w:eastAsia="zh-CN"/>
              </w:rPr>
              <w:t>）</w:t>
            </w:r>
          </w:p>
        </w:tc>
        <w:tc>
          <w:tcPr>
            <w:tcW w:w="5841" w:type="dxa"/>
            <w:vAlign w:val="center"/>
          </w:tcPr>
          <w:p w14:paraId="7599D3D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（1）评标基准价：经评审的所有有效投标报价中以最低投标报价为评标基准价；</w:t>
            </w:r>
          </w:p>
          <w:p w14:paraId="6AD78B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（2）投标报价等于评标基准价时得满分30分；</w:t>
            </w:r>
          </w:p>
          <w:p w14:paraId="194C27A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（3）投标报价高于基准价按以下公式计算得分：</w:t>
            </w:r>
          </w:p>
          <w:p w14:paraId="2CEEE96F">
            <w:pPr>
              <w:spacing w:line="0" w:lineRule="atLeas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投标报价得分=（基准价/投标报价）×30</w:t>
            </w:r>
          </w:p>
          <w:p w14:paraId="3F3B52F6">
            <w:pPr>
              <w:spacing w:line="0" w:lineRule="atLeast"/>
              <w:rPr>
                <w:rFonts w:ascii="宋体" w:hAnsi="宋体" w:cs="宋体"/>
                <w:color w:val="auto"/>
                <w:sz w:val="22"/>
                <w:szCs w:val="22"/>
                <w:lang w:eastAsia="zh-CN"/>
              </w:rPr>
            </w:pPr>
            <w:r>
              <w:rPr>
                <w:rFonts w:hint="eastAsia" w:ascii="宋体" w:hAnsi="宋体" w:cs="宋体"/>
                <w:color w:val="auto"/>
                <w:sz w:val="22"/>
                <w:szCs w:val="22"/>
                <w:lang w:eastAsia="zh-CN"/>
              </w:rPr>
              <w:t>注：1.报价得分保留二位小数，从第三位开始四舍五入。</w:t>
            </w:r>
          </w:p>
          <w:p w14:paraId="03496D3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2"/>
                <w:sz w:val="22"/>
                <w:szCs w:val="22"/>
                <w:lang w:eastAsia="zh-CN"/>
              </w:rPr>
              <w:t>2.</w:t>
            </w:r>
            <w:r>
              <w:rPr>
                <w:rFonts w:hint="eastAsia" w:ascii="宋体" w:hAnsi="宋体" w:cs="宋体"/>
                <w:color w:val="auto"/>
                <w:spacing w:val="5"/>
                <w:sz w:val="22"/>
                <w:szCs w:val="22"/>
                <w:lang w:eastAsia="zh-CN"/>
              </w:rPr>
              <w:t>对小型或微型企业生产的产品价格给予10%的扣除，用扣除后的价格参与评审。</w:t>
            </w:r>
          </w:p>
        </w:tc>
        <w:tc>
          <w:tcPr>
            <w:tcW w:w="1145" w:type="dxa"/>
            <w:vAlign w:val="center"/>
          </w:tcPr>
          <w:p w14:paraId="2662DAC2">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688AA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20" w:type="dxa"/>
            <w:gridSpan w:val="4"/>
            <w:vAlign w:val="center"/>
          </w:tcPr>
          <w:p w14:paraId="155DAE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  价格小计：</w:t>
            </w:r>
          </w:p>
        </w:tc>
        <w:tc>
          <w:tcPr>
            <w:tcW w:w="1145" w:type="dxa"/>
            <w:vAlign w:val="center"/>
          </w:tcPr>
          <w:p w14:paraId="3A0BB8A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25CF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29" w:type="dxa"/>
            <w:vMerge w:val="restart"/>
            <w:vAlign w:val="center"/>
          </w:tcPr>
          <w:p w14:paraId="65FE204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55" w:type="dxa"/>
            <w:vMerge w:val="restart"/>
            <w:vAlign w:val="center"/>
          </w:tcPr>
          <w:p w14:paraId="509FEC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商务</w:t>
            </w:r>
          </w:p>
          <w:p w14:paraId="27A565A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因素</w:t>
            </w:r>
          </w:p>
          <w:p w14:paraId="5254F2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kern w:val="2"/>
                <w:sz w:val="22"/>
                <w:szCs w:val="22"/>
                <w:highlight w:val="none"/>
                <w:lang w:val="en-US" w:eastAsia="zh-CN" w:bidi="ar-SA"/>
              </w:rPr>
              <w:t>（20分）</w:t>
            </w:r>
          </w:p>
        </w:tc>
        <w:tc>
          <w:tcPr>
            <w:tcW w:w="1495" w:type="dxa"/>
            <w:vAlign w:val="center"/>
          </w:tcPr>
          <w:p w14:paraId="2A143F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企业业绩</w:t>
            </w:r>
          </w:p>
          <w:p w14:paraId="2F0291B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（12分）</w:t>
            </w:r>
          </w:p>
        </w:tc>
        <w:tc>
          <w:tcPr>
            <w:tcW w:w="5841" w:type="dxa"/>
            <w:vAlign w:val="center"/>
          </w:tcPr>
          <w:p w14:paraId="30BF7BC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投标人</w:t>
            </w:r>
            <w:r>
              <w:rPr>
                <w:rFonts w:hint="eastAsia" w:ascii="宋体" w:hAnsi="宋体" w:cs="宋体"/>
                <w:bCs/>
                <w:color w:val="auto"/>
                <w:sz w:val="22"/>
                <w:szCs w:val="22"/>
                <w:lang w:eastAsia="zh-CN"/>
              </w:rPr>
              <w:t>（2021年1月1日起至今）</w:t>
            </w:r>
            <w:r>
              <w:rPr>
                <w:rFonts w:hint="eastAsia" w:ascii="宋体" w:hAnsi="宋体" w:cs="宋体"/>
                <w:color w:val="auto"/>
                <w:sz w:val="22"/>
                <w:szCs w:val="22"/>
                <w:lang w:eastAsia="zh-CN"/>
              </w:rPr>
              <w:t>完成过</w:t>
            </w:r>
            <w:r>
              <w:rPr>
                <w:rFonts w:hint="eastAsia" w:ascii="宋体" w:hAnsi="宋体" w:eastAsia="宋体" w:cs="宋体"/>
                <w:color w:val="auto"/>
                <w:kern w:val="0"/>
                <w:sz w:val="22"/>
                <w:szCs w:val="22"/>
                <w:highlight w:val="none"/>
                <w:lang w:eastAsia="zh-CN"/>
              </w:rPr>
              <w:t>类似项目业绩，提供中标通知书或合同协议书复印件加盖投标人公章，每提供一份得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分，最多得</w:t>
            </w:r>
            <w:r>
              <w:rPr>
                <w:rFonts w:hint="eastAsia" w:ascii="宋体" w:hAnsi="宋体" w:eastAsia="宋体" w:cs="宋体"/>
                <w:color w:val="auto"/>
                <w:kern w:val="0"/>
                <w:sz w:val="22"/>
                <w:szCs w:val="22"/>
                <w:highlight w:val="none"/>
                <w:lang w:val="en-US" w:eastAsia="zh-CN"/>
              </w:rPr>
              <w:t>12</w:t>
            </w:r>
            <w:r>
              <w:rPr>
                <w:rFonts w:hint="eastAsia" w:ascii="宋体" w:hAnsi="宋体" w:eastAsia="宋体" w:cs="宋体"/>
                <w:color w:val="auto"/>
                <w:kern w:val="0"/>
                <w:sz w:val="22"/>
                <w:szCs w:val="22"/>
                <w:highlight w:val="none"/>
                <w:lang w:eastAsia="zh-CN"/>
              </w:rPr>
              <w:t>分，没有不得分。</w:t>
            </w:r>
          </w:p>
        </w:tc>
        <w:tc>
          <w:tcPr>
            <w:tcW w:w="1145" w:type="dxa"/>
            <w:vAlign w:val="center"/>
          </w:tcPr>
          <w:p w14:paraId="4F597E4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p w14:paraId="232931BC">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p w14:paraId="4A42FBCE">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2ADA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29" w:type="dxa"/>
            <w:vMerge w:val="continue"/>
            <w:vAlign w:val="center"/>
          </w:tcPr>
          <w:p w14:paraId="5E4796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4B8D2CF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4015E380">
            <w:pPr>
              <w:widowControl/>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服务承诺</w:t>
            </w:r>
          </w:p>
          <w:p w14:paraId="0E2868A5">
            <w:pPr>
              <w:widowControl/>
              <w:autoSpaceDN w:val="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（5分）</w:t>
            </w:r>
          </w:p>
        </w:tc>
        <w:tc>
          <w:tcPr>
            <w:tcW w:w="5841" w:type="dxa"/>
            <w:vAlign w:val="center"/>
          </w:tcPr>
          <w:p w14:paraId="111E9CE8">
            <w:pPr>
              <w:widowControl/>
              <w:autoSpaceDN w:val="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2"/>
                <w:highlight w:val="none"/>
                <w:lang w:val="en-US" w:eastAsia="zh-CN"/>
              </w:rPr>
              <w:t>综合比较各投标人的服务承诺，每有一条实质性承诺得1分，满分得5分。</w:t>
            </w:r>
          </w:p>
        </w:tc>
        <w:tc>
          <w:tcPr>
            <w:tcW w:w="1145" w:type="dxa"/>
            <w:vAlign w:val="center"/>
          </w:tcPr>
          <w:p w14:paraId="69ECA340">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4D14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0BD6561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08B37A2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5580D91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zh-CN" w:eastAsia="zh-CN"/>
              </w:rPr>
            </w:pPr>
            <w:r>
              <w:rPr>
                <w:rFonts w:hint="eastAsia" w:ascii="宋体" w:hAnsi="宋体" w:eastAsia="宋体" w:cs="宋体"/>
                <w:color w:val="auto"/>
                <w:kern w:val="0"/>
                <w:sz w:val="22"/>
                <w:szCs w:val="22"/>
                <w:highlight w:val="none"/>
                <w:lang w:val="zh-CN" w:eastAsia="zh-CN"/>
              </w:rPr>
              <w:t>质保期服务</w:t>
            </w:r>
          </w:p>
          <w:p w14:paraId="04CE52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zh-CN" w:eastAsia="zh-CN"/>
              </w:rPr>
            </w:pP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highlight w:val="none"/>
                <w:lang w:val="en-US" w:eastAsia="zh-CN"/>
              </w:rPr>
              <w:t>3分</w:t>
            </w:r>
            <w:r>
              <w:rPr>
                <w:rFonts w:hint="eastAsia" w:ascii="宋体" w:hAnsi="宋体" w:eastAsia="宋体" w:cs="宋体"/>
                <w:color w:val="auto"/>
                <w:kern w:val="0"/>
                <w:sz w:val="22"/>
                <w:szCs w:val="22"/>
                <w:highlight w:val="none"/>
                <w:lang w:val="zh-CN" w:eastAsia="zh-CN"/>
              </w:rPr>
              <w:t>）</w:t>
            </w:r>
          </w:p>
        </w:tc>
        <w:tc>
          <w:tcPr>
            <w:tcW w:w="5841" w:type="dxa"/>
            <w:vAlign w:val="center"/>
          </w:tcPr>
          <w:p w14:paraId="5B4DD0B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zh-CN" w:eastAsia="zh-CN"/>
              </w:rPr>
              <w:t>有质保期承诺书，在满足招标文件要求基础上延长</w:t>
            </w:r>
            <w:r>
              <w:rPr>
                <w:rFonts w:hint="eastAsia" w:ascii="宋体" w:hAnsi="宋体" w:eastAsia="宋体" w:cs="宋体"/>
                <w:color w:val="auto"/>
                <w:kern w:val="0"/>
                <w:sz w:val="22"/>
                <w:szCs w:val="22"/>
                <w:highlight w:val="none"/>
                <w:lang w:val="en-US" w:eastAsia="zh-CN"/>
              </w:rPr>
              <w:t>一</w:t>
            </w:r>
            <w:r>
              <w:rPr>
                <w:rFonts w:hint="eastAsia" w:ascii="宋体" w:hAnsi="宋体" w:eastAsia="宋体" w:cs="宋体"/>
                <w:color w:val="auto"/>
                <w:kern w:val="0"/>
                <w:sz w:val="22"/>
                <w:szCs w:val="22"/>
                <w:highlight w:val="none"/>
                <w:lang w:eastAsia="zh-CN"/>
              </w:rPr>
              <w:t>年得</w:t>
            </w: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eastAsia="zh-CN"/>
              </w:rPr>
              <w:t>分，最多得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分，否则得</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分。</w:t>
            </w:r>
          </w:p>
        </w:tc>
        <w:tc>
          <w:tcPr>
            <w:tcW w:w="1145" w:type="dxa"/>
            <w:vAlign w:val="center"/>
          </w:tcPr>
          <w:p w14:paraId="2FCB95A0">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2BA6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29" w:type="dxa"/>
            <w:vMerge w:val="restart"/>
            <w:vAlign w:val="center"/>
          </w:tcPr>
          <w:p w14:paraId="275CC99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p w14:paraId="3D735B0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restart"/>
            <w:vAlign w:val="center"/>
          </w:tcPr>
          <w:p w14:paraId="36CAEA7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技术</w:t>
            </w:r>
          </w:p>
          <w:p w14:paraId="490290D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因素</w:t>
            </w:r>
          </w:p>
          <w:p w14:paraId="32B902B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（50分）</w:t>
            </w:r>
          </w:p>
          <w:p w14:paraId="48BD3DF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p>
        </w:tc>
        <w:tc>
          <w:tcPr>
            <w:tcW w:w="1495" w:type="dxa"/>
            <w:vAlign w:val="center"/>
          </w:tcPr>
          <w:p w14:paraId="07DD435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w:t>
            </w:r>
          </w:p>
          <w:p w14:paraId="3D4C3A8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p w14:paraId="192A6D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p>
        </w:tc>
        <w:tc>
          <w:tcPr>
            <w:tcW w:w="5841" w:type="dxa"/>
            <w:vAlign w:val="center"/>
          </w:tcPr>
          <w:p w14:paraId="352D7D3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根据项目供货进度及实施周期要求，提供内容完整、详细可行的供货方案： </w:t>
            </w:r>
          </w:p>
          <w:p w14:paraId="4EA473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供货方案内容完整、进度计划安排合理、针对性强完全满足招标文件供货进度要求，得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613B47C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供货方案内容完整、进度计划未按实际需求进行详细分析、对满足招标文件供货进度要求存在风险，得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28C04DB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供货方案内容完整度一般、进度计划安排合理性较差、基本满足招标文件供货要求，得3分； </w:t>
            </w:r>
          </w:p>
          <w:p w14:paraId="040B8A9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未提供供货方案得 0 分。 </w:t>
            </w:r>
          </w:p>
        </w:tc>
        <w:tc>
          <w:tcPr>
            <w:tcW w:w="1145" w:type="dxa"/>
            <w:vAlign w:val="center"/>
          </w:tcPr>
          <w:p w14:paraId="43AB8019">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1EFD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9" w:type="dxa"/>
            <w:vMerge w:val="continue"/>
            <w:vAlign w:val="center"/>
          </w:tcPr>
          <w:p w14:paraId="630C6E2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5C6B24C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p>
        </w:tc>
        <w:tc>
          <w:tcPr>
            <w:tcW w:w="1495" w:type="dxa"/>
            <w:vAlign w:val="center"/>
          </w:tcPr>
          <w:p w14:paraId="6C080C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安装调试验收方案</w:t>
            </w:r>
          </w:p>
          <w:p w14:paraId="7583242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tc>
        <w:tc>
          <w:tcPr>
            <w:tcW w:w="5841" w:type="dxa"/>
            <w:vAlign w:val="center"/>
          </w:tcPr>
          <w:p w14:paraId="5447427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调试安装验收方案的合理性，可操作性，根据方案是否明确，验收标准是否考虑到等级保护要求等进行综合评审。 </w:t>
            </w:r>
          </w:p>
          <w:p w14:paraId="76E351D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安装调试验收方案</w:t>
            </w:r>
            <w:r>
              <w:rPr>
                <w:rFonts w:hint="eastAsia" w:ascii="宋体" w:hAnsi="宋体" w:eastAsia="宋体" w:cs="Times New Roman"/>
                <w:b w:val="0"/>
                <w:bCs w:val="0"/>
                <w:caps w:val="0"/>
                <w:color w:val="auto"/>
                <w:kern w:val="2"/>
                <w:sz w:val="22"/>
                <w:szCs w:val="22"/>
                <w:vertAlign w:val="baseline"/>
                <w:lang w:val="en-US" w:eastAsia="zh-CN" w:bidi="ar"/>
              </w:rPr>
              <w:t>有效措施，</w:t>
            </w:r>
            <w:r>
              <w:rPr>
                <w:rFonts w:hint="eastAsia" w:ascii="宋体" w:hAnsi="宋体" w:eastAsia="宋体" w:cs="宋体"/>
                <w:color w:val="auto"/>
                <w:kern w:val="0"/>
                <w:sz w:val="22"/>
                <w:szCs w:val="22"/>
                <w:highlight w:val="none"/>
                <w:lang w:eastAsia="zh-CN"/>
              </w:rPr>
              <w:t>内容全面，</w:t>
            </w:r>
            <w:r>
              <w:rPr>
                <w:rFonts w:hint="eastAsia" w:ascii="宋体" w:hAnsi="宋体" w:eastAsia="宋体" w:cs="Times New Roman"/>
                <w:b w:val="0"/>
                <w:bCs w:val="0"/>
                <w:caps w:val="0"/>
                <w:color w:val="auto"/>
                <w:kern w:val="2"/>
                <w:sz w:val="22"/>
                <w:szCs w:val="22"/>
                <w:vertAlign w:val="baseline"/>
                <w:lang w:val="en-US" w:eastAsia="zh-CN" w:bidi="ar"/>
              </w:rPr>
              <w:t>逻辑关系理解分析清晰</w:t>
            </w:r>
            <w:r>
              <w:rPr>
                <w:rFonts w:hint="eastAsia" w:ascii="宋体" w:hAnsi="宋体" w:eastAsia="宋体" w:cs="宋体"/>
                <w:color w:val="auto"/>
                <w:kern w:val="0"/>
                <w:sz w:val="22"/>
                <w:szCs w:val="22"/>
                <w:highlight w:val="none"/>
                <w:lang w:eastAsia="zh-CN"/>
              </w:rPr>
              <w:t>详细，得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eastAsia="zh-CN"/>
              </w:rPr>
              <w:t>分；</w:t>
            </w:r>
          </w:p>
          <w:p w14:paraId="4D53592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安装调试验收方案内容全面，描述相对简单，具有可行性，得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eastAsia="zh-CN"/>
              </w:rPr>
              <w:t>分；</w:t>
            </w:r>
          </w:p>
          <w:p w14:paraId="225B0EB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安装调试验收方案内容</w:t>
            </w:r>
            <w:r>
              <w:rPr>
                <w:rFonts w:hint="eastAsia" w:ascii="宋体" w:hAnsi="宋体" w:eastAsia="宋体" w:cs="宋体"/>
                <w:color w:val="auto"/>
                <w:kern w:val="0"/>
                <w:sz w:val="22"/>
                <w:szCs w:val="22"/>
                <w:highlight w:val="none"/>
                <w:lang w:val="en-US" w:eastAsia="zh-CN"/>
              </w:rPr>
              <w:t>基本满足招标文件供货要求，</w:t>
            </w:r>
            <w:r>
              <w:rPr>
                <w:rFonts w:hint="eastAsia" w:ascii="宋体" w:hAnsi="宋体" w:eastAsia="宋体" w:cs="宋体"/>
                <w:color w:val="auto"/>
                <w:kern w:val="0"/>
                <w:sz w:val="22"/>
                <w:szCs w:val="22"/>
                <w:highlight w:val="none"/>
                <w:lang w:eastAsia="zh-CN"/>
              </w:rPr>
              <w:t>得</w:t>
            </w:r>
            <w:r>
              <w:rPr>
                <w:rFonts w:hint="eastAsia" w:ascii="宋体" w:hAnsi="宋体" w:eastAsia="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lang w:eastAsia="zh-CN"/>
              </w:rPr>
              <w:t>分；</w:t>
            </w:r>
          </w:p>
          <w:p w14:paraId="4B22C52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未提供安装调试验收方案得</w:t>
            </w:r>
            <w:r>
              <w:rPr>
                <w:rFonts w:hint="eastAsia" w:ascii="宋体" w:hAnsi="宋体" w:eastAsia="宋体" w:cs="宋体"/>
                <w:color w:val="auto"/>
                <w:kern w:val="0"/>
                <w:sz w:val="22"/>
                <w:szCs w:val="22"/>
                <w:highlight w:val="none"/>
                <w:lang w:val="en-US" w:eastAsia="zh-CN"/>
              </w:rPr>
              <w:t>0</w:t>
            </w:r>
            <w:r>
              <w:rPr>
                <w:rFonts w:hint="eastAsia" w:ascii="宋体" w:hAnsi="宋体" w:eastAsia="宋体" w:cs="宋体"/>
                <w:color w:val="auto"/>
                <w:kern w:val="0"/>
                <w:sz w:val="22"/>
                <w:szCs w:val="22"/>
                <w:highlight w:val="none"/>
                <w:lang w:eastAsia="zh-CN"/>
              </w:rPr>
              <w:t>分。</w:t>
            </w:r>
          </w:p>
        </w:tc>
        <w:tc>
          <w:tcPr>
            <w:tcW w:w="1145" w:type="dxa"/>
            <w:vAlign w:val="center"/>
          </w:tcPr>
          <w:p w14:paraId="6D548DF2">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7031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7B927A1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22BFE42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val="en-US" w:eastAsia="zh-CN"/>
              </w:rPr>
            </w:pPr>
          </w:p>
        </w:tc>
        <w:tc>
          <w:tcPr>
            <w:tcW w:w="1495" w:type="dxa"/>
            <w:vAlign w:val="center"/>
          </w:tcPr>
          <w:p w14:paraId="4B4209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培训方案 </w:t>
            </w:r>
          </w:p>
          <w:p w14:paraId="3609CC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tc>
        <w:tc>
          <w:tcPr>
            <w:tcW w:w="5841" w:type="dxa"/>
            <w:vAlign w:val="center"/>
          </w:tcPr>
          <w:p w14:paraId="65985A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根据项目对培训的要求，提供内容完整、详细可行的培训方案（包含但不限于：仪器设备的基本原理、安装、调试、操作使用和日常保养维修等）： </w:t>
            </w:r>
          </w:p>
          <w:p w14:paraId="35B78E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培训方案内容完整、全面且详细、针对性强，得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20413B2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培训方案内容完整、但只是对所要求内容进行简单罗列、针对性一般，得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6E7FE9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 xml:space="preserve">培训方案内容完整度一般、详细性及针对性较差，得 3 分； </w:t>
            </w:r>
          </w:p>
          <w:p w14:paraId="0031645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未提供培训方案得 0 分。  </w:t>
            </w:r>
          </w:p>
        </w:tc>
        <w:tc>
          <w:tcPr>
            <w:tcW w:w="1145" w:type="dxa"/>
            <w:vAlign w:val="center"/>
          </w:tcPr>
          <w:p w14:paraId="6DE22693">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017D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4C4B72D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41F284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5A2DA8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质量保证 </w:t>
            </w:r>
          </w:p>
          <w:p w14:paraId="64E82ED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方案</w:t>
            </w:r>
          </w:p>
          <w:p w14:paraId="5FB6FD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分）</w:t>
            </w:r>
          </w:p>
          <w:p w14:paraId="1AF230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p>
        </w:tc>
        <w:tc>
          <w:tcPr>
            <w:tcW w:w="5841" w:type="dxa"/>
            <w:vAlign w:val="center"/>
          </w:tcPr>
          <w:p w14:paraId="165657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针对本项目技术要求，对于供货时产品质量的保障、质保期内产品质量及维修的保证等方案： </w:t>
            </w:r>
          </w:p>
          <w:p w14:paraId="44312BC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质量保证方案内容完整、考虑周详、措施详细、清晰度高，得</w:t>
            </w:r>
            <w:r>
              <w:rPr>
                <w:rFonts w:hint="eastAsia" w:ascii="宋体" w:hAnsi="宋体" w:cs="宋体"/>
                <w:color w:val="auto"/>
                <w:kern w:val="0"/>
                <w:sz w:val="22"/>
                <w:szCs w:val="22"/>
                <w:highlight w:val="none"/>
                <w:lang w:val="en-US" w:eastAsia="zh-CN"/>
              </w:rPr>
              <w:t>9</w:t>
            </w:r>
            <w:r>
              <w:rPr>
                <w:rFonts w:hint="eastAsia" w:ascii="宋体" w:hAnsi="宋体" w:eastAsia="宋体" w:cs="宋体"/>
                <w:color w:val="auto"/>
                <w:kern w:val="0"/>
                <w:sz w:val="22"/>
                <w:szCs w:val="22"/>
                <w:highlight w:val="none"/>
                <w:lang w:val="en-US" w:eastAsia="zh-CN"/>
              </w:rPr>
              <w:t xml:space="preserve">分； </w:t>
            </w:r>
          </w:p>
          <w:p w14:paraId="3E4109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质量保证方案内容较完整、措施详细但有欠缺、清晰度高，得</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 xml:space="preserve">分； </w:t>
            </w:r>
          </w:p>
          <w:p w14:paraId="655511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质量保证方案内容有缺失，前后逻辑错误、不影响项目的实施，得 3分； </w:t>
            </w:r>
          </w:p>
          <w:p w14:paraId="11AB3E8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未提供质量保证方案得 0 分。</w:t>
            </w:r>
          </w:p>
        </w:tc>
        <w:tc>
          <w:tcPr>
            <w:tcW w:w="1145" w:type="dxa"/>
            <w:vAlign w:val="center"/>
          </w:tcPr>
          <w:p w14:paraId="5365A135">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6A9B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9" w:type="dxa"/>
            <w:vMerge w:val="continue"/>
            <w:vAlign w:val="center"/>
          </w:tcPr>
          <w:p w14:paraId="41E441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08093B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1495" w:type="dxa"/>
            <w:vAlign w:val="center"/>
          </w:tcPr>
          <w:p w14:paraId="74C3AE8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技术人员配置方案</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lang w:eastAsia="zh-CN"/>
              </w:rPr>
              <w:t>分</w:t>
            </w:r>
            <w:r>
              <w:rPr>
                <w:rFonts w:hint="eastAsia" w:ascii="宋体" w:hAnsi="宋体" w:cs="宋体"/>
                <w:color w:val="auto"/>
                <w:kern w:val="0"/>
                <w:sz w:val="22"/>
                <w:szCs w:val="22"/>
                <w:highlight w:val="none"/>
                <w:lang w:eastAsia="zh-CN"/>
              </w:rPr>
              <w:t>）</w:t>
            </w:r>
          </w:p>
        </w:tc>
        <w:tc>
          <w:tcPr>
            <w:tcW w:w="5841" w:type="dxa"/>
            <w:vAlign w:val="center"/>
          </w:tcPr>
          <w:p w14:paraId="05FAA0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配备专业的技术服务团队，技术人员配置及其职责划分合理性、可行性等因素进行综合评审；</w:t>
            </w:r>
          </w:p>
          <w:p w14:paraId="2D02F718">
            <w:pPr>
              <w:shd w:val="clear" w:color="auto" w:fill="auto"/>
              <w:spacing w:line="320" w:lineRule="exact"/>
              <w:jc w:val="both"/>
              <w:rPr>
                <w:rFonts w:hint="eastAsia" w:ascii="宋体" w:hAnsi="宋体" w:eastAsia="宋体" w:cs="宋体"/>
                <w:sz w:val="22"/>
                <w:szCs w:val="22"/>
                <w:highlight w:val="none"/>
                <w:lang w:eastAsia="zh-CN"/>
              </w:rPr>
            </w:pPr>
            <w:r>
              <w:rPr>
                <w:rFonts w:hint="eastAsia" w:ascii="宋体" w:hAnsi="宋体" w:eastAsia="宋体" w:cs="宋体"/>
                <w:color w:val="auto"/>
                <w:kern w:val="0"/>
                <w:sz w:val="22"/>
                <w:szCs w:val="22"/>
                <w:highlight w:val="none"/>
                <w:lang w:val="en-US" w:eastAsia="zh-CN"/>
              </w:rPr>
              <w:t>技术服务团队</w:t>
            </w:r>
            <w:r>
              <w:rPr>
                <w:rFonts w:hint="eastAsia" w:ascii="宋体" w:hAnsi="宋体" w:cs="宋体"/>
                <w:sz w:val="22"/>
                <w:szCs w:val="22"/>
                <w:highlight w:val="none"/>
              </w:rPr>
              <w:t>安排计划合理，团队配备齐全、分工及工作安排明确</w:t>
            </w:r>
            <w:r>
              <w:rPr>
                <w:rFonts w:hint="eastAsia" w:ascii="宋体" w:hAnsi="宋体" w:cs="宋体"/>
                <w:sz w:val="22"/>
                <w:szCs w:val="22"/>
                <w:highlight w:val="none"/>
                <w:lang w:eastAsia="zh-CN"/>
              </w:rPr>
              <w:t>，</w:t>
            </w:r>
            <w:r>
              <w:rPr>
                <w:rFonts w:hint="eastAsia" w:ascii="宋体" w:hAnsi="宋体" w:cs="宋体"/>
                <w:sz w:val="22"/>
                <w:szCs w:val="22"/>
                <w:highlight w:val="none"/>
              </w:rPr>
              <w:t>得</w:t>
            </w:r>
            <w:r>
              <w:rPr>
                <w:rFonts w:hint="eastAsia" w:ascii="宋体" w:hAnsi="宋体" w:cs="宋体"/>
                <w:sz w:val="22"/>
                <w:szCs w:val="22"/>
                <w:highlight w:val="none"/>
                <w:lang w:val="en-US" w:eastAsia="zh-CN"/>
              </w:rPr>
              <w:t>8</w:t>
            </w:r>
            <w:r>
              <w:rPr>
                <w:rFonts w:hint="eastAsia" w:ascii="宋体" w:hAnsi="宋体" w:cs="宋体"/>
                <w:sz w:val="22"/>
                <w:szCs w:val="22"/>
                <w:highlight w:val="none"/>
              </w:rPr>
              <w:t>分；</w:t>
            </w:r>
          </w:p>
          <w:p w14:paraId="5947FCBF">
            <w:pPr>
              <w:shd w:val="clear" w:color="auto" w:fill="auto"/>
              <w:spacing w:line="320" w:lineRule="exact"/>
              <w:jc w:val="both"/>
              <w:rPr>
                <w:rFonts w:hint="eastAsia" w:ascii="宋体" w:hAnsi="宋体" w:cs="宋体"/>
                <w:sz w:val="22"/>
                <w:szCs w:val="22"/>
                <w:highlight w:val="none"/>
              </w:rPr>
            </w:pPr>
            <w:r>
              <w:rPr>
                <w:rFonts w:hint="eastAsia" w:ascii="宋体" w:hAnsi="宋体" w:cs="宋体"/>
                <w:sz w:val="22"/>
                <w:szCs w:val="22"/>
                <w:highlight w:val="none"/>
              </w:rPr>
              <w:t>工作人员安排计划基本合理，组织管理体系科学，</w:t>
            </w:r>
            <w:r>
              <w:rPr>
                <w:rFonts w:hint="eastAsia" w:ascii="宋体" w:hAnsi="宋体" w:eastAsia="宋体" w:cs="宋体"/>
                <w:color w:val="auto"/>
                <w:kern w:val="0"/>
                <w:sz w:val="22"/>
                <w:szCs w:val="22"/>
                <w:highlight w:val="none"/>
                <w:lang w:val="en-US" w:eastAsia="zh-CN"/>
              </w:rPr>
              <w:t>内容基本全面，</w:t>
            </w:r>
            <w:r>
              <w:rPr>
                <w:rFonts w:hint="eastAsia" w:ascii="宋体" w:hAnsi="宋体" w:cs="宋体"/>
                <w:sz w:val="22"/>
                <w:szCs w:val="22"/>
                <w:highlight w:val="none"/>
              </w:rPr>
              <w:t>得5分；</w:t>
            </w:r>
          </w:p>
          <w:p w14:paraId="27A101C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具有可行性，</w:t>
            </w:r>
            <w:r>
              <w:rPr>
                <w:rFonts w:hint="eastAsia" w:ascii="宋体" w:hAnsi="宋体" w:cs="宋体"/>
                <w:sz w:val="22"/>
                <w:szCs w:val="22"/>
                <w:highlight w:val="none"/>
              </w:rPr>
              <w:t>基本能够满足采购需求</w:t>
            </w:r>
            <w:r>
              <w:rPr>
                <w:rFonts w:hint="eastAsia" w:ascii="宋体" w:hAnsi="宋体" w:cs="宋体"/>
                <w:sz w:val="22"/>
                <w:szCs w:val="22"/>
                <w:highlight w:val="none"/>
                <w:lang w:eastAsia="zh-CN"/>
              </w:rPr>
              <w:t>，</w:t>
            </w:r>
            <w:r>
              <w:rPr>
                <w:rFonts w:hint="eastAsia" w:ascii="宋体" w:hAnsi="宋体" w:eastAsia="宋体" w:cs="宋体"/>
                <w:color w:val="auto"/>
                <w:kern w:val="0"/>
                <w:sz w:val="22"/>
                <w:szCs w:val="22"/>
                <w:highlight w:val="none"/>
                <w:lang w:val="en-US" w:eastAsia="zh-CN"/>
              </w:rPr>
              <w:t>得2分；</w:t>
            </w:r>
          </w:p>
          <w:p w14:paraId="375E8CE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未提供</w:t>
            </w:r>
            <w:r>
              <w:rPr>
                <w:rFonts w:hint="eastAsia" w:ascii="宋体" w:hAnsi="宋体" w:eastAsia="宋体" w:cs="宋体"/>
                <w:color w:val="auto"/>
                <w:kern w:val="0"/>
                <w:sz w:val="22"/>
                <w:szCs w:val="22"/>
                <w:highlight w:val="none"/>
                <w:lang w:eastAsia="zh-CN"/>
              </w:rPr>
              <w:t>技术人员配置方案</w:t>
            </w:r>
            <w:r>
              <w:rPr>
                <w:rFonts w:hint="eastAsia" w:ascii="宋体" w:hAnsi="宋体" w:eastAsia="宋体" w:cs="宋体"/>
                <w:color w:val="auto"/>
                <w:kern w:val="0"/>
                <w:sz w:val="22"/>
                <w:szCs w:val="22"/>
                <w:highlight w:val="none"/>
                <w:lang w:val="en-US" w:eastAsia="zh-CN"/>
              </w:rPr>
              <w:t>不得分。</w:t>
            </w:r>
          </w:p>
        </w:tc>
        <w:tc>
          <w:tcPr>
            <w:tcW w:w="1145" w:type="dxa"/>
            <w:vAlign w:val="center"/>
          </w:tcPr>
          <w:p w14:paraId="0F0AA82B">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r w14:paraId="7B9D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9" w:type="dxa"/>
            <w:vMerge w:val="continue"/>
            <w:vAlign w:val="center"/>
          </w:tcPr>
          <w:p w14:paraId="6FE4BCF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rPr>
            </w:pPr>
          </w:p>
        </w:tc>
        <w:tc>
          <w:tcPr>
            <w:tcW w:w="855" w:type="dxa"/>
            <w:vMerge w:val="continue"/>
            <w:vAlign w:val="center"/>
          </w:tcPr>
          <w:p w14:paraId="709A8A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sz w:val="22"/>
                <w:szCs w:val="22"/>
                <w:highlight w:val="none"/>
                <w:lang w:eastAsia="zh-CN"/>
              </w:rPr>
            </w:pPr>
          </w:p>
        </w:tc>
        <w:tc>
          <w:tcPr>
            <w:tcW w:w="1495" w:type="dxa"/>
            <w:vAlign w:val="center"/>
          </w:tcPr>
          <w:p w14:paraId="60DCE2D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售后服务</w:t>
            </w:r>
          </w:p>
          <w:p w14:paraId="1D13F1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lang w:val="en-US" w:eastAsia="zh-CN"/>
              </w:rPr>
              <w:t>分）</w:t>
            </w:r>
          </w:p>
        </w:tc>
        <w:tc>
          <w:tcPr>
            <w:tcW w:w="5841" w:type="dxa"/>
            <w:vAlign w:val="center"/>
          </w:tcPr>
          <w:p w14:paraId="7D79095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投标人承诺的售后服务内容、响应时间及技术支持等承诺各方面进行评审</w:t>
            </w:r>
          </w:p>
          <w:p w14:paraId="57D3F7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投标人提供的售后服务方案总体合理完整，实用性强，可以完全满足项目需求，得</w:t>
            </w:r>
            <w:r>
              <w:rPr>
                <w:rFonts w:hint="eastAsia" w:ascii="宋体" w:hAnsi="宋体" w:cs="Times New Roman"/>
                <w:b w:val="0"/>
                <w:bCs w:val="0"/>
                <w:caps w:val="0"/>
                <w:color w:val="auto"/>
                <w:kern w:val="2"/>
                <w:sz w:val="22"/>
                <w:szCs w:val="22"/>
                <w:highlight w:val="none"/>
                <w:vertAlign w:val="baseline"/>
                <w:lang w:val="en-US" w:eastAsia="zh-CN" w:bidi="ar"/>
              </w:rPr>
              <w:t>6</w:t>
            </w:r>
            <w:r>
              <w:rPr>
                <w:rFonts w:hint="eastAsia" w:ascii="宋体" w:hAnsi="宋体" w:eastAsia="宋体" w:cs="Times New Roman"/>
                <w:b w:val="0"/>
                <w:bCs w:val="0"/>
                <w:caps w:val="0"/>
                <w:color w:val="auto"/>
                <w:kern w:val="2"/>
                <w:sz w:val="22"/>
                <w:szCs w:val="22"/>
                <w:highlight w:val="none"/>
                <w:vertAlign w:val="baseline"/>
                <w:lang w:val="en-US" w:eastAsia="zh-CN" w:bidi="ar"/>
              </w:rPr>
              <w:t xml:space="preserve">分； </w:t>
            </w:r>
          </w:p>
          <w:p w14:paraId="3CFB4A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投标人提供的售后服务方案有一定合理性、但考虑问题不周全、相关服务措施不够具体或涵盖不全面，得</w:t>
            </w:r>
            <w:r>
              <w:rPr>
                <w:rFonts w:hint="eastAsia" w:ascii="宋体" w:hAnsi="宋体" w:cs="Times New Roman"/>
                <w:b w:val="0"/>
                <w:bCs w:val="0"/>
                <w:caps w:val="0"/>
                <w:color w:val="auto"/>
                <w:kern w:val="2"/>
                <w:sz w:val="22"/>
                <w:szCs w:val="22"/>
                <w:highlight w:val="none"/>
                <w:vertAlign w:val="baseline"/>
                <w:lang w:val="en-US" w:eastAsia="zh-CN" w:bidi="ar"/>
              </w:rPr>
              <w:t>4</w:t>
            </w:r>
            <w:r>
              <w:rPr>
                <w:rFonts w:hint="eastAsia" w:ascii="宋体" w:hAnsi="宋体" w:eastAsia="宋体" w:cs="Times New Roman"/>
                <w:b w:val="0"/>
                <w:bCs w:val="0"/>
                <w:caps w:val="0"/>
                <w:color w:val="auto"/>
                <w:kern w:val="2"/>
                <w:sz w:val="22"/>
                <w:szCs w:val="22"/>
                <w:highlight w:val="none"/>
                <w:vertAlign w:val="baseline"/>
                <w:lang w:val="en-US" w:eastAsia="zh-CN" w:bidi="ar"/>
              </w:rPr>
              <w:t xml:space="preserve">分； </w:t>
            </w:r>
          </w:p>
          <w:p w14:paraId="44CFCB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b w:val="0"/>
                <w:bCs w:val="0"/>
                <w:caps w:val="0"/>
                <w:color w:val="auto"/>
                <w:kern w:val="2"/>
                <w:sz w:val="22"/>
                <w:szCs w:val="22"/>
                <w:highlight w:val="none"/>
                <w:vertAlign w:val="baseline"/>
                <w:lang w:val="en-US" w:eastAsia="zh-CN" w:bidi="ar"/>
              </w:rPr>
            </w:pPr>
            <w:r>
              <w:rPr>
                <w:rFonts w:hint="eastAsia" w:ascii="宋体" w:hAnsi="宋体" w:eastAsia="宋体" w:cs="Times New Roman"/>
                <w:b w:val="0"/>
                <w:bCs w:val="0"/>
                <w:caps w:val="0"/>
                <w:color w:val="auto"/>
                <w:kern w:val="2"/>
                <w:sz w:val="22"/>
                <w:szCs w:val="22"/>
                <w:highlight w:val="none"/>
                <w:vertAlign w:val="baseline"/>
                <w:lang w:val="en-US" w:eastAsia="zh-CN" w:bidi="ar"/>
              </w:rPr>
              <w:t>投标人的售后服务方案内容合理不完整、方案基本上满足项目要求可实施，得</w:t>
            </w:r>
            <w:r>
              <w:rPr>
                <w:rFonts w:hint="eastAsia" w:ascii="宋体" w:hAnsi="宋体" w:cs="Times New Roman"/>
                <w:b w:val="0"/>
                <w:bCs w:val="0"/>
                <w:caps w:val="0"/>
                <w:color w:val="auto"/>
                <w:kern w:val="2"/>
                <w:sz w:val="22"/>
                <w:szCs w:val="22"/>
                <w:highlight w:val="none"/>
                <w:vertAlign w:val="baseline"/>
                <w:lang w:val="en-US" w:eastAsia="zh-CN" w:bidi="ar"/>
              </w:rPr>
              <w:t>2</w:t>
            </w:r>
            <w:r>
              <w:rPr>
                <w:rFonts w:hint="eastAsia" w:ascii="宋体" w:hAnsi="宋体" w:eastAsia="宋体" w:cs="Times New Roman"/>
                <w:b w:val="0"/>
                <w:bCs w:val="0"/>
                <w:caps w:val="0"/>
                <w:color w:val="auto"/>
                <w:kern w:val="2"/>
                <w:sz w:val="22"/>
                <w:szCs w:val="22"/>
                <w:highlight w:val="none"/>
                <w:vertAlign w:val="baseline"/>
                <w:lang w:val="en-US" w:eastAsia="zh-CN" w:bidi="ar"/>
              </w:rPr>
              <w:t>分。</w:t>
            </w:r>
          </w:p>
          <w:p w14:paraId="23FEC71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未提供售后服务方案得0分。</w:t>
            </w:r>
          </w:p>
        </w:tc>
        <w:tc>
          <w:tcPr>
            <w:tcW w:w="1145" w:type="dxa"/>
            <w:vAlign w:val="center"/>
          </w:tcPr>
          <w:p w14:paraId="435641E6">
            <w:pPr>
              <w:keepNext w:val="0"/>
              <w:keepLines w:val="0"/>
              <w:pageBreakBefore w:val="0"/>
              <w:widowControl w:val="0"/>
              <w:kinsoku/>
              <w:wordWrap/>
              <w:overflowPunct/>
              <w:topLinePunct w:val="0"/>
              <w:bidi w:val="0"/>
              <w:snapToGrid/>
              <w:spacing w:line="0" w:lineRule="atLeast"/>
              <w:jc w:val="center"/>
              <w:textAlignment w:val="auto"/>
              <w:rPr>
                <w:rFonts w:hint="eastAsia" w:ascii="宋体" w:hAnsi="宋体" w:eastAsia="宋体" w:cs="宋体"/>
                <w:color w:val="auto"/>
                <w:sz w:val="22"/>
                <w:szCs w:val="22"/>
                <w:highlight w:val="none"/>
              </w:rPr>
            </w:pPr>
          </w:p>
        </w:tc>
      </w:tr>
    </w:tbl>
    <w:p w14:paraId="4D5FE3B8">
      <w:pPr>
        <w:spacing w:before="221"/>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满足以下条件的可享受价格分扣除待遇：</w:t>
      </w:r>
    </w:p>
    <w:p w14:paraId="09F33B4E">
      <w:pPr>
        <w:spacing w:before="221"/>
        <w:rPr>
          <w:rFonts w:ascii="宋体" w:hAnsi="宋体" w:cs="宋体"/>
          <w:color w:val="auto"/>
          <w:sz w:val="20"/>
          <w:szCs w:val="20"/>
          <w:lang w:eastAsia="zh-CN"/>
        </w:rPr>
      </w:pPr>
      <w:r>
        <w:rPr>
          <w:rFonts w:hint="eastAsia" w:ascii="宋体" w:hAnsi="宋体" w:cs="宋体"/>
          <w:color w:val="auto"/>
          <w:sz w:val="20"/>
          <w:szCs w:val="20"/>
          <w:lang w:eastAsia="zh-CN"/>
        </w:rPr>
        <w:t>（1）根据财库【2022】19号文件规定，对小型和微型企业的产品给予10%的价格扣除，并按照扣除后的价格参加评审。</w:t>
      </w:r>
    </w:p>
    <w:p w14:paraId="4FD5FFEE">
      <w:pPr>
        <w:spacing w:before="221"/>
        <w:rPr>
          <w:rFonts w:ascii="宋体" w:hAnsi="宋体" w:cs="宋体"/>
          <w:color w:val="auto"/>
          <w:sz w:val="20"/>
          <w:szCs w:val="20"/>
          <w:lang w:eastAsia="zh-CN"/>
        </w:rPr>
      </w:pPr>
      <w:r>
        <w:rPr>
          <w:rFonts w:hint="eastAsia" w:ascii="宋体" w:hAnsi="宋体" w:cs="宋体"/>
          <w:color w:val="auto"/>
          <w:sz w:val="20"/>
          <w:szCs w:val="20"/>
          <w:lang w:eastAsia="zh-CN"/>
        </w:rPr>
        <w:t>（2）监狱企业视同小型、微型企业，监狱企业投标的提供由省级以上监狱管理局、戒毒管理局(含新疆生产建设兵团)出具的属于监狱企业的证明文件，不再提供《中小企业声明函》；</w:t>
      </w:r>
    </w:p>
    <w:p w14:paraId="15B89DB3">
      <w:pPr>
        <w:spacing w:before="221"/>
        <w:rPr>
          <w:rFonts w:ascii="宋体" w:hAnsi="宋体" w:cs="宋体"/>
          <w:color w:val="auto"/>
          <w:sz w:val="20"/>
          <w:szCs w:val="20"/>
          <w:lang w:eastAsia="zh-CN"/>
        </w:rPr>
      </w:pPr>
      <w:r>
        <w:rPr>
          <w:rFonts w:hint="eastAsia" w:ascii="宋体" w:hAnsi="宋体" w:cs="宋体"/>
          <w:color w:val="auto"/>
          <w:sz w:val="20"/>
          <w:szCs w:val="20"/>
          <w:lang w:eastAsia="zh-CN"/>
        </w:rPr>
        <w:t>（3）残疾人福利性单位视同小型、微型企业，残疾人福利性单位属于小型、微型企业的，不重复享受政策。符合条件的残疾人福利性单位在参加政府采购活动时，应当提供《残疾人福利性单位声明函》。</w:t>
      </w:r>
    </w:p>
    <w:p w14:paraId="6FE54D38">
      <w:pPr>
        <w:spacing w:before="221" w:line="228" w:lineRule="auto"/>
        <w:rPr>
          <w:rFonts w:hint="eastAsia" w:ascii="宋体" w:hAnsi="宋体" w:eastAsia="宋体" w:cs="宋体"/>
          <w:color w:val="auto"/>
          <w:sz w:val="20"/>
          <w:szCs w:val="20"/>
          <w:highlight w:val="none"/>
          <w:lang w:eastAsia="zh-CN"/>
        </w:rPr>
      </w:pPr>
      <w:r>
        <w:rPr>
          <w:rFonts w:hint="eastAsia" w:ascii="宋体" w:hAnsi="宋体" w:cs="宋体"/>
          <w:color w:val="auto"/>
          <w:sz w:val="20"/>
          <w:szCs w:val="20"/>
          <w:lang w:eastAsia="zh-CN"/>
        </w:rPr>
        <w:t>（4）价格扣除的依据：提供《中小企业声明函》或《残疾人福利性单位声明函》或《残疾人福利性单位声明函》</w:t>
      </w:r>
      <w:r>
        <w:rPr>
          <w:rFonts w:hint="eastAsia" w:ascii="宋体" w:hAnsi="宋体" w:eastAsia="宋体" w:cs="宋体"/>
          <w:color w:val="auto"/>
          <w:sz w:val="20"/>
          <w:szCs w:val="20"/>
          <w:highlight w:val="none"/>
          <w:lang w:eastAsia="zh-CN"/>
        </w:rPr>
        <w:t>。</w:t>
      </w:r>
    </w:p>
    <w:p w14:paraId="3219BCEF">
      <w:pPr>
        <w:spacing w:line="228" w:lineRule="auto"/>
        <w:rPr>
          <w:rFonts w:hint="eastAsia" w:ascii="宋体" w:hAnsi="宋体" w:eastAsia="宋体" w:cs="宋体"/>
          <w:color w:val="auto"/>
          <w:sz w:val="20"/>
          <w:szCs w:val="20"/>
          <w:highlight w:val="none"/>
          <w:lang w:eastAsia="zh-CN"/>
        </w:rPr>
        <w:sectPr>
          <w:pgSz w:w="11906" w:h="16839"/>
          <w:pgMar w:top="1392" w:right="1362" w:bottom="0" w:left="1369" w:header="0" w:footer="737" w:gutter="0"/>
          <w:pgNumType w:fmt="decimal"/>
          <w:cols w:space="720" w:num="1"/>
        </w:sectPr>
      </w:pPr>
    </w:p>
    <w:bookmarkEnd w:id="377"/>
    <w:bookmarkEnd w:id="378"/>
    <w:bookmarkEnd w:id="379"/>
    <w:bookmarkEnd w:id="380"/>
    <w:bookmarkEnd w:id="381"/>
    <w:bookmarkEnd w:id="382"/>
    <w:bookmarkEnd w:id="383"/>
    <w:bookmarkEnd w:id="384"/>
    <w:bookmarkEnd w:id="385"/>
    <w:bookmarkEnd w:id="386"/>
    <w:p w14:paraId="18BEECF9">
      <w:pPr>
        <w:spacing w:before="296" w:line="222" w:lineRule="auto"/>
        <w:ind w:left="679"/>
        <w:rPr>
          <w:rFonts w:hint="eastAsia" w:ascii="宋体" w:hAnsi="宋体" w:eastAsia="宋体" w:cs="宋体"/>
          <w:color w:val="auto"/>
          <w:sz w:val="28"/>
          <w:szCs w:val="28"/>
          <w:highlight w:val="none"/>
          <w:lang w:eastAsia="zh-CN"/>
        </w:rPr>
      </w:pPr>
      <w:bookmarkStart w:id="387" w:name="_Toc77166515"/>
      <w:bookmarkStart w:id="388" w:name="_Toc7568"/>
      <w:bookmarkStart w:id="389" w:name="_Toc63327630"/>
      <w:bookmarkStart w:id="390" w:name="_Toc26831"/>
      <w:r>
        <w:rPr>
          <w:rFonts w:hint="eastAsia" w:ascii="宋体" w:hAnsi="宋体" w:eastAsia="宋体" w:cs="宋体"/>
          <w:color w:val="auto"/>
          <w:spacing w:val="-3"/>
          <w:sz w:val="28"/>
          <w:szCs w:val="28"/>
          <w:highlight w:val="none"/>
          <w:lang w:eastAsia="zh-CN"/>
        </w:rPr>
        <w:t>附件：</w:t>
      </w:r>
      <w:r>
        <w:rPr>
          <w:rFonts w:hint="eastAsia" w:ascii="宋体" w:hAnsi="宋体" w:eastAsia="宋体" w:cs="宋体"/>
          <w:b/>
          <w:bCs/>
          <w:color w:val="auto"/>
          <w:spacing w:val="-3"/>
          <w:sz w:val="28"/>
          <w:szCs w:val="28"/>
          <w:highlight w:val="none"/>
          <w:lang w:eastAsia="zh-CN"/>
        </w:rPr>
        <w:t>关于印发《政府采购促进中小企业发展暂行办法》的通知</w:t>
      </w:r>
    </w:p>
    <w:p w14:paraId="2927A75F">
      <w:pPr>
        <w:pStyle w:val="2"/>
        <w:spacing w:line="321" w:lineRule="auto"/>
        <w:rPr>
          <w:rFonts w:hint="eastAsia" w:ascii="宋体" w:hAnsi="宋体" w:eastAsia="宋体" w:cs="宋体"/>
          <w:color w:val="auto"/>
          <w:highlight w:val="none"/>
          <w:lang w:eastAsia="zh-CN"/>
        </w:rPr>
      </w:pPr>
    </w:p>
    <w:p w14:paraId="3163AB4F">
      <w:pPr>
        <w:spacing w:before="91" w:line="220" w:lineRule="auto"/>
        <w:ind w:left="3470"/>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财库〔2020〕46号</w:t>
      </w:r>
    </w:p>
    <w:p w14:paraId="62330169">
      <w:pPr>
        <w:spacing w:before="215" w:line="502" w:lineRule="exact"/>
        <w:ind w:right="2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23"/>
          <w:sz w:val="20"/>
          <w:szCs w:val="20"/>
          <w:highlight w:val="none"/>
          <w:lang w:eastAsia="zh-CN"/>
        </w:rPr>
        <w:t>各中央预算单位办公厅（室</w:t>
      </w:r>
      <w:r>
        <w:rPr>
          <w:rFonts w:hint="eastAsia" w:ascii="宋体" w:hAnsi="宋体" w:eastAsia="宋体" w:cs="宋体"/>
          <w:color w:val="auto"/>
          <w:spacing w:val="14"/>
          <w:position w:val="23"/>
          <w:sz w:val="20"/>
          <w:szCs w:val="20"/>
          <w:highlight w:val="none"/>
          <w:lang w:eastAsia="zh-CN"/>
        </w:rPr>
        <w:t>），</w:t>
      </w:r>
      <w:r>
        <w:rPr>
          <w:rFonts w:hint="eastAsia" w:ascii="宋体" w:hAnsi="宋体" w:eastAsia="宋体" w:cs="宋体"/>
          <w:color w:val="auto"/>
          <w:spacing w:val="7"/>
          <w:position w:val="23"/>
          <w:sz w:val="20"/>
          <w:szCs w:val="20"/>
          <w:highlight w:val="none"/>
          <w:lang w:eastAsia="zh-CN"/>
        </w:rPr>
        <w:t>各省、自治区、直辖市、计划单列市财政厅（局）、工业和信息</w:t>
      </w:r>
    </w:p>
    <w:p w14:paraId="70DBC41B">
      <w:pPr>
        <w:spacing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化主管部门，新疆生产建设兵团财政局、工业和信息化主管部门：</w:t>
      </w:r>
    </w:p>
    <w:p w14:paraId="127936FC">
      <w:pPr>
        <w:spacing w:before="252" w:line="462" w:lineRule="auto"/>
        <w:ind w:left="4" w:right="22" w:firstLine="41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为贯彻落实《关于促进中小企业健康发展的指导意见》，发挥政府采购政策功能，促进中小企业发展，根据《中华人民共和国政府采购法》、《中华人民共和国中小企业促进法》等法律法规，财政</w:t>
      </w:r>
    </w:p>
    <w:p w14:paraId="5E7580EC">
      <w:pPr>
        <w:spacing w:line="226"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部、工业和信息化部制定了《政府采购促进中小企业发展管理办法》。现印发给你们，请遵照</w:t>
      </w:r>
      <w:r>
        <w:rPr>
          <w:rFonts w:hint="eastAsia" w:ascii="宋体" w:hAnsi="宋体" w:eastAsia="宋体" w:cs="宋体"/>
          <w:color w:val="auto"/>
          <w:spacing w:val="8"/>
          <w:sz w:val="20"/>
          <w:szCs w:val="20"/>
          <w:highlight w:val="none"/>
          <w:lang w:eastAsia="zh-CN"/>
        </w:rPr>
        <w:t>执行。</w:t>
      </w:r>
    </w:p>
    <w:p w14:paraId="1BBA2E04">
      <w:pPr>
        <w:spacing w:before="254" w:line="227" w:lineRule="auto"/>
        <w:ind w:left="43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附件：政府采购促进中小企业发展管理办法。</w:t>
      </w:r>
    </w:p>
    <w:p w14:paraId="6E228048">
      <w:pPr>
        <w:pStyle w:val="2"/>
        <w:spacing w:line="316" w:lineRule="auto"/>
        <w:rPr>
          <w:rFonts w:hint="eastAsia" w:ascii="宋体" w:hAnsi="宋体" w:eastAsia="宋体" w:cs="宋体"/>
          <w:color w:val="auto"/>
          <w:highlight w:val="none"/>
          <w:lang w:eastAsia="zh-CN"/>
        </w:rPr>
      </w:pPr>
    </w:p>
    <w:p w14:paraId="55915FA4">
      <w:pPr>
        <w:spacing w:before="65" w:line="228" w:lineRule="auto"/>
        <w:ind w:right="22"/>
        <w:jc w:val="right"/>
        <w:rPr>
          <w:rFonts w:hint="eastAsia" w:ascii="宋体" w:hAnsi="宋体" w:eastAsia="宋体" w:cs="宋体"/>
          <w:color w:val="auto"/>
          <w:highlight w:val="none"/>
          <w:lang w:eastAsia="zh-CN"/>
        </w:rPr>
      </w:pPr>
      <w:r>
        <w:rPr>
          <w:rFonts w:hint="eastAsia" w:ascii="宋体" w:hAnsi="宋体" w:eastAsia="宋体" w:cs="宋体"/>
          <w:color w:val="auto"/>
          <w:spacing w:val="6"/>
          <w:sz w:val="20"/>
          <w:szCs w:val="20"/>
          <w:highlight w:val="none"/>
          <w:lang w:eastAsia="zh-CN"/>
        </w:rPr>
        <w:t>财政部</w:t>
      </w:r>
    </w:p>
    <w:p w14:paraId="50F913E7">
      <w:pPr>
        <w:spacing w:before="66" w:line="228" w:lineRule="auto"/>
        <w:ind w:right="22"/>
        <w:jc w:val="right"/>
        <w:rPr>
          <w:rFonts w:hint="eastAsia" w:ascii="宋体" w:hAnsi="宋体" w:eastAsia="宋体" w:cs="宋体"/>
          <w:color w:val="auto"/>
          <w:highlight w:val="none"/>
          <w:lang w:eastAsia="zh-CN"/>
        </w:rPr>
      </w:pPr>
      <w:r>
        <w:rPr>
          <w:rFonts w:hint="eastAsia" w:ascii="宋体" w:hAnsi="宋体" w:eastAsia="宋体" w:cs="宋体"/>
          <w:color w:val="auto"/>
          <w:spacing w:val="8"/>
          <w:sz w:val="20"/>
          <w:szCs w:val="20"/>
          <w:highlight w:val="none"/>
          <w:lang w:eastAsia="zh-CN"/>
        </w:rPr>
        <w:t>工业和信息化部</w:t>
      </w:r>
    </w:p>
    <w:p w14:paraId="211FBA0A">
      <w:pPr>
        <w:spacing w:before="66" w:line="228" w:lineRule="auto"/>
        <w:jc w:val="right"/>
        <w:rPr>
          <w:rFonts w:hint="eastAsia" w:ascii="宋体" w:hAnsi="宋体" w:eastAsia="宋体" w:cs="宋体"/>
          <w:color w:val="auto"/>
          <w:highlight w:val="none"/>
          <w:lang w:eastAsia="zh-CN"/>
        </w:rPr>
      </w:pPr>
      <w:r>
        <w:rPr>
          <w:rFonts w:hint="eastAsia" w:ascii="宋体" w:hAnsi="宋体" w:eastAsia="宋体" w:cs="宋体"/>
          <w:color w:val="auto"/>
          <w:spacing w:val="12"/>
          <w:sz w:val="20"/>
          <w:szCs w:val="20"/>
          <w:highlight w:val="none"/>
          <w:lang w:eastAsia="zh-CN"/>
        </w:rPr>
        <w:t>2020年12月18日</w:t>
      </w:r>
    </w:p>
    <w:p w14:paraId="7067FBDB">
      <w:pPr>
        <w:spacing w:before="91" w:line="222" w:lineRule="auto"/>
        <w:ind w:left="2634"/>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rPr>
        <w:t>政府采购促进中小企业发展管理办法</w:t>
      </w:r>
    </w:p>
    <w:p w14:paraId="0FC10BD8">
      <w:pPr>
        <w:spacing w:before="208"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第一条</w:t>
      </w:r>
      <w:r>
        <w:rPr>
          <w:rFonts w:hint="eastAsia" w:ascii="宋体" w:hAnsi="宋体" w:eastAsia="宋体" w:cs="宋体"/>
          <w:color w:val="auto"/>
          <w:spacing w:val="23"/>
          <w:sz w:val="20"/>
          <w:szCs w:val="20"/>
          <w:highlight w:val="none"/>
          <w:lang w:eastAsia="zh-CN"/>
        </w:rPr>
        <w:t xml:space="preserve">  为了发挥政府采购的政策功能，促进中小</w:t>
      </w:r>
      <w:r>
        <w:rPr>
          <w:rFonts w:hint="eastAsia" w:ascii="宋体" w:hAnsi="宋体" w:eastAsia="宋体" w:cs="宋体"/>
          <w:color w:val="auto"/>
          <w:spacing w:val="22"/>
          <w:sz w:val="20"/>
          <w:szCs w:val="20"/>
          <w:highlight w:val="none"/>
          <w:lang w:eastAsia="zh-CN"/>
        </w:rPr>
        <w:t>企业健康发展，根据《中华人民共和国</w:t>
      </w:r>
      <w:r>
        <w:rPr>
          <w:rFonts w:hint="eastAsia" w:ascii="宋体" w:hAnsi="宋体" w:eastAsia="宋体" w:cs="宋体"/>
          <w:color w:val="auto"/>
          <w:spacing w:val="19"/>
          <w:sz w:val="20"/>
          <w:szCs w:val="20"/>
          <w:highlight w:val="none"/>
          <w:lang w:eastAsia="zh-CN"/>
        </w:rPr>
        <w:t>政府采购法》、《中华人民共和国中小企业促进法》等有关法律法规，制定本办法。</w:t>
      </w:r>
    </w:p>
    <w:p w14:paraId="381B120F">
      <w:pPr>
        <w:spacing w:before="95" w:line="285" w:lineRule="auto"/>
        <w:ind w:left="2" w:right="37"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第二条</w:t>
      </w:r>
      <w:r>
        <w:rPr>
          <w:rFonts w:hint="eastAsia" w:ascii="宋体" w:hAnsi="宋体" w:eastAsia="宋体" w:cs="宋体"/>
          <w:color w:val="auto"/>
          <w:spacing w:val="22"/>
          <w:sz w:val="20"/>
          <w:szCs w:val="20"/>
          <w:highlight w:val="none"/>
          <w:lang w:eastAsia="zh-CN"/>
        </w:rPr>
        <w:t xml:space="preserve">  本办法所称中小企业，是指在中华人</w:t>
      </w:r>
      <w:r>
        <w:rPr>
          <w:rFonts w:hint="eastAsia" w:ascii="宋体" w:hAnsi="宋体" w:eastAsia="宋体" w:cs="宋体"/>
          <w:color w:val="auto"/>
          <w:spacing w:val="21"/>
          <w:sz w:val="20"/>
          <w:szCs w:val="20"/>
          <w:highlight w:val="none"/>
          <w:lang w:eastAsia="zh-CN"/>
        </w:rPr>
        <w:t>民共和国境内依法设立，依据国务院批准的</w:t>
      </w:r>
      <w:r>
        <w:rPr>
          <w:rFonts w:hint="eastAsia" w:ascii="宋体" w:hAnsi="宋体" w:eastAsia="宋体" w:cs="宋体"/>
          <w:color w:val="auto"/>
          <w:spacing w:val="23"/>
          <w:sz w:val="20"/>
          <w:szCs w:val="20"/>
          <w:highlight w:val="none"/>
          <w:lang w:eastAsia="zh-CN"/>
        </w:rPr>
        <w:t>中小企业划分标准确定的中型企业、小型企业和微型企业，但与大企业的负责人为同一人，或</w:t>
      </w:r>
      <w:r>
        <w:rPr>
          <w:rFonts w:hint="eastAsia" w:ascii="宋体" w:hAnsi="宋体" w:eastAsia="宋体" w:cs="宋体"/>
          <w:color w:val="auto"/>
          <w:spacing w:val="21"/>
          <w:sz w:val="20"/>
          <w:szCs w:val="20"/>
          <w:highlight w:val="none"/>
          <w:lang w:eastAsia="zh-CN"/>
        </w:rPr>
        <w:t>者与大企业存在直接控股、管理关系的除外。</w:t>
      </w:r>
    </w:p>
    <w:p w14:paraId="491E4E1C">
      <w:pPr>
        <w:spacing w:before="94" w:line="227" w:lineRule="auto"/>
        <w:ind w:left="45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符合中小企业划分标准的个体工商户，在政府采购活动中视同中小企业。</w:t>
      </w:r>
    </w:p>
    <w:p w14:paraId="125C21F9">
      <w:pPr>
        <w:spacing w:before="92" w:line="271" w:lineRule="auto"/>
        <w:ind w:right="37"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第三条</w:t>
      </w:r>
      <w:r>
        <w:rPr>
          <w:rFonts w:hint="eastAsia" w:ascii="宋体" w:hAnsi="宋体" w:eastAsia="宋体" w:cs="宋体"/>
          <w:color w:val="auto"/>
          <w:spacing w:val="23"/>
          <w:sz w:val="20"/>
          <w:szCs w:val="20"/>
          <w:highlight w:val="none"/>
          <w:lang w:eastAsia="zh-CN"/>
        </w:rPr>
        <w:t xml:space="preserve">  采购人在政府采购活动中应当通过加强采</w:t>
      </w:r>
      <w:r>
        <w:rPr>
          <w:rFonts w:hint="eastAsia" w:ascii="宋体" w:hAnsi="宋体" w:eastAsia="宋体" w:cs="宋体"/>
          <w:color w:val="auto"/>
          <w:spacing w:val="22"/>
          <w:sz w:val="20"/>
          <w:szCs w:val="20"/>
          <w:highlight w:val="none"/>
          <w:lang w:eastAsia="zh-CN"/>
        </w:rPr>
        <w:t>购需求管理，落实预留采购份额、价格</w:t>
      </w:r>
      <w:r>
        <w:rPr>
          <w:rFonts w:hint="eastAsia" w:ascii="宋体" w:hAnsi="宋体" w:eastAsia="宋体" w:cs="宋体"/>
          <w:color w:val="auto"/>
          <w:spacing w:val="23"/>
          <w:sz w:val="20"/>
          <w:szCs w:val="20"/>
          <w:highlight w:val="none"/>
          <w:lang w:eastAsia="zh-CN"/>
        </w:rPr>
        <w:t>评审优惠、优先采购等措施，提高中小企业在政府采购中的份额</w:t>
      </w:r>
      <w:r>
        <w:rPr>
          <w:rFonts w:hint="eastAsia" w:ascii="宋体" w:hAnsi="宋体" w:eastAsia="宋体" w:cs="宋体"/>
          <w:color w:val="auto"/>
          <w:spacing w:val="22"/>
          <w:sz w:val="20"/>
          <w:szCs w:val="20"/>
          <w:highlight w:val="none"/>
          <w:lang w:eastAsia="zh-CN"/>
        </w:rPr>
        <w:t>，支持中小企业发展。</w:t>
      </w:r>
    </w:p>
    <w:p w14:paraId="7FBFEF39">
      <w:pPr>
        <w:spacing w:before="95" w:line="270" w:lineRule="auto"/>
        <w:ind w:left="5" w:right="34"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第四条</w:t>
      </w:r>
      <w:r>
        <w:rPr>
          <w:rFonts w:hint="eastAsia" w:ascii="宋体" w:hAnsi="宋体" w:eastAsia="宋体" w:cs="宋体"/>
          <w:color w:val="auto"/>
          <w:spacing w:val="22"/>
          <w:sz w:val="20"/>
          <w:szCs w:val="20"/>
          <w:highlight w:val="none"/>
          <w:lang w:eastAsia="zh-CN"/>
        </w:rPr>
        <w:t xml:space="preserve">  在政府采购活动中，供应商提供的货物、工</w:t>
      </w:r>
      <w:r>
        <w:rPr>
          <w:rFonts w:hint="eastAsia" w:ascii="宋体" w:hAnsi="宋体" w:eastAsia="宋体" w:cs="宋体"/>
          <w:color w:val="auto"/>
          <w:spacing w:val="21"/>
          <w:sz w:val="20"/>
          <w:szCs w:val="20"/>
          <w:highlight w:val="none"/>
          <w:lang w:eastAsia="zh-CN"/>
        </w:rPr>
        <w:t>程或者服务符合下列情形的，享受本</w:t>
      </w:r>
      <w:r>
        <w:rPr>
          <w:rFonts w:hint="eastAsia" w:ascii="宋体" w:hAnsi="宋体" w:eastAsia="宋体" w:cs="宋体"/>
          <w:color w:val="auto"/>
          <w:spacing w:val="20"/>
          <w:sz w:val="20"/>
          <w:szCs w:val="20"/>
          <w:highlight w:val="none"/>
          <w:lang w:eastAsia="zh-CN"/>
        </w:rPr>
        <w:t>办法规定的中小企业扶持政策：</w:t>
      </w:r>
    </w:p>
    <w:p w14:paraId="4F36A62A">
      <w:pPr>
        <w:spacing w:before="95" w:line="271" w:lineRule="auto"/>
        <w:ind w:right="37"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（一）在货物采购项目中，货物由中小企业制造，即货物由中小</w:t>
      </w:r>
      <w:r>
        <w:rPr>
          <w:rFonts w:hint="eastAsia" w:ascii="宋体" w:hAnsi="宋体" w:eastAsia="宋体" w:cs="宋体"/>
          <w:color w:val="auto"/>
          <w:spacing w:val="20"/>
          <w:sz w:val="20"/>
          <w:szCs w:val="20"/>
          <w:highlight w:val="none"/>
          <w:lang w:eastAsia="zh-CN"/>
        </w:rPr>
        <w:t>企业生产且使用该中小企</w:t>
      </w:r>
      <w:r>
        <w:rPr>
          <w:rFonts w:hint="eastAsia" w:ascii="宋体" w:hAnsi="宋体" w:eastAsia="宋体" w:cs="宋体"/>
          <w:color w:val="auto"/>
          <w:spacing w:val="19"/>
          <w:sz w:val="20"/>
          <w:szCs w:val="20"/>
          <w:highlight w:val="none"/>
          <w:lang w:eastAsia="zh-CN"/>
        </w:rPr>
        <w:t>业商号或者注册商标；</w:t>
      </w:r>
    </w:p>
    <w:p w14:paraId="593EBDB8">
      <w:pPr>
        <w:spacing w:before="91" w:line="227" w:lineRule="auto"/>
        <w:ind w:left="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（二）在工程采购项目中，工程由中小企业承建，即工程施工单位为中小企业；</w:t>
      </w:r>
    </w:p>
    <w:p w14:paraId="2CF0AE9D">
      <w:pPr>
        <w:spacing w:before="95" w:line="271" w:lineRule="auto"/>
        <w:ind w:left="1" w:right="37"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（三）在服务采购项目中，服务由中小企业承接，即提供服务的</w:t>
      </w:r>
      <w:r>
        <w:rPr>
          <w:rFonts w:hint="eastAsia" w:ascii="宋体" w:hAnsi="宋体" w:eastAsia="宋体" w:cs="宋体"/>
          <w:color w:val="auto"/>
          <w:spacing w:val="20"/>
          <w:sz w:val="20"/>
          <w:szCs w:val="20"/>
          <w:highlight w:val="none"/>
          <w:lang w:eastAsia="zh-CN"/>
        </w:rPr>
        <w:t>人员为中小企业依照《中华人民共和国劳动合同法》订立劳动合同的</w:t>
      </w:r>
      <w:r>
        <w:rPr>
          <w:rFonts w:hint="eastAsia" w:ascii="宋体" w:hAnsi="宋体" w:eastAsia="宋体" w:cs="宋体"/>
          <w:color w:val="auto"/>
          <w:spacing w:val="19"/>
          <w:sz w:val="20"/>
          <w:szCs w:val="20"/>
          <w:highlight w:val="none"/>
          <w:lang w:eastAsia="zh-CN"/>
        </w:rPr>
        <w:t>从业人员。</w:t>
      </w:r>
    </w:p>
    <w:p w14:paraId="1C424548">
      <w:pPr>
        <w:spacing w:before="41" w:line="271" w:lineRule="auto"/>
        <w:ind w:left="5" w:firstLine="44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在货物采购项目中，供应商提供的货物既有中小企业制造货物，也有大型企业制造货物的，</w:t>
      </w:r>
      <w:r>
        <w:rPr>
          <w:rFonts w:hint="eastAsia" w:ascii="宋体" w:hAnsi="宋体" w:eastAsia="宋体" w:cs="宋体"/>
          <w:color w:val="auto"/>
          <w:spacing w:val="21"/>
          <w:sz w:val="20"/>
          <w:szCs w:val="20"/>
          <w:highlight w:val="none"/>
          <w:lang w:eastAsia="zh-CN"/>
        </w:rPr>
        <w:t>不享受本办法规定的中小企业扶持政策。</w:t>
      </w:r>
    </w:p>
    <w:p w14:paraId="2FBB0C46">
      <w:pPr>
        <w:spacing w:before="95" w:line="270" w:lineRule="auto"/>
        <w:ind w:left="21"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以联合体形式参加政府采购活动，联合体各方均</w:t>
      </w:r>
      <w:r>
        <w:rPr>
          <w:rFonts w:hint="eastAsia" w:ascii="宋体" w:hAnsi="宋体" w:eastAsia="宋体" w:cs="宋体"/>
          <w:color w:val="auto"/>
          <w:spacing w:val="20"/>
          <w:sz w:val="20"/>
          <w:szCs w:val="20"/>
          <w:highlight w:val="none"/>
          <w:lang w:eastAsia="zh-CN"/>
        </w:rPr>
        <w:t>为中小企业的，联合体视同中小企业。其</w:t>
      </w:r>
      <w:r>
        <w:rPr>
          <w:rFonts w:hint="eastAsia" w:ascii="宋体" w:hAnsi="宋体" w:eastAsia="宋体" w:cs="宋体"/>
          <w:color w:val="auto"/>
          <w:spacing w:val="19"/>
          <w:sz w:val="20"/>
          <w:szCs w:val="20"/>
          <w:highlight w:val="none"/>
          <w:lang w:eastAsia="zh-CN"/>
        </w:rPr>
        <w:t>中，联合体各方均为小微企业的，联合体视同小微企业。</w:t>
      </w:r>
    </w:p>
    <w:p w14:paraId="17AA41CE">
      <w:pPr>
        <w:spacing w:before="95" w:line="292" w:lineRule="auto"/>
        <w:ind w:left="2" w:right="59"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第五条</w:t>
      </w:r>
      <w:r>
        <w:rPr>
          <w:rFonts w:hint="eastAsia" w:ascii="宋体" w:hAnsi="宋体" w:eastAsia="宋体" w:cs="宋体"/>
          <w:color w:val="auto"/>
          <w:spacing w:val="23"/>
          <w:sz w:val="20"/>
          <w:szCs w:val="20"/>
          <w:highlight w:val="none"/>
          <w:lang w:eastAsia="zh-CN"/>
        </w:rPr>
        <w:t xml:space="preserve">  采购人在政府采购活动中应当合理确定采</w:t>
      </w:r>
      <w:r>
        <w:rPr>
          <w:rFonts w:hint="eastAsia" w:ascii="宋体" w:hAnsi="宋体" w:eastAsia="宋体" w:cs="宋体"/>
          <w:color w:val="auto"/>
          <w:spacing w:val="22"/>
          <w:sz w:val="20"/>
          <w:szCs w:val="20"/>
          <w:highlight w:val="none"/>
          <w:lang w:eastAsia="zh-CN"/>
        </w:rPr>
        <w:t>购项目的采购需求，不得以企业注册资</w:t>
      </w:r>
      <w:r>
        <w:rPr>
          <w:rFonts w:hint="eastAsia" w:ascii="宋体" w:hAnsi="宋体" w:eastAsia="宋体" w:cs="宋体"/>
          <w:color w:val="auto"/>
          <w:spacing w:val="23"/>
          <w:sz w:val="20"/>
          <w:szCs w:val="20"/>
          <w:highlight w:val="none"/>
          <w:lang w:eastAsia="zh-CN"/>
        </w:rPr>
        <w:t>本、资产总额、营业收入、从业人员、利润、纳税额等规模条件和财务指标作为供应商的资格</w:t>
      </w:r>
      <w:r>
        <w:rPr>
          <w:rFonts w:hint="eastAsia" w:ascii="宋体" w:hAnsi="宋体" w:eastAsia="宋体" w:cs="宋体"/>
          <w:color w:val="auto"/>
          <w:spacing w:val="22"/>
          <w:sz w:val="20"/>
          <w:szCs w:val="20"/>
          <w:highlight w:val="none"/>
          <w:lang w:eastAsia="zh-CN"/>
        </w:rPr>
        <w:t>要求或者评审因素，不得在企业股权结构、经营年限等方面对中小企业实行差别待遇或者歧视</w:t>
      </w:r>
      <w:r>
        <w:rPr>
          <w:rFonts w:hint="eastAsia" w:ascii="宋体" w:hAnsi="宋体" w:eastAsia="宋体" w:cs="宋体"/>
          <w:color w:val="auto"/>
          <w:spacing w:val="7"/>
          <w:sz w:val="20"/>
          <w:szCs w:val="20"/>
          <w:highlight w:val="none"/>
          <w:lang w:eastAsia="zh-CN"/>
        </w:rPr>
        <w:t>待遇。</w:t>
      </w:r>
    </w:p>
    <w:p w14:paraId="103B3D53">
      <w:pPr>
        <w:spacing w:before="92" w:line="285" w:lineRule="auto"/>
        <w:ind w:left="5" w:right="61" w:firstLine="445"/>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第六条</w:t>
      </w:r>
      <w:r>
        <w:rPr>
          <w:rFonts w:hint="eastAsia" w:ascii="宋体" w:hAnsi="宋体" w:eastAsia="宋体" w:cs="宋体"/>
          <w:color w:val="auto"/>
          <w:spacing w:val="22"/>
          <w:sz w:val="20"/>
          <w:szCs w:val="20"/>
          <w:highlight w:val="none"/>
          <w:lang w:eastAsia="zh-CN"/>
        </w:rPr>
        <w:t xml:space="preserve">  主管预算单位应当组织评估本部门及</w:t>
      </w:r>
      <w:r>
        <w:rPr>
          <w:rFonts w:hint="eastAsia" w:ascii="宋体" w:hAnsi="宋体" w:eastAsia="宋体" w:cs="宋体"/>
          <w:color w:val="auto"/>
          <w:spacing w:val="21"/>
          <w:sz w:val="20"/>
          <w:szCs w:val="20"/>
          <w:highlight w:val="none"/>
          <w:lang w:eastAsia="zh-CN"/>
        </w:rPr>
        <w:t>所属单位政府采购项目，统筹制定面向中小</w:t>
      </w:r>
      <w:r>
        <w:rPr>
          <w:rFonts w:hint="eastAsia" w:ascii="宋体" w:hAnsi="宋体" w:eastAsia="宋体" w:cs="宋体"/>
          <w:color w:val="auto"/>
          <w:spacing w:val="22"/>
          <w:sz w:val="20"/>
          <w:szCs w:val="20"/>
          <w:highlight w:val="none"/>
          <w:lang w:eastAsia="zh-CN"/>
        </w:rPr>
        <w:t>企业预留采购份额的具体方案，对适宜由中小企业提供的采购项目和采购包，预留采购份额专门面向中小企业采购，并在政府采购预算中</w:t>
      </w:r>
      <w:r>
        <w:rPr>
          <w:rFonts w:hint="eastAsia" w:ascii="宋体" w:hAnsi="宋体" w:eastAsia="宋体" w:cs="宋体"/>
          <w:color w:val="auto"/>
          <w:spacing w:val="21"/>
          <w:sz w:val="20"/>
          <w:szCs w:val="20"/>
          <w:highlight w:val="none"/>
          <w:lang w:eastAsia="zh-CN"/>
        </w:rPr>
        <w:t>单独列示。</w:t>
      </w:r>
    </w:p>
    <w:p w14:paraId="149BD403">
      <w:pPr>
        <w:spacing w:before="94" w:line="227" w:lineRule="auto"/>
        <w:ind w:left="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符合下列情形之一的，可不专门面向中小企业预留采购份额：</w:t>
      </w:r>
    </w:p>
    <w:p w14:paraId="28BFA5D7">
      <w:pPr>
        <w:spacing w:before="92" w:line="271" w:lineRule="auto"/>
        <w:ind w:left="3" w:right="61" w:firstLine="45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（一）法律法规和国家有关政策明确规定优先或者应当面向事业单位、社会组</w:t>
      </w:r>
      <w:r>
        <w:rPr>
          <w:rFonts w:hint="eastAsia" w:ascii="宋体" w:hAnsi="宋体" w:eastAsia="宋体" w:cs="宋体"/>
          <w:color w:val="auto"/>
          <w:spacing w:val="21"/>
          <w:sz w:val="20"/>
          <w:szCs w:val="20"/>
          <w:highlight w:val="none"/>
          <w:lang w:eastAsia="zh-CN"/>
        </w:rPr>
        <w:t>织等非企业</w:t>
      </w:r>
      <w:r>
        <w:rPr>
          <w:rFonts w:hint="eastAsia" w:ascii="宋体" w:hAnsi="宋体" w:eastAsia="宋体" w:cs="宋体"/>
          <w:color w:val="auto"/>
          <w:spacing w:val="15"/>
          <w:sz w:val="20"/>
          <w:szCs w:val="20"/>
          <w:highlight w:val="none"/>
          <w:lang w:eastAsia="zh-CN"/>
        </w:rPr>
        <w:t>主体采购的；</w:t>
      </w:r>
    </w:p>
    <w:p w14:paraId="63B90099">
      <w:pPr>
        <w:spacing w:before="94" w:line="270" w:lineRule="auto"/>
        <w:ind w:left="6" w:right="61" w:firstLine="45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（二）因确需使用不可替代的专利、专有技术，基础设施限制，或者提供特定公共服务等</w:t>
      </w:r>
      <w:r>
        <w:rPr>
          <w:rFonts w:hint="eastAsia" w:ascii="宋体" w:hAnsi="宋体" w:eastAsia="宋体" w:cs="宋体"/>
          <w:color w:val="auto"/>
          <w:spacing w:val="17"/>
          <w:sz w:val="20"/>
          <w:szCs w:val="20"/>
          <w:highlight w:val="none"/>
          <w:lang w:eastAsia="zh-CN"/>
        </w:rPr>
        <w:t>原因，只能从中小企业之外的供应商处采购的；</w:t>
      </w:r>
    </w:p>
    <w:p w14:paraId="34A54D9A">
      <w:pPr>
        <w:spacing w:before="95" w:line="271"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（三）按照本办法规定预留采购份额无法确保充分供应、充分竞争，或者存</w:t>
      </w:r>
      <w:r>
        <w:rPr>
          <w:rFonts w:hint="eastAsia" w:ascii="宋体" w:hAnsi="宋体" w:eastAsia="宋体" w:cs="宋体"/>
          <w:color w:val="auto"/>
          <w:spacing w:val="21"/>
          <w:sz w:val="20"/>
          <w:szCs w:val="20"/>
          <w:highlight w:val="none"/>
          <w:lang w:eastAsia="zh-CN"/>
        </w:rPr>
        <w:t>在可能影响政</w:t>
      </w:r>
      <w:r>
        <w:rPr>
          <w:rFonts w:hint="eastAsia" w:ascii="宋体" w:hAnsi="宋体" w:eastAsia="宋体" w:cs="宋体"/>
          <w:color w:val="auto"/>
          <w:spacing w:val="19"/>
          <w:sz w:val="20"/>
          <w:szCs w:val="20"/>
          <w:highlight w:val="none"/>
          <w:lang w:eastAsia="zh-CN"/>
        </w:rPr>
        <w:t>府采购目标实现的情形；</w:t>
      </w:r>
    </w:p>
    <w:p w14:paraId="527AB8B5">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5"/>
          <w:sz w:val="20"/>
          <w:szCs w:val="20"/>
          <w:highlight w:val="none"/>
          <w:lang w:eastAsia="zh-CN"/>
        </w:rPr>
        <w:t>（四）框架协议采购项目；</w:t>
      </w:r>
    </w:p>
    <w:p w14:paraId="4F5D6270">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（五）省级以上人民政府财政部门规定的其他情形。</w:t>
      </w:r>
    </w:p>
    <w:p w14:paraId="285B1E82">
      <w:pPr>
        <w:spacing w:before="95" w:line="227" w:lineRule="auto"/>
        <w:ind w:left="46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除上述情形外，其他均为适宜由中小企业提供的情形。</w:t>
      </w:r>
    </w:p>
    <w:p w14:paraId="3BAD4753">
      <w:pPr>
        <w:spacing w:before="92" w:line="271" w:lineRule="auto"/>
        <w:ind w:right="61"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第七条</w:t>
      </w:r>
      <w:r>
        <w:rPr>
          <w:rFonts w:hint="eastAsia" w:ascii="宋体" w:hAnsi="宋体" w:eastAsia="宋体" w:cs="宋体"/>
          <w:color w:val="auto"/>
          <w:spacing w:val="21"/>
          <w:sz w:val="20"/>
          <w:szCs w:val="20"/>
          <w:highlight w:val="none"/>
          <w:lang w:eastAsia="zh-CN"/>
        </w:rPr>
        <w:t xml:space="preserve">  采购限额标准以上，200万元以下的货物和服务采购项目、400万元以下的工程采购项目，适宜由中小企业提供的，采购人应当专门面向中小企业采购。</w:t>
      </w:r>
    </w:p>
    <w:p w14:paraId="3248760C">
      <w:pPr>
        <w:spacing w:before="94" w:line="285"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第八条</w:t>
      </w:r>
      <w:r>
        <w:rPr>
          <w:rFonts w:hint="eastAsia" w:ascii="宋体" w:hAnsi="宋体" w:eastAsia="宋体" w:cs="宋体"/>
          <w:color w:val="auto"/>
          <w:spacing w:val="21"/>
          <w:sz w:val="20"/>
          <w:szCs w:val="20"/>
          <w:highlight w:val="none"/>
          <w:lang w:eastAsia="zh-CN"/>
        </w:rPr>
        <w:t xml:space="preserve">  超过200万元的货物和服务采购项目、超过400万元的工程采购项目中适宜由中小</w:t>
      </w:r>
      <w:r>
        <w:rPr>
          <w:rFonts w:hint="eastAsia" w:ascii="宋体" w:hAnsi="宋体" w:eastAsia="宋体" w:cs="宋体"/>
          <w:color w:val="auto"/>
          <w:spacing w:val="23"/>
          <w:sz w:val="20"/>
          <w:szCs w:val="20"/>
          <w:highlight w:val="none"/>
          <w:lang w:eastAsia="zh-CN"/>
        </w:rPr>
        <w:t>企业提供的，预留该部分采购项目预算总额的30%以上专门面向中小企业采购，其中预留给小</w:t>
      </w:r>
      <w:r>
        <w:rPr>
          <w:rFonts w:hint="eastAsia" w:ascii="宋体" w:hAnsi="宋体" w:eastAsia="宋体" w:cs="宋体"/>
          <w:color w:val="auto"/>
          <w:spacing w:val="21"/>
          <w:sz w:val="20"/>
          <w:szCs w:val="20"/>
          <w:highlight w:val="none"/>
          <w:lang w:eastAsia="zh-CN"/>
        </w:rPr>
        <w:t>微企业的比例不低于60%。预留份额通过</w:t>
      </w:r>
      <w:r>
        <w:rPr>
          <w:rFonts w:hint="eastAsia" w:ascii="宋体" w:hAnsi="宋体" w:eastAsia="宋体" w:cs="宋体"/>
          <w:color w:val="auto"/>
          <w:spacing w:val="20"/>
          <w:sz w:val="20"/>
          <w:szCs w:val="20"/>
          <w:highlight w:val="none"/>
          <w:lang w:eastAsia="zh-CN"/>
        </w:rPr>
        <w:t>下列措施进行：</w:t>
      </w:r>
    </w:p>
    <w:p w14:paraId="410EF340">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（一）将采购项目整体或者设置采购包专门面向中小企业采购；</w:t>
      </w:r>
    </w:p>
    <w:p w14:paraId="49984555">
      <w:pPr>
        <w:spacing w:before="92" w:line="272" w:lineRule="auto"/>
        <w:ind w:left="24" w:right="59" w:firstLine="43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（二）要求供应商以联合体形式参加采购活动，且联合体中中小企业承担的部</w:t>
      </w:r>
      <w:r>
        <w:rPr>
          <w:rFonts w:hint="eastAsia" w:ascii="宋体" w:hAnsi="宋体" w:eastAsia="宋体" w:cs="宋体"/>
          <w:color w:val="auto"/>
          <w:spacing w:val="21"/>
          <w:sz w:val="20"/>
          <w:szCs w:val="20"/>
          <w:highlight w:val="none"/>
          <w:lang w:eastAsia="zh-CN"/>
        </w:rPr>
        <w:t>分达到一定</w:t>
      </w:r>
      <w:r>
        <w:rPr>
          <w:rFonts w:hint="eastAsia" w:ascii="宋体" w:hAnsi="宋体" w:eastAsia="宋体" w:cs="宋体"/>
          <w:color w:val="auto"/>
          <w:sz w:val="20"/>
          <w:szCs w:val="20"/>
          <w:highlight w:val="none"/>
          <w:lang w:eastAsia="zh-CN"/>
        </w:rPr>
        <w:t>比例；</w:t>
      </w:r>
    </w:p>
    <w:p w14:paraId="58CEB3C9">
      <w:pPr>
        <w:spacing w:before="93" w:line="276" w:lineRule="auto"/>
        <w:ind w:right="61"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7"/>
          <w:sz w:val="20"/>
          <w:szCs w:val="20"/>
          <w:highlight w:val="none"/>
          <w:lang w:eastAsia="zh-CN"/>
        </w:rPr>
        <w:t>（三）要求获得采购合同的供应商将采购项目中的一定比例分包给一家或者多家中小企</w:t>
      </w:r>
      <w:r>
        <w:rPr>
          <w:rFonts w:hint="eastAsia" w:ascii="宋体" w:hAnsi="宋体" w:eastAsia="宋体" w:cs="宋体"/>
          <w:color w:val="auto"/>
          <w:sz w:val="20"/>
          <w:szCs w:val="20"/>
          <w:highlight w:val="none"/>
          <w:lang w:eastAsia="zh-CN"/>
        </w:rPr>
        <w:t>业。</w:t>
      </w:r>
    </w:p>
    <w:p w14:paraId="62EE6C3F">
      <w:pPr>
        <w:spacing w:before="81" w:line="271" w:lineRule="auto"/>
        <w:ind w:right="61" w:firstLine="45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3"/>
          <w:sz w:val="20"/>
          <w:szCs w:val="20"/>
          <w:highlight w:val="none"/>
          <w:lang w:eastAsia="zh-CN"/>
        </w:rPr>
        <w:t>组成联合体或者接受分包合同的中小企业与联合体内其他企业、分包企业之间不得存在直</w:t>
      </w:r>
      <w:r>
        <w:rPr>
          <w:rFonts w:hint="eastAsia" w:ascii="宋体" w:hAnsi="宋体" w:eastAsia="宋体" w:cs="宋体"/>
          <w:color w:val="auto"/>
          <w:spacing w:val="18"/>
          <w:sz w:val="20"/>
          <w:szCs w:val="20"/>
          <w:highlight w:val="none"/>
          <w:lang w:eastAsia="zh-CN"/>
        </w:rPr>
        <w:t>接控股、管理关系。</w:t>
      </w:r>
    </w:p>
    <w:p w14:paraId="08BE6D4D">
      <w:pPr>
        <w:spacing w:before="94" w:line="296"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第九条</w:t>
      </w:r>
      <w:r>
        <w:rPr>
          <w:rFonts w:hint="eastAsia" w:ascii="宋体" w:hAnsi="宋体" w:eastAsia="宋体" w:cs="宋体"/>
          <w:color w:val="auto"/>
          <w:spacing w:val="21"/>
          <w:sz w:val="20"/>
          <w:szCs w:val="20"/>
          <w:highlight w:val="none"/>
          <w:lang w:eastAsia="zh-CN"/>
        </w:rPr>
        <w:t xml:space="preserve">  对于经主管预算单位统筹后未预留份额专门面向中小企业采购的采购项目，以及</w:t>
      </w:r>
      <w:r>
        <w:rPr>
          <w:rFonts w:hint="eastAsia" w:ascii="宋体" w:hAnsi="宋体" w:eastAsia="宋体" w:cs="宋体"/>
          <w:color w:val="auto"/>
          <w:spacing w:val="22"/>
          <w:sz w:val="20"/>
          <w:szCs w:val="20"/>
          <w:highlight w:val="none"/>
          <w:lang w:eastAsia="zh-CN"/>
        </w:rPr>
        <w:t>预留份额项目中的非预留部分采购包，采购人、采购代理机构应当对符合本办法规定的小微企</w:t>
      </w:r>
      <w:r>
        <w:rPr>
          <w:rFonts w:hint="eastAsia" w:ascii="宋体" w:hAnsi="宋体" w:eastAsia="宋体" w:cs="宋体"/>
          <w:color w:val="auto"/>
          <w:spacing w:val="19"/>
          <w:sz w:val="20"/>
          <w:szCs w:val="20"/>
          <w:highlight w:val="none"/>
          <w:lang w:eastAsia="zh-CN"/>
        </w:rPr>
        <w:t>业报价给予6%—10%（工程项目为3%—5%）的</w:t>
      </w:r>
      <w:r>
        <w:rPr>
          <w:rFonts w:hint="eastAsia" w:ascii="宋体" w:hAnsi="宋体" w:eastAsia="宋体" w:cs="宋体"/>
          <w:color w:val="auto"/>
          <w:spacing w:val="18"/>
          <w:sz w:val="20"/>
          <w:szCs w:val="20"/>
          <w:highlight w:val="none"/>
          <w:lang w:eastAsia="zh-CN"/>
        </w:rPr>
        <w:t>扣除，用扣除后的价格参加评审。适用招标投标</w:t>
      </w:r>
      <w:r>
        <w:rPr>
          <w:rFonts w:hint="eastAsia" w:ascii="宋体" w:hAnsi="宋体" w:eastAsia="宋体" w:cs="宋体"/>
          <w:color w:val="auto"/>
          <w:spacing w:val="22"/>
          <w:sz w:val="20"/>
          <w:szCs w:val="20"/>
          <w:highlight w:val="none"/>
          <w:lang w:eastAsia="zh-CN"/>
        </w:rPr>
        <w:t>法的政府采购工程建设项目，采用综合评估法但未采用低价优先法计算价格分的，评标时应当</w:t>
      </w:r>
      <w:r>
        <w:rPr>
          <w:rFonts w:hint="eastAsia" w:ascii="宋体" w:hAnsi="宋体" w:eastAsia="宋体" w:cs="宋体"/>
          <w:color w:val="auto"/>
          <w:spacing w:val="20"/>
          <w:sz w:val="20"/>
          <w:szCs w:val="20"/>
          <w:highlight w:val="none"/>
          <w:lang w:eastAsia="zh-CN"/>
        </w:rPr>
        <w:t>在采用原报价进行评分的基础上增加其价格得分的3%—5%作为其价格分。</w:t>
      </w:r>
    </w:p>
    <w:p w14:paraId="742BD8B5">
      <w:pPr>
        <w:spacing w:before="97" w:line="284" w:lineRule="auto"/>
        <w:ind w:left="1" w:right="58"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接受大中型企业与小微企业组成联合体或者允许大中型企业向一家或者多家小微企业分</w:t>
      </w:r>
      <w:r>
        <w:rPr>
          <w:rFonts w:hint="eastAsia" w:ascii="宋体" w:hAnsi="宋体" w:eastAsia="宋体" w:cs="宋体"/>
          <w:color w:val="auto"/>
          <w:spacing w:val="24"/>
          <w:sz w:val="20"/>
          <w:szCs w:val="20"/>
          <w:highlight w:val="none"/>
          <w:lang w:eastAsia="zh-CN"/>
        </w:rPr>
        <w:t>包的采购项目，对于联合协议或者分包意向协议约定小微企业的合同份额占到合同总金额30%</w:t>
      </w:r>
      <w:r>
        <w:rPr>
          <w:rFonts w:hint="eastAsia" w:ascii="宋体" w:hAnsi="宋体" w:eastAsia="宋体" w:cs="宋体"/>
          <w:color w:val="auto"/>
          <w:spacing w:val="23"/>
          <w:sz w:val="20"/>
          <w:szCs w:val="20"/>
          <w:highlight w:val="none"/>
          <w:lang w:eastAsia="zh-CN"/>
        </w:rPr>
        <w:t>以上的，采购人、采购代理机构应当对联合体或者大中型企</w:t>
      </w:r>
      <w:r>
        <w:rPr>
          <w:rFonts w:hint="eastAsia" w:ascii="宋体" w:hAnsi="宋体" w:eastAsia="宋体" w:cs="宋体"/>
          <w:color w:val="auto"/>
          <w:spacing w:val="22"/>
          <w:sz w:val="20"/>
          <w:szCs w:val="20"/>
          <w:highlight w:val="none"/>
          <w:lang w:eastAsia="zh-CN"/>
        </w:rPr>
        <w:t>业的报价给予2%-3%（工程项目为</w:t>
      </w:r>
    </w:p>
    <w:p w14:paraId="0609DD75">
      <w:pPr>
        <w:spacing w:line="284" w:lineRule="auto"/>
        <w:rPr>
          <w:rFonts w:hint="eastAsia" w:ascii="宋体" w:hAnsi="宋体" w:eastAsia="宋体" w:cs="宋体"/>
          <w:color w:val="auto"/>
          <w:sz w:val="20"/>
          <w:szCs w:val="20"/>
          <w:highlight w:val="none"/>
          <w:lang w:eastAsia="zh-CN"/>
        </w:rPr>
        <w:sectPr>
          <w:pgSz w:w="11906" w:h="16839"/>
          <w:pgMar w:top="1354" w:right="1315" w:bottom="0" w:left="1367" w:header="0" w:footer="737" w:gutter="0"/>
          <w:pgNumType w:fmt="decimal"/>
          <w:cols w:space="720" w:num="1"/>
        </w:sectPr>
      </w:pPr>
    </w:p>
    <w:p w14:paraId="186E2E67">
      <w:pPr>
        <w:spacing w:before="41" w:line="292" w:lineRule="auto"/>
        <w:ind w:right="59" w:firstLine="16"/>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1%—2%）的扣除，用扣除后的价格参加评审。适用招标投标法的政府采购工程建设项目，采用</w:t>
      </w:r>
      <w:r>
        <w:rPr>
          <w:rFonts w:hint="eastAsia" w:ascii="宋体" w:hAnsi="宋体" w:eastAsia="宋体" w:cs="宋体"/>
          <w:color w:val="auto"/>
          <w:spacing w:val="22"/>
          <w:sz w:val="20"/>
          <w:szCs w:val="20"/>
          <w:highlight w:val="none"/>
          <w:lang w:eastAsia="zh-CN"/>
        </w:rPr>
        <w:t>综合评估法但未采用低价优先法计算价格分的，评标时应当在采用原报价进行评分的基础上增</w:t>
      </w:r>
      <w:r>
        <w:rPr>
          <w:rFonts w:hint="eastAsia" w:ascii="宋体" w:hAnsi="宋体" w:eastAsia="宋体" w:cs="宋体"/>
          <w:color w:val="auto"/>
          <w:spacing w:val="21"/>
          <w:sz w:val="20"/>
          <w:szCs w:val="20"/>
          <w:highlight w:val="none"/>
          <w:lang w:eastAsia="zh-CN"/>
        </w:rPr>
        <w:t>加其价格得分的1%—2%作为其价格分。组成联合体或者接受分包的小微企</w:t>
      </w:r>
      <w:r>
        <w:rPr>
          <w:rFonts w:hint="eastAsia" w:ascii="宋体" w:hAnsi="宋体" w:eastAsia="宋体" w:cs="宋体"/>
          <w:color w:val="auto"/>
          <w:spacing w:val="20"/>
          <w:sz w:val="20"/>
          <w:szCs w:val="20"/>
          <w:highlight w:val="none"/>
          <w:lang w:eastAsia="zh-CN"/>
        </w:rPr>
        <w:t>业与联合体内其他企</w:t>
      </w:r>
      <w:r>
        <w:rPr>
          <w:rFonts w:hint="eastAsia" w:ascii="宋体" w:hAnsi="宋体" w:eastAsia="宋体" w:cs="宋体"/>
          <w:color w:val="auto"/>
          <w:spacing w:val="21"/>
          <w:sz w:val="20"/>
          <w:szCs w:val="20"/>
          <w:highlight w:val="none"/>
          <w:lang w:eastAsia="zh-CN"/>
        </w:rPr>
        <w:t>业、分包企业之间存在直接控股、管理关系的，不享受价格扣除优惠政策。</w:t>
      </w:r>
    </w:p>
    <w:p w14:paraId="788A0AF9">
      <w:pPr>
        <w:spacing w:before="97" w:line="284" w:lineRule="auto"/>
        <w:ind w:left="4" w:right="61" w:firstLine="44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价格扣除比例或者价格分加分比例对小型企业和微型企业同等对待，不作区分。具体采购</w:t>
      </w:r>
      <w:r>
        <w:rPr>
          <w:rFonts w:hint="eastAsia" w:ascii="宋体" w:hAnsi="宋体" w:eastAsia="宋体" w:cs="宋体"/>
          <w:color w:val="auto"/>
          <w:spacing w:val="22"/>
          <w:sz w:val="20"/>
          <w:szCs w:val="20"/>
          <w:highlight w:val="none"/>
          <w:lang w:eastAsia="zh-CN"/>
        </w:rPr>
        <w:t>项目的价格扣除比例或者价格分加分比例，由采购人根据采购标的相关行业平均利润率、市场</w:t>
      </w:r>
      <w:r>
        <w:rPr>
          <w:rFonts w:hint="eastAsia" w:ascii="宋体" w:hAnsi="宋体" w:eastAsia="宋体" w:cs="宋体"/>
          <w:color w:val="auto"/>
          <w:spacing w:val="19"/>
          <w:sz w:val="20"/>
          <w:szCs w:val="20"/>
          <w:highlight w:val="none"/>
          <w:lang w:eastAsia="zh-CN"/>
        </w:rPr>
        <w:t>竞争状况等，在本办法规定的幅度内确定。</w:t>
      </w:r>
    </w:p>
    <w:p w14:paraId="0D5E2B05">
      <w:pPr>
        <w:spacing w:before="96" w:line="292" w:lineRule="auto"/>
        <w:ind w:lef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5"/>
          <w:sz w:val="20"/>
          <w:szCs w:val="20"/>
          <w:highlight w:val="none"/>
          <w:lang w:eastAsia="zh-CN"/>
        </w:rPr>
        <w:t>第十条</w:t>
      </w:r>
      <w:r>
        <w:rPr>
          <w:rFonts w:hint="eastAsia" w:ascii="宋体" w:hAnsi="宋体" w:eastAsia="宋体" w:cs="宋体"/>
          <w:color w:val="auto"/>
          <w:spacing w:val="25"/>
          <w:sz w:val="20"/>
          <w:szCs w:val="20"/>
          <w:highlight w:val="none"/>
          <w:lang w:eastAsia="zh-CN"/>
        </w:rPr>
        <w:t xml:space="preserve">  采购人应当严格按照本办法规定和主管预算单位制定的预留采购份额</w:t>
      </w:r>
      <w:r>
        <w:rPr>
          <w:rFonts w:hint="eastAsia" w:ascii="宋体" w:hAnsi="宋体" w:eastAsia="宋体" w:cs="宋体"/>
          <w:color w:val="auto"/>
          <w:spacing w:val="24"/>
          <w:sz w:val="20"/>
          <w:szCs w:val="20"/>
          <w:highlight w:val="none"/>
          <w:lang w:eastAsia="zh-CN"/>
        </w:rPr>
        <w:t>具体方案</w:t>
      </w:r>
      <w:r>
        <w:rPr>
          <w:rFonts w:hint="eastAsia" w:ascii="宋体" w:hAnsi="宋体" w:eastAsia="宋体" w:cs="宋体"/>
          <w:color w:val="auto"/>
          <w:spacing w:val="20"/>
          <w:sz w:val="20"/>
          <w:szCs w:val="20"/>
          <w:highlight w:val="none"/>
          <w:lang w:eastAsia="zh-CN"/>
        </w:rPr>
        <w:t>开展采购活动。预留份额的采购项目或者采购包，通过发布公告方式邀请供应商后，符合资格</w:t>
      </w:r>
      <w:r>
        <w:rPr>
          <w:rFonts w:hint="eastAsia" w:ascii="宋体" w:hAnsi="宋体" w:eastAsia="宋体" w:cs="宋体"/>
          <w:color w:val="auto"/>
          <w:spacing w:val="21"/>
          <w:sz w:val="20"/>
          <w:szCs w:val="20"/>
          <w:highlight w:val="none"/>
          <w:lang w:eastAsia="zh-CN"/>
        </w:rPr>
        <w:t>条件的中小企业数量不足3家的，应当中止采购活动，视同未预留份额的采购项目或</w:t>
      </w:r>
      <w:r>
        <w:rPr>
          <w:rFonts w:hint="eastAsia" w:ascii="宋体" w:hAnsi="宋体" w:eastAsia="宋体" w:cs="宋体"/>
          <w:color w:val="auto"/>
          <w:spacing w:val="20"/>
          <w:sz w:val="20"/>
          <w:szCs w:val="20"/>
          <w:highlight w:val="none"/>
          <w:lang w:eastAsia="zh-CN"/>
        </w:rPr>
        <w:t>者采购包，</w:t>
      </w:r>
      <w:r>
        <w:rPr>
          <w:rFonts w:hint="eastAsia" w:ascii="宋体" w:hAnsi="宋体" w:eastAsia="宋体" w:cs="宋体"/>
          <w:color w:val="auto"/>
          <w:spacing w:val="21"/>
          <w:sz w:val="20"/>
          <w:szCs w:val="20"/>
          <w:highlight w:val="none"/>
          <w:lang w:eastAsia="zh-CN"/>
        </w:rPr>
        <w:t>按照本办法第九条有关规定重新组织采购活动。</w:t>
      </w:r>
    </w:p>
    <w:p w14:paraId="22F30C04">
      <w:pPr>
        <w:spacing w:before="94" w:line="285" w:lineRule="auto"/>
        <w:ind w:left="5" w:right="61" w:firstLine="444"/>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第十一条</w:t>
      </w:r>
      <w:r>
        <w:rPr>
          <w:rFonts w:hint="eastAsia" w:ascii="宋体" w:hAnsi="宋体" w:eastAsia="宋体" w:cs="宋体"/>
          <w:color w:val="auto"/>
          <w:spacing w:val="22"/>
          <w:sz w:val="20"/>
          <w:szCs w:val="20"/>
          <w:highlight w:val="none"/>
          <w:lang w:eastAsia="zh-CN"/>
        </w:rPr>
        <w:t xml:space="preserve">  中小企业参加政府采购活动，</w:t>
      </w:r>
      <w:r>
        <w:rPr>
          <w:rFonts w:hint="eastAsia" w:ascii="宋体" w:hAnsi="宋体" w:eastAsia="宋体" w:cs="宋体"/>
          <w:color w:val="auto"/>
          <w:spacing w:val="21"/>
          <w:sz w:val="20"/>
          <w:szCs w:val="20"/>
          <w:highlight w:val="none"/>
          <w:lang w:eastAsia="zh-CN"/>
        </w:rPr>
        <w:t>应当出具本办法规定的《中小企业声明函》（附</w:t>
      </w:r>
      <w:r>
        <w:rPr>
          <w:rFonts w:hint="eastAsia" w:ascii="宋体" w:hAnsi="宋体" w:eastAsia="宋体" w:cs="宋体"/>
          <w:color w:val="auto"/>
          <w:spacing w:val="24"/>
          <w:sz w:val="20"/>
          <w:szCs w:val="20"/>
          <w:highlight w:val="none"/>
          <w:lang w:eastAsia="zh-CN"/>
        </w:rPr>
        <w:t>1</w:t>
      </w:r>
      <w:r>
        <w:rPr>
          <w:rFonts w:hint="eastAsia" w:ascii="宋体" w:hAnsi="宋体" w:eastAsia="宋体" w:cs="宋体"/>
          <w:color w:val="auto"/>
          <w:spacing w:val="-12"/>
          <w:sz w:val="20"/>
          <w:szCs w:val="20"/>
          <w:highlight w:val="none"/>
          <w:lang w:eastAsia="zh-CN"/>
        </w:rPr>
        <w:t>），</w:t>
      </w:r>
      <w:r>
        <w:rPr>
          <w:rFonts w:hint="eastAsia" w:ascii="宋体" w:hAnsi="宋体" w:eastAsia="宋体" w:cs="宋体"/>
          <w:color w:val="auto"/>
          <w:spacing w:val="24"/>
          <w:sz w:val="20"/>
          <w:szCs w:val="20"/>
          <w:highlight w:val="none"/>
          <w:lang w:eastAsia="zh-CN"/>
        </w:rPr>
        <w:t>否则不得享受相关中小企业扶持政策。任何单位和个人不得要求供应</w:t>
      </w:r>
      <w:r>
        <w:rPr>
          <w:rFonts w:hint="eastAsia" w:ascii="宋体" w:hAnsi="宋体" w:eastAsia="宋体" w:cs="宋体"/>
          <w:color w:val="auto"/>
          <w:spacing w:val="23"/>
          <w:sz w:val="20"/>
          <w:szCs w:val="20"/>
          <w:highlight w:val="none"/>
          <w:lang w:eastAsia="zh-CN"/>
        </w:rPr>
        <w:t>商提供《中小企业</w:t>
      </w:r>
      <w:r>
        <w:rPr>
          <w:rFonts w:hint="eastAsia" w:ascii="宋体" w:hAnsi="宋体" w:eastAsia="宋体" w:cs="宋体"/>
          <w:color w:val="auto"/>
          <w:spacing w:val="18"/>
          <w:sz w:val="20"/>
          <w:szCs w:val="20"/>
          <w:highlight w:val="none"/>
          <w:lang w:eastAsia="zh-CN"/>
        </w:rPr>
        <w:t>声明函》之外的中小企业身份证明文件。</w:t>
      </w:r>
    </w:p>
    <w:p w14:paraId="7F06D25A">
      <w:pPr>
        <w:spacing w:before="94" w:line="227"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第十二条</w:t>
      </w:r>
      <w:r>
        <w:rPr>
          <w:rFonts w:hint="eastAsia" w:ascii="宋体" w:hAnsi="宋体" w:eastAsia="宋体" w:cs="宋体"/>
          <w:color w:val="auto"/>
          <w:spacing w:val="22"/>
          <w:sz w:val="20"/>
          <w:szCs w:val="20"/>
          <w:highlight w:val="none"/>
          <w:lang w:eastAsia="zh-CN"/>
        </w:rPr>
        <w:t xml:space="preserve">  采购项目涉及中小企业采购的，</w:t>
      </w:r>
      <w:r>
        <w:rPr>
          <w:rFonts w:hint="eastAsia" w:ascii="宋体" w:hAnsi="宋体" w:eastAsia="宋体" w:cs="宋体"/>
          <w:color w:val="auto"/>
          <w:spacing w:val="21"/>
          <w:sz w:val="20"/>
          <w:szCs w:val="20"/>
          <w:highlight w:val="none"/>
          <w:lang w:eastAsia="zh-CN"/>
        </w:rPr>
        <w:t>采购文件应当明确以下内容：</w:t>
      </w:r>
    </w:p>
    <w:p w14:paraId="5434DBA1">
      <w:pPr>
        <w:spacing w:before="92" w:line="271" w:lineRule="auto"/>
        <w:ind w:left="25" w:firstLine="43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8"/>
          <w:sz w:val="20"/>
          <w:szCs w:val="20"/>
          <w:highlight w:val="none"/>
          <w:lang w:eastAsia="zh-CN"/>
        </w:rPr>
        <w:t>（一）预留份额的采购项目或者采购包，明确该项目或相关采购包专门面向中小企业采购，以及相关标的及预算金额；</w:t>
      </w:r>
    </w:p>
    <w:p w14:paraId="5B3AB473">
      <w:pPr>
        <w:spacing w:before="93" w:line="270" w:lineRule="auto"/>
        <w:ind w:right="59" w:firstLine="45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（二）要求以联合体形式参加或者合同分包的，明</w:t>
      </w:r>
      <w:r>
        <w:rPr>
          <w:rFonts w:hint="eastAsia" w:ascii="宋体" w:hAnsi="宋体" w:eastAsia="宋体" w:cs="宋体"/>
          <w:color w:val="auto"/>
          <w:spacing w:val="20"/>
          <w:sz w:val="20"/>
          <w:szCs w:val="20"/>
          <w:highlight w:val="none"/>
          <w:lang w:eastAsia="zh-CN"/>
        </w:rPr>
        <w:t>确联合协议或者分包意向协议中中小企</w:t>
      </w:r>
      <w:r>
        <w:rPr>
          <w:rFonts w:hint="eastAsia" w:ascii="宋体" w:hAnsi="宋体" w:eastAsia="宋体" w:cs="宋体"/>
          <w:color w:val="auto"/>
          <w:spacing w:val="22"/>
          <w:sz w:val="20"/>
          <w:szCs w:val="20"/>
          <w:highlight w:val="none"/>
          <w:lang w:eastAsia="zh-CN"/>
        </w:rPr>
        <w:t>业合同金额应当达到的比例，并作为供应商资格条件；</w:t>
      </w:r>
    </w:p>
    <w:p w14:paraId="2C536702">
      <w:pPr>
        <w:spacing w:before="95" w:line="226"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（三）非预留份额的采购项目或者采购包，明确有关价格扣除比例或者价格分加</w:t>
      </w:r>
      <w:r>
        <w:rPr>
          <w:rFonts w:hint="eastAsia" w:ascii="宋体" w:hAnsi="宋体" w:eastAsia="宋体" w:cs="宋体"/>
          <w:color w:val="auto"/>
          <w:spacing w:val="19"/>
          <w:sz w:val="20"/>
          <w:szCs w:val="20"/>
          <w:highlight w:val="none"/>
          <w:lang w:eastAsia="zh-CN"/>
        </w:rPr>
        <w:t>分比例；</w:t>
      </w:r>
    </w:p>
    <w:p w14:paraId="5DF7F49E">
      <w:pPr>
        <w:spacing w:before="96" w:line="270" w:lineRule="auto"/>
        <w:ind w:left="2" w:right="61" w:firstLine="45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（四）规定依据本办法规定享受扶持政策获得政府采购合同的，小微企业</w:t>
      </w:r>
      <w:r>
        <w:rPr>
          <w:rFonts w:hint="eastAsia" w:ascii="宋体" w:hAnsi="宋体" w:eastAsia="宋体" w:cs="宋体"/>
          <w:color w:val="auto"/>
          <w:spacing w:val="21"/>
          <w:sz w:val="20"/>
          <w:szCs w:val="20"/>
          <w:highlight w:val="none"/>
          <w:lang w:eastAsia="zh-CN"/>
        </w:rPr>
        <w:t>不得将合同分包</w:t>
      </w:r>
      <w:r>
        <w:rPr>
          <w:rFonts w:hint="eastAsia" w:ascii="宋体" w:hAnsi="宋体" w:eastAsia="宋体" w:cs="宋体"/>
          <w:color w:val="auto"/>
          <w:spacing w:val="20"/>
          <w:sz w:val="20"/>
          <w:szCs w:val="20"/>
          <w:highlight w:val="none"/>
          <w:lang w:eastAsia="zh-CN"/>
        </w:rPr>
        <w:t>给大中型企业，中型企业不得将合同分包给大型</w:t>
      </w:r>
      <w:r>
        <w:rPr>
          <w:rFonts w:hint="eastAsia" w:ascii="宋体" w:hAnsi="宋体" w:eastAsia="宋体" w:cs="宋体"/>
          <w:color w:val="auto"/>
          <w:spacing w:val="19"/>
          <w:sz w:val="20"/>
          <w:szCs w:val="20"/>
          <w:highlight w:val="none"/>
          <w:lang w:eastAsia="zh-CN"/>
        </w:rPr>
        <w:t>企业；</w:t>
      </w:r>
    </w:p>
    <w:p w14:paraId="2F86AC22">
      <w:pPr>
        <w:spacing w:before="94" w:line="271" w:lineRule="auto"/>
        <w:ind w:left="18" w:right="61" w:firstLine="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（五）采购人认为具备相关条件的，明确对中小企业在</w:t>
      </w:r>
      <w:r>
        <w:rPr>
          <w:rFonts w:hint="eastAsia" w:ascii="宋体" w:hAnsi="宋体" w:eastAsia="宋体" w:cs="宋体"/>
          <w:color w:val="auto"/>
          <w:spacing w:val="20"/>
          <w:sz w:val="20"/>
          <w:szCs w:val="20"/>
          <w:highlight w:val="none"/>
          <w:lang w:eastAsia="zh-CN"/>
        </w:rPr>
        <w:t>资金支付期限、预付款比例等方面</w:t>
      </w:r>
      <w:r>
        <w:rPr>
          <w:rFonts w:hint="eastAsia" w:ascii="宋体" w:hAnsi="宋体" w:eastAsia="宋体" w:cs="宋体"/>
          <w:color w:val="auto"/>
          <w:spacing w:val="13"/>
          <w:sz w:val="20"/>
          <w:szCs w:val="20"/>
          <w:highlight w:val="none"/>
          <w:lang w:eastAsia="zh-CN"/>
        </w:rPr>
        <w:t>的优惠措施；</w:t>
      </w:r>
    </w:p>
    <w:p w14:paraId="324FFB3B">
      <w:pPr>
        <w:spacing w:before="92"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（六）明确采购标的对应的中小企业划分标准所属行业；</w:t>
      </w:r>
    </w:p>
    <w:p w14:paraId="3D6F272A">
      <w:pPr>
        <w:spacing w:before="95" w:line="227" w:lineRule="auto"/>
        <w:ind w:left="4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0"/>
          <w:sz w:val="20"/>
          <w:szCs w:val="20"/>
          <w:highlight w:val="none"/>
          <w:lang w:eastAsia="zh-CN"/>
        </w:rPr>
        <w:t>（七）法律法规和省级以上人民政府财政部门规定的其他事项。</w:t>
      </w:r>
    </w:p>
    <w:p w14:paraId="35D65199">
      <w:pPr>
        <w:spacing w:before="94" w:line="270" w:lineRule="auto"/>
        <w:ind w:right="61" w:firstLine="449"/>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第十三条</w:t>
      </w:r>
      <w:r>
        <w:rPr>
          <w:rFonts w:hint="eastAsia" w:ascii="宋体" w:hAnsi="宋体" w:eastAsia="宋体" w:cs="宋体"/>
          <w:color w:val="auto"/>
          <w:spacing w:val="23"/>
          <w:sz w:val="20"/>
          <w:szCs w:val="20"/>
          <w:highlight w:val="none"/>
          <w:lang w:eastAsia="zh-CN"/>
        </w:rPr>
        <w:t xml:space="preserve">  中标、成交供应商享受本办法规定</w:t>
      </w:r>
      <w:r>
        <w:rPr>
          <w:rFonts w:hint="eastAsia" w:ascii="宋体" w:hAnsi="宋体" w:eastAsia="宋体" w:cs="宋体"/>
          <w:color w:val="auto"/>
          <w:spacing w:val="22"/>
          <w:sz w:val="20"/>
          <w:szCs w:val="20"/>
          <w:highlight w:val="none"/>
          <w:lang w:eastAsia="zh-CN"/>
        </w:rPr>
        <w:t>的中小企业扶持政策的，采购人、采购代理机构应当随中标、成交结果公开中标、成交供应商的《中小企</w:t>
      </w:r>
      <w:r>
        <w:rPr>
          <w:rFonts w:hint="eastAsia" w:ascii="宋体" w:hAnsi="宋体" w:eastAsia="宋体" w:cs="宋体"/>
          <w:color w:val="auto"/>
          <w:spacing w:val="21"/>
          <w:sz w:val="20"/>
          <w:szCs w:val="20"/>
          <w:highlight w:val="none"/>
          <w:lang w:eastAsia="zh-CN"/>
        </w:rPr>
        <w:t>业声明函》。</w:t>
      </w:r>
    </w:p>
    <w:p w14:paraId="16D62841">
      <w:pPr>
        <w:spacing w:before="95" w:line="271" w:lineRule="auto"/>
        <w:ind w:left="7" w:right="61" w:firstLine="44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适用招标投标法的政府采购工程建设项目，应当在公示中标候选人时</w:t>
      </w:r>
      <w:r>
        <w:rPr>
          <w:rFonts w:hint="eastAsia" w:ascii="宋体" w:hAnsi="宋体" w:eastAsia="宋体" w:cs="宋体"/>
          <w:color w:val="auto"/>
          <w:spacing w:val="21"/>
          <w:sz w:val="20"/>
          <w:szCs w:val="20"/>
          <w:highlight w:val="none"/>
          <w:lang w:eastAsia="zh-CN"/>
        </w:rPr>
        <w:t>公开中标候选人的</w:t>
      </w:r>
      <w:r>
        <w:rPr>
          <w:rFonts w:hint="eastAsia" w:ascii="宋体" w:hAnsi="宋体" w:eastAsia="宋体" w:cs="宋体"/>
          <w:color w:val="auto"/>
          <w:spacing w:val="16"/>
          <w:sz w:val="20"/>
          <w:szCs w:val="20"/>
          <w:highlight w:val="none"/>
          <w:lang w:eastAsia="zh-CN"/>
        </w:rPr>
        <w:t>《中小企业声明函》。</w:t>
      </w:r>
    </w:p>
    <w:p w14:paraId="2B2E97C2">
      <w:pPr>
        <w:spacing w:before="94" w:line="292" w:lineRule="auto"/>
        <w:ind w:left="1" w:right="59"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4"/>
          <w:sz w:val="20"/>
          <w:szCs w:val="20"/>
          <w:highlight w:val="none"/>
          <w:lang w:eastAsia="zh-CN"/>
        </w:rPr>
        <w:t>第十四条</w:t>
      </w:r>
      <w:r>
        <w:rPr>
          <w:rFonts w:hint="eastAsia" w:ascii="宋体" w:hAnsi="宋体" w:eastAsia="宋体" w:cs="宋体"/>
          <w:color w:val="auto"/>
          <w:spacing w:val="24"/>
          <w:sz w:val="20"/>
          <w:szCs w:val="20"/>
          <w:highlight w:val="none"/>
          <w:lang w:eastAsia="zh-CN"/>
        </w:rPr>
        <w:t>对于通过预留采购项目、预留专门采购包、要求以联合体形式参加或者合同分</w:t>
      </w:r>
      <w:r>
        <w:rPr>
          <w:rFonts w:hint="eastAsia" w:ascii="宋体" w:hAnsi="宋体" w:eastAsia="宋体" w:cs="宋体"/>
          <w:color w:val="auto"/>
          <w:spacing w:val="20"/>
          <w:sz w:val="20"/>
          <w:szCs w:val="20"/>
          <w:highlight w:val="none"/>
          <w:lang w:eastAsia="zh-CN"/>
        </w:rPr>
        <w:t>包等措施签订的采购合同，应当明确标注本合同为中小企业预留合同。其中，要求以联合体形</w:t>
      </w:r>
      <w:r>
        <w:rPr>
          <w:rFonts w:hint="eastAsia" w:ascii="宋体" w:hAnsi="宋体" w:eastAsia="宋体" w:cs="宋体"/>
          <w:color w:val="auto"/>
          <w:spacing w:val="24"/>
          <w:sz w:val="20"/>
          <w:szCs w:val="20"/>
          <w:highlight w:val="none"/>
          <w:lang w:eastAsia="zh-CN"/>
        </w:rPr>
        <w:t>式参加采购活动或者合同分包的，应当将联合协议或者分包意向协议作为采购合同的组成部</w:t>
      </w:r>
      <w:r>
        <w:rPr>
          <w:rFonts w:hint="eastAsia" w:ascii="宋体" w:hAnsi="宋体" w:eastAsia="宋体" w:cs="宋体"/>
          <w:color w:val="auto"/>
          <w:sz w:val="20"/>
          <w:szCs w:val="20"/>
          <w:highlight w:val="none"/>
          <w:lang w:eastAsia="zh-CN"/>
        </w:rPr>
        <w:t>分。</w:t>
      </w:r>
    </w:p>
    <w:p w14:paraId="09142C99">
      <w:pPr>
        <w:spacing w:before="94" w:line="285" w:lineRule="auto"/>
        <w:ind w:right="59"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第十五条</w:t>
      </w:r>
      <w:r>
        <w:rPr>
          <w:rFonts w:hint="eastAsia" w:ascii="宋体" w:hAnsi="宋体" w:eastAsia="宋体" w:cs="宋体"/>
          <w:color w:val="auto"/>
          <w:spacing w:val="22"/>
          <w:sz w:val="20"/>
          <w:szCs w:val="20"/>
          <w:highlight w:val="none"/>
          <w:lang w:eastAsia="zh-CN"/>
        </w:rPr>
        <w:t xml:space="preserve">  鼓励各地区、各部门在采购活</w:t>
      </w:r>
      <w:r>
        <w:rPr>
          <w:rFonts w:hint="eastAsia" w:ascii="宋体" w:hAnsi="宋体" w:eastAsia="宋体" w:cs="宋体"/>
          <w:color w:val="auto"/>
          <w:spacing w:val="21"/>
          <w:sz w:val="20"/>
          <w:szCs w:val="20"/>
          <w:highlight w:val="none"/>
          <w:lang w:eastAsia="zh-CN"/>
        </w:rPr>
        <w:t>动中允许中小企业引入信用担保手段，为中小企业在投标（响应）保证、履约保证等方面提供专业化服务。鼓励中小企业依法合规通过政府采</w:t>
      </w:r>
      <w:r>
        <w:rPr>
          <w:rFonts w:hint="eastAsia" w:ascii="宋体" w:hAnsi="宋体" w:eastAsia="宋体" w:cs="宋体"/>
          <w:color w:val="auto"/>
          <w:spacing w:val="16"/>
          <w:sz w:val="20"/>
          <w:szCs w:val="20"/>
          <w:highlight w:val="none"/>
          <w:lang w:eastAsia="zh-CN"/>
        </w:rPr>
        <w:t>购合同融资。</w:t>
      </w:r>
    </w:p>
    <w:p w14:paraId="47D8E6A5">
      <w:pPr>
        <w:spacing w:before="93" w:line="271" w:lineRule="auto"/>
        <w:ind w:left="1" w:right="61" w:firstLine="448"/>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0"/>
          <w:sz w:val="20"/>
          <w:szCs w:val="20"/>
          <w:highlight w:val="none"/>
          <w:lang w:eastAsia="zh-CN"/>
        </w:rPr>
        <w:t>第十六条</w:t>
      </w:r>
      <w:r>
        <w:rPr>
          <w:rFonts w:hint="eastAsia" w:ascii="宋体" w:hAnsi="宋体" w:eastAsia="宋体" w:cs="宋体"/>
          <w:color w:val="auto"/>
          <w:spacing w:val="20"/>
          <w:sz w:val="20"/>
          <w:szCs w:val="20"/>
          <w:highlight w:val="none"/>
          <w:lang w:eastAsia="zh-CN"/>
        </w:rPr>
        <w:t xml:space="preserve">  政府采购监督检查、投诉处理及政府采购行政处罚中对中小企业的认定，由货</w:t>
      </w:r>
      <w:r>
        <w:rPr>
          <w:rFonts w:hint="eastAsia" w:ascii="宋体" w:hAnsi="宋体" w:eastAsia="宋体" w:cs="宋体"/>
          <w:color w:val="auto"/>
          <w:spacing w:val="23"/>
          <w:sz w:val="20"/>
          <w:szCs w:val="20"/>
          <w:highlight w:val="none"/>
          <w:lang w:eastAsia="zh-CN"/>
        </w:rPr>
        <w:t>物制造商或者工程、服务供应商注册登记所在地的县级以上人民政府中小企</w:t>
      </w:r>
      <w:r>
        <w:rPr>
          <w:rFonts w:hint="eastAsia" w:ascii="宋体" w:hAnsi="宋体" w:eastAsia="宋体" w:cs="宋体"/>
          <w:color w:val="auto"/>
          <w:spacing w:val="22"/>
          <w:sz w:val="20"/>
          <w:szCs w:val="20"/>
          <w:highlight w:val="none"/>
          <w:lang w:eastAsia="zh-CN"/>
        </w:rPr>
        <w:t>业主管部门负责。</w:t>
      </w:r>
    </w:p>
    <w:p w14:paraId="4118B657">
      <w:pPr>
        <w:spacing w:before="42" w:line="285" w:lineRule="auto"/>
        <w:ind w:left="4" w:firstLine="446"/>
        <w:rPr>
          <w:rFonts w:hint="eastAsia" w:ascii="宋体" w:hAnsi="宋体" w:eastAsia="宋体" w:cs="宋体"/>
          <w:color w:val="auto"/>
          <w:spacing w:val="20"/>
          <w:sz w:val="20"/>
          <w:szCs w:val="20"/>
          <w:highlight w:val="none"/>
          <w:lang w:eastAsia="zh-CN"/>
        </w:rPr>
      </w:pPr>
      <w:r>
        <w:rPr>
          <w:rFonts w:hint="eastAsia" w:ascii="宋体" w:hAnsi="宋体" w:eastAsia="宋体" w:cs="宋体"/>
          <w:color w:val="auto"/>
          <w:spacing w:val="22"/>
          <w:sz w:val="20"/>
          <w:szCs w:val="20"/>
          <w:highlight w:val="none"/>
          <w:lang w:eastAsia="zh-CN"/>
        </w:rPr>
        <w:t>中小企业主管部门应当在收到财政部门或者有关招标投标行政监督部门关于协助开展中</w:t>
      </w:r>
      <w:r>
        <w:rPr>
          <w:rFonts w:hint="eastAsia" w:ascii="宋体" w:hAnsi="宋体" w:eastAsia="宋体" w:cs="宋体"/>
          <w:color w:val="auto"/>
          <w:spacing w:val="20"/>
          <w:sz w:val="20"/>
          <w:szCs w:val="20"/>
          <w:highlight w:val="none"/>
          <w:lang w:eastAsia="zh-CN"/>
        </w:rPr>
        <w:t>小企业认定函后10个工作日内做出书面答复。</w:t>
      </w:r>
    </w:p>
    <w:p w14:paraId="3CB34B71">
      <w:pPr>
        <w:spacing w:before="42" w:line="285" w:lineRule="auto"/>
        <w:ind w:left="4" w:firstLine="446"/>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第十七条</w:t>
      </w:r>
      <w:r>
        <w:rPr>
          <w:rFonts w:hint="eastAsia" w:ascii="宋体" w:hAnsi="宋体" w:eastAsia="宋体" w:cs="宋体"/>
          <w:color w:val="auto"/>
          <w:spacing w:val="23"/>
          <w:sz w:val="20"/>
          <w:szCs w:val="20"/>
          <w:highlight w:val="none"/>
          <w:lang w:eastAsia="zh-CN"/>
        </w:rPr>
        <w:t xml:space="preserve">  各地区、各部门应当对涉及中小企</w:t>
      </w:r>
      <w:r>
        <w:rPr>
          <w:rFonts w:hint="eastAsia" w:ascii="宋体" w:hAnsi="宋体" w:eastAsia="宋体" w:cs="宋体"/>
          <w:color w:val="auto"/>
          <w:spacing w:val="22"/>
          <w:sz w:val="20"/>
          <w:szCs w:val="20"/>
          <w:highlight w:val="none"/>
          <w:lang w:eastAsia="zh-CN"/>
        </w:rPr>
        <w:t>业采购的预算项目实施全过程绩效管理，合理设置绩效目标和指标，落实扶持中小企业有关政策要求，定期开展绩效监控和评价，强化绩</w:t>
      </w:r>
      <w:r>
        <w:rPr>
          <w:rFonts w:hint="eastAsia" w:ascii="宋体" w:hAnsi="宋体" w:eastAsia="宋体" w:cs="宋体"/>
          <w:color w:val="auto"/>
          <w:spacing w:val="17"/>
          <w:sz w:val="20"/>
          <w:szCs w:val="20"/>
          <w:highlight w:val="none"/>
          <w:lang w:eastAsia="zh-CN"/>
        </w:rPr>
        <w:t>效评价结果应用。</w:t>
      </w:r>
    </w:p>
    <w:p w14:paraId="6DA6FEF7">
      <w:pPr>
        <w:spacing w:before="94" w:line="285" w:lineRule="auto"/>
        <w:ind w:left="2" w:right="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7"/>
          <w:sz w:val="20"/>
          <w:szCs w:val="20"/>
          <w:highlight w:val="none"/>
          <w:lang w:eastAsia="zh-CN"/>
        </w:rPr>
        <w:t>第十八条</w:t>
      </w:r>
      <w:r>
        <w:rPr>
          <w:rFonts w:hint="eastAsia" w:ascii="宋体" w:hAnsi="宋体" w:eastAsia="宋体" w:cs="宋体"/>
          <w:color w:val="auto"/>
          <w:spacing w:val="27"/>
          <w:sz w:val="20"/>
          <w:szCs w:val="20"/>
          <w:highlight w:val="none"/>
          <w:lang w:eastAsia="zh-CN"/>
        </w:rPr>
        <w:t xml:space="preserve">  主管预算单位应当自2022年起向同级财政部门报告本部门上一</w:t>
      </w:r>
      <w:r>
        <w:rPr>
          <w:rFonts w:hint="eastAsia" w:ascii="宋体" w:hAnsi="宋体" w:eastAsia="宋体" w:cs="宋体"/>
          <w:color w:val="auto"/>
          <w:spacing w:val="26"/>
          <w:sz w:val="20"/>
          <w:szCs w:val="20"/>
          <w:highlight w:val="none"/>
          <w:lang w:eastAsia="zh-CN"/>
        </w:rPr>
        <w:t>年度面向中小</w:t>
      </w:r>
      <w:r>
        <w:rPr>
          <w:rFonts w:hint="eastAsia" w:ascii="宋体" w:hAnsi="宋体" w:eastAsia="宋体" w:cs="宋体"/>
          <w:color w:val="auto"/>
          <w:spacing w:val="23"/>
          <w:sz w:val="20"/>
          <w:szCs w:val="20"/>
          <w:highlight w:val="none"/>
          <w:lang w:eastAsia="zh-CN"/>
        </w:rPr>
        <w:t>企业预留份额和采购的具体情况，并在中国政府采购网公开预留项目执行情况(附2)。未达到</w:t>
      </w:r>
      <w:r>
        <w:rPr>
          <w:rFonts w:hint="eastAsia" w:ascii="宋体" w:hAnsi="宋体" w:eastAsia="宋体" w:cs="宋体"/>
          <w:color w:val="auto"/>
          <w:spacing w:val="21"/>
          <w:sz w:val="20"/>
          <w:szCs w:val="20"/>
          <w:highlight w:val="none"/>
          <w:lang w:eastAsia="zh-CN"/>
        </w:rPr>
        <w:t>本办法规定的预留份额比例的，应当作出说明。</w:t>
      </w:r>
    </w:p>
    <w:p w14:paraId="51D6C944">
      <w:pPr>
        <w:spacing w:before="93" w:line="285" w:lineRule="auto"/>
        <w:ind w:left="7" w:right="2" w:firstLine="443"/>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3"/>
          <w:sz w:val="20"/>
          <w:szCs w:val="20"/>
          <w:highlight w:val="none"/>
          <w:lang w:eastAsia="zh-CN"/>
        </w:rPr>
        <w:t>第十九条</w:t>
      </w:r>
      <w:r>
        <w:rPr>
          <w:rFonts w:hint="eastAsia" w:ascii="宋体" w:hAnsi="宋体" w:eastAsia="宋体" w:cs="宋体"/>
          <w:color w:val="auto"/>
          <w:spacing w:val="23"/>
          <w:sz w:val="20"/>
          <w:szCs w:val="20"/>
          <w:highlight w:val="none"/>
          <w:lang w:eastAsia="zh-CN"/>
        </w:rPr>
        <w:t xml:space="preserve">  采购人未按本办法规定为中小企业</w:t>
      </w:r>
      <w:r>
        <w:rPr>
          <w:rFonts w:hint="eastAsia" w:ascii="宋体" w:hAnsi="宋体" w:eastAsia="宋体" w:cs="宋体"/>
          <w:color w:val="auto"/>
          <w:spacing w:val="22"/>
          <w:sz w:val="20"/>
          <w:szCs w:val="20"/>
          <w:highlight w:val="none"/>
          <w:lang w:eastAsia="zh-CN"/>
        </w:rPr>
        <w:t>预留采购份额，采购人、采购代理机构未按照本办法规定要求实施价格扣除或者价格分加分的，属于未按照规定执行政府采购政策，依照</w:t>
      </w:r>
      <w:r>
        <w:rPr>
          <w:rFonts w:hint="eastAsia" w:ascii="宋体" w:hAnsi="宋体" w:eastAsia="宋体" w:cs="宋体"/>
          <w:color w:val="auto"/>
          <w:spacing w:val="20"/>
          <w:sz w:val="20"/>
          <w:szCs w:val="20"/>
          <w:highlight w:val="none"/>
          <w:lang w:eastAsia="zh-CN"/>
        </w:rPr>
        <w:t>《中华人民共和国政府采购法》等国家有关规定追究法律责任。</w:t>
      </w:r>
    </w:p>
    <w:p w14:paraId="39D64504">
      <w:pPr>
        <w:spacing w:before="92" w:line="271" w:lineRule="auto"/>
        <w:ind w:left="3" w:right="32" w:firstLine="447"/>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第二十条</w:t>
      </w:r>
      <w:r>
        <w:rPr>
          <w:rFonts w:hint="eastAsia" w:ascii="宋体" w:hAnsi="宋体" w:eastAsia="宋体" w:cs="宋体"/>
          <w:color w:val="auto"/>
          <w:spacing w:val="21"/>
          <w:sz w:val="20"/>
          <w:szCs w:val="20"/>
          <w:highlight w:val="none"/>
          <w:lang w:eastAsia="zh-CN"/>
        </w:rPr>
        <w:t xml:space="preserve">  供应商按照本办法规定提供声明函内容不实的，属于</w:t>
      </w:r>
      <w:r>
        <w:rPr>
          <w:rFonts w:hint="eastAsia" w:ascii="宋体" w:hAnsi="宋体" w:eastAsia="宋体" w:cs="宋体"/>
          <w:color w:val="auto"/>
          <w:spacing w:val="20"/>
          <w:sz w:val="20"/>
          <w:szCs w:val="20"/>
          <w:highlight w:val="none"/>
          <w:lang w:eastAsia="zh-CN"/>
        </w:rPr>
        <w:t>提供虚假材料谋取中标、成交，依照《中华人民共和国政府采购法》等国家有关</w:t>
      </w:r>
      <w:r>
        <w:rPr>
          <w:rFonts w:hint="eastAsia" w:ascii="宋体" w:hAnsi="宋体" w:eastAsia="宋体" w:cs="宋体"/>
          <w:color w:val="auto"/>
          <w:spacing w:val="19"/>
          <w:sz w:val="20"/>
          <w:szCs w:val="20"/>
          <w:highlight w:val="none"/>
          <w:lang w:eastAsia="zh-CN"/>
        </w:rPr>
        <w:t>规定追究相应责任。</w:t>
      </w:r>
    </w:p>
    <w:p w14:paraId="01680C9D">
      <w:pPr>
        <w:spacing w:before="94" w:line="285" w:lineRule="auto"/>
        <w:ind w:firstLine="44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8"/>
          <w:sz w:val="20"/>
          <w:szCs w:val="20"/>
          <w:highlight w:val="none"/>
          <w:lang w:eastAsia="zh-CN"/>
        </w:rPr>
        <w:t>适用招标投标法的政府采购工程建设项目，投标人按照本办法规定提供声明函内容不实</w:t>
      </w:r>
      <w:r>
        <w:rPr>
          <w:rFonts w:hint="eastAsia" w:ascii="宋体" w:hAnsi="宋体" w:eastAsia="宋体" w:cs="宋体"/>
          <w:color w:val="auto"/>
          <w:spacing w:val="21"/>
          <w:sz w:val="20"/>
          <w:szCs w:val="20"/>
          <w:highlight w:val="none"/>
          <w:lang w:eastAsia="zh-CN"/>
        </w:rPr>
        <w:t>的，属于弄虚作假骗取中标，依照《中华人民共和国招标投标法》等国家有关规定追究相应责</w:t>
      </w:r>
      <w:r>
        <w:rPr>
          <w:rFonts w:hint="eastAsia" w:ascii="宋体" w:hAnsi="宋体" w:eastAsia="宋体" w:cs="宋体"/>
          <w:color w:val="auto"/>
          <w:sz w:val="20"/>
          <w:szCs w:val="20"/>
          <w:highlight w:val="none"/>
          <w:lang w:eastAsia="zh-CN"/>
        </w:rPr>
        <w:t>任。</w:t>
      </w:r>
    </w:p>
    <w:p w14:paraId="2E66C007">
      <w:pPr>
        <w:spacing w:before="94" w:line="292" w:lineRule="auto"/>
        <w:ind w:right="2" w:firstLine="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1"/>
          <w:sz w:val="20"/>
          <w:szCs w:val="20"/>
          <w:highlight w:val="none"/>
          <w:lang w:eastAsia="zh-CN"/>
        </w:rPr>
        <w:t>第二十一条</w:t>
      </w:r>
      <w:r>
        <w:rPr>
          <w:rFonts w:hint="eastAsia" w:ascii="宋体" w:hAnsi="宋体" w:eastAsia="宋体" w:cs="宋体"/>
          <w:color w:val="auto"/>
          <w:spacing w:val="21"/>
          <w:sz w:val="20"/>
          <w:szCs w:val="20"/>
          <w:highlight w:val="none"/>
          <w:lang w:eastAsia="zh-CN"/>
        </w:rPr>
        <w:t xml:space="preserve">  财政部门、中小企业主管部门及其工作人员在履行职责中违反本办法规定及</w:t>
      </w:r>
      <w:r>
        <w:rPr>
          <w:rFonts w:hint="eastAsia" w:ascii="宋体" w:hAnsi="宋体" w:eastAsia="宋体" w:cs="宋体"/>
          <w:color w:val="auto"/>
          <w:spacing w:val="23"/>
          <w:sz w:val="20"/>
          <w:szCs w:val="20"/>
          <w:highlight w:val="none"/>
          <w:lang w:eastAsia="zh-CN"/>
        </w:rPr>
        <w:t>存在其他滥用职权、玩忽职守、徇私舞弊等违法违纪行为的，依照《中华人民共和国政府采购</w:t>
      </w:r>
      <w:r>
        <w:rPr>
          <w:rFonts w:hint="eastAsia" w:ascii="宋体" w:hAnsi="宋体" w:eastAsia="宋体" w:cs="宋体"/>
          <w:color w:val="auto"/>
          <w:spacing w:val="17"/>
          <w:sz w:val="20"/>
          <w:szCs w:val="20"/>
          <w:highlight w:val="none"/>
          <w:lang w:eastAsia="zh-CN"/>
        </w:rPr>
        <w:t>法》、《中华人民共和国公务员法》、《中华人民共和国监察法》、《中华人民共和国政</w:t>
      </w:r>
      <w:r>
        <w:rPr>
          <w:rFonts w:hint="eastAsia" w:ascii="宋体" w:hAnsi="宋体" w:eastAsia="宋体" w:cs="宋体"/>
          <w:color w:val="auto"/>
          <w:spacing w:val="16"/>
          <w:sz w:val="20"/>
          <w:szCs w:val="20"/>
          <w:highlight w:val="none"/>
          <w:lang w:eastAsia="zh-CN"/>
        </w:rPr>
        <w:t>府采</w:t>
      </w:r>
      <w:r>
        <w:rPr>
          <w:rFonts w:hint="eastAsia" w:ascii="宋体" w:hAnsi="宋体" w:eastAsia="宋体" w:cs="宋体"/>
          <w:color w:val="auto"/>
          <w:spacing w:val="19"/>
          <w:sz w:val="20"/>
          <w:szCs w:val="20"/>
          <w:highlight w:val="none"/>
          <w:lang w:eastAsia="zh-CN"/>
        </w:rPr>
        <w:t>购法实施条例》等国家有关规定追究相应责任；涉嫌犯罪的，依法移送有关国家机关处理。</w:t>
      </w:r>
    </w:p>
    <w:p w14:paraId="69480DD5">
      <w:pPr>
        <w:spacing w:line="51" w:lineRule="exact"/>
        <w:rPr>
          <w:rFonts w:hint="eastAsia" w:ascii="宋体" w:hAnsi="宋体" w:eastAsia="宋体" w:cs="宋体"/>
          <w:color w:val="auto"/>
          <w:highlight w:val="none"/>
          <w:lang w:eastAsia="zh-CN"/>
        </w:rPr>
      </w:pPr>
    </w:p>
    <w:p w14:paraId="16F7ABA3">
      <w:pPr>
        <w:spacing w:line="51" w:lineRule="exact"/>
        <w:rPr>
          <w:rFonts w:hint="eastAsia" w:ascii="宋体" w:hAnsi="宋体" w:eastAsia="宋体" w:cs="宋体"/>
          <w:color w:val="auto"/>
          <w:highlight w:val="none"/>
          <w:lang w:eastAsia="zh-CN"/>
        </w:rPr>
        <w:sectPr>
          <w:pgSz w:w="11906" w:h="16839"/>
          <w:pgMar w:top="1354" w:right="1374" w:bottom="0" w:left="1367" w:header="0" w:footer="737" w:gutter="0"/>
          <w:pgNumType w:fmt="decimal"/>
          <w:cols w:equalWidth="0" w:num="1">
            <w:col w:w="9165"/>
          </w:cols>
        </w:sectPr>
      </w:pPr>
    </w:p>
    <w:p w14:paraId="2548599C">
      <w:pPr>
        <w:spacing w:before="41"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第二十二条</w:t>
      </w:r>
    </w:p>
    <w:p w14:paraId="6CDC2278">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297EDC3A">
      <w:pPr>
        <w:spacing w:before="94"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第二十三条</w:t>
      </w:r>
    </w:p>
    <w:p w14:paraId="33CC0CC9">
      <w:pPr>
        <w:spacing w:before="92" w:line="228" w:lineRule="auto"/>
        <w:ind w:left="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3"/>
          <w:sz w:val="20"/>
          <w:szCs w:val="20"/>
          <w:highlight w:val="none"/>
          <w:lang w:eastAsia="zh-CN"/>
        </w:rPr>
        <w:t>另行规定。</w:t>
      </w:r>
    </w:p>
    <w:p w14:paraId="246AE54E">
      <w:pPr>
        <w:spacing w:before="93" w:line="228"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22"/>
          <w:sz w:val="20"/>
          <w:szCs w:val="20"/>
          <w:highlight w:val="none"/>
          <w:lang w:eastAsia="zh-CN"/>
        </w:rPr>
        <w:t>第二十四条</w:t>
      </w:r>
    </w:p>
    <w:p w14:paraId="01079CE7">
      <w:pPr>
        <w:spacing w:before="94" w:line="228" w:lineRule="auto"/>
        <w:ind w:left="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办法。</w:t>
      </w:r>
    </w:p>
    <w:p w14:paraId="4D979BC8">
      <w:pPr>
        <w:spacing w:before="91" w:line="193" w:lineRule="auto"/>
        <w:ind w:left="450"/>
        <w:rPr>
          <w:rFonts w:hint="eastAsia" w:ascii="宋体" w:hAnsi="宋体" w:eastAsia="宋体" w:cs="宋体"/>
          <w:color w:val="auto"/>
          <w:sz w:val="20"/>
          <w:szCs w:val="20"/>
          <w:highlight w:val="none"/>
          <w:lang w:eastAsia="zh-CN"/>
        </w:rPr>
      </w:pPr>
      <w:r>
        <w:rPr>
          <w:rFonts w:hint="eastAsia" w:ascii="宋体" w:hAnsi="宋体" w:eastAsia="宋体" w:cs="宋体"/>
          <w:b/>
          <w:bCs/>
          <w:color w:val="auto"/>
          <w:spacing w:val="18"/>
          <w:sz w:val="20"/>
          <w:szCs w:val="20"/>
          <w:highlight w:val="none"/>
          <w:lang w:eastAsia="zh-CN"/>
        </w:rPr>
        <w:t>第二十五条</w:t>
      </w:r>
    </w:p>
    <w:p w14:paraId="46F05F06">
      <w:pPr>
        <w:pStyle w:val="2"/>
        <w:spacing w:line="14" w:lineRule="auto"/>
        <w:rPr>
          <w:rFonts w:hint="eastAsia" w:ascii="宋体" w:hAnsi="宋体" w:eastAsia="宋体" w:cs="宋体"/>
          <w:color w:val="auto"/>
          <w:sz w:val="2"/>
          <w:highlight w:val="none"/>
          <w:lang w:eastAsia="zh-CN"/>
        </w:rPr>
      </w:pPr>
      <w:r>
        <w:rPr>
          <w:rFonts w:hint="eastAsia" w:ascii="宋体" w:hAnsi="宋体" w:eastAsia="宋体" w:cs="宋体"/>
          <w:color w:val="auto"/>
          <w:sz w:val="2"/>
          <w:szCs w:val="2"/>
          <w:highlight w:val="none"/>
          <w:lang w:eastAsia="zh-CN"/>
        </w:rPr>
        <w:br w:type="column"/>
      </w:r>
    </w:p>
    <w:p w14:paraId="04BA39E4">
      <w:pPr>
        <w:spacing w:before="40"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2"/>
          <w:sz w:val="20"/>
          <w:szCs w:val="20"/>
          <w:highlight w:val="none"/>
          <w:lang w:eastAsia="zh-CN"/>
        </w:rPr>
        <w:t>对外援助项目、国家相关资格或者资质管理制度另</w:t>
      </w:r>
      <w:r>
        <w:rPr>
          <w:rFonts w:hint="eastAsia" w:ascii="宋体" w:hAnsi="宋体" w:eastAsia="宋体" w:cs="宋体"/>
          <w:color w:val="auto"/>
          <w:spacing w:val="21"/>
          <w:sz w:val="20"/>
          <w:szCs w:val="20"/>
          <w:highlight w:val="none"/>
          <w:lang w:eastAsia="zh-CN"/>
        </w:rPr>
        <w:t>有规定的项目，不适用本</w:t>
      </w:r>
    </w:p>
    <w:p w14:paraId="51979E0A">
      <w:pPr>
        <w:pStyle w:val="2"/>
        <w:spacing w:line="368" w:lineRule="auto"/>
        <w:rPr>
          <w:rFonts w:hint="eastAsia" w:ascii="宋体" w:hAnsi="宋体" w:eastAsia="宋体" w:cs="宋体"/>
          <w:color w:val="auto"/>
          <w:highlight w:val="none"/>
          <w:lang w:eastAsia="zh-CN"/>
        </w:rPr>
      </w:pPr>
    </w:p>
    <w:p w14:paraId="0014CBE2">
      <w:pPr>
        <w:spacing w:before="66" w:line="227"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关于视同中小企业的其他主体的政府采购扶持政策，由财政部会同有关部门</w:t>
      </w:r>
    </w:p>
    <w:p w14:paraId="3F2D94D4">
      <w:pPr>
        <w:pStyle w:val="2"/>
        <w:spacing w:line="366" w:lineRule="auto"/>
        <w:rPr>
          <w:rFonts w:hint="eastAsia" w:ascii="宋体" w:hAnsi="宋体" w:eastAsia="宋体" w:cs="宋体"/>
          <w:color w:val="auto"/>
          <w:highlight w:val="none"/>
          <w:lang w:eastAsia="zh-CN"/>
        </w:rPr>
      </w:pPr>
    </w:p>
    <w:p w14:paraId="59DF1FF3">
      <w:pPr>
        <w:spacing w:before="65" w:line="227" w:lineRule="auto"/>
        <w:ind w:right="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9"/>
          <w:sz w:val="20"/>
          <w:szCs w:val="20"/>
          <w:highlight w:val="none"/>
          <w:lang w:eastAsia="zh-CN"/>
        </w:rPr>
        <w:t>省级财政部门可以会同中小企业主管部门根据本办法的规定制定</w:t>
      </w:r>
      <w:r>
        <w:rPr>
          <w:rFonts w:hint="eastAsia" w:ascii="宋体" w:hAnsi="宋体" w:eastAsia="宋体" w:cs="宋体"/>
          <w:color w:val="auto"/>
          <w:spacing w:val="28"/>
          <w:sz w:val="20"/>
          <w:szCs w:val="20"/>
          <w:highlight w:val="none"/>
          <w:lang w:eastAsia="zh-CN"/>
        </w:rPr>
        <w:t>具体实施</w:t>
      </w:r>
    </w:p>
    <w:p w14:paraId="13BF84B6">
      <w:pPr>
        <w:pStyle w:val="2"/>
        <w:spacing w:line="365" w:lineRule="auto"/>
        <w:rPr>
          <w:rFonts w:hint="eastAsia" w:ascii="宋体" w:hAnsi="宋体" w:eastAsia="宋体" w:cs="宋体"/>
          <w:color w:val="auto"/>
          <w:highlight w:val="none"/>
          <w:lang w:eastAsia="zh-CN"/>
        </w:rPr>
      </w:pPr>
    </w:p>
    <w:p w14:paraId="42B53E60">
      <w:pPr>
        <w:spacing w:before="66" w:line="193" w:lineRule="auto"/>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9"/>
          <w:sz w:val="20"/>
          <w:szCs w:val="20"/>
          <w:highlight w:val="none"/>
          <w:lang w:eastAsia="zh-CN"/>
        </w:rPr>
        <w:t>本办法自2021年1月1日起施行。《财政部工业和信息化部关于印发〈政府采</w:t>
      </w:r>
    </w:p>
    <w:p w14:paraId="77A9A64E">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2">
            <w:col w:w="1699" w:space="100"/>
            <w:col w:w="7366"/>
          </w:cols>
        </w:sectPr>
      </w:pPr>
    </w:p>
    <w:p w14:paraId="20B5B690">
      <w:pPr>
        <w:spacing w:before="13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6"/>
          <w:sz w:val="20"/>
          <w:szCs w:val="20"/>
          <w:highlight w:val="none"/>
          <w:lang w:eastAsia="zh-CN"/>
        </w:rPr>
        <w:t>购促进中小企业发展暂行办法〉的通知》（财库﹝2011</w:t>
      </w:r>
      <w:r>
        <w:rPr>
          <w:rFonts w:hint="eastAsia" w:ascii="宋体" w:hAnsi="宋体" w:eastAsia="宋体" w:cs="宋体"/>
          <w:color w:val="auto"/>
          <w:spacing w:val="15"/>
          <w:sz w:val="20"/>
          <w:szCs w:val="20"/>
          <w:highlight w:val="none"/>
          <w:lang w:eastAsia="zh-CN"/>
        </w:rPr>
        <w:t>﹞181号）同时废止。</w:t>
      </w:r>
    </w:p>
    <w:p w14:paraId="07572CEF">
      <w:pPr>
        <w:spacing w:before="95" w:line="227" w:lineRule="auto"/>
        <w:ind w:left="17"/>
        <w:outlineLvl w:val="0"/>
        <w:rPr>
          <w:rFonts w:hint="eastAsia" w:ascii="宋体" w:hAnsi="宋体" w:eastAsia="宋体" w:cs="宋体"/>
          <w:color w:val="auto"/>
          <w:sz w:val="20"/>
          <w:szCs w:val="20"/>
          <w:highlight w:val="none"/>
          <w:lang w:eastAsia="zh-CN"/>
        </w:rPr>
      </w:pPr>
      <w:bookmarkStart w:id="391" w:name="_Toc31553"/>
      <w:r>
        <w:rPr>
          <w:rFonts w:hint="eastAsia" w:ascii="宋体" w:hAnsi="宋体" w:eastAsia="宋体" w:cs="宋体"/>
          <w:b/>
          <w:bCs/>
          <w:color w:val="auto"/>
          <w:spacing w:val="-10"/>
          <w:sz w:val="20"/>
          <w:szCs w:val="20"/>
          <w:highlight w:val="none"/>
          <w:lang w:eastAsia="zh-CN"/>
        </w:rPr>
        <w:t>附：</w:t>
      </w:r>
      <w:bookmarkEnd w:id="391"/>
    </w:p>
    <w:p w14:paraId="2C8DDE2C">
      <w:pPr>
        <w:spacing w:before="93" w:line="228" w:lineRule="auto"/>
        <w:ind w:left="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sz w:val="20"/>
          <w:szCs w:val="20"/>
          <w:highlight w:val="none"/>
          <w:lang w:eastAsia="zh-CN"/>
        </w:rPr>
        <w:t>1.中小企业声明函</w:t>
      </w:r>
    </w:p>
    <w:p w14:paraId="437902F4">
      <w:pPr>
        <w:spacing w:before="93" w:line="193" w:lineRule="auto"/>
        <w:ind w:left="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1"/>
          <w:sz w:val="20"/>
          <w:szCs w:val="20"/>
          <w:highlight w:val="none"/>
          <w:lang w:eastAsia="zh-CN"/>
        </w:rPr>
        <w:t>2.面向中小企业预留项目执行情况公告</w:t>
      </w:r>
    </w:p>
    <w:p w14:paraId="42A71249">
      <w:pPr>
        <w:spacing w:line="193" w:lineRule="auto"/>
        <w:rPr>
          <w:rFonts w:hint="eastAsia" w:ascii="宋体" w:hAnsi="宋体" w:eastAsia="宋体" w:cs="宋体"/>
          <w:color w:val="auto"/>
          <w:sz w:val="20"/>
          <w:szCs w:val="20"/>
          <w:highlight w:val="none"/>
          <w:lang w:eastAsia="zh-CN"/>
        </w:rPr>
        <w:sectPr>
          <w:type w:val="continuous"/>
          <w:pgSz w:w="11906" w:h="16839"/>
          <w:pgMar w:top="1354" w:right="1374" w:bottom="0" w:left="1367" w:header="0" w:footer="0" w:gutter="0"/>
          <w:pgNumType w:fmt="decimal"/>
          <w:cols w:equalWidth="0" w:num="1">
            <w:col w:w="9165"/>
          </w:cols>
        </w:sectPr>
      </w:pPr>
    </w:p>
    <w:p w14:paraId="24356A8C">
      <w:pPr>
        <w:spacing w:before="56" w:line="224" w:lineRule="auto"/>
        <w:ind w:left="3498"/>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rPr>
        <w:t>中小企业划型标准规定</w:t>
      </w:r>
    </w:p>
    <w:p w14:paraId="7A71ABAF">
      <w:pPr>
        <w:pStyle w:val="2"/>
        <w:spacing w:line="253" w:lineRule="auto"/>
        <w:rPr>
          <w:rFonts w:hint="eastAsia" w:ascii="宋体" w:hAnsi="宋体" w:eastAsia="宋体" w:cs="宋体"/>
          <w:color w:val="auto"/>
          <w:highlight w:val="none"/>
          <w:lang w:eastAsia="zh-CN"/>
        </w:rPr>
      </w:pPr>
    </w:p>
    <w:p w14:paraId="047163C2">
      <w:pPr>
        <w:spacing w:before="65" w:line="271" w:lineRule="auto"/>
        <w:ind w:left="4" w:right="22"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一、根据《中华人民共和国中小企业促进法》和《国务院关于进一步促进中小企业发展的若干意</w:t>
      </w:r>
      <w:r>
        <w:rPr>
          <w:rFonts w:hint="eastAsia" w:ascii="宋体" w:hAnsi="宋体" w:eastAsia="宋体" w:cs="宋体"/>
          <w:color w:val="auto"/>
          <w:spacing w:val="4"/>
          <w:sz w:val="20"/>
          <w:szCs w:val="20"/>
          <w:highlight w:val="none"/>
          <w:lang w:eastAsia="zh-CN"/>
        </w:rPr>
        <w:t>见》(国发〔2009〕36号)，制定本规定。</w:t>
      </w:r>
    </w:p>
    <w:p w14:paraId="4B471093">
      <w:pPr>
        <w:spacing w:before="95" w:line="270" w:lineRule="auto"/>
        <w:ind w:left="6" w:right="22"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二、中小企业划分为中型、小型、微型三种类型，具体标准根据企业从业人员、营业收入、资产总额等指标，结合行业特点制定。</w:t>
      </w:r>
    </w:p>
    <w:p w14:paraId="11C8F627">
      <w:pPr>
        <w:spacing w:before="92" w:line="297" w:lineRule="auto"/>
        <w:ind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三、本规定适用的行业包括：农、林、牧、渔业，工业（包括采矿业，制造业，电力、热力、燃气及水生产和供应业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建筑业，批发业，零售业，交通运输业（不含铁路运输业</w:t>
      </w:r>
      <w:r>
        <w:rPr>
          <w:rFonts w:hint="eastAsia" w:ascii="宋体" w:hAnsi="宋体" w:eastAsia="宋体" w:cs="宋体"/>
          <w:color w:val="auto"/>
          <w:spacing w:val="13"/>
          <w:sz w:val="20"/>
          <w:szCs w:val="20"/>
          <w:highlight w:val="none"/>
          <w:lang w:eastAsia="zh-CN"/>
        </w:rPr>
        <w:t>），</w:t>
      </w:r>
      <w:r>
        <w:rPr>
          <w:rFonts w:hint="eastAsia" w:ascii="宋体" w:hAnsi="宋体" w:eastAsia="宋体" w:cs="宋体"/>
          <w:color w:val="auto"/>
          <w:spacing w:val="8"/>
          <w:sz w:val="20"/>
          <w:szCs w:val="20"/>
          <w:highlight w:val="none"/>
          <w:lang w:eastAsia="zh-CN"/>
        </w:rPr>
        <w:t>仓储业，邮政</w:t>
      </w:r>
      <w:r>
        <w:rPr>
          <w:rFonts w:hint="eastAsia" w:ascii="宋体" w:hAnsi="宋体" w:eastAsia="宋体" w:cs="宋体"/>
          <w:color w:val="auto"/>
          <w:spacing w:val="9"/>
          <w:sz w:val="20"/>
          <w:szCs w:val="20"/>
          <w:highlight w:val="none"/>
          <w:lang w:eastAsia="zh-CN"/>
        </w:rPr>
        <w:t>业，住宿业，餐饮业，信息传输业（包括电</w:t>
      </w:r>
      <w:r>
        <w:rPr>
          <w:rFonts w:hint="eastAsia" w:ascii="宋体" w:hAnsi="宋体" w:eastAsia="宋体" w:cs="宋体"/>
          <w:color w:val="auto"/>
          <w:spacing w:val="8"/>
          <w:sz w:val="20"/>
          <w:szCs w:val="20"/>
          <w:highlight w:val="none"/>
          <w:lang w:eastAsia="zh-CN"/>
        </w:rPr>
        <w:t>信、互联网和相关服务</w:t>
      </w:r>
      <w:r>
        <w:rPr>
          <w:rFonts w:hint="eastAsia" w:ascii="宋体" w:hAnsi="宋体" w:eastAsia="宋体" w:cs="宋体"/>
          <w:color w:val="auto"/>
          <w:spacing w:val="9"/>
          <w:sz w:val="20"/>
          <w:szCs w:val="20"/>
          <w:highlight w:val="none"/>
          <w:lang w:eastAsia="zh-CN"/>
        </w:rPr>
        <w:t>），</w:t>
      </w:r>
      <w:r>
        <w:rPr>
          <w:rFonts w:hint="eastAsia" w:ascii="宋体" w:hAnsi="宋体" w:eastAsia="宋体" w:cs="宋体"/>
          <w:color w:val="auto"/>
          <w:spacing w:val="8"/>
          <w:sz w:val="20"/>
          <w:szCs w:val="20"/>
          <w:highlight w:val="none"/>
          <w:lang w:eastAsia="zh-CN"/>
        </w:rPr>
        <w:t>软件和信息技术服务业，房地</w:t>
      </w:r>
      <w:r>
        <w:rPr>
          <w:rFonts w:hint="eastAsia" w:ascii="宋体" w:hAnsi="宋体" w:eastAsia="宋体" w:cs="宋体"/>
          <w:color w:val="auto"/>
          <w:spacing w:val="9"/>
          <w:sz w:val="20"/>
          <w:szCs w:val="20"/>
          <w:highlight w:val="none"/>
          <w:lang w:eastAsia="zh-CN"/>
        </w:rPr>
        <w:t>产开发经营，物业管理，租赁和商务服务业，软件和信息技术服务业（包括科学研究和技术服务业，水利、环境和公共设施管理业，居民服务、修理和其他服务业，社会工作，文化、体育和娱乐业等）。</w:t>
      </w:r>
    </w:p>
    <w:p w14:paraId="45151778">
      <w:pPr>
        <w:spacing w:before="92" w:line="228" w:lineRule="auto"/>
        <w:ind w:left="44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四、各行业划型标准为：</w:t>
      </w:r>
    </w:p>
    <w:p w14:paraId="1B1CEA87">
      <w:pPr>
        <w:spacing w:before="94" w:line="271"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（一）农、林、牧、渔业。营业收入20000</w:t>
      </w:r>
      <w:r>
        <w:rPr>
          <w:rFonts w:hint="eastAsia" w:ascii="宋体" w:hAnsi="宋体" w:eastAsia="宋体" w:cs="宋体"/>
          <w:color w:val="auto"/>
          <w:spacing w:val="7"/>
          <w:sz w:val="20"/>
          <w:szCs w:val="20"/>
          <w:highlight w:val="none"/>
          <w:lang w:eastAsia="zh-CN"/>
        </w:rPr>
        <w:t>万元以下的为中小微型企业。其中，营业收入500万元</w:t>
      </w:r>
      <w:r>
        <w:rPr>
          <w:rFonts w:hint="eastAsia" w:ascii="宋体" w:hAnsi="宋体" w:eastAsia="宋体" w:cs="宋体"/>
          <w:color w:val="auto"/>
          <w:spacing w:val="9"/>
          <w:sz w:val="20"/>
          <w:szCs w:val="20"/>
          <w:highlight w:val="none"/>
          <w:lang w:eastAsia="zh-CN"/>
        </w:rPr>
        <w:t>及以上的为中型企业，营业收入50万元及以上的为小型企业，营业收入50万元以下的为微型企业。</w:t>
      </w:r>
    </w:p>
    <w:p w14:paraId="47DBB38D">
      <w:pPr>
        <w:spacing w:before="9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（二）工业。从业人员1000人以下或营业收入40000</w:t>
      </w:r>
      <w:r>
        <w:rPr>
          <w:rFonts w:hint="eastAsia" w:ascii="宋体" w:hAnsi="宋体" w:eastAsia="宋体" w:cs="宋体"/>
          <w:color w:val="auto"/>
          <w:spacing w:val="8"/>
          <w:sz w:val="20"/>
          <w:szCs w:val="20"/>
          <w:highlight w:val="none"/>
          <w:lang w:eastAsia="zh-CN"/>
        </w:rPr>
        <w:t>万元以下的为中小微型企业。其中，从业人</w:t>
      </w:r>
      <w:r>
        <w:rPr>
          <w:rFonts w:hint="eastAsia" w:ascii="宋体" w:hAnsi="宋体" w:eastAsia="宋体" w:cs="宋体"/>
          <w:color w:val="auto"/>
          <w:spacing w:val="9"/>
          <w:sz w:val="20"/>
          <w:szCs w:val="20"/>
          <w:highlight w:val="none"/>
          <w:lang w:eastAsia="zh-CN"/>
        </w:rPr>
        <w:t>员300人及以上，且营业收入2000万元及以上的为中</w:t>
      </w:r>
      <w:r>
        <w:rPr>
          <w:rFonts w:hint="eastAsia" w:ascii="宋体" w:hAnsi="宋体" w:eastAsia="宋体" w:cs="宋体"/>
          <w:color w:val="auto"/>
          <w:spacing w:val="8"/>
          <w:sz w:val="20"/>
          <w:szCs w:val="20"/>
          <w:highlight w:val="none"/>
          <w:lang w:eastAsia="zh-CN"/>
        </w:rPr>
        <w:t>型企业；从业人员20人及以上，且营业收入300</w:t>
      </w:r>
      <w:r>
        <w:rPr>
          <w:rFonts w:hint="eastAsia" w:ascii="宋体" w:hAnsi="宋体" w:eastAsia="宋体" w:cs="宋体"/>
          <w:color w:val="auto"/>
          <w:spacing w:val="9"/>
          <w:sz w:val="20"/>
          <w:szCs w:val="20"/>
          <w:highlight w:val="none"/>
          <w:lang w:eastAsia="zh-CN"/>
        </w:rPr>
        <w:t>万元及以上的为小型企业；从业人员20人以下或营业收入300</w:t>
      </w:r>
      <w:r>
        <w:rPr>
          <w:rFonts w:hint="eastAsia" w:ascii="宋体" w:hAnsi="宋体" w:eastAsia="宋体" w:cs="宋体"/>
          <w:color w:val="auto"/>
          <w:spacing w:val="8"/>
          <w:sz w:val="20"/>
          <w:szCs w:val="20"/>
          <w:highlight w:val="none"/>
          <w:lang w:eastAsia="zh-CN"/>
        </w:rPr>
        <w:t>万元以下的为微型企业。</w:t>
      </w:r>
    </w:p>
    <w:p w14:paraId="5F80DC9F">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（三）建筑业。营业收入80000万元以下或资产总额80000万元以下的为中小微型企业。其中，营</w:t>
      </w:r>
      <w:r>
        <w:rPr>
          <w:rFonts w:hint="eastAsia" w:ascii="宋体" w:hAnsi="宋体" w:eastAsia="宋体" w:cs="宋体"/>
          <w:color w:val="auto"/>
          <w:spacing w:val="9"/>
          <w:sz w:val="20"/>
          <w:szCs w:val="20"/>
          <w:highlight w:val="none"/>
          <w:lang w:eastAsia="zh-CN"/>
        </w:rPr>
        <w:t>业收入6000万元及以上，且资产总额5000万元及以上的为中型企业；</w:t>
      </w:r>
      <w:r>
        <w:rPr>
          <w:rFonts w:hint="eastAsia" w:ascii="宋体" w:hAnsi="宋体" w:eastAsia="宋体" w:cs="宋体"/>
          <w:color w:val="auto"/>
          <w:spacing w:val="8"/>
          <w:sz w:val="20"/>
          <w:szCs w:val="20"/>
          <w:highlight w:val="none"/>
          <w:lang w:eastAsia="zh-CN"/>
        </w:rPr>
        <w:t>营业收入300万元及以上，且资</w:t>
      </w:r>
      <w:r>
        <w:rPr>
          <w:rFonts w:hint="eastAsia" w:ascii="宋体" w:hAnsi="宋体" w:eastAsia="宋体" w:cs="宋体"/>
          <w:color w:val="auto"/>
          <w:spacing w:val="9"/>
          <w:sz w:val="20"/>
          <w:szCs w:val="20"/>
          <w:highlight w:val="none"/>
          <w:lang w:eastAsia="zh-CN"/>
        </w:rPr>
        <w:t>产总额300万元及以上的为小型企业；营业收入300万元以下或资</w:t>
      </w:r>
      <w:r>
        <w:rPr>
          <w:rFonts w:hint="eastAsia" w:ascii="宋体" w:hAnsi="宋体" w:eastAsia="宋体" w:cs="宋体"/>
          <w:color w:val="auto"/>
          <w:spacing w:val="8"/>
          <w:sz w:val="20"/>
          <w:szCs w:val="20"/>
          <w:highlight w:val="none"/>
          <w:lang w:eastAsia="zh-CN"/>
        </w:rPr>
        <w:t>产总额300万元以下的为微型企业。</w:t>
      </w:r>
    </w:p>
    <w:p w14:paraId="7BD389A3">
      <w:pPr>
        <w:spacing w:before="90" w:line="286" w:lineRule="auto"/>
        <w:ind w:left="2" w:right="22"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（四）批发业。从业人员200人以下或营业收</w:t>
      </w:r>
      <w:r>
        <w:rPr>
          <w:rFonts w:hint="eastAsia" w:ascii="宋体" w:hAnsi="宋体" w:eastAsia="宋体" w:cs="宋体"/>
          <w:color w:val="auto"/>
          <w:spacing w:val="7"/>
          <w:sz w:val="20"/>
          <w:szCs w:val="20"/>
          <w:highlight w:val="none"/>
          <w:lang w:eastAsia="zh-CN"/>
        </w:rPr>
        <w:t>入40000万元以下的为中小微型企业。其中，从业人</w:t>
      </w:r>
      <w:r>
        <w:rPr>
          <w:rFonts w:hint="eastAsia" w:ascii="宋体" w:hAnsi="宋体" w:eastAsia="宋体" w:cs="宋体"/>
          <w:color w:val="auto"/>
          <w:spacing w:val="9"/>
          <w:sz w:val="20"/>
          <w:szCs w:val="20"/>
          <w:highlight w:val="none"/>
          <w:lang w:eastAsia="zh-CN"/>
        </w:rPr>
        <w:t>员20人及以上，且营业收入5000万元及以上的为中型企业；从业</w:t>
      </w:r>
      <w:r>
        <w:rPr>
          <w:rFonts w:hint="eastAsia" w:ascii="宋体" w:hAnsi="宋体" w:eastAsia="宋体" w:cs="宋体"/>
          <w:color w:val="auto"/>
          <w:spacing w:val="8"/>
          <w:sz w:val="20"/>
          <w:szCs w:val="20"/>
          <w:highlight w:val="none"/>
          <w:lang w:eastAsia="zh-CN"/>
        </w:rPr>
        <w:t>人员5人及以上，且营业收入1000万</w:t>
      </w:r>
      <w:r>
        <w:rPr>
          <w:rFonts w:hint="eastAsia" w:ascii="宋体" w:hAnsi="宋体" w:eastAsia="宋体" w:cs="宋体"/>
          <w:color w:val="auto"/>
          <w:spacing w:val="9"/>
          <w:sz w:val="20"/>
          <w:szCs w:val="20"/>
          <w:highlight w:val="none"/>
          <w:lang w:eastAsia="zh-CN"/>
        </w:rPr>
        <w:t>元及以上的为小型企业；从业人员5人以下或营业收入1000万元以</w:t>
      </w:r>
      <w:r>
        <w:rPr>
          <w:rFonts w:hint="eastAsia" w:ascii="宋体" w:hAnsi="宋体" w:eastAsia="宋体" w:cs="宋体"/>
          <w:color w:val="auto"/>
          <w:spacing w:val="8"/>
          <w:sz w:val="20"/>
          <w:szCs w:val="20"/>
          <w:highlight w:val="none"/>
          <w:lang w:eastAsia="zh-CN"/>
        </w:rPr>
        <w:t>下的为微型企业。</w:t>
      </w:r>
    </w:p>
    <w:p w14:paraId="0FF62691">
      <w:pPr>
        <w:spacing w:before="91" w:line="286" w:lineRule="auto"/>
        <w:ind w:right="22"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（五）零售业。从业人员300人以下或营业收</w:t>
      </w:r>
      <w:r>
        <w:rPr>
          <w:rFonts w:hint="eastAsia" w:ascii="宋体" w:hAnsi="宋体" w:eastAsia="宋体" w:cs="宋体"/>
          <w:color w:val="auto"/>
          <w:spacing w:val="7"/>
          <w:sz w:val="20"/>
          <w:szCs w:val="20"/>
          <w:highlight w:val="none"/>
          <w:lang w:eastAsia="zh-CN"/>
        </w:rPr>
        <w:t>入20000万元以下的为中小微型企业。其中，从业人</w:t>
      </w:r>
      <w:r>
        <w:rPr>
          <w:rFonts w:hint="eastAsia" w:ascii="宋体" w:hAnsi="宋体" w:eastAsia="宋体" w:cs="宋体"/>
          <w:color w:val="auto"/>
          <w:spacing w:val="8"/>
          <w:sz w:val="20"/>
          <w:szCs w:val="20"/>
          <w:highlight w:val="none"/>
          <w:lang w:eastAsia="zh-CN"/>
        </w:rPr>
        <w:t>员50人及以上，且营业收入500万元及以上的为中型企业；从业人</w:t>
      </w:r>
      <w:r>
        <w:rPr>
          <w:rFonts w:hint="eastAsia" w:ascii="宋体" w:hAnsi="宋体" w:eastAsia="宋体" w:cs="宋体"/>
          <w:color w:val="auto"/>
          <w:spacing w:val="7"/>
          <w:sz w:val="20"/>
          <w:szCs w:val="20"/>
          <w:highlight w:val="none"/>
          <w:lang w:eastAsia="zh-CN"/>
        </w:rPr>
        <w:t>员10人及以上，且营业收入100万元</w:t>
      </w:r>
      <w:r>
        <w:rPr>
          <w:rFonts w:hint="eastAsia" w:ascii="宋体" w:hAnsi="宋体" w:eastAsia="宋体" w:cs="宋体"/>
          <w:color w:val="auto"/>
          <w:spacing w:val="9"/>
          <w:sz w:val="20"/>
          <w:szCs w:val="20"/>
          <w:highlight w:val="none"/>
          <w:lang w:eastAsia="zh-CN"/>
        </w:rPr>
        <w:t>及以上的为小型企业；从业人员10人以下或营业收入100万元以下</w:t>
      </w:r>
      <w:r>
        <w:rPr>
          <w:rFonts w:hint="eastAsia" w:ascii="宋体" w:hAnsi="宋体" w:eastAsia="宋体" w:cs="宋体"/>
          <w:color w:val="auto"/>
          <w:spacing w:val="8"/>
          <w:sz w:val="20"/>
          <w:szCs w:val="20"/>
          <w:highlight w:val="none"/>
          <w:lang w:eastAsia="zh-CN"/>
        </w:rPr>
        <w:t>的为微型企业。</w:t>
      </w:r>
    </w:p>
    <w:p w14:paraId="7CBF185F">
      <w:pPr>
        <w:spacing w:before="90" w:line="286"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（六）交通运输业。从业人员1000人以下或营业收入30</w:t>
      </w:r>
      <w:r>
        <w:rPr>
          <w:rFonts w:hint="eastAsia" w:ascii="宋体" w:hAnsi="宋体" w:eastAsia="宋体" w:cs="宋体"/>
          <w:color w:val="auto"/>
          <w:spacing w:val="8"/>
          <w:sz w:val="20"/>
          <w:szCs w:val="20"/>
          <w:highlight w:val="none"/>
          <w:lang w:eastAsia="zh-CN"/>
        </w:rPr>
        <w:t>000万元以下的为中小微型企业。其中，</w:t>
      </w:r>
      <w:r>
        <w:rPr>
          <w:rFonts w:hint="eastAsia" w:ascii="宋体" w:hAnsi="宋体" w:eastAsia="宋体" w:cs="宋体"/>
          <w:color w:val="auto"/>
          <w:spacing w:val="9"/>
          <w:sz w:val="20"/>
          <w:szCs w:val="20"/>
          <w:highlight w:val="none"/>
          <w:lang w:eastAsia="zh-CN"/>
        </w:rPr>
        <w:t>从业人员300人及以上，且营业收入3000万元及以上的为中型企业；从业人员20人及以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入200万元及以上的为小型企业；从业人员20人以下或营业</w:t>
      </w:r>
      <w:r>
        <w:rPr>
          <w:rFonts w:hint="eastAsia" w:ascii="宋体" w:hAnsi="宋体" w:eastAsia="宋体" w:cs="宋体"/>
          <w:color w:val="auto"/>
          <w:spacing w:val="8"/>
          <w:sz w:val="20"/>
          <w:szCs w:val="20"/>
          <w:highlight w:val="none"/>
          <w:lang w:eastAsia="zh-CN"/>
        </w:rPr>
        <w:t>收入200万元以下的为微型企业。</w:t>
      </w:r>
    </w:p>
    <w:p w14:paraId="503822F1">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（七）仓储业。从业人员200人以下或营业收</w:t>
      </w:r>
      <w:r>
        <w:rPr>
          <w:rFonts w:hint="eastAsia" w:ascii="宋体" w:hAnsi="宋体" w:eastAsia="宋体" w:cs="宋体"/>
          <w:color w:val="auto"/>
          <w:spacing w:val="7"/>
          <w:sz w:val="20"/>
          <w:szCs w:val="20"/>
          <w:highlight w:val="none"/>
          <w:lang w:eastAsia="zh-CN"/>
        </w:rPr>
        <w:t>入30000万元以下的为中小微型企业。其中，从业人</w:t>
      </w:r>
      <w:r>
        <w:rPr>
          <w:rFonts w:hint="eastAsia" w:ascii="宋体" w:hAnsi="宋体" w:eastAsia="宋体" w:cs="宋体"/>
          <w:color w:val="auto"/>
          <w:spacing w:val="9"/>
          <w:sz w:val="20"/>
          <w:szCs w:val="20"/>
          <w:highlight w:val="none"/>
          <w:lang w:eastAsia="zh-CN"/>
        </w:rPr>
        <w:t>员100人及以上，且营业收入1000万元及以上的为中</w:t>
      </w:r>
      <w:r>
        <w:rPr>
          <w:rFonts w:hint="eastAsia" w:ascii="宋体" w:hAnsi="宋体" w:eastAsia="宋体" w:cs="宋体"/>
          <w:color w:val="auto"/>
          <w:spacing w:val="8"/>
          <w:sz w:val="20"/>
          <w:szCs w:val="20"/>
          <w:highlight w:val="none"/>
          <w:lang w:eastAsia="zh-CN"/>
        </w:rPr>
        <w:t>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w:t>
      </w:r>
      <w:r>
        <w:rPr>
          <w:rFonts w:hint="eastAsia" w:ascii="宋体" w:hAnsi="宋体" w:eastAsia="宋体" w:cs="宋体"/>
          <w:color w:val="auto"/>
          <w:spacing w:val="8"/>
          <w:sz w:val="20"/>
          <w:szCs w:val="20"/>
          <w:highlight w:val="none"/>
          <w:lang w:eastAsia="zh-CN"/>
        </w:rPr>
        <w:t>万元以下的为微型企业。</w:t>
      </w:r>
    </w:p>
    <w:p w14:paraId="0EA9BB3C">
      <w:pPr>
        <w:spacing w:before="90" w:line="286" w:lineRule="auto"/>
        <w:ind w:left="2" w:right="21" w:firstLine="428"/>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（八）邮政业。从业人员1000人以下或营业收入3000</w:t>
      </w:r>
      <w:r>
        <w:rPr>
          <w:rFonts w:hint="eastAsia" w:ascii="宋体" w:hAnsi="宋体" w:eastAsia="宋体" w:cs="宋体"/>
          <w:color w:val="auto"/>
          <w:spacing w:val="8"/>
          <w:sz w:val="20"/>
          <w:szCs w:val="20"/>
          <w:highlight w:val="none"/>
          <w:lang w:eastAsia="zh-CN"/>
        </w:rPr>
        <w:t>0万元以下的为中小微型企业。其中，从业人员300人及以上，且营业收入2000万元及</w:t>
      </w:r>
      <w:r>
        <w:rPr>
          <w:rFonts w:hint="eastAsia" w:ascii="宋体" w:hAnsi="宋体" w:eastAsia="宋体" w:cs="宋体"/>
          <w:color w:val="auto"/>
          <w:spacing w:val="7"/>
          <w:sz w:val="20"/>
          <w:szCs w:val="20"/>
          <w:highlight w:val="none"/>
          <w:lang w:eastAsia="zh-CN"/>
        </w:rPr>
        <w:t>以上的为中型企业；从业人员20人及以上，且营业收入100</w:t>
      </w:r>
      <w:r>
        <w:rPr>
          <w:rFonts w:hint="eastAsia" w:ascii="宋体" w:hAnsi="宋体" w:eastAsia="宋体" w:cs="宋体"/>
          <w:color w:val="auto"/>
          <w:spacing w:val="9"/>
          <w:sz w:val="20"/>
          <w:szCs w:val="20"/>
          <w:highlight w:val="none"/>
          <w:lang w:eastAsia="zh-CN"/>
        </w:rPr>
        <w:t>万元及以上的为小型企业；从业人员20人以下或营业收入100万元以</w:t>
      </w:r>
      <w:r>
        <w:rPr>
          <w:rFonts w:hint="eastAsia" w:ascii="宋体" w:hAnsi="宋体" w:eastAsia="宋体" w:cs="宋体"/>
          <w:color w:val="auto"/>
          <w:spacing w:val="8"/>
          <w:sz w:val="20"/>
          <w:szCs w:val="20"/>
          <w:highlight w:val="none"/>
          <w:lang w:eastAsia="zh-CN"/>
        </w:rPr>
        <w:t>下的为微型企业。</w:t>
      </w:r>
    </w:p>
    <w:p w14:paraId="07C8E095">
      <w:pPr>
        <w:spacing w:before="91" w:line="286" w:lineRule="auto"/>
        <w:ind w:left="5" w:right="22"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（九）住宿业。从业人员300人以下或营业收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3DE84FF4">
      <w:pPr>
        <w:spacing w:before="40" w:line="286" w:lineRule="auto"/>
        <w:ind w:left="5" w:right="70" w:firstLine="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（十）餐饮业。从业人员300人以下或营业收</w:t>
      </w:r>
      <w:r>
        <w:rPr>
          <w:rFonts w:hint="eastAsia" w:ascii="宋体" w:hAnsi="宋体" w:eastAsia="宋体" w:cs="宋体"/>
          <w:color w:val="auto"/>
          <w:spacing w:val="7"/>
          <w:sz w:val="20"/>
          <w:szCs w:val="20"/>
          <w:highlight w:val="none"/>
          <w:lang w:eastAsia="zh-CN"/>
        </w:rPr>
        <w:t>入10000万元以下的为中小微型企业。其中，从业人</w:t>
      </w:r>
      <w:r>
        <w:rPr>
          <w:rFonts w:hint="eastAsia" w:ascii="宋体" w:hAnsi="宋体" w:eastAsia="宋体" w:cs="宋体"/>
          <w:color w:val="auto"/>
          <w:spacing w:val="9"/>
          <w:sz w:val="20"/>
          <w:szCs w:val="20"/>
          <w:highlight w:val="none"/>
          <w:lang w:eastAsia="zh-CN"/>
        </w:rPr>
        <w:t>员100人及以上，且营业收入2000万元及以上的为中</w:t>
      </w:r>
      <w:r>
        <w:rPr>
          <w:rFonts w:hint="eastAsia" w:ascii="宋体" w:hAnsi="宋体" w:eastAsia="宋体" w:cs="宋体"/>
          <w:color w:val="auto"/>
          <w:spacing w:val="8"/>
          <w:sz w:val="20"/>
          <w:szCs w:val="20"/>
          <w:highlight w:val="none"/>
          <w:lang w:eastAsia="zh-CN"/>
        </w:rPr>
        <w:t>型企业；从业人员10人及以上，且营业收入100</w:t>
      </w:r>
      <w:r>
        <w:rPr>
          <w:rFonts w:hint="eastAsia" w:ascii="宋体" w:hAnsi="宋体" w:eastAsia="宋体" w:cs="宋体"/>
          <w:color w:val="auto"/>
          <w:spacing w:val="9"/>
          <w:sz w:val="20"/>
          <w:szCs w:val="20"/>
          <w:highlight w:val="none"/>
          <w:lang w:eastAsia="zh-CN"/>
        </w:rPr>
        <w:t>万元及以上的为小型企业；从业人员10人以下或营业收入100</w:t>
      </w:r>
      <w:r>
        <w:rPr>
          <w:rFonts w:hint="eastAsia" w:ascii="宋体" w:hAnsi="宋体" w:eastAsia="宋体" w:cs="宋体"/>
          <w:color w:val="auto"/>
          <w:spacing w:val="8"/>
          <w:sz w:val="20"/>
          <w:szCs w:val="20"/>
          <w:highlight w:val="none"/>
          <w:lang w:eastAsia="zh-CN"/>
        </w:rPr>
        <w:t>万元以下的为微型企业。</w:t>
      </w:r>
    </w:p>
    <w:p w14:paraId="674D7559">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（十一）信息传输业。从业人员2000人以下或营业收入100000万元以下的为中小微型企业。其中，</w:t>
      </w:r>
      <w:r>
        <w:rPr>
          <w:rFonts w:hint="eastAsia" w:ascii="宋体" w:hAnsi="宋体" w:eastAsia="宋体" w:cs="宋体"/>
          <w:color w:val="auto"/>
          <w:spacing w:val="9"/>
          <w:sz w:val="20"/>
          <w:szCs w:val="20"/>
          <w:highlight w:val="none"/>
          <w:lang w:eastAsia="zh-CN"/>
        </w:rPr>
        <w:t>从业人员100人及以上，且营业收入1000万元及以上的为中型企业；从业人员10人及以</w:t>
      </w:r>
      <w:r>
        <w:rPr>
          <w:rFonts w:hint="eastAsia" w:ascii="宋体" w:hAnsi="宋体" w:eastAsia="宋体" w:cs="宋体"/>
          <w:color w:val="auto"/>
          <w:spacing w:val="8"/>
          <w:sz w:val="20"/>
          <w:szCs w:val="20"/>
          <w:highlight w:val="none"/>
          <w:lang w:eastAsia="zh-CN"/>
        </w:rPr>
        <w:t>上，且营业收</w:t>
      </w:r>
      <w:r>
        <w:rPr>
          <w:rFonts w:hint="eastAsia" w:ascii="宋体" w:hAnsi="宋体" w:eastAsia="宋体" w:cs="宋体"/>
          <w:color w:val="auto"/>
          <w:spacing w:val="9"/>
          <w:sz w:val="20"/>
          <w:szCs w:val="20"/>
          <w:highlight w:val="none"/>
          <w:lang w:eastAsia="zh-CN"/>
        </w:rPr>
        <w:t>入100万元及以上的为小型企业；从业人员10人以下或营业</w:t>
      </w:r>
      <w:r>
        <w:rPr>
          <w:rFonts w:hint="eastAsia" w:ascii="宋体" w:hAnsi="宋体" w:eastAsia="宋体" w:cs="宋体"/>
          <w:color w:val="auto"/>
          <w:spacing w:val="8"/>
          <w:sz w:val="20"/>
          <w:szCs w:val="20"/>
          <w:highlight w:val="none"/>
          <w:lang w:eastAsia="zh-CN"/>
        </w:rPr>
        <w:t>收入100万元以下的为微型企业。</w:t>
      </w:r>
    </w:p>
    <w:p w14:paraId="675C3391">
      <w:pPr>
        <w:spacing w:before="90" w:line="286" w:lineRule="auto"/>
        <w:ind w:right="16"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（十二）软件和信息技术服务业。从业人员30</w:t>
      </w:r>
      <w:r>
        <w:rPr>
          <w:rFonts w:hint="eastAsia" w:ascii="宋体" w:hAnsi="宋体" w:eastAsia="宋体" w:cs="宋体"/>
          <w:color w:val="auto"/>
          <w:spacing w:val="7"/>
          <w:sz w:val="20"/>
          <w:szCs w:val="20"/>
          <w:highlight w:val="none"/>
          <w:lang w:eastAsia="zh-CN"/>
        </w:rPr>
        <w:t>0人以下或营业收入10000万元以下的为中小微型企业。其中，从业人员100人及以上，且营业收入1000万元及以上的为中</w:t>
      </w:r>
      <w:r>
        <w:rPr>
          <w:rFonts w:hint="eastAsia" w:ascii="宋体" w:hAnsi="宋体" w:eastAsia="宋体" w:cs="宋体"/>
          <w:color w:val="auto"/>
          <w:spacing w:val="6"/>
          <w:sz w:val="20"/>
          <w:szCs w:val="20"/>
          <w:highlight w:val="none"/>
          <w:lang w:eastAsia="zh-CN"/>
        </w:rPr>
        <w:t>型企业；从业人员10人及以上，</w:t>
      </w:r>
      <w:r>
        <w:rPr>
          <w:rFonts w:hint="eastAsia" w:ascii="宋体" w:hAnsi="宋体" w:eastAsia="宋体" w:cs="宋体"/>
          <w:color w:val="auto"/>
          <w:spacing w:val="9"/>
          <w:sz w:val="20"/>
          <w:szCs w:val="20"/>
          <w:highlight w:val="none"/>
          <w:lang w:eastAsia="zh-CN"/>
        </w:rPr>
        <w:t>且营业收入50万元及以上的为小型企业；从业人员10人以下或营业收入50万元以下的为</w:t>
      </w:r>
      <w:r>
        <w:rPr>
          <w:rFonts w:hint="eastAsia" w:ascii="宋体" w:hAnsi="宋体" w:eastAsia="宋体" w:cs="宋体"/>
          <w:color w:val="auto"/>
          <w:spacing w:val="8"/>
          <w:sz w:val="20"/>
          <w:szCs w:val="20"/>
          <w:highlight w:val="none"/>
          <w:lang w:eastAsia="zh-CN"/>
        </w:rPr>
        <w:t>微型企业。</w:t>
      </w:r>
    </w:p>
    <w:p w14:paraId="78E1F6E4">
      <w:pPr>
        <w:spacing w:before="93" w:line="292" w:lineRule="auto"/>
        <w:ind w:right="118"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（十三）房地产开发经营。营业收入200</w:t>
      </w:r>
      <w:r>
        <w:rPr>
          <w:rFonts w:hint="eastAsia" w:ascii="宋体" w:hAnsi="宋体" w:eastAsia="宋体" w:cs="宋体"/>
          <w:color w:val="auto"/>
          <w:spacing w:val="8"/>
          <w:sz w:val="20"/>
          <w:szCs w:val="20"/>
          <w:highlight w:val="none"/>
          <w:lang w:eastAsia="zh-CN"/>
        </w:rPr>
        <w:t>000万元以下或资产总额10000万元以下的为中小微型企</w:t>
      </w:r>
      <w:r>
        <w:rPr>
          <w:rFonts w:hint="eastAsia" w:ascii="宋体" w:hAnsi="宋体" w:eastAsia="宋体" w:cs="宋体"/>
          <w:color w:val="auto"/>
          <w:spacing w:val="9"/>
          <w:sz w:val="20"/>
          <w:szCs w:val="20"/>
          <w:highlight w:val="none"/>
          <w:lang w:eastAsia="zh-CN"/>
        </w:rPr>
        <w:t>业。其中，营业收入1000万元及以上，且资产总额5000万元及以上的</w:t>
      </w:r>
      <w:r>
        <w:rPr>
          <w:rFonts w:hint="eastAsia" w:ascii="宋体" w:hAnsi="宋体" w:eastAsia="宋体" w:cs="宋体"/>
          <w:color w:val="auto"/>
          <w:spacing w:val="8"/>
          <w:sz w:val="20"/>
          <w:szCs w:val="20"/>
          <w:highlight w:val="none"/>
          <w:lang w:eastAsia="zh-CN"/>
        </w:rPr>
        <w:t>为中型企业；营业收入100万元</w:t>
      </w:r>
      <w:r>
        <w:rPr>
          <w:rFonts w:hint="eastAsia" w:ascii="宋体" w:hAnsi="宋体" w:eastAsia="宋体" w:cs="宋体"/>
          <w:color w:val="auto"/>
          <w:spacing w:val="9"/>
          <w:sz w:val="20"/>
          <w:szCs w:val="20"/>
          <w:highlight w:val="none"/>
          <w:lang w:eastAsia="zh-CN"/>
        </w:rPr>
        <w:t>及以上，且资产总额2000万元及以上的为小型企业；营业收入100万元</w:t>
      </w:r>
      <w:r>
        <w:rPr>
          <w:rFonts w:hint="eastAsia" w:ascii="宋体" w:hAnsi="宋体" w:eastAsia="宋体" w:cs="宋体"/>
          <w:color w:val="auto"/>
          <w:spacing w:val="8"/>
          <w:sz w:val="20"/>
          <w:szCs w:val="20"/>
          <w:highlight w:val="none"/>
          <w:lang w:eastAsia="zh-CN"/>
        </w:rPr>
        <w:t>以下或资产总额2000万元以下</w:t>
      </w:r>
      <w:r>
        <w:rPr>
          <w:rFonts w:hint="eastAsia" w:ascii="宋体" w:hAnsi="宋体" w:eastAsia="宋体" w:cs="宋体"/>
          <w:color w:val="auto"/>
          <w:spacing w:val="7"/>
          <w:sz w:val="20"/>
          <w:szCs w:val="20"/>
          <w:highlight w:val="none"/>
          <w:lang w:eastAsia="zh-CN"/>
        </w:rPr>
        <w:t>的为微型企业。</w:t>
      </w:r>
    </w:p>
    <w:p w14:paraId="58A91B16">
      <w:pPr>
        <w:spacing w:before="93" w:line="285" w:lineRule="auto"/>
        <w:ind w:right="70" w:firstLine="43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（十四）物业管理。从业人员1000人以下或</w:t>
      </w:r>
      <w:r>
        <w:rPr>
          <w:rFonts w:hint="eastAsia" w:ascii="宋体" w:hAnsi="宋体" w:eastAsia="宋体" w:cs="宋体"/>
          <w:color w:val="auto"/>
          <w:spacing w:val="7"/>
          <w:sz w:val="20"/>
          <w:szCs w:val="20"/>
          <w:highlight w:val="none"/>
          <w:lang w:eastAsia="zh-CN"/>
        </w:rPr>
        <w:t>营业收入5000万元以下的为中小微型企业。其中，从</w:t>
      </w:r>
      <w:r>
        <w:rPr>
          <w:rFonts w:hint="eastAsia" w:ascii="宋体" w:hAnsi="宋体" w:eastAsia="宋体" w:cs="宋体"/>
          <w:color w:val="auto"/>
          <w:spacing w:val="8"/>
          <w:sz w:val="20"/>
          <w:szCs w:val="20"/>
          <w:highlight w:val="none"/>
          <w:lang w:eastAsia="zh-CN"/>
        </w:rPr>
        <w:t>业人员300人及以上，且营业收入1000万元及以上的为中型企业</w:t>
      </w:r>
      <w:r>
        <w:rPr>
          <w:rFonts w:hint="eastAsia" w:ascii="宋体" w:hAnsi="宋体" w:eastAsia="宋体" w:cs="宋体"/>
          <w:color w:val="auto"/>
          <w:spacing w:val="7"/>
          <w:sz w:val="20"/>
          <w:szCs w:val="20"/>
          <w:highlight w:val="none"/>
          <w:lang w:eastAsia="zh-CN"/>
        </w:rPr>
        <w:t>；从业人员100人及以上，且营业收入</w:t>
      </w:r>
      <w:r>
        <w:rPr>
          <w:rFonts w:hint="eastAsia" w:ascii="宋体" w:hAnsi="宋体" w:eastAsia="宋体" w:cs="宋体"/>
          <w:color w:val="auto"/>
          <w:spacing w:val="9"/>
          <w:sz w:val="20"/>
          <w:szCs w:val="20"/>
          <w:highlight w:val="none"/>
          <w:lang w:eastAsia="zh-CN"/>
        </w:rPr>
        <w:t>500万元及以上的为小型企业；从业人员100人</w:t>
      </w:r>
      <w:r>
        <w:rPr>
          <w:rFonts w:hint="eastAsia" w:ascii="宋体" w:hAnsi="宋体" w:eastAsia="宋体" w:cs="宋体"/>
          <w:color w:val="auto"/>
          <w:spacing w:val="8"/>
          <w:sz w:val="20"/>
          <w:szCs w:val="20"/>
          <w:highlight w:val="none"/>
          <w:lang w:eastAsia="zh-CN"/>
        </w:rPr>
        <w:t>以下或营业收入500万元以下的为微型企业。</w:t>
      </w:r>
    </w:p>
    <w:p w14:paraId="4A236B58">
      <w:pPr>
        <w:spacing w:before="94" w:line="285" w:lineRule="auto"/>
        <w:ind w:left="1" w:firstLine="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（十五）租赁和商务服务业。从业人员300人以下或资产总额1200</w:t>
      </w:r>
      <w:r>
        <w:rPr>
          <w:rFonts w:hint="eastAsia" w:ascii="宋体" w:hAnsi="宋体" w:eastAsia="宋体" w:cs="宋体"/>
          <w:color w:val="auto"/>
          <w:spacing w:val="6"/>
          <w:sz w:val="20"/>
          <w:szCs w:val="20"/>
          <w:highlight w:val="none"/>
          <w:lang w:eastAsia="zh-CN"/>
        </w:rPr>
        <w:t>00万元以下的为中小微型企业。</w:t>
      </w:r>
      <w:r>
        <w:rPr>
          <w:rFonts w:hint="eastAsia" w:ascii="宋体" w:hAnsi="宋体" w:eastAsia="宋体" w:cs="宋体"/>
          <w:color w:val="auto"/>
          <w:spacing w:val="9"/>
          <w:sz w:val="20"/>
          <w:szCs w:val="20"/>
          <w:highlight w:val="none"/>
          <w:lang w:eastAsia="zh-CN"/>
        </w:rPr>
        <w:t>其中，从业人员100人及以上，且资产总额8000万元及以上的为中型企业；从业人员</w:t>
      </w:r>
      <w:r>
        <w:rPr>
          <w:rFonts w:hint="eastAsia" w:ascii="宋体" w:hAnsi="宋体" w:eastAsia="宋体" w:cs="宋体"/>
          <w:color w:val="auto"/>
          <w:spacing w:val="8"/>
          <w:sz w:val="20"/>
          <w:szCs w:val="20"/>
          <w:highlight w:val="none"/>
          <w:lang w:eastAsia="zh-CN"/>
        </w:rPr>
        <w:t>10人及以上，且</w:t>
      </w:r>
      <w:r>
        <w:rPr>
          <w:rFonts w:hint="eastAsia" w:ascii="宋体" w:hAnsi="宋体" w:eastAsia="宋体" w:cs="宋体"/>
          <w:color w:val="auto"/>
          <w:spacing w:val="9"/>
          <w:sz w:val="20"/>
          <w:szCs w:val="20"/>
          <w:highlight w:val="none"/>
          <w:lang w:eastAsia="zh-CN"/>
        </w:rPr>
        <w:t>资产总额100万元及以上的为小型企业；从业人员10人以下或资产</w:t>
      </w:r>
      <w:r>
        <w:rPr>
          <w:rFonts w:hint="eastAsia" w:ascii="宋体" w:hAnsi="宋体" w:eastAsia="宋体" w:cs="宋体"/>
          <w:color w:val="auto"/>
          <w:spacing w:val="8"/>
          <w:sz w:val="20"/>
          <w:szCs w:val="20"/>
          <w:highlight w:val="none"/>
          <w:lang w:eastAsia="zh-CN"/>
        </w:rPr>
        <w:t>总额100万元以下的为微型企业。</w:t>
      </w:r>
    </w:p>
    <w:p w14:paraId="32DD8E14">
      <w:pPr>
        <w:spacing w:before="94" w:line="271" w:lineRule="auto"/>
        <w:ind w:left="17" w:right="70" w:firstLine="41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（十六）软件和信息技术服务业。从业人员300人以下的为中小微型</w:t>
      </w:r>
      <w:r>
        <w:rPr>
          <w:rFonts w:hint="eastAsia" w:ascii="宋体" w:hAnsi="宋体" w:eastAsia="宋体" w:cs="宋体"/>
          <w:color w:val="auto"/>
          <w:spacing w:val="7"/>
          <w:sz w:val="20"/>
          <w:szCs w:val="20"/>
          <w:highlight w:val="none"/>
          <w:lang w:eastAsia="zh-CN"/>
        </w:rPr>
        <w:t>企业。其中，从业人员100人及以上</w:t>
      </w:r>
      <w:r>
        <w:rPr>
          <w:rFonts w:hint="eastAsia" w:ascii="宋体" w:hAnsi="宋体" w:eastAsia="宋体" w:cs="宋体"/>
          <w:color w:val="auto"/>
          <w:spacing w:val="9"/>
          <w:sz w:val="20"/>
          <w:szCs w:val="20"/>
          <w:highlight w:val="none"/>
          <w:lang w:eastAsia="zh-CN"/>
        </w:rPr>
        <w:t>的为中型企业；从业人员10人及以上的为小型企</w:t>
      </w:r>
      <w:r>
        <w:rPr>
          <w:rFonts w:hint="eastAsia" w:ascii="宋体" w:hAnsi="宋体" w:eastAsia="宋体" w:cs="宋体"/>
          <w:color w:val="auto"/>
          <w:spacing w:val="8"/>
          <w:sz w:val="20"/>
          <w:szCs w:val="20"/>
          <w:highlight w:val="none"/>
          <w:lang w:eastAsia="zh-CN"/>
        </w:rPr>
        <w:t>业；从业人员10人以下的为微型企业。</w:t>
      </w:r>
    </w:p>
    <w:p w14:paraId="451D7093">
      <w:pPr>
        <w:spacing w:before="92" w:line="227" w:lineRule="auto"/>
        <w:ind w:left="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五、企业类型的划分以统计部门的统计数据为依</w:t>
      </w:r>
      <w:r>
        <w:rPr>
          <w:rFonts w:hint="eastAsia" w:ascii="宋体" w:hAnsi="宋体" w:eastAsia="宋体" w:cs="宋体"/>
          <w:color w:val="auto"/>
          <w:spacing w:val="8"/>
          <w:sz w:val="20"/>
          <w:szCs w:val="20"/>
          <w:highlight w:val="none"/>
          <w:lang w:eastAsia="zh-CN"/>
        </w:rPr>
        <w:t>据。</w:t>
      </w:r>
    </w:p>
    <w:p w14:paraId="3202814C">
      <w:pPr>
        <w:spacing w:before="94" w:line="271" w:lineRule="auto"/>
        <w:ind w:left="5" w:right="70" w:firstLine="417"/>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六、本规定适用于在中华人民共和国境内依法设立的各类所有制和各种组织形式的企业。个体工</w:t>
      </w:r>
      <w:r>
        <w:rPr>
          <w:rFonts w:hint="eastAsia" w:ascii="宋体" w:hAnsi="宋体" w:eastAsia="宋体" w:cs="宋体"/>
          <w:color w:val="auto"/>
          <w:spacing w:val="9"/>
          <w:sz w:val="20"/>
          <w:szCs w:val="20"/>
          <w:highlight w:val="none"/>
          <w:lang w:eastAsia="zh-CN"/>
        </w:rPr>
        <w:t>商户和本规定以外的行业，参照本规定进行</w:t>
      </w:r>
      <w:r>
        <w:rPr>
          <w:rFonts w:hint="eastAsia" w:ascii="宋体" w:hAnsi="宋体" w:eastAsia="宋体" w:cs="宋体"/>
          <w:color w:val="auto"/>
          <w:spacing w:val="8"/>
          <w:sz w:val="20"/>
          <w:szCs w:val="20"/>
          <w:highlight w:val="none"/>
          <w:lang w:eastAsia="zh-CN"/>
        </w:rPr>
        <w:t>划型。</w:t>
      </w:r>
    </w:p>
    <w:p w14:paraId="6D97C434">
      <w:pPr>
        <w:spacing w:before="92" w:line="271" w:lineRule="auto"/>
        <w:ind w:right="48"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七、本规定的中型企业标准上限即为大型企业标准的下限，国家统计部门据此制定大中小微型企</w:t>
      </w:r>
      <w:r>
        <w:rPr>
          <w:rFonts w:hint="eastAsia" w:ascii="宋体" w:hAnsi="宋体" w:eastAsia="宋体" w:cs="宋体"/>
          <w:color w:val="auto"/>
          <w:spacing w:val="9"/>
          <w:sz w:val="20"/>
          <w:szCs w:val="20"/>
          <w:highlight w:val="none"/>
          <w:lang w:eastAsia="zh-CN"/>
        </w:rPr>
        <w:t>业的统计分类。国务院有关部门据此进行相关数据分析，不得制定与本规定不一致的企业划型标准。</w:t>
      </w:r>
    </w:p>
    <w:p w14:paraId="12AACF95">
      <w:pPr>
        <w:spacing w:before="95" w:line="270" w:lineRule="auto"/>
        <w:ind w:left="4" w:right="70" w:firstLine="42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八、本规定由工业和信息化部、国家统计局会同有关部门根据《国民经济行业分类》修订情况和企业发展变化情况适时修订。</w:t>
      </w:r>
    </w:p>
    <w:p w14:paraId="6CB0DC8B">
      <w:pPr>
        <w:spacing w:before="94" w:line="227" w:lineRule="auto"/>
        <w:ind w:left="42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九、本规定由工业和信息化部、国家统计局会同有关部门负责解释。</w:t>
      </w:r>
    </w:p>
    <w:p w14:paraId="6D7A28E4">
      <w:pPr>
        <w:spacing w:before="13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十、本规定自发布之日起执行，原国家经贸委、原国家计委、财政部和国家统计局2003年颁布的《中</w:t>
      </w:r>
    </w:p>
    <w:p w14:paraId="1063E138">
      <w:pPr>
        <w:spacing w:before="223" w:line="228" w:lineRule="auto"/>
        <w:ind w:left="6"/>
        <w:outlineLvl w:val="0"/>
        <w:rPr>
          <w:rFonts w:hint="eastAsia" w:ascii="宋体" w:hAnsi="宋体" w:eastAsia="宋体" w:cs="宋体"/>
          <w:color w:val="auto"/>
          <w:sz w:val="20"/>
          <w:szCs w:val="20"/>
          <w:highlight w:val="none"/>
          <w:lang w:eastAsia="zh-CN"/>
        </w:rPr>
      </w:pPr>
      <w:bookmarkStart w:id="392" w:name="bookmark4"/>
      <w:bookmarkEnd w:id="392"/>
      <w:bookmarkStart w:id="393" w:name="_Toc25506"/>
      <w:r>
        <w:rPr>
          <w:rFonts w:hint="eastAsia" w:ascii="宋体" w:hAnsi="宋体" w:eastAsia="宋体" w:cs="宋体"/>
          <w:color w:val="auto"/>
          <w:spacing w:val="8"/>
          <w:sz w:val="20"/>
          <w:szCs w:val="20"/>
          <w:highlight w:val="none"/>
          <w:lang w:eastAsia="zh-CN"/>
        </w:rPr>
        <w:t>小企业标准暂行规定》同时废止。</w:t>
      </w:r>
      <w:bookmarkEnd w:id="393"/>
    </w:p>
    <w:p w14:paraId="41AD5DF8">
      <w:pPr>
        <w:spacing w:line="228" w:lineRule="auto"/>
        <w:rPr>
          <w:rFonts w:hint="eastAsia" w:ascii="宋体" w:hAnsi="宋体" w:eastAsia="宋体" w:cs="宋体"/>
          <w:color w:val="auto"/>
          <w:sz w:val="20"/>
          <w:szCs w:val="20"/>
          <w:highlight w:val="none"/>
          <w:lang w:eastAsia="zh-CN"/>
        </w:rPr>
        <w:sectPr>
          <w:pgSz w:w="11906" w:h="16839"/>
          <w:pgMar w:top="1354" w:right="1291" w:bottom="0" w:left="1368" w:header="0" w:footer="737" w:gutter="0"/>
          <w:pgNumType w:fmt="decimal"/>
          <w:cols w:space="720" w:num="1"/>
        </w:sectPr>
      </w:pPr>
    </w:p>
    <w:p w14:paraId="52ADFE67">
      <w:pPr>
        <w:pageBreakBefore w:val="0"/>
        <w:widowControl/>
        <w:kinsoku/>
        <w:wordWrap w:val="0"/>
        <w:overflowPunct/>
        <w:bidi w:val="0"/>
        <w:adjustRightInd w:val="0"/>
        <w:snapToGrid w:val="0"/>
        <w:spacing w:before="0" w:after="0" w:line="360" w:lineRule="auto"/>
        <w:outlineLvl w:val="9"/>
        <w:rPr>
          <w:rFonts w:hint="eastAsia" w:ascii="宋体"/>
          <w:bCs/>
          <w:kern w:val="44"/>
          <w:szCs w:val="21"/>
          <w:highlight w:val="none"/>
        </w:rPr>
      </w:pPr>
      <w:r>
        <w:rPr>
          <w:rFonts w:hint="eastAsia" w:ascii="宋体"/>
          <w:bCs/>
          <w:kern w:val="44"/>
          <w:szCs w:val="21"/>
          <w:highlight w:val="none"/>
        </w:rPr>
        <w:t>附1</w:t>
      </w:r>
      <w:bookmarkEnd w:id="387"/>
      <w:bookmarkEnd w:id="388"/>
      <w:bookmarkEnd w:id="389"/>
      <w:bookmarkEnd w:id="390"/>
    </w:p>
    <w:p w14:paraId="4A226EE6">
      <w:pPr>
        <w:pageBreakBefore w:val="0"/>
        <w:kinsoku/>
        <w:wordWrap w:val="0"/>
        <w:overflowPunct/>
        <w:bidi w:val="0"/>
        <w:jc w:val="center"/>
        <w:rPr>
          <w:rFonts w:hint="eastAsia" w:ascii="宋体" w:cs="宋体"/>
          <w:b/>
          <w:bCs/>
          <w:sz w:val="30"/>
          <w:szCs w:val="30"/>
          <w:highlight w:val="none"/>
        </w:rPr>
      </w:pPr>
      <w:r>
        <w:rPr>
          <w:rFonts w:hint="eastAsia" w:ascii="宋体" w:cs="宋体"/>
          <w:b/>
          <w:bCs/>
          <w:sz w:val="30"/>
          <w:szCs w:val="30"/>
          <w:highlight w:val="none"/>
        </w:rPr>
        <w:t>中小企业声明函（货物）</w:t>
      </w:r>
    </w:p>
    <w:p w14:paraId="65668267">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本公司（联合体）郑重声明，根据《政府采购促进中小 企业发展管理办法》（财库﹝2020﹞46 号）的规定，本公司 （联合体）参加</w:t>
      </w:r>
      <w:r>
        <w:rPr>
          <w:rFonts w:hint="eastAsia" w:ascii="宋体" w:cs="宋体"/>
          <w:sz w:val="24"/>
          <w:highlight w:val="none"/>
          <w:u w:val="single"/>
        </w:rPr>
        <w:t>（单位名称）</w:t>
      </w:r>
      <w:r>
        <w:rPr>
          <w:rFonts w:hint="eastAsia" w:ascii="宋体" w:cs="宋体"/>
          <w:sz w:val="24"/>
          <w:highlight w:val="none"/>
        </w:rPr>
        <w:t>的</w:t>
      </w:r>
      <w:r>
        <w:rPr>
          <w:rFonts w:hint="eastAsia" w:ascii="宋体" w:cs="宋体"/>
          <w:sz w:val="24"/>
          <w:highlight w:val="none"/>
          <w:u w:val="single"/>
        </w:rPr>
        <w:t>（项目名称）</w:t>
      </w:r>
      <w:r>
        <w:rPr>
          <w:rFonts w:hint="eastAsia" w:ascii="宋体" w:cs="宋体"/>
          <w:sz w:val="24"/>
          <w:highlight w:val="none"/>
        </w:rPr>
        <w:t>采购活动，提供的货物全部由符合政策要求的中小企业制造。相关企业 （含联合体中的中小企业、签订分包意向协议的中小企业） 的具体情况如下：</w:t>
      </w:r>
    </w:p>
    <w:p w14:paraId="7EFCAAD4">
      <w:pPr>
        <w:pageBreakBefore w:val="0"/>
        <w:numPr>
          <w:ilvl w:val="0"/>
          <w:numId w:val="4"/>
        </w:numPr>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u w:val="single"/>
        </w:rPr>
        <w:t>（标的名称）</w:t>
      </w:r>
      <w:r>
        <w:rPr>
          <w:rFonts w:hint="eastAsia" w:ascii="宋体" w:cs="宋体"/>
          <w:sz w:val="24"/>
          <w:highlight w:val="none"/>
        </w:rPr>
        <w:t xml:space="preserve"> ，属于</w:t>
      </w:r>
      <w:r>
        <w:rPr>
          <w:rFonts w:hint="eastAsia" w:ascii="宋体" w:cs="宋体"/>
          <w:sz w:val="24"/>
          <w:highlight w:val="none"/>
          <w:u w:val="single"/>
        </w:rPr>
        <w:t xml:space="preserve">                  </w:t>
      </w:r>
      <w:r>
        <w:rPr>
          <w:rFonts w:hint="eastAsia" w:ascii="宋体" w:cs="宋体"/>
          <w:sz w:val="24"/>
          <w:highlight w:val="none"/>
        </w:rPr>
        <w:t>行业；制造商为</w:t>
      </w:r>
      <w:r>
        <w:rPr>
          <w:rFonts w:hint="eastAsia" w:ascii="宋体" w:cs="宋体"/>
          <w:sz w:val="24"/>
          <w:highlight w:val="none"/>
          <w:u w:val="single"/>
        </w:rPr>
        <w:t>（企业名称）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 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w:t>
      </w:r>
      <w:r>
        <w:rPr>
          <w:rFonts w:hint="eastAsia" w:ascii="宋体" w:cs="宋体"/>
          <w:sz w:val="13"/>
          <w:szCs w:val="13"/>
          <w:highlight w:val="none"/>
        </w:rPr>
        <w:t>①</w:t>
      </w:r>
      <w:r>
        <w:rPr>
          <w:rFonts w:hint="eastAsia" w:ascii="宋体" w:cs="宋体"/>
          <w:sz w:val="24"/>
          <w:highlight w:val="none"/>
        </w:rPr>
        <w:t>，属于</w:t>
      </w:r>
      <w:r>
        <w:rPr>
          <w:rFonts w:hint="eastAsia" w:ascii="宋体" w:cs="宋体"/>
          <w:sz w:val="24"/>
          <w:highlight w:val="none"/>
          <w:u w:val="single"/>
        </w:rPr>
        <w:t>（中型企业、小 型企业、微型企业）</w:t>
      </w:r>
      <w:r>
        <w:rPr>
          <w:rFonts w:hint="eastAsia" w:ascii="宋体" w:cs="宋体"/>
          <w:sz w:val="24"/>
          <w:highlight w:val="none"/>
        </w:rPr>
        <w:t xml:space="preserve">； </w:t>
      </w:r>
    </w:p>
    <w:p w14:paraId="0B5A00C0">
      <w:pPr>
        <w:pageBreakBefore w:val="0"/>
        <w:numPr>
          <w:ilvl w:val="0"/>
          <w:numId w:val="4"/>
        </w:numPr>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u w:val="single"/>
        </w:rPr>
        <w:t>（标的名称）</w:t>
      </w:r>
      <w:r>
        <w:rPr>
          <w:rFonts w:hint="eastAsia" w:ascii="宋体" w:cs="宋体"/>
          <w:sz w:val="24"/>
          <w:highlight w:val="none"/>
        </w:rPr>
        <w:t xml:space="preserve"> ，属于</w:t>
      </w:r>
      <w:r>
        <w:rPr>
          <w:rFonts w:hint="eastAsia" w:ascii="宋体" w:cs="宋体"/>
          <w:sz w:val="24"/>
          <w:highlight w:val="none"/>
          <w:u w:val="single"/>
        </w:rPr>
        <w:t xml:space="preserve">                  </w:t>
      </w:r>
      <w:r>
        <w:rPr>
          <w:rFonts w:hint="eastAsia" w:ascii="宋体" w:cs="宋体"/>
          <w:sz w:val="24"/>
          <w:highlight w:val="none"/>
        </w:rPr>
        <w:t>行业；制造商为</w:t>
      </w:r>
      <w:r>
        <w:rPr>
          <w:rFonts w:hint="eastAsia" w:ascii="宋体" w:cs="宋体"/>
          <w:sz w:val="24"/>
          <w:highlight w:val="none"/>
          <w:u w:val="single"/>
        </w:rPr>
        <w:t>（企业名称）</w:t>
      </w:r>
      <w:r>
        <w:rPr>
          <w:rFonts w:hint="eastAsia" w:ascii="宋体" w:cs="宋体"/>
          <w:sz w:val="24"/>
          <w:highlight w:val="none"/>
        </w:rPr>
        <w:t>，从业人员</w:t>
      </w:r>
      <w:r>
        <w:rPr>
          <w:rFonts w:hint="eastAsia" w:ascii="宋体" w:cs="宋体"/>
          <w:sz w:val="24"/>
          <w:highlight w:val="none"/>
          <w:u w:val="single"/>
        </w:rPr>
        <w:t xml:space="preserve">    </w:t>
      </w:r>
      <w:r>
        <w:rPr>
          <w:rFonts w:hint="eastAsia" w:ascii="宋体" w:cs="宋体"/>
          <w:sz w:val="24"/>
          <w:highlight w:val="none"/>
        </w:rPr>
        <w:t>人，营业收入为</w:t>
      </w:r>
      <w:r>
        <w:rPr>
          <w:rFonts w:hint="eastAsia" w:ascii="宋体" w:cs="宋体"/>
          <w:sz w:val="24"/>
          <w:highlight w:val="none"/>
          <w:u w:val="single"/>
        </w:rPr>
        <w:t xml:space="preserve">     </w:t>
      </w:r>
      <w:r>
        <w:rPr>
          <w:rFonts w:hint="eastAsia" w:ascii="宋体" w:cs="宋体"/>
          <w:sz w:val="24"/>
          <w:highlight w:val="none"/>
        </w:rPr>
        <w:t>万元，资产总额为</w:t>
      </w:r>
      <w:r>
        <w:rPr>
          <w:rFonts w:hint="eastAsia" w:ascii="宋体" w:cs="宋体"/>
          <w:sz w:val="24"/>
          <w:highlight w:val="none"/>
          <w:u w:val="single"/>
        </w:rPr>
        <w:t xml:space="preserve">      </w:t>
      </w:r>
      <w:r>
        <w:rPr>
          <w:rFonts w:hint="eastAsia" w:ascii="宋体" w:cs="宋体"/>
          <w:sz w:val="24"/>
          <w:highlight w:val="none"/>
        </w:rPr>
        <w:t>万元，属于</w:t>
      </w:r>
      <w:r>
        <w:rPr>
          <w:rFonts w:hint="eastAsia" w:ascii="宋体" w:cs="宋体"/>
          <w:sz w:val="24"/>
          <w:highlight w:val="none"/>
          <w:u w:val="single"/>
        </w:rPr>
        <w:t>（中型企业、小型 企业、微型企业）</w:t>
      </w:r>
      <w:r>
        <w:rPr>
          <w:rFonts w:hint="eastAsia" w:ascii="宋体" w:cs="宋体"/>
          <w:sz w:val="24"/>
          <w:highlight w:val="none"/>
        </w:rPr>
        <w:t>；</w:t>
      </w:r>
    </w:p>
    <w:p w14:paraId="6F7387DF">
      <w:pPr>
        <w:pageBreakBefore w:val="0"/>
        <w:kinsoku/>
        <w:wordWrap w:val="0"/>
        <w:overflowPunct/>
        <w:bidi w:val="0"/>
        <w:spacing w:line="480" w:lineRule="auto"/>
        <w:ind w:left="630" w:leftChars="300"/>
        <w:rPr>
          <w:rFonts w:hint="eastAsia" w:ascii="宋体" w:cs="宋体"/>
          <w:sz w:val="24"/>
          <w:highlight w:val="none"/>
        </w:rPr>
      </w:pPr>
      <w:r>
        <w:rPr>
          <w:rFonts w:hint="eastAsia" w:ascii="宋体" w:cs="宋体"/>
          <w:sz w:val="24"/>
          <w:highlight w:val="none"/>
        </w:rPr>
        <w:t xml:space="preserve"> ....... </w:t>
      </w:r>
    </w:p>
    <w:p w14:paraId="574F94C3">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 xml:space="preserve">以上企业，不属于大企业的分支机构，不存在控股股东 为大企业的情形，也不存在与大企业的负责人为同一人的情形。 </w:t>
      </w:r>
    </w:p>
    <w:p w14:paraId="3D8956DE">
      <w:pPr>
        <w:pageBreakBefore w:val="0"/>
        <w:kinsoku/>
        <w:wordWrap w:val="0"/>
        <w:overflowPunct/>
        <w:bidi w:val="0"/>
        <w:spacing w:line="480" w:lineRule="auto"/>
        <w:ind w:firstLine="720" w:firstLineChars="300"/>
        <w:rPr>
          <w:rFonts w:hint="eastAsia" w:ascii="宋体" w:cs="宋体"/>
          <w:sz w:val="24"/>
          <w:highlight w:val="none"/>
        </w:rPr>
      </w:pPr>
      <w:r>
        <w:rPr>
          <w:rFonts w:hint="eastAsia" w:ascii="宋体" w:cs="宋体"/>
          <w:sz w:val="24"/>
          <w:highlight w:val="none"/>
        </w:rPr>
        <w:t xml:space="preserve">本企业对上述声明内容的真实性负责。如有虚假，将依 法承担相应责任。 </w:t>
      </w:r>
    </w:p>
    <w:p w14:paraId="262E5F01">
      <w:pPr>
        <w:pageBreakBefore w:val="0"/>
        <w:kinsoku/>
        <w:wordWrap w:val="0"/>
        <w:overflowPunct/>
        <w:bidi w:val="0"/>
        <w:spacing w:line="480" w:lineRule="auto"/>
        <w:ind w:firstLine="720" w:firstLineChars="300"/>
        <w:jc w:val="center"/>
        <w:rPr>
          <w:rFonts w:hint="eastAsia" w:ascii="宋体" w:cs="宋体"/>
          <w:sz w:val="24"/>
          <w:highlight w:val="none"/>
        </w:rPr>
      </w:pPr>
    </w:p>
    <w:p w14:paraId="3D614F1D">
      <w:pPr>
        <w:pageBreakBefore w:val="0"/>
        <w:kinsoku/>
        <w:wordWrap w:val="0"/>
        <w:overflowPunct/>
        <w:bidi w:val="0"/>
        <w:spacing w:line="480" w:lineRule="auto"/>
        <w:ind w:firstLine="720" w:firstLineChars="300"/>
        <w:jc w:val="center"/>
        <w:rPr>
          <w:rFonts w:hint="eastAsia" w:ascii="宋体" w:cs="宋体"/>
          <w:sz w:val="24"/>
          <w:highlight w:val="none"/>
        </w:rPr>
      </w:pPr>
      <w:r>
        <w:rPr>
          <w:rFonts w:hint="eastAsia" w:ascii="宋体" w:cs="宋体"/>
          <w:sz w:val="24"/>
          <w:highlight w:val="none"/>
          <w:lang w:val="en-US" w:eastAsia="zh-CN"/>
        </w:rPr>
        <w:t xml:space="preserve">          </w:t>
      </w:r>
      <w:r>
        <w:rPr>
          <w:rFonts w:hint="eastAsia" w:ascii="宋体" w:cs="宋体"/>
          <w:sz w:val="24"/>
          <w:highlight w:val="none"/>
        </w:rPr>
        <w:t>企业名称（盖章）：</w:t>
      </w:r>
    </w:p>
    <w:p w14:paraId="2A785945">
      <w:pPr>
        <w:pageBreakBefore w:val="0"/>
        <w:kinsoku/>
        <w:wordWrap w:val="0"/>
        <w:overflowPunct/>
        <w:bidi w:val="0"/>
        <w:spacing w:line="480" w:lineRule="auto"/>
        <w:ind w:firstLine="4800" w:firstLineChars="2000"/>
        <w:rPr>
          <w:rFonts w:hint="eastAsia" w:ascii="宋体" w:cs="宋体"/>
          <w:sz w:val="24"/>
          <w:highlight w:val="none"/>
        </w:rPr>
      </w:pPr>
      <w:r>
        <w:rPr>
          <w:rFonts w:hint="eastAsia" w:ascii="宋体" w:cs="宋体"/>
          <w:sz w:val="24"/>
          <w:highlight w:val="none"/>
        </w:rPr>
        <w:t>日 期：</w:t>
      </w:r>
    </w:p>
    <w:p w14:paraId="54E15FFF">
      <w:pPr>
        <w:pageBreakBefore w:val="0"/>
        <w:kinsoku/>
        <w:wordWrap w:val="0"/>
        <w:overflowPunct/>
        <w:bidi w:val="0"/>
        <w:spacing w:line="480" w:lineRule="auto"/>
        <w:ind w:firstLine="720" w:firstLineChars="300"/>
        <w:rPr>
          <w:rFonts w:hint="eastAsia" w:ascii="宋体" w:cs="宋体"/>
          <w:sz w:val="24"/>
          <w:highlight w:val="none"/>
        </w:rPr>
      </w:pPr>
    </w:p>
    <w:p w14:paraId="61E98DA6">
      <w:pPr>
        <w:pageBreakBefore w:val="0"/>
        <w:kinsoku/>
        <w:wordWrap w:val="0"/>
        <w:overflowPunct/>
        <w:bidi w:val="0"/>
        <w:spacing w:line="480" w:lineRule="auto"/>
        <w:ind w:firstLine="720" w:firstLineChars="300"/>
        <w:rPr>
          <w:rFonts w:hint="eastAsia" w:ascii="宋体" w:cs="宋体"/>
          <w:sz w:val="24"/>
          <w:highlight w:val="none"/>
        </w:rPr>
      </w:pPr>
    </w:p>
    <w:p w14:paraId="47BAE984">
      <w:pPr>
        <w:pageBreakBefore w:val="0"/>
        <w:kinsoku/>
        <w:wordWrap w:val="0"/>
        <w:overflowPunct/>
        <w:bidi w:val="0"/>
        <w:spacing w:line="480" w:lineRule="auto"/>
        <w:ind w:firstLine="390" w:firstLineChars="300"/>
        <w:rPr>
          <w:rFonts w:hint="eastAsia" w:ascii="宋体" w:cs="宋体"/>
          <w:sz w:val="24"/>
          <w:highlight w:val="none"/>
        </w:rPr>
      </w:pPr>
      <w:r>
        <w:rPr>
          <w:rFonts w:hint="eastAsia" w:ascii="宋体" w:cs="宋体"/>
          <w:sz w:val="13"/>
          <w:szCs w:val="13"/>
          <w:highlight w:val="none"/>
        </w:rPr>
        <w:t>①从业人员、营业收入、资产总额填报上一年度数据，无上一年度数据的新成立企业可不填报</w:t>
      </w:r>
    </w:p>
    <w:p w14:paraId="05661109">
      <w:pPr>
        <w:pageBreakBefore w:val="0"/>
        <w:kinsoku/>
        <w:wordWrap w:val="0"/>
        <w:overflowPunct/>
        <w:bidi w:val="0"/>
        <w:rPr>
          <w:rFonts w:hint="eastAsia" w:ascii="宋体"/>
          <w:szCs w:val="21"/>
          <w:highlight w:val="none"/>
        </w:rPr>
        <w:sectPr>
          <w:footerReference r:id="rId14" w:type="default"/>
          <w:pgSz w:w="11910" w:h="16840"/>
          <w:pgMar w:top="1500" w:right="1380" w:bottom="1780" w:left="1580" w:header="0" w:footer="1595" w:gutter="0"/>
          <w:cols w:space="720" w:num="1"/>
          <w:docGrid w:linePitch="285" w:charSpace="0"/>
        </w:sectPr>
      </w:pPr>
    </w:p>
    <w:p w14:paraId="1CF8BF76">
      <w:pPr>
        <w:pageBreakBefore w:val="0"/>
        <w:widowControl/>
        <w:kinsoku/>
        <w:wordWrap w:val="0"/>
        <w:overflowPunct/>
        <w:bidi w:val="0"/>
        <w:jc w:val="left"/>
        <w:rPr>
          <w:rFonts w:hint="eastAsia" w:ascii="宋体"/>
          <w:spacing w:val="24"/>
          <w:szCs w:val="21"/>
          <w:highlight w:val="none"/>
        </w:rPr>
      </w:pPr>
    </w:p>
    <w:p w14:paraId="5E85240B">
      <w:pPr>
        <w:keepNext w:val="0"/>
        <w:keepLines w:val="0"/>
        <w:pageBreakBefore w:val="0"/>
        <w:kinsoku/>
        <w:wordWrap w:val="0"/>
        <w:overflowPunct/>
        <w:bidi w:val="0"/>
        <w:spacing w:line="300" w:lineRule="auto"/>
        <w:jc w:val="center"/>
        <w:outlineLvl w:val="9"/>
        <w:rPr>
          <w:rFonts w:hint="eastAsia"/>
          <w:b/>
          <w:bCs/>
          <w:kern w:val="44"/>
          <w:sz w:val="44"/>
          <w:szCs w:val="44"/>
          <w:highlight w:val="none"/>
        </w:rPr>
      </w:pPr>
      <w:bookmarkStart w:id="394" w:name="_Toc152045609"/>
      <w:bookmarkStart w:id="395" w:name="_Toc246996995"/>
      <w:bookmarkStart w:id="396" w:name="_Toc439"/>
      <w:bookmarkStart w:id="397" w:name="_Toc179632627"/>
      <w:bookmarkStart w:id="398" w:name="_Toc152042387"/>
      <w:bookmarkStart w:id="399" w:name="_Toc13394"/>
      <w:bookmarkStart w:id="400" w:name="_Toc77166516"/>
      <w:bookmarkStart w:id="401" w:name="_Toc468267476"/>
      <w:bookmarkStart w:id="402" w:name="_Toc144974577"/>
      <w:bookmarkStart w:id="403" w:name="_Toc247085767"/>
      <w:bookmarkStart w:id="404" w:name="_Toc246996252"/>
      <w:r>
        <w:rPr>
          <w:rFonts w:hint="eastAsia"/>
          <w:b/>
          <w:bCs/>
          <w:kern w:val="44"/>
          <w:sz w:val="44"/>
          <w:szCs w:val="44"/>
          <w:highlight w:val="none"/>
        </w:rPr>
        <w:t>第四章 合同条款</w:t>
      </w:r>
      <w:bookmarkEnd w:id="394"/>
      <w:bookmarkEnd w:id="395"/>
      <w:bookmarkEnd w:id="396"/>
      <w:bookmarkEnd w:id="397"/>
      <w:bookmarkEnd w:id="398"/>
      <w:bookmarkEnd w:id="399"/>
      <w:bookmarkEnd w:id="400"/>
      <w:bookmarkEnd w:id="401"/>
      <w:bookmarkEnd w:id="402"/>
      <w:bookmarkEnd w:id="403"/>
      <w:bookmarkEnd w:id="404"/>
      <w:bookmarkStart w:id="405" w:name="_Toc468267477"/>
      <w:bookmarkStart w:id="406" w:name="_Toc144974826"/>
      <w:bookmarkStart w:id="407" w:name="_Toc152045767"/>
      <w:bookmarkStart w:id="408" w:name="_Toc179632785"/>
      <w:bookmarkStart w:id="409" w:name="_Toc152042546"/>
    </w:p>
    <w:bookmarkEnd w:id="405"/>
    <w:p w14:paraId="1895A314">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1、签订合同应遵守政府采购法、合同法。</w:t>
      </w:r>
    </w:p>
    <w:p w14:paraId="33557545">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2、签订合同时，采购人与中标人应结合招标文件第五章规定填列相应内容。招标文件已有规定的，双方均不得变更或调整；招标文件未作规定的，双方可通过友好协商进行约定。</w:t>
      </w:r>
    </w:p>
    <w:p w14:paraId="65BFC555">
      <w:pPr>
        <w:pageBreakBefore w:val="0"/>
        <w:widowControl/>
        <w:kinsoku/>
        <w:wordWrap w:val="0"/>
        <w:overflowPunct/>
        <w:bidi w:val="0"/>
        <w:spacing w:before="75" w:after="75" w:line="320" w:lineRule="atLeast"/>
        <w:jc w:val="left"/>
        <w:rPr>
          <w:rFonts w:hint="eastAsia" w:ascii="宋体"/>
          <w:kern w:val="0"/>
          <w:szCs w:val="21"/>
          <w:highlight w:val="none"/>
        </w:rPr>
      </w:pPr>
      <w:r>
        <w:rPr>
          <w:rFonts w:hint="eastAsia"/>
          <w:b/>
          <w:bCs/>
          <w:kern w:val="0"/>
          <w:szCs w:val="21"/>
          <w:highlight w:val="none"/>
        </w:rPr>
        <w:t>3、国家有关部门对若干合同有规范文本的，可使用相应合同文本。</w:t>
      </w:r>
    </w:p>
    <w:p w14:paraId="661FB311">
      <w:pPr>
        <w:pageBreakBefore w:val="0"/>
        <w:widowControl/>
        <w:kinsoku/>
        <w:wordWrap w:val="0"/>
        <w:overflowPunct/>
        <w:bidi w:val="0"/>
        <w:spacing w:before="75" w:after="75" w:line="320" w:lineRule="atLeast"/>
        <w:jc w:val="left"/>
        <w:rPr>
          <w:rFonts w:hint="eastAsia" w:ascii="宋体"/>
          <w:kern w:val="0"/>
          <w:szCs w:val="21"/>
          <w:highlight w:val="none"/>
        </w:rPr>
      </w:pPr>
    </w:p>
    <w:p w14:paraId="3B40ABFB">
      <w:pPr>
        <w:pageBreakBefore w:val="0"/>
        <w:widowControl/>
        <w:kinsoku/>
        <w:wordWrap w:val="0"/>
        <w:overflowPunct/>
        <w:bidi w:val="0"/>
        <w:spacing w:before="75" w:after="75" w:line="320" w:lineRule="atLeast"/>
        <w:jc w:val="center"/>
        <w:rPr>
          <w:rFonts w:hint="eastAsia" w:ascii="Times New Roman" w:hAnsi="Times New Roman" w:eastAsia="宋体" w:cs="Times New Roman"/>
          <w:b/>
          <w:bCs/>
          <w:kern w:val="0"/>
          <w:sz w:val="22"/>
          <w:szCs w:val="22"/>
          <w:highlight w:val="none"/>
        </w:rPr>
      </w:pPr>
      <w:r>
        <w:rPr>
          <w:rFonts w:hint="eastAsia" w:ascii="Times New Roman" w:hAnsi="Times New Roman" w:eastAsia="宋体" w:cs="Times New Roman"/>
          <w:b/>
          <w:bCs/>
          <w:kern w:val="0"/>
          <w:sz w:val="22"/>
          <w:szCs w:val="22"/>
          <w:highlight w:val="none"/>
          <w:lang w:val="en-US"/>
        </w:rPr>
        <w:t>以甲乙双方实际签订为准</w:t>
      </w:r>
    </w:p>
    <w:p w14:paraId="091254B4">
      <w:pPr>
        <w:pageBreakBefore w:val="0"/>
        <w:kinsoku/>
        <w:wordWrap w:val="0"/>
        <w:overflowPunct/>
        <w:bidi w:val="0"/>
        <w:jc w:val="center"/>
        <w:rPr>
          <w:rFonts w:hint="eastAsia" w:ascii="宋体"/>
          <w:highlight w:val="none"/>
        </w:rPr>
        <w:sectPr>
          <w:footerReference r:id="rId16" w:type="first"/>
          <w:footerReference r:id="rId15" w:type="default"/>
          <w:pgSz w:w="11907" w:h="16840"/>
          <w:pgMar w:top="1134" w:right="1418" w:bottom="1134" w:left="1418" w:header="567" w:footer="567" w:gutter="0"/>
          <w:cols w:space="720" w:num="1"/>
          <w:titlePg/>
          <w:docGrid w:linePitch="312" w:charSpace="0"/>
        </w:sectPr>
      </w:pPr>
    </w:p>
    <w:p w14:paraId="5D55376F">
      <w:pPr>
        <w:keepNext/>
        <w:keepLines/>
        <w:pageBreakBefore w:val="0"/>
        <w:kinsoku/>
        <w:wordWrap w:val="0"/>
        <w:overflowPunct/>
        <w:bidi w:val="0"/>
        <w:spacing w:line="300" w:lineRule="auto"/>
        <w:jc w:val="center"/>
        <w:outlineLvl w:val="0"/>
        <w:rPr>
          <w:rFonts w:hint="eastAsia"/>
          <w:b/>
          <w:bCs/>
          <w:kern w:val="44"/>
          <w:sz w:val="44"/>
          <w:szCs w:val="44"/>
          <w:highlight w:val="none"/>
        </w:rPr>
      </w:pPr>
      <w:bookmarkStart w:id="410" w:name="_Toc15599"/>
      <w:bookmarkStart w:id="411" w:name="_Toc30597"/>
      <w:bookmarkStart w:id="412" w:name="_Toc77166519"/>
      <w:r>
        <w:rPr>
          <w:rFonts w:hint="eastAsia"/>
          <w:b/>
          <w:bCs/>
          <w:kern w:val="44"/>
          <w:sz w:val="44"/>
          <w:szCs w:val="44"/>
          <w:highlight w:val="none"/>
        </w:rPr>
        <w:t>第五章  货物需求一览表及技术要求</w:t>
      </w:r>
      <w:bookmarkEnd w:id="410"/>
      <w:bookmarkEnd w:id="411"/>
      <w:bookmarkEnd w:id="412"/>
    </w:p>
    <w:p w14:paraId="2B4EA8CF">
      <w:pPr>
        <w:rPr>
          <w:rFonts w:hint="eastAsia" w:ascii="宋体" w:hAnsi="宋体" w:eastAsia="宋体" w:cs="宋体"/>
          <w:sz w:val="32"/>
          <w:szCs w:val="32"/>
        </w:rPr>
      </w:pPr>
    </w:p>
    <w:tbl>
      <w:tblPr>
        <w:tblStyle w:val="16"/>
        <w:tblW w:w="14495" w:type="dxa"/>
        <w:tblInd w:w="0" w:type="dxa"/>
        <w:tblLayout w:type="fixed"/>
        <w:tblCellMar>
          <w:top w:w="15" w:type="dxa"/>
          <w:left w:w="15" w:type="dxa"/>
          <w:bottom w:w="15" w:type="dxa"/>
          <w:right w:w="15" w:type="dxa"/>
        </w:tblCellMar>
      </w:tblPr>
      <w:tblGrid>
        <w:gridCol w:w="303"/>
        <w:gridCol w:w="1098"/>
        <w:gridCol w:w="11907"/>
        <w:gridCol w:w="577"/>
        <w:gridCol w:w="610"/>
      </w:tblGrid>
      <w:tr w14:paraId="7403A412">
        <w:tblPrEx>
          <w:tblCellMar>
            <w:top w:w="15" w:type="dxa"/>
            <w:left w:w="15" w:type="dxa"/>
            <w:bottom w:w="15" w:type="dxa"/>
            <w:right w:w="15" w:type="dxa"/>
          </w:tblCellMar>
        </w:tblPrEx>
        <w:trPr>
          <w:trHeight w:val="567" w:hRule="atLeast"/>
          <w:tblHeader/>
        </w:trPr>
        <w:tc>
          <w:tcPr>
            <w:tcW w:w="303" w:type="dxa"/>
            <w:tcBorders>
              <w:top w:val="single" w:color="000000" w:sz="4" w:space="0"/>
              <w:left w:val="single" w:color="000000" w:sz="4" w:space="0"/>
              <w:bottom w:val="single" w:color="000000" w:sz="4" w:space="0"/>
              <w:right w:val="single" w:color="000000" w:sz="4" w:space="0"/>
            </w:tcBorders>
            <w:vAlign w:val="center"/>
          </w:tcPr>
          <w:p w14:paraId="70AB7878">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序号</w:t>
            </w:r>
          </w:p>
        </w:tc>
        <w:tc>
          <w:tcPr>
            <w:tcW w:w="1098" w:type="dxa"/>
            <w:tcBorders>
              <w:top w:val="single" w:color="000000" w:sz="4" w:space="0"/>
              <w:left w:val="single" w:color="000000" w:sz="4" w:space="0"/>
              <w:bottom w:val="single" w:color="000000" w:sz="4" w:space="0"/>
              <w:right w:val="single" w:color="000000" w:sz="4" w:space="0"/>
            </w:tcBorders>
            <w:vAlign w:val="center"/>
          </w:tcPr>
          <w:p w14:paraId="1FC75F8B">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货物名称</w:t>
            </w:r>
          </w:p>
        </w:tc>
        <w:tc>
          <w:tcPr>
            <w:tcW w:w="11907" w:type="dxa"/>
            <w:tcBorders>
              <w:top w:val="single" w:color="000000" w:sz="4" w:space="0"/>
              <w:left w:val="single" w:color="000000" w:sz="4" w:space="0"/>
              <w:bottom w:val="single" w:color="000000" w:sz="4" w:space="0"/>
              <w:right w:val="single" w:color="000000" w:sz="4" w:space="0"/>
            </w:tcBorders>
            <w:vAlign w:val="center"/>
          </w:tcPr>
          <w:p w14:paraId="4D4A390B">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参数</w:t>
            </w:r>
          </w:p>
        </w:tc>
        <w:tc>
          <w:tcPr>
            <w:tcW w:w="577" w:type="dxa"/>
            <w:tcBorders>
              <w:top w:val="single" w:color="000000" w:sz="4" w:space="0"/>
              <w:left w:val="single" w:color="000000" w:sz="4" w:space="0"/>
              <w:bottom w:val="single" w:color="000000" w:sz="4" w:space="0"/>
              <w:right w:val="single" w:color="000000" w:sz="4" w:space="0"/>
            </w:tcBorders>
            <w:vAlign w:val="center"/>
          </w:tcPr>
          <w:p w14:paraId="0A71B44A">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单位</w:t>
            </w:r>
          </w:p>
        </w:tc>
        <w:tc>
          <w:tcPr>
            <w:tcW w:w="610" w:type="dxa"/>
            <w:tcBorders>
              <w:top w:val="single" w:color="000000" w:sz="4" w:space="0"/>
              <w:left w:val="single" w:color="000000" w:sz="4" w:space="0"/>
              <w:bottom w:val="single" w:color="000000" w:sz="4" w:space="0"/>
              <w:right w:val="single" w:color="000000" w:sz="4" w:space="0"/>
            </w:tcBorders>
            <w:vAlign w:val="center"/>
          </w:tcPr>
          <w:p w14:paraId="396D457F">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数量</w:t>
            </w:r>
          </w:p>
        </w:tc>
      </w:tr>
      <w:tr w14:paraId="0BC1093D">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1AD1D848">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1098" w:type="dxa"/>
            <w:tcBorders>
              <w:top w:val="single" w:color="000000" w:sz="4" w:space="0"/>
              <w:left w:val="single" w:color="000000" w:sz="4" w:space="0"/>
              <w:bottom w:val="single" w:color="000000" w:sz="4" w:space="0"/>
              <w:right w:val="single" w:color="000000" w:sz="4" w:space="0"/>
            </w:tcBorders>
            <w:vAlign w:val="center"/>
          </w:tcPr>
          <w:p w14:paraId="2ECF0D52">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cs="宋体"/>
                <w:szCs w:val="21"/>
                <w:highlight w:val="none"/>
              </w:rPr>
              <w:t>86英寸智慧黑板（电容屏）</w:t>
            </w:r>
          </w:p>
        </w:tc>
        <w:tc>
          <w:tcPr>
            <w:tcW w:w="11907" w:type="dxa"/>
            <w:tcBorders>
              <w:top w:val="single" w:color="000000" w:sz="4" w:space="0"/>
              <w:left w:val="single" w:color="000000" w:sz="4" w:space="0"/>
              <w:bottom w:val="single" w:color="000000" w:sz="4" w:space="0"/>
              <w:right w:val="single" w:color="000000" w:sz="4" w:space="0"/>
            </w:tcBorders>
            <w:vAlign w:val="center"/>
          </w:tcPr>
          <w:p w14:paraId="54550C0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一、整机部分</w:t>
            </w:r>
          </w:p>
          <w:p w14:paraId="7F81D45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1.智能交互黑板采用无推拉式结构，采用三拼接平面一体化设计，主副屏过渡平滑，中间无单独边框阻隔。</w:t>
            </w:r>
          </w:p>
          <w:p w14:paraId="3D220D58">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2.智能交互黑板整机长度≥4200mm，高度≥1200mm，采用超高清86英寸LED液晶显示屏，显示比例16:9，分辨率3840×2160。</w:t>
            </w:r>
          </w:p>
          <w:p w14:paraId="06B7D2A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3.智能交互黑板主屏支持普通粉笔直接书写，两侧副屏可支持普通粉笔、液体粉笔等进行板书书写。副屏支持磁吸附功能，可以满足带有磁吸的板擦等教具进行吸附在副屏上。</w:t>
            </w:r>
          </w:p>
          <w:p w14:paraId="0DB4B86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4.智能交互黑板输入接口具备</w:t>
            </w:r>
            <w:r>
              <w:rPr>
                <w:rFonts w:hint="eastAsia" w:ascii="宋体"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2路HDMI、1路RS232、1路USB接口；输出接口具备</w:t>
            </w:r>
            <w:r>
              <w:rPr>
                <w:rFonts w:hint="eastAsia" w:ascii="宋体"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1路音频输出、1路触控USB输出；前置输入接口具备</w:t>
            </w:r>
            <w:r>
              <w:rPr>
                <w:rFonts w:hint="eastAsia" w:ascii="宋体"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rPr>
              <w:t>3路USB接口（1路Type-C、2路USB）。</w:t>
            </w:r>
          </w:p>
          <w:p w14:paraId="1BD6BD13">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5.智能交互黑板嵌入式系统版本不低于Android 13，内存≥2GB，存储空间≥8GB。（</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BEF1BB4">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6.智能交互黑板采用电容触控方式，支持Windows系统中≥</w:t>
            </w:r>
            <w:r>
              <w:rPr>
                <w:rFonts w:hint="eastAsia" w:ascii="宋体" w:hAnsi="宋体" w:cs="宋体"/>
                <w:b w:val="0"/>
                <w:bCs w:val="0"/>
                <w:color w:val="000000"/>
                <w:sz w:val="21"/>
                <w:szCs w:val="21"/>
                <w:highlight w:val="none"/>
                <w:lang w:val="en-US" w:eastAsia="zh-CN"/>
              </w:rPr>
              <w:t>20</w:t>
            </w:r>
            <w:r>
              <w:rPr>
                <w:rFonts w:hint="eastAsia" w:ascii="宋体" w:hAnsi="宋体" w:eastAsia="宋体" w:cs="宋体"/>
                <w:b w:val="0"/>
                <w:bCs w:val="0"/>
                <w:color w:val="000000"/>
                <w:sz w:val="21"/>
                <w:szCs w:val="21"/>
                <w:highlight w:val="none"/>
              </w:rPr>
              <w:t>点触控，支持Android系统中≥</w:t>
            </w:r>
            <w:r>
              <w:rPr>
                <w:rFonts w:hint="eastAsia" w:ascii="宋体" w:hAnsi="宋体" w:cs="宋体"/>
                <w:b w:val="0"/>
                <w:bCs w:val="0"/>
                <w:color w:val="000000"/>
                <w:sz w:val="21"/>
                <w:szCs w:val="21"/>
                <w:highlight w:val="none"/>
                <w:lang w:val="en-US" w:eastAsia="zh-CN"/>
              </w:rPr>
              <w:t>20</w:t>
            </w:r>
            <w:r>
              <w:rPr>
                <w:rFonts w:hint="eastAsia" w:ascii="宋体" w:hAnsi="宋体" w:eastAsia="宋体" w:cs="宋体"/>
                <w:b w:val="0"/>
                <w:bCs w:val="0"/>
                <w:color w:val="000000"/>
                <w:sz w:val="21"/>
                <w:szCs w:val="21"/>
                <w:highlight w:val="none"/>
              </w:rPr>
              <w:t>触控。（</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A075E9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智能交互黑板显示屏幕采用全贴合方式，屏幕保护玻璃与显示液晶屏组件，在结构上通过光学胶完全贴合在一起，中间贴合层无空气介质减少显示面板与玻璃间的偏光、散射，画面显示更加清晰通透、可视角度更广。（</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2FBE436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8.智能交互黑板内置2.2声道扬声器，10W高音扬声器2个，20W中低音扬声器2个，额定总功率60W。（</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37F645F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9.智能交互黑板内置非独立外扩展的8阵列麦克风，拾音角度≥180°，可用于对教室环境音频进行采集，拾音距离≥12m。（</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557F9BE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10.智能交互黑板内置扬声器采用缝隙发声技术，喇叭采用槽式开口设计，不大于5.8mm，扬声器在100%音量下，可做到1米处声压级≥88db，10米处声压级≥79dB。（</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66A0363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11.支持标准、听力、观影和AI空间感知音效模式，AI空间感知音效模式可通过内置麦克风采集教室物理环境声音，自动生成符合当前教室物理环境的频段、音量、音效。（</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2708B2A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12.智能交互黑板自带地震预警软件。支持在地震预警页面中获取位置，可以手动进行位置校准。支持在地震预警页面中选择提醒阈值。支持在地震预警界面中开启和关闭地震预警服务。（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11AB767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13.智能交互黑板支持色彩空间可选，包含标准模式和sRGB模式，在sRGB模式下可做到高色准△E≤1（</w:t>
            </w:r>
            <w:r>
              <w:rPr>
                <w:rFonts w:hint="eastAsia" w:ascii="宋体" w:hAnsi="宋体" w:cs="宋体"/>
                <w:b w:val="0"/>
                <w:bCs w:val="0"/>
                <w:color w:val="000000"/>
                <w:sz w:val="21"/>
                <w:szCs w:val="21"/>
                <w:highlight w:val="none"/>
                <w:lang w:val="en-US"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149F005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14.整机系统支持手势上滑调出人工智能画质调节模式（AI-PQ），在安卓通道下可根据屏幕内容自动调节画质参数，当屏幕出现人物、建筑、夜景等元素时，自动调整对比度、饱和度、锐利度、色调色相值、高光/阴影。</w:t>
            </w:r>
          </w:p>
          <w:p w14:paraId="455DC9AB">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15.全通道支持纸质护眼模式，可实现画面纹理的实时调整；</w:t>
            </w:r>
            <w:r>
              <w:rPr>
                <w:rFonts w:hint="eastAsia" w:ascii="宋体" w:hAnsi="宋体" w:cs="宋体"/>
                <w:b w:val="0"/>
                <w:bCs w:val="0"/>
                <w:color w:val="000000"/>
                <w:sz w:val="21"/>
                <w:szCs w:val="21"/>
                <w:highlight w:val="none"/>
                <w:lang w:val="en-US" w:eastAsia="zh-CN"/>
              </w:rPr>
              <w:t>至少</w:t>
            </w:r>
            <w:r>
              <w:rPr>
                <w:rFonts w:hint="eastAsia" w:ascii="宋体" w:hAnsi="宋体" w:eastAsia="宋体" w:cs="宋体"/>
                <w:b w:val="0"/>
                <w:bCs w:val="0"/>
                <w:color w:val="000000"/>
                <w:sz w:val="21"/>
                <w:szCs w:val="21"/>
                <w:highlight w:val="none"/>
              </w:rPr>
              <w:t>支持纸质纹理：牛皮纸、素描纸、宣纸、水彩纸、水纹纸；支持透明度调节；支持色温调节。（</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7DB4BA0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16.内置非独立式摄像头，视场角≥141度且水平视场角≥139度，可拍摄≥1600万像素的照片，支持输出8192×2048分辨率的照片和视频，支持画面畸变矫正功能 。（</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4E1D10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17.支持蓝牙Bluetooth 5.4标准，固件版本号HCI13.0/LMP13.0。（</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11ED291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18.支持发出频率为18kHz-22kHz超声波信号，智能手机通过麦克风接收后，智能手机与整机无需在同一局域网内，可实现配对，一键投屏，用户无需手动输入投屏码或扫码获取投屏码；（</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419185B">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19.内置双WiFi6无线网卡，在Android和Windows系统下，可实现Wi-Fi无线上网连接、AP无线热点发射；在Android下支持无线设备同时连接数量≥32个，在Windows系统下支持无线设备同时连接≥8个。（</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13DCC08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20.内置传屏接收模块，整机不需要连接任何附加设备，可实现外部电脑、手机等设备的音视频信号实时传输到整机上；（</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339B580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21.内置非独立式摄像头，摄像头数量≥4个。（</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1D5F168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22.黑板上边框内置非独立式广角高清摄像头，视场角≥142度且水平视场角≥121度，支持输出4:3、16:9比例的图片和视频；在清晰度为2592 x 1944分辨率下，支持30帧的视频输出。（</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675A711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23.整机内置非独式广角摄像头和智能拼接摄像头， 均支持 3D 降噪算法和数字宽动态范围成像WDR 技术，支持输出 MJPG、 H.264 视频格式；内置的非独立式3个智能拼接摄像头，支持清晰度TV lines ≥ 1600 lines。（</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5ADF7EF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24.黑板摄像头支持人脸识别、清点人数、随机抽人；识别所有学生，显示标记，然后随机抽选，同时显示标记不少于60人。（</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2A130A6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25.整机支持内置非独立摄像头模组，同时输出至少 3 路视频流，同时支持课堂远程巡课、课堂教学数据采集、本地画面预览（拍照或视频录制）。（</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561AC63">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26.黑板摄像头支持环境色温判断，根据环境调节合适的显示图像效果。（</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218036F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27.黑板Windows通道支持文件传输应用，</w:t>
            </w:r>
            <w:r>
              <w:rPr>
                <w:rFonts w:hint="eastAsia" w:ascii="宋体" w:hAnsi="宋体" w:cs="宋体"/>
                <w:b w:val="0"/>
                <w:bCs w:val="0"/>
                <w:color w:val="000000"/>
                <w:sz w:val="21"/>
                <w:szCs w:val="21"/>
                <w:highlight w:val="none"/>
                <w:lang w:val="en-US" w:eastAsia="zh-CN"/>
              </w:rPr>
              <w:t>至少</w:t>
            </w:r>
            <w:r>
              <w:rPr>
                <w:rFonts w:hint="eastAsia" w:ascii="宋体" w:hAnsi="宋体" w:eastAsia="宋体" w:cs="宋体"/>
                <w:b w:val="0"/>
                <w:bCs w:val="0"/>
                <w:color w:val="000000"/>
                <w:sz w:val="21"/>
                <w:szCs w:val="21"/>
                <w:highlight w:val="none"/>
              </w:rPr>
              <w:t>支持通过扫码、wifi直联、超声三种方式与手机进行握手连接，实现文件传输功能。（</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713E05F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二、内置电脑</w:t>
            </w:r>
          </w:p>
          <w:p w14:paraId="4761C5DE">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1.处理器≥ Intel Core i5</w:t>
            </w:r>
            <w:r>
              <w:rPr>
                <w:rFonts w:hint="eastAsia" w:ascii="宋体" w:hAnsi="宋体" w:cs="宋体"/>
                <w:b w:val="0"/>
                <w:bCs w:val="0"/>
                <w:color w:val="000000"/>
                <w:sz w:val="21"/>
                <w:szCs w:val="21"/>
                <w:highlight w:val="none"/>
                <w:lang w:val="en-US" w:eastAsia="zh-CN"/>
              </w:rPr>
              <w:t>-13代</w:t>
            </w:r>
            <w:r>
              <w:rPr>
                <w:rFonts w:hint="eastAsia" w:ascii="宋体" w:hAnsi="宋体" w:eastAsia="宋体" w:cs="宋体"/>
                <w:b w:val="0"/>
                <w:bCs w:val="0"/>
                <w:color w:val="000000"/>
                <w:sz w:val="21"/>
                <w:szCs w:val="21"/>
                <w:highlight w:val="none"/>
              </w:rPr>
              <w:t>。</w:t>
            </w:r>
          </w:p>
          <w:p w14:paraId="5E6C173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2.内存≥</w:t>
            </w:r>
            <w:r>
              <w:rPr>
                <w:rFonts w:hint="eastAsia" w:ascii="宋体" w:hAnsi="宋体" w:cs="宋体"/>
                <w:b w:val="0"/>
                <w:bCs w:val="0"/>
                <w:color w:val="000000"/>
                <w:sz w:val="21"/>
                <w:szCs w:val="21"/>
                <w:highlight w:val="none"/>
                <w:lang w:val="en-US" w:eastAsia="zh-CN"/>
              </w:rPr>
              <w:t>16</w:t>
            </w:r>
            <w:r>
              <w:rPr>
                <w:rFonts w:hint="eastAsia" w:ascii="宋体" w:hAnsi="宋体" w:eastAsia="宋体" w:cs="宋体"/>
                <w:b w:val="0"/>
                <w:bCs w:val="0"/>
                <w:color w:val="000000"/>
                <w:sz w:val="21"/>
                <w:szCs w:val="21"/>
                <w:highlight w:val="none"/>
              </w:rPr>
              <w:t>GB DDR4内存或以上配置。</w:t>
            </w:r>
          </w:p>
          <w:p w14:paraId="53BE737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3.硬盘：≥</w:t>
            </w:r>
            <w:r>
              <w:rPr>
                <w:rFonts w:hint="eastAsia" w:ascii="宋体" w:hAnsi="宋体" w:cs="宋体"/>
                <w:b w:val="0"/>
                <w:bCs w:val="0"/>
                <w:color w:val="000000"/>
                <w:sz w:val="21"/>
                <w:szCs w:val="21"/>
                <w:highlight w:val="none"/>
                <w:lang w:val="en-US" w:eastAsia="zh-CN"/>
              </w:rPr>
              <w:t>1T</w:t>
            </w:r>
            <w:r>
              <w:rPr>
                <w:rFonts w:hint="eastAsia" w:ascii="宋体" w:hAnsi="宋体" w:eastAsia="宋体" w:cs="宋体"/>
                <w:b w:val="0"/>
                <w:bCs w:val="0"/>
                <w:color w:val="000000"/>
                <w:sz w:val="21"/>
                <w:szCs w:val="21"/>
                <w:highlight w:val="none"/>
              </w:rPr>
              <w:t xml:space="preserve">  SSD固态硬盘。</w:t>
            </w:r>
          </w:p>
          <w:p w14:paraId="67E9853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4.整机的连接采用万兆级接口，传输速率≥10Gbps。</w:t>
            </w:r>
          </w:p>
          <w:p w14:paraId="36AE792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5.采用按压式卡扣，无需工具即可快速拆卸电脑模块。</w:t>
            </w:r>
          </w:p>
          <w:p w14:paraId="049E733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三、内置教学管理软件：</w:t>
            </w:r>
          </w:p>
          <w:p w14:paraId="1214411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（一）多媒体课件制作展示软件：</w:t>
            </w:r>
          </w:p>
          <w:p w14:paraId="132F94C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1.内置教学白板软件，具有备课及授课模式，可自由切换编辑。</w:t>
            </w:r>
          </w:p>
          <w:p w14:paraId="3D45712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2.支持教师通过账号登录、扫码登录、U盘识别登录多种方式登录白板软件。</w:t>
            </w:r>
          </w:p>
          <w:p w14:paraId="5122F1E4">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3.互动教学课件支持定向精准分享：分享者可将互动课件、课件组精准推送至指定接收方账号云空间，接收方可在云空间接收并打开分享课件；</w:t>
            </w:r>
          </w:p>
          <w:p w14:paraId="52E29E9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4.为使用方全体教师配备个人账号，形成一体的信息化教学账号体系；根据教师账号信息将教师云空间匹配至对应学校、学科校本资源库。支持通过数字账号、微信二维码、硬件密钥方式登录教师个人账号。</w:t>
            </w:r>
          </w:p>
          <w:p w14:paraId="6F43F7DB">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5.支持将互动课件导出为pptx、pdf、H5或web链接，在多终端（包含windows、Macos、iOS、安卓）二次编辑（</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58D36BD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6.具有互动式教学课件资源，包含学科教育各学段各地区教材版本不低于120个。具有互动式教学课件资源，包含学科教育各学段教材版本全部教学章节、专题教育多个主题教育、特殊教育 3 大分类不少于 120000 份的互动课件。按照下载量、课件质量、相关性会每天动态更新课件列表，提供按章节、主题筛选和关键词搜索，支持模糊搜索。（</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747B053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AI智能备课助手：可以在备课场景中搜索课件库课件资源，具有不少于120000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606E6A9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8.云教案内容无需人为保存即可同步至云空间，支持已链接方式进行定向式分享和开放式分享。接收者可直接在桌面浏览器、微信内打开预览，可将云教案转存至个人云空间。云教案支持导出为PDF格式。（</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583B5618">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9.提供教案模板，方便老师撰写教案，预置模板包含表格式、提纲式、集备式、多课时式、单元设计式等不少于7个。支持校本模板，管理员在教研管理后台设置校本模板后，老师可在云教案模板调用。（</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23D198A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10.云教案与云课件可一对多关联绑定，产生绑定后，在课件页和教案页均支持在同一面板打开关联的云课件或云教案预览，便于老师备课时相互对照。（</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721E7E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11.【AI智能生成课堂活动】</w:t>
            </w:r>
          </w:p>
          <w:p w14:paraId="028DF8C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0EF1567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12.AI音标助手：支持浏览和插入国际音标表，可直接点击发音，支持已整表和单个音标卡片插入。支持智能将字母、单词、句子转写为音标，并可一键插入到备课课件中形成文本（</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630529E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13.支持多种格式的试题批量上传，包含.doc、.docx、.png、.jpeg、.jpg等类型，并可自动转换为电子试题，便于老师优质试题的收集使用和作业布置（</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1B312A3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14.党建微课视频：提供100节党建微课视频，</w:t>
            </w:r>
            <w:r>
              <w:rPr>
                <w:rFonts w:hint="eastAsia" w:ascii="宋体" w:hAnsi="宋体" w:cs="宋体"/>
                <w:b w:val="0"/>
                <w:bCs w:val="0"/>
                <w:color w:val="000000"/>
                <w:sz w:val="21"/>
                <w:szCs w:val="21"/>
                <w:highlight w:val="none"/>
                <w:lang w:val="en-US" w:eastAsia="zh-CN"/>
              </w:rPr>
              <w:t>至少</w:t>
            </w:r>
            <w:r>
              <w:rPr>
                <w:rFonts w:hint="eastAsia" w:ascii="宋体" w:hAnsi="宋体" w:eastAsia="宋体" w:cs="宋体"/>
                <w:b w:val="0"/>
                <w:bCs w:val="0"/>
                <w:color w:val="000000"/>
                <w:sz w:val="21"/>
                <w:szCs w:val="21"/>
                <w:highlight w:val="none"/>
              </w:rPr>
              <w:t>包含革命篇、建设篇、改革篇、复兴篇4个篇章。微课内容可在线点播，下载至课件播放。微课视频支持视频关键帧打点标记，播放过程中可一键跳转至标记位置，同时支持一键对视频内容进行截图插入课件。（</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40FF6AC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15.集体备课（</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6AEBDC1B">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①　支持实现信息化集体备课。可选择教案、课件、胶囊资源上传发起集备研讨，能够设置多重访问权限，可通过手机号搜索邀请外校老师，用于跨校教研场景。</w:t>
            </w:r>
          </w:p>
          <w:p w14:paraId="16D9180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②　可通过搜索集备名称/老师昵称、或按照学科/学段/年级/教材章节、我参与的/我发起的几个维度进行筛选查看，支持电脑端进入集备页面。</w:t>
            </w:r>
          </w:p>
          <w:p w14:paraId="4510038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③　参备人可通过评论区发表观点，可对他人评论的观点进行点赞，评论消息会实时提醒，支持图片的上传。</w:t>
            </w:r>
          </w:p>
          <w:p w14:paraId="7422403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④　参备人可在线对教案进行随文式批注，追加批注，回复以及查看实时批注消息。</w:t>
            </w:r>
          </w:p>
          <w:p w14:paraId="05EB6B0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⑤　能够对课件进行打点式批注，可通过批注定位研讨内容，完成协同备课。</w:t>
            </w:r>
          </w:p>
          <w:p w14:paraId="6DCA41D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⑥　完成本次研讨后，主备人可直接进入编辑页面编辑课件/教案，发布新稿件后，备课组进入下一轮研讨，更新稿件后会给参备老师同步教研动态。</w:t>
            </w:r>
          </w:p>
          <w:p w14:paraId="4623939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⑦　可对集备中多稿的课件/教案/胶囊进行内容的横向对比，支持批注研。参备成员可随时获取和下载每一稿中的集备稿件到云课件，进行编辑或引用。</w:t>
            </w:r>
          </w:p>
          <w:p w14:paraId="3C327A0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⑧　完成研讨后，可生成集体备课报告。集备终稿会自动上传到校本资源库，主备人能自定义上传目录，参备人可前往校本资源库获取集备终稿。</w:t>
            </w:r>
          </w:p>
          <w:p w14:paraId="1D875A2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⑨　支持生成集备报告，报告生成后，参备人可查看具体报告内容和下载集备报告。报告内包含集备信息、数据统计、研讨记录的具体内容。</w:t>
            </w:r>
          </w:p>
          <w:p w14:paraId="368D7C5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16.支持电子化听评课。（</w:t>
            </w:r>
            <w:r>
              <w:rPr>
                <w:rFonts w:hint="eastAsia" w:ascii="宋体" w:hAnsi="宋体" w:cs="宋体"/>
                <w:b w:val="0"/>
                <w:bCs w:val="0"/>
                <w:color w:val="000000"/>
                <w:sz w:val="21"/>
                <w:szCs w:val="21"/>
                <w:highlight w:val="none"/>
                <w:lang w:eastAsia="zh-CN"/>
              </w:rPr>
              <w:t>提供国家认可的第三方检测机构所出具的检测报告复印件</w:t>
            </w:r>
            <w:r>
              <w:rPr>
                <w:rFonts w:hint="eastAsia" w:ascii="宋体" w:hAnsi="宋体" w:eastAsia="宋体" w:cs="宋体"/>
                <w:b w:val="0"/>
                <w:bCs w:val="0"/>
                <w:color w:val="000000"/>
                <w:sz w:val="21"/>
                <w:szCs w:val="21"/>
                <w:highlight w:val="none"/>
              </w:rPr>
              <w:t>）</w:t>
            </w:r>
          </w:p>
          <w:p w14:paraId="27CEB66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①　支持在授课模式中发起授课评价，根据课程和评课表生成二维码，可选择是否分享课件，若选择分享课件，评课人通过扫码即可参与评课并获取课件。</w:t>
            </w:r>
          </w:p>
          <w:p w14:paraId="0A4471C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②　可查看历史评价记录。</w:t>
            </w:r>
          </w:p>
          <w:p w14:paraId="3917139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③　支持导出[评课报告为PDF文档，支持导出评课表为WORD文档。</w:t>
            </w:r>
          </w:p>
          <w:p w14:paraId="5B5F6B1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17.支持软件联网自动静默升级，无需用户手动更新。</w:t>
            </w:r>
          </w:p>
          <w:p w14:paraId="1F6FE966">
            <w:pPr>
              <w:widowControl/>
              <w:jc w:val="left"/>
              <w:textAlignment w:val="center"/>
              <w:rPr>
                <w:rFonts w:hint="eastAsia" w:ascii="宋体" w:hAnsi="宋体" w:eastAsia="宋体" w:cs="宋体"/>
                <w:b w:val="0"/>
                <w:bCs w:val="0"/>
                <w:color w:val="000000"/>
                <w:sz w:val="21"/>
                <w:szCs w:val="21"/>
                <w:highlight w:val="none"/>
              </w:rPr>
            </w:pPr>
          </w:p>
        </w:tc>
        <w:tc>
          <w:tcPr>
            <w:tcW w:w="577" w:type="dxa"/>
            <w:tcBorders>
              <w:top w:val="single" w:color="000000" w:sz="4" w:space="0"/>
              <w:left w:val="single" w:color="000000" w:sz="4" w:space="0"/>
              <w:bottom w:val="single" w:color="000000" w:sz="4" w:space="0"/>
              <w:right w:val="single" w:color="000000" w:sz="4" w:space="0"/>
            </w:tcBorders>
            <w:vAlign w:val="center"/>
          </w:tcPr>
          <w:p w14:paraId="357F5414">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0A7D6FDA">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667039A0">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2F9E6784">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1098" w:type="dxa"/>
            <w:tcBorders>
              <w:top w:val="single" w:color="000000" w:sz="4" w:space="0"/>
              <w:left w:val="single" w:color="000000" w:sz="4" w:space="0"/>
              <w:bottom w:val="single" w:color="000000" w:sz="4" w:space="0"/>
              <w:right w:val="single" w:color="000000" w:sz="4" w:space="0"/>
            </w:tcBorders>
            <w:vAlign w:val="center"/>
          </w:tcPr>
          <w:p w14:paraId="7905BA25">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视频展台</w:t>
            </w:r>
          </w:p>
        </w:tc>
        <w:tc>
          <w:tcPr>
            <w:tcW w:w="11907" w:type="dxa"/>
            <w:tcBorders>
              <w:top w:val="single" w:color="000000" w:sz="4" w:space="0"/>
              <w:left w:val="single" w:color="000000" w:sz="4" w:space="0"/>
              <w:bottom w:val="single" w:color="000000" w:sz="4" w:space="0"/>
              <w:right w:val="single" w:color="000000" w:sz="4" w:space="0"/>
            </w:tcBorders>
            <w:vAlign w:val="center"/>
          </w:tcPr>
          <w:p w14:paraId="7C0308D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1.壁挂式安装，无锐角无利边设计，采用三折叠开合式托板，展开后托板尺寸≥A4面积，托板可收起。</w:t>
            </w:r>
          </w:p>
          <w:p w14:paraId="166843AB">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2.采二维码扫码：打开扫一扫功能后，将书本上的二维码放入扫描框内即可自动扫描，并进入系统浏览器获取二维码的链接内容，可获取电子教学资源。</w:t>
            </w:r>
          </w:p>
          <w:p w14:paraId="68FFB0B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3.支持实时视频矫正功能，拍摄输出画面无梯形畸变，画面如垂直悬臂拍摄效果。</w:t>
            </w:r>
          </w:p>
          <w:p w14:paraId="0CE52B9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w:t>
            </w:r>
            <w:r>
              <w:rPr>
                <w:rFonts w:hint="eastAsia" w:ascii="宋体" w:hAnsi="宋体" w:cs="宋体"/>
                <w:b w:val="0"/>
                <w:bCs w:val="0"/>
                <w:color w:val="000000"/>
                <w:sz w:val="21"/>
                <w:szCs w:val="21"/>
                <w:highlight w:val="none"/>
                <w:lang w:val="en-US" w:eastAsia="zh-CN"/>
              </w:rPr>
              <w:t>有</w:t>
            </w:r>
            <w:r>
              <w:rPr>
                <w:rFonts w:hint="eastAsia" w:ascii="宋体" w:hAnsi="宋体" w:eastAsia="宋体" w:cs="宋体"/>
                <w:b w:val="0"/>
                <w:bCs w:val="0"/>
                <w:color w:val="000000"/>
                <w:sz w:val="21"/>
                <w:szCs w:val="21"/>
                <w:highlight w:val="none"/>
              </w:rPr>
              <w:t>USB接口。</w:t>
            </w:r>
          </w:p>
          <w:p w14:paraId="5198B59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5.摄像头可拍摄不少于1300万像素数的照片，摄像头支持自动对焦，可拍摄A4画幅，显示视频输出像素≥3840*2160。</w:t>
            </w:r>
          </w:p>
          <w:p w14:paraId="076D7AE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6.支持实时降噪功能，并可开关控制。</w:t>
            </w:r>
          </w:p>
          <w:p w14:paraId="1A90323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7.支持通过双击屏幕画面任意位置，即时改变对焦位置,可对立体物体的局部进行对焦。</w:t>
            </w:r>
          </w:p>
          <w:p w14:paraId="133A548B">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8.展台按键采用触摸按键，可实现一键启动展台画面、画面放大、画面缩小、画面旋转、拍照截图功能，同时也支持在展台软件上进行同样的操作。</w:t>
            </w:r>
          </w:p>
          <w:p w14:paraId="00A1501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9.摄像头部分进行外壳防护等级试验，防护等级达到IP4X级别。</w:t>
            </w:r>
          </w:p>
          <w:p w14:paraId="71A9657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10.可选择图像、文本或动态三种情景模式，适应不同展示内容。</w:t>
            </w:r>
          </w:p>
          <w:p w14:paraId="470D2474">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11.支持故障自动检测，在软件无法出现展台拍摄画面时，自动出现检测链接，帮助用户检测“无画面”原因，并给出引导性解决方案。可判断硬件连接、显卡驱动、摄像头占用、软件版本等问题。</w:t>
            </w:r>
          </w:p>
        </w:tc>
        <w:tc>
          <w:tcPr>
            <w:tcW w:w="577" w:type="dxa"/>
            <w:tcBorders>
              <w:top w:val="single" w:color="000000" w:sz="4" w:space="0"/>
              <w:left w:val="single" w:color="000000" w:sz="4" w:space="0"/>
              <w:bottom w:val="single" w:color="000000" w:sz="4" w:space="0"/>
              <w:right w:val="single" w:color="000000" w:sz="4" w:space="0"/>
            </w:tcBorders>
            <w:vAlign w:val="center"/>
          </w:tcPr>
          <w:p w14:paraId="7F7790DD">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5A1F6BA9">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51848C4D">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61F6869D">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p>
        </w:tc>
        <w:tc>
          <w:tcPr>
            <w:tcW w:w="1098" w:type="dxa"/>
            <w:tcBorders>
              <w:top w:val="single" w:color="000000" w:sz="4" w:space="0"/>
              <w:left w:val="single" w:color="000000" w:sz="4" w:space="0"/>
              <w:bottom w:val="single" w:color="000000" w:sz="4" w:space="0"/>
              <w:right w:val="single" w:color="000000" w:sz="4" w:space="0"/>
            </w:tcBorders>
            <w:vAlign w:val="center"/>
          </w:tcPr>
          <w:p w14:paraId="2B478AC0">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有源音箱</w:t>
            </w:r>
          </w:p>
        </w:tc>
        <w:tc>
          <w:tcPr>
            <w:tcW w:w="11907" w:type="dxa"/>
            <w:tcBorders>
              <w:top w:val="single" w:color="000000" w:sz="4" w:space="0"/>
              <w:left w:val="single" w:color="000000" w:sz="4" w:space="0"/>
              <w:bottom w:val="single" w:color="000000" w:sz="4" w:space="0"/>
              <w:right w:val="single" w:color="000000" w:sz="4" w:space="0"/>
            </w:tcBorders>
            <w:vAlign w:val="center"/>
          </w:tcPr>
          <w:p w14:paraId="1468203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1.采用功放与有源音箱一体化设计，内置麦克风无线接收模块，帮助教师实现多媒体扩音以及本地扩声功能。</w:t>
            </w:r>
          </w:p>
          <w:p w14:paraId="57C3492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2.输出额定功率≥ 2x15W。</w:t>
            </w:r>
          </w:p>
          <w:p w14:paraId="34FDC573">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3.音箱灵敏度≥85dB，1W/1M。</w:t>
            </w:r>
          </w:p>
          <w:p w14:paraId="0EBDCF1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4.信噪比≥80dB@额定功率、A计权。</w:t>
            </w:r>
          </w:p>
          <w:p w14:paraId="2591FAAE">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5.全频喇叭单元尺寸≥5英寸。</w:t>
            </w:r>
          </w:p>
          <w:p w14:paraId="15CD0997">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6.THD+N≤1%。</w:t>
            </w:r>
          </w:p>
          <w:p w14:paraId="11787FA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7.声频响110Hz-16kHz。</w:t>
            </w:r>
          </w:p>
          <w:p w14:paraId="78645BB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8.距离音箱10米处声压级≥75dB。</w:t>
            </w:r>
          </w:p>
          <w:p w14:paraId="2BCEE57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9.具备≥1路电源开关、1路LINE IN、1路USB 接口。USB接口可外接U盘设备对音箱固件进行升级。</w:t>
            </w:r>
          </w:p>
          <w:p w14:paraId="3A6CD45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10.支持无线麦克风扩音接收，采用Wi-Fi射频2.4GHz与 5GHz双频段传输，有效避免环境中运营商U段（700MHz）的信号干扰。</w:t>
            </w:r>
          </w:p>
          <w:p w14:paraId="5968130A">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11.采用红外对码方式，避免连接到其他教室音箱。可快速完成与教学扩声麦克风对码，无需繁琐操作。</w:t>
            </w:r>
          </w:p>
          <w:p w14:paraId="1E9CBB3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12.配置独立音频数字信号处理芯片，支持啸叫抑制功能。</w:t>
            </w:r>
          </w:p>
          <w:p w14:paraId="7A7C613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13.支持蓝牙无线接收，可分享移动设备上的音频。支持密码模式，防止学生连接。</w:t>
            </w:r>
          </w:p>
          <w:p w14:paraId="18C3DC0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14.支持安卓手机通过蓝牙无线连接音箱，实现控制有源音箱的音量、设置蓝牙名称、设置蓝牙密码等功能，方便教师对音箱的管控。</w:t>
            </w:r>
          </w:p>
          <w:p w14:paraId="2C9D706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15.支持交互智能黑板显示设备通过蓝牙无线连接音箱，实现控制有源音箱的音量的功能（需要智慧黑板及有源音箱为同一品牌）。</w:t>
            </w:r>
          </w:p>
          <w:p w14:paraId="36F19738">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16.为保证兼容性及稳定性，一体化有源音箱需与为无线麦克风同一品牌厂家。</w:t>
            </w:r>
          </w:p>
        </w:tc>
        <w:tc>
          <w:tcPr>
            <w:tcW w:w="577" w:type="dxa"/>
            <w:tcBorders>
              <w:top w:val="single" w:color="000000" w:sz="4" w:space="0"/>
              <w:left w:val="single" w:color="000000" w:sz="4" w:space="0"/>
              <w:bottom w:val="single" w:color="000000" w:sz="4" w:space="0"/>
              <w:right w:val="single" w:color="000000" w:sz="4" w:space="0"/>
            </w:tcBorders>
            <w:vAlign w:val="center"/>
          </w:tcPr>
          <w:p w14:paraId="5FD2DDDF">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023AEFBA">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09FEB825">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498F893D">
            <w:pPr>
              <w:widowControl/>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p>
        </w:tc>
        <w:tc>
          <w:tcPr>
            <w:tcW w:w="1098" w:type="dxa"/>
            <w:tcBorders>
              <w:top w:val="single" w:color="000000" w:sz="4" w:space="0"/>
              <w:left w:val="single" w:color="000000" w:sz="4" w:space="0"/>
              <w:bottom w:val="single" w:color="000000" w:sz="4" w:space="0"/>
              <w:right w:val="single" w:color="000000" w:sz="4" w:space="0"/>
            </w:tcBorders>
            <w:vAlign w:val="center"/>
          </w:tcPr>
          <w:p w14:paraId="03CB0A05">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麦克风</w:t>
            </w:r>
          </w:p>
        </w:tc>
        <w:tc>
          <w:tcPr>
            <w:tcW w:w="11907" w:type="dxa"/>
            <w:tcBorders>
              <w:top w:val="single" w:color="000000" w:sz="4" w:space="0"/>
              <w:left w:val="single" w:color="000000" w:sz="4" w:space="0"/>
              <w:bottom w:val="single" w:color="000000" w:sz="4" w:space="0"/>
              <w:right w:val="single" w:color="000000" w:sz="4" w:space="0"/>
            </w:tcBorders>
            <w:vAlign w:val="center"/>
          </w:tcPr>
          <w:p w14:paraId="680BDD5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1.无线麦克风集音频发射处理器、天线、电池、拾音麦克风于一体，配合一体化有源音箱，无需任何外接辅助设备即可实现本地扩声功能。</w:t>
            </w:r>
          </w:p>
          <w:p w14:paraId="435DC84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2.采样率≥48KHz，16bit；扩音增益≥15dB；声频响100Hz-16kHz，底噪≤100uVrms，声信噪比≥60dB；配合一体化有源音箱，扩音延时≤35ms。</w:t>
            </w:r>
          </w:p>
          <w:p w14:paraId="1BA74F1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3.用Wi-Fi射频频段传输。</w:t>
            </w:r>
          </w:p>
          <w:p w14:paraId="6030CF5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4.支持2.4GHz与5G双频段工作，信道数量≥</w:t>
            </w:r>
            <w:r>
              <w:rPr>
                <w:rFonts w:hint="eastAsia" w:ascii="宋体" w:hAnsi="宋体" w:cs="宋体"/>
                <w:b w:val="0"/>
                <w:bCs w:val="0"/>
                <w:color w:val="000000"/>
                <w:sz w:val="21"/>
                <w:szCs w:val="21"/>
                <w:highlight w:val="none"/>
                <w:lang w:val="en-US" w:eastAsia="zh-CN"/>
              </w:rPr>
              <w:t>20</w:t>
            </w:r>
            <w:r>
              <w:rPr>
                <w:rFonts w:hint="eastAsia" w:ascii="宋体" w:hAnsi="宋体" w:eastAsia="宋体" w:cs="宋体"/>
                <w:b w:val="0"/>
                <w:bCs w:val="0"/>
                <w:color w:val="000000"/>
                <w:sz w:val="21"/>
                <w:szCs w:val="21"/>
                <w:highlight w:val="none"/>
              </w:rPr>
              <w:t>个。</w:t>
            </w:r>
          </w:p>
          <w:p w14:paraId="6798883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5.电续航时间≥5小时，充电10分钟满足一节课（45分钟/一节课）授课时间。</w:t>
            </w:r>
          </w:p>
          <w:p w14:paraId="716DA691">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6.采用红外对码方式连接。</w:t>
            </w:r>
          </w:p>
          <w:p w14:paraId="203D79E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7.支持两个无线麦克风同时配对一个一体化有源音箱使用。</w:t>
            </w:r>
          </w:p>
          <w:p w14:paraId="37E430E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8.具备Type-c外置麦克风接口，与充电接口复用。可搭配Type-C接口的麦克风进行使用，比如头戴式、挂耳式的外置麦克风。</w:t>
            </w:r>
          </w:p>
          <w:p w14:paraId="0253D536">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9.空旷无干扰的环境，无线传输有效距离≥15 米。</w:t>
            </w:r>
          </w:p>
          <w:p w14:paraId="226813B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10.一体化领夹设计。</w:t>
            </w:r>
          </w:p>
          <w:p w14:paraId="105A0234">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11.外壳防火等级≥V1。</w:t>
            </w:r>
          </w:p>
        </w:tc>
        <w:tc>
          <w:tcPr>
            <w:tcW w:w="577" w:type="dxa"/>
            <w:tcBorders>
              <w:top w:val="single" w:color="000000" w:sz="4" w:space="0"/>
              <w:left w:val="single" w:color="000000" w:sz="4" w:space="0"/>
              <w:bottom w:val="single" w:color="000000" w:sz="4" w:space="0"/>
              <w:right w:val="single" w:color="000000" w:sz="4" w:space="0"/>
            </w:tcBorders>
            <w:vAlign w:val="center"/>
          </w:tcPr>
          <w:p w14:paraId="5F5058F5">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39498EC6">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13AA9D53">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34F4ECEE">
            <w:pPr>
              <w:widowControl/>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p>
        </w:tc>
        <w:tc>
          <w:tcPr>
            <w:tcW w:w="1098" w:type="dxa"/>
            <w:tcBorders>
              <w:top w:val="single" w:color="000000" w:sz="4" w:space="0"/>
              <w:left w:val="single" w:color="000000" w:sz="4" w:space="0"/>
              <w:bottom w:val="single" w:color="000000" w:sz="4" w:space="0"/>
              <w:right w:val="single" w:color="000000" w:sz="4" w:space="0"/>
            </w:tcBorders>
            <w:vAlign w:val="center"/>
          </w:tcPr>
          <w:p w14:paraId="2B885C4F">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智能笔</w:t>
            </w:r>
          </w:p>
        </w:tc>
        <w:tc>
          <w:tcPr>
            <w:tcW w:w="11907" w:type="dxa"/>
            <w:tcBorders>
              <w:top w:val="single" w:color="000000" w:sz="4" w:space="0"/>
              <w:left w:val="single" w:color="000000" w:sz="4" w:space="0"/>
              <w:bottom w:val="single" w:color="000000" w:sz="4" w:space="0"/>
              <w:right w:val="single" w:color="000000" w:sz="4" w:space="0"/>
            </w:tcBorders>
            <w:vAlign w:val="center"/>
          </w:tcPr>
          <w:p w14:paraId="72744D0D">
            <w:pPr>
              <w:widowControl/>
              <w:jc w:val="left"/>
              <w:textAlignment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1.外观：笔身造型采用圆润一体化笔型设计，表面采用手感漆工艺便于握持</w:t>
            </w:r>
            <w:r>
              <w:rPr>
                <w:rFonts w:hint="eastAsia" w:ascii="宋体" w:hAnsi="宋体" w:cs="宋体"/>
                <w:b w:val="0"/>
                <w:bCs w:val="0"/>
                <w:color w:val="000000"/>
                <w:sz w:val="21"/>
                <w:szCs w:val="21"/>
                <w:highlight w:val="none"/>
                <w:lang w:eastAsia="zh-CN"/>
              </w:rPr>
              <w:t>。</w:t>
            </w:r>
          </w:p>
          <w:p w14:paraId="0698897B">
            <w:pPr>
              <w:widowControl/>
              <w:jc w:val="left"/>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2.笔身配置不少于五个按键，具备上下翻页，智能语音，远程聚光灯/放大，书写颜色切换，兼顾触摸书写以及远程操控的握持姿态</w:t>
            </w:r>
            <w:r>
              <w:rPr>
                <w:rFonts w:hint="eastAsia" w:ascii="宋体" w:hAnsi="宋体" w:cs="宋体"/>
                <w:b w:val="0"/>
                <w:bCs w:val="0"/>
                <w:color w:val="000000"/>
                <w:sz w:val="21"/>
                <w:szCs w:val="21"/>
                <w:highlight w:val="none"/>
                <w:lang w:eastAsia="zh-CN"/>
              </w:rPr>
              <w:t>。</w:t>
            </w:r>
          </w:p>
          <w:p w14:paraId="594C09B0">
            <w:pPr>
              <w:widowControl/>
              <w:jc w:val="left"/>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3.笔头：采用锥型笔尖设计，直径≤3mm；同时支持电容，红外触控设备书写，书写最小精度2mm</w:t>
            </w:r>
            <w:r>
              <w:rPr>
                <w:rFonts w:hint="eastAsia" w:ascii="宋体" w:hAnsi="宋体" w:cs="宋体"/>
                <w:b w:val="0"/>
                <w:bCs w:val="0"/>
                <w:color w:val="000000"/>
                <w:sz w:val="21"/>
                <w:szCs w:val="21"/>
                <w:highlight w:val="none"/>
                <w:lang w:eastAsia="zh-CN"/>
              </w:rPr>
              <w:t>。</w:t>
            </w:r>
          </w:p>
          <w:p w14:paraId="5615371F">
            <w:pPr>
              <w:widowControl/>
              <w:jc w:val="left"/>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4.笔头：连续书写距离不小于7km</w:t>
            </w:r>
            <w:r>
              <w:rPr>
                <w:rFonts w:hint="eastAsia" w:ascii="宋体" w:hAnsi="宋体" w:cs="宋体"/>
                <w:b w:val="0"/>
                <w:bCs w:val="0"/>
                <w:color w:val="000000"/>
                <w:sz w:val="21"/>
                <w:szCs w:val="21"/>
                <w:highlight w:val="none"/>
                <w:lang w:eastAsia="zh-CN"/>
              </w:rPr>
              <w:t>。</w:t>
            </w:r>
          </w:p>
          <w:p w14:paraId="3D94A81A">
            <w:pPr>
              <w:widowControl/>
              <w:jc w:val="left"/>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5.按键：上下翻页按键</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可实现白板软件/ppt/pdf等文档上下翻页</w:t>
            </w:r>
            <w:r>
              <w:rPr>
                <w:rFonts w:hint="eastAsia" w:ascii="宋体" w:hAnsi="宋体" w:cs="宋体"/>
                <w:b w:val="0"/>
                <w:bCs w:val="0"/>
                <w:color w:val="000000"/>
                <w:sz w:val="21"/>
                <w:szCs w:val="21"/>
                <w:highlight w:val="none"/>
                <w:lang w:eastAsia="zh-CN"/>
              </w:rPr>
              <w:t>。</w:t>
            </w:r>
          </w:p>
          <w:p w14:paraId="63859145">
            <w:pPr>
              <w:widowControl/>
              <w:jc w:val="left"/>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6.可实现播放/暂停音视频或flash</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可实现空鼠/放大镜/聚光灯等功能切换</w:t>
            </w:r>
            <w:r>
              <w:rPr>
                <w:rFonts w:hint="eastAsia" w:ascii="宋体" w:hAnsi="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可实现对应功能(空鼠/放大镜/聚光灯)</w:t>
            </w:r>
            <w:r>
              <w:rPr>
                <w:rFonts w:hint="eastAsia" w:ascii="宋体" w:hAnsi="宋体" w:cs="宋体"/>
                <w:b w:val="0"/>
                <w:bCs w:val="0"/>
                <w:color w:val="000000"/>
                <w:sz w:val="21"/>
                <w:szCs w:val="21"/>
                <w:highlight w:val="none"/>
                <w:lang w:eastAsia="zh-CN"/>
              </w:rPr>
              <w:t>。</w:t>
            </w:r>
          </w:p>
          <w:p w14:paraId="3E601539">
            <w:pPr>
              <w:widowControl/>
              <w:jc w:val="left"/>
              <w:textAlignment w:val="center"/>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rPr>
              <w:t>7.语音：内置麦克风，支持按键唤醒语音识别功能</w:t>
            </w:r>
            <w:r>
              <w:rPr>
                <w:rFonts w:hint="eastAsia" w:ascii="宋体" w:hAnsi="宋体" w:cs="宋体"/>
                <w:b w:val="0"/>
                <w:bCs w:val="0"/>
                <w:color w:val="000000"/>
                <w:sz w:val="21"/>
                <w:szCs w:val="21"/>
                <w:highlight w:val="none"/>
                <w:lang w:eastAsia="zh-CN"/>
              </w:rPr>
              <w:t>。</w:t>
            </w:r>
          </w:p>
          <w:p w14:paraId="257F1A0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语音：支持唤醒语音识别时，可直接通过语音打开已安装的应用，可直接通过语音调用网络搜索引擎搜索查询相应资料，可进行语音转写输入，支持语音控制屏幕黑屏、亮屏，音量大小调整，返回桌面，截屏，关机等操作。</w:t>
            </w:r>
          </w:p>
          <w:p w14:paraId="5DD3D410">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9.语音：支持白板软件内，通过语音控制：切换书写、擦除、选择模式，最小化返回桌面，打开板中板，清空书写批注等操作；</w:t>
            </w:r>
          </w:p>
          <w:p w14:paraId="66C2294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10.批注：支持按键调起批注功能，可通过按键实现批注颜色切换，可实现橡皮擦功能。</w:t>
            </w:r>
          </w:p>
          <w:p w14:paraId="2716A8DF">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11.无线：支持无线dongle及蓝牙两种连接方式，支持蓝牙5.1协议；</w:t>
            </w:r>
          </w:p>
          <w:p w14:paraId="61E9EA5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12.无线：无线dongle&amp;蓝牙连接距离≥12m，上下翻页/语音控制/远程批注实现距离≥12m；</w:t>
            </w:r>
          </w:p>
          <w:p w14:paraId="2E7CC3DE">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13.充电：内置锂电池，支持type-c充电，待机时间≥60h,连续书写时间≥8h，从无电到满电的充电时长≤1小时；</w:t>
            </w:r>
          </w:p>
          <w:p w14:paraId="31E2E4E4">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14.自动休眠：支持智能休眠节电，当设备&gt;5min无人操作时，设备自动进入休眠节电模式；</w:t>
            </w:r>
          </w:p>
        </w:tc>
        <w:tc>
          <w:tcPr>
            <w:tcW w:w="577" w:type="dxa"/>
            <w:tcBorders>
              <w:top w:val="single" w:color="000000" w:sz="4" w:space="0"/>
              <w:left w:val="single" w:color="000000" w:sz="4" w:space="0"/>
              <w:bottom w:val="single" w:color="000000" w:sz="4" w:space="0"/>
              <w:right w:val="single" w:color="000000" w:sz="4" w:space="0"/>
            </w:tcBorders>
            <w:vAlign w:val="center"/>
          </w:tcPr>
          <w:p w14:paraId="57460D77">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0552A8E1">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0E6A3660">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22C5537A">
            <w:pPr>
              <w:widowControl/>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p>
        </w:tc>
        <w:tc>
          <w:tcPr>
            <w:tcW w:w="1098" w:type="dxa"/>
            <w:tcBorders>
              <w:top w:val="single" w:color="000000" w:sz="4" w:space="0"/>
              <w:left w:val="single" w:color="000000" w:sz="4" w:space="0"/>
              <w:bottom w:val="single" w:color="000000" w:sz="4" w:space="0"/>
              <w:right w:val="single" w:color="000000" w:sz="4" w:space="0"/>
            </w:tcBorders>
            <w:vAlign w:val="center"/>
          </w:tcPr>
          <w:p w14:paraId="128E73D3">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智慧讲桌</w:t>
            </w:r>
          </w:p>
        </w:tc>
        <w:tc>
          <w:tcPr>
            <w:tcW w:w="11907" w:type="dxa"/>
            <w:tcBorders>
              <w:top w:val="single" w:color="000000" w:sz="4" w:space="0"/>
              <w:left w:val="single" w:color="000000" w:sz="4" w:space="0"/>
              <w:bottom w:val="single" w:color="000000" w:sz="4" w:space="0"/>
              <w:right w:val="single" w:color="000000" w:sz="4" w:space="0"/>
            </w:tcBorders>
            <w:vAlign w:val="center"/>
          </w:tcPr>
          <w:p w14:paraId="4E2C5E1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1.智能讲台结构：木结构部分均采用E0级木质板材结构，甲醛释放量≤0.05mg/m³，桌面防静电。</w:t>
            </w:r>
          </w:p>
          <w:p w14:paraId="5E33B328">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2.智能讲台外观：讲台三面环抱式设计，讲台桌面高度合适老师放置教学用品，外观桌面平整，边缘光滑，无棱角处理。</w:t>
            </w:r>
          </w:p>
          <w:p w14:paraId="241BCB1C">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3.智能讲台包含≥21.5英寸触摸屏幕，采用防眩光全钢化防爆玻璃面板，支持≥10点同时触摸。</w:t>
            </w:r>
          </w:p>
          <w:p w14:paraId="72A3360D">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4.智能讲台支持通过触控屏幕对一体机的画面进行控制，支持同步显示一体机画面。</w:t>
            </w:r>
          </w:p>
          <w:p w14:paraId="11A74AA9">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5.设置实体的物理按键，并具备独立的快捷按键，可通过快捷按键进行声音的调节、一键息屏等操作。</w:t>
            </w:r>
          </w:p>
          <w:p w14:paraId="50D40298">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6.智能讲台具备≥1个可自定义功能按键，可通过软件设置选择按键功能，包括一键启动白板、一键启动视频展台，一键关闭当前应用程序选项功能。</w:t>
            </w:r>
          </w:p>
          <w:p w14:paraId="1E4A2242">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7.智能讲台设置≥3个USB充电口。</w:t>
            </w:r>
          </w:p>
          <w:p w14:paraId="1445FBE5">
            <w:pPr>
              <w:widowControl/>
              <w:jc w:val="left"/>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8.智能讲台设置有收纳抽屉和隔板 。</w:t>
            </w:r>
          </w:p>
          <w:p w14:paraId="5392E690">
            <w:pPr>
              <w:pStyle w:val="29"/>
              <w:numPr>
                <w:ilvl w:val="0"/>
                <w:numId w:val="0"/>
              </w:numPr>
              <w:rPr>
                <w:rFonts w:hint="default"/>
                <w:highlight w:val="none"/>
                <w:lang w:val="en-US"/>
              </w:rPr>
            </w:pPr>
            <w:r>
              <w:rPr>
                <w:rFonts w:hint="eastAsia" w:ascii="宋体" w:hAnsi="宋体" w:eastAsia="宋体" w:cs="宋体"/>
                <w:b w:val="0"/>
                <w:bCs w:val="0"/>
                <w:color w:val="000000"/>
                <w:sz w:val="21"/>
                <w:szCs w:val="21"/>
                <w:highlight w:val="none"/>
                <w:lang w:val="en-US" w:eastAsia="zh-CN"/>
              </w:rPr>
              <w:t>9.尺寸可根据现场环境定制。</w:t>
            </w:r>
          </w:p>
        </w:tc>
        <w:tc>
          <w:tcPr>
            <w:tcW w:w="577" w:type="dxa"/>
            <w:tcBorders>
              <w:top w:val="single" w:color="000000" w:sz="4" w:space="0"/>
              <w:left w:val="single" w:color="000000" w:sz="4" w:space="0"/>
              <w:bottom w:val="single" w:color="000000" w:sz="4" w:space="0"/>
              <w:right w:val="single" w:color="000000" w:sz="4" w:space="0"/>
            </w:tcBorders>
            <w:vAlign w:val="center"/>
          </w:tcPr>
          <w:p w14:paraId="7B938978">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480320E5">
            <w:pPr>
              <w:widowControl/>
              <w:jc w:val="center"/>
              <w:textAlignment w:val="center"/>
              <w:rPr>
                <w:rFonts w:hint="default"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62986249">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145E98D2">
            <w:pPr>
              <w:widowControl/>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p>
        </w:tc>
        <w:tc>
          <w:tcPr>
            <w:tcW w:w="1098" w:type="dxa"/>
            <w:tcBorders>
              <w:top w:val="single" w:color="000000" w:sz="4" w:space="0"/>
              <w:left w:val="single" w:color="000000" w:sz="4" w:space="0"/>
              <w:bottom w:val="single" w:color="000000" w:sz="4" w:space="0"/>
              <w:right w:val="single" w:color="000000" w:sz="4" w:space="0"/>
            </w:tcBorders>
            <w:vAlign w:val="center"/>
          </w:tcPr>
          <w:p w14:paraId="796852A2">
            <w:pPr>
              <w:spacing w:line="360" w:lineRule="auto"/>
              <w:jc w:val="center"/>
              <w:textAlignment w:val="baseline"/>
              <w:rPr>
                <w:rFonts w:hint="eastAsia" w:ascii="宋体" w:hAnsi="Times New Roman" w:eastAsia="宋体" w:cs="宋体"/>
                <w:kern w:val="2"/>
                <w:sz w:val="21"/>
                <w:szCs w:val="21"/>
                <w:highlight w:val="none"/>
                <w:lang w:val="en-US" w:eastAsia="zh-CN" w:bidi="ar-SA"/>
              </w:rPr>
            </w:pPr>
            <w:r>
              <w:rPr>
                <w:rFonts w:hint="eastAsia" w:ascii="宋体" w:cs="宋体"/>
                <w:szCs w:val="21"/>
                <w:highlight w:val="none"/>
              </w:rPr>
              <w:t>集中管理控制软件</w:t>
            </w:r>
          </w:p>
        </w:tc>
        <w:tc>
          <w:tcPr>
            <w:tcW w:w="11907" w:type="dxa"/>
            <w:tcBorders>
              <w:top w:val="single" w:color="000000" w:sz="4" w:space="0"/>
              <w:left w:val="single" w:color="000000" w:sz="4" w:space="0"/>
              <w:bottom w:val="single" w:color="000000" w:sz="4" w:space="0"/>
              <w:right w:val="single" w:color="000000" w:sz="4" w:space="0"/>
            </w:tcBorders>
            <w:vAlign w:val="center"/>
          </w:tcPr>
          <w:p w14:paraId="2418E3DC">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color w:val="000000"/>
                <w:sz w:val="21"/>
                <w:szCs w:val="21"/>
                <w:highlight w:val="none"/>
              </w:rPr>
              <w:tab/>
            </w:r>
            <w:r>
              <w:rPr>
                <w:rFonts w:hint="eastAsia" w:ascii="宋体" w:hAnsi="宋体" w:cs="宋体"/>
                <w:b w:val="0"/>
                <w:bCs w:val="0"/>
                <w:color w:val="000000"/>
                <w:sz w:val="21"/>
                <w:szCs w:val="21"/>
                <w:highlight w:val="none"/>
                <w:lang w:val="en-US" w:eastAsia="zh-CN"/>
              </w:rPr>
              <w:t>系统基于SaaS布局，</w:t>
            </w:r>
            <w:r>
              <w:rPr>
                <w:rFonts w:hint="eastAsia" w:ascii="宋体" w:hAnsi="宋体" w:eastAsia="宋体" w:cs="宋体"/>
                <w:b w:val="0"/>
                <w:bCs w:val="0"/>
                <w:color w:val="000000"/>
                <w:sz w:val="21"/>
                <w:szCs w:val="21"/>
                <w:highlight w:val="none"/>
              </w:rPr>
              <w:t>应用界面采用B/S架构设计，支持学校管理员在Windows、Linux、Android、IOS等多种不同的操作系统上通过网页浏览器登录进行所有管理指令操作。</w:t>
            </w:r>
          </w:p>
          <w:p w14:paraId="77CD7AC9">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系统支持多类型设备接入，集中运维。包含班班通设备、录播设备、班牌设备、校园屏显设备、学生平板设备。</w:t>
            </w:r>
          </w:p>
          <w:p w14:paraId="2FAB7A16">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3.</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支持通过设备辅助管理软件，在单台班班通设备关联学校代码后，自动发现并关联同网段下其他班班通设备。</w:t>
            </w:r>
          </w:p>
          <w:p w14:paraId="62C127B5">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4.</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支持账号/密码、手机扫码登录。扫码登录：用户首次登录时绑定微信用户ID与账号的对应关系，之后即可通过微信扫一扫安全登录。</w:t>
            </w:r>
          </w:p>
          <w:p w14:paraId="0D7B7C53">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5.</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支持自定义系统logo和系统名称，适用于校园定制系统。</w:t>
            </w:r>
          </w:p>
          <w:p w14:paraId="3630487F">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6.</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支持学校高级管理员添加多位管理员协同管理，并支持为普通管理员分配不同权限，权限支持按系统功能菜单分配、按管理设备分配方式。并支持转让高级管理员给其他管理员。</w:t>
            </w:r>
          </w:p>
          <w:p w14:paraId="4AB44427">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精准管理：</w:t>
            </w:r>
          </w:p>
          <w:p w14:paraId="3B9E21AF">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7.</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支持实时展示不少于20台设备的运行画面，并支持切换画面模式/列表模式，方便管理员根据实际管理需要选择管理模式。</w:t>
            </w:r>
          </w:p>
          <w:p w14:paraId="3DC810D7">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8.</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支持查看设备当前使用老师信息，以及最近一次设备解锁时间、解锁方式、解锁老师，实时了解班班通设备教学应用情况。</w:t>
            </w:r>
          </w:p>
          <w:p w14:paraId="03E06E42">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9.</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支持根据设备类型、设备所属年级/场地/自定义分组、设备开关机状态进行分组管理；支持文字检索设备名称，快速定位对应设备进行定向精准管理。</w:t>
            </w:r>
          </w:p>
          <w:p w14:paraId="7F1F4382">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10.</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支持查看单台设备的当日开机次数、开机时间分布情况、内存/硬盘占用情况、基础参数；并支持远程修改设备关联信息。</w:t>
            </w:r>
          </w:p>
          <w:p w14:paraId="4FEABAE2">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基础指令：</w:t>
            </w:r>
          </w:p>
          <w:p w14:paraId="53671D06">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11.</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p w14:paraId="17701BCF">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12.</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支持同时上传多个大于50MB的文件，并可批量发送至多台设备。</w:t>
            </w:r>
          </w:p>
          <w:p w14:paraId="230A615D">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13.</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支持设置即时、定时、循环模式的关机、重启、打铃、锁屏/解锁指令。其中打铃指令支持上传自定义铃声、设置播放时长；</w:t>
            </w:r>
          </w:p>
          <w:p w14:paraId="59BE0F07">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14.</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支持发送提醒类通知、全剧弹窗类紧急通知、桌面常驻类公告通知。支持设置常用通知消息模版，便于快捷发布。</w:t>
            </w:r>
          </w:p>
          <w:p w14:paraId="69D324E5">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15.</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支持远程实时控制设备，可监测设备当前运行界面，并远程操作设备界面，适用于远程维护和修复设备软件问题。</w:t>
            </w:r>
          </w:p>
          <w:p w14:paraId="1FF2A52F">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16.</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支持设置倒计日，用于重大教学安排的提醒，并可定向远程开启/关闭指定设备的倒计日功能。</w:t>
            </w:r>
          </w:p>
          <w:p w14:paraId="4ACD6C33">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17.</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支持查看和撤销待执行指令；支持查看已执行指令情况、指令执行实时状态；支持查看设备操作日志，精确记录设备每次解锁方式、解锁时间、解锁人信息，便于管理员了解设备是否存在违规使用，规范管理。</w:t>
            </w:r>
          </w:p>
          <w:p w14:paraId="41C9C608">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高效管理：</w:t>
            </w:r>
          </w:p>
          <w:p w14:paraId="4970F0D8">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18.</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支持同时查看</w:t>
            </w:r>
            <w:r>
              <w:rPr>
                <w:rFonts w:hint="eastAsia" w:ascii="宋体" w:hAnsi="宋体" w:cs="宋体"/>
                <w:b w:val="0"/>
                <w:bCs w:val="0"/>
                <w:color w:val="000000"/>
                <w:sz w:val="21"/>
                <w:szCs w:val="21"/>
                <w:highlight w:val="none"/>
                <w:lang w:val="en-US" w:eastAsia="zh-CN"/>
              </w:rPr>
              <w:t>不少于</w:t>
            </w:r>
            <w:r>
              <w:rPr>
                <w:rFonts w:hint="eastAsia" w:ascii="宋体" w:hAnsi="宋体" w:eastAsia="宋体" w:cs="宋体"/>
                <w:b w:val="0"/>
                <w:bCs w:val="0"/>
                <w:color w:val="000000"/>
                <w:sz w:val="21"/>
                <w:szCs w:val="21"/>
                <w:highlight w:val="none"/>
              </w:rPr>
              <w:t>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14:paraId="0EFF7934">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19.</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支持设备长时间无人使用时，自动进入屏保、锁屏、息屏、关机状态，保护显示器，延长班班通使用寿命。</w:t>
            </w:r>
          </w:p>
          <w:p w14:paraId="160DF1B5">
            <w:pP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20.</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软件静默安装：支持用户自主上传官方正版软件，经过人工封装软件后，批量将软件发送至班班通设备安装，整个安装过程完全无感，不影响正常教学。</w:t>
            </w:r>
          </w:p>
          <w:p w14:paraId="04B63EDA">
            <w:pPr>
              <w:rPr>
                <w:rFonts w:hint="eastAsia" w:ascii="宋体" w:hAnsi="Times New Roman" w:eastAsia="宋体" w:cs="宋体"/>
                <w:kern w:val="2"/>
                <w:sz w:val="21"/>
                <w:szCs w:val="22"/>
                <w:highlight w:val="none"/>
                <w:lang w:val="en-US" w:eastAsia="zh-CN" w:bidi="ar-SA"/>
              </w:rPr>
            </w:pPr>
            <w:r>
              <w:rPr>
                <w:rFonts w:hint="eastAsia" w:ascii="宋体" w:hAnsi="宋体" w:eastAsia="宋体" w:cs="宋体"/>
                <w:b w:val="0"/>
                <w:bCs w:val="0"/>
                <w:color w:val="000000"/>
                <w:sz w:val="21"/>
                <w:szCs w:val="21"/>
                <w:highlight w:val="none"/>
              </w:rPr>
              <w:t>2</w:t>
            </w:r>
            <w:r>
              <w:rPr>
                <w:rFonts w:hint="eastAsia" w:ascii="宋体" w:hAnsi="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rPr>
              <w:tab/>
            </w:r>
            <w:r>
              <w:rPr>
                <w:rFonts w:hint="eastAsia" w:ascii="宋体" w:hAnsi="宋体" w:eastAsia="宋体" w:cs="宋体"/>
                <w:b w:val="0"/>
                <w:bCs w:val="0"/>
                <w:color w:val="000000"/>
                <w:sz w:val="21"/>
                <w:szCs w:val="21"/>
                <w:highlight w:val="none"/>
              </w:rPr>
              <w:t>音视频直播：支持</w:t>
            </w:r>
            <w:r>
              <w:rPr>
                <w:rFonts w:hint="eastAsia" w:ascii="宋体" w:hAnsi="宋体" w:cs="宋体"/>
                <w:b w:val="0"/>
                <w:bCs w:val="0"/>
                <w:color w:val="000000"/>
                <w:sz w:val="21"/>
                <w:szCs w:val="21"/>
                <w:highlight w:val="none"/>
                <w:lang w:val="en-US" w:eastAsia="zh-CN"/>
              </w:rPr>
              <w:t>不少于</w:t>
            </w:r>
            <w:r>
              <w:rPr>
                <w:rFonts w:hint="eastAsia" w:ascii="宋体" w:hAnsi="宋体" w:eastAsia="宋体" w:cs="宋体"/>
                <w:b w:val="0"/>
                <w:bCs w:val="0"/>
                <w:color w:val="000000"/>
                <w:sz w:val="21"/>
                <w:szCs w:val="21"/>
                <w:highlight w:val="none"/>
              </w:rPr>
              <w:t>6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w:t>
            </w:r>
            <w:r>
              <w:rPr>
                <w:rFonts w:hint="eastAsia" w:ascii="宋体" w:hAnsi="宋体" w:cs="宋体"/>
                <w:b w:val="0"/>
                <w:bCs w:val="0"/>
                <w:color w:val="000000"/>
                <w:sz w:val="21"/>
                <w:szCs w:val="21"/>
                <w:highlight w:val="none"/>
                <w:lang w:val="en-US" w:eastAsia="zh-CN"/>
              </w:rPr>
              <w:t>.</w:t>
            </w:r>
          </w:p>
        </w:tc>
        <w:tc>
          <w:tcPr>
            <w:tcW w:w="577" w:type="dxa"/>
            <w:tcBorders>
              <w:top w:val="single" w:color="000000" w:sz="4" w:space="0"/>
              <w:left w:val="single" w:color="000000" w:sz="4" w:space="0"/>
              <w:bottom w:val="single" w:color="000000" w:sz="4" w:space="0"/>
              <w:right w:val="single" w:color="000000" w:sz="4" w:space="0"/>
            </w:tcBorders>
            <w:vAlign w:val="center"/>
          </w:tcPr>
          <w:p w14:paraId="3F625253">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套</w:t>
            </w:r>
          </w:p>
        </w:tc>
        <w:tc>
          <w:tcPr>
            <w:tcW w:w="610" w:type="dxa"/>
            <w:tcBorders>
              <w:top w:val="single" w:color="000000" w:sz="4" w:space="0"/>
              <w:left w:val="single" w:color="000000" w:sz="4" w:space="0"/>
              <w:bottom w:val="single" w:color="000000" w:sz="4" w:space="0"/>
              <w:right w:val="single" w:color="000000" w:sz="4" w:space="0"/>
            </w:tcBorders>
            <w:vAlign w:val="center"/>
          </w:tcPr>
          <w:p w14:paraId="6F83C9C1">
            <w:pPr>
              <w:widowControl/>
              <w:jc w:val="center"/>
              <w:textAlignment w:val="center"/>
              <w:rPr>
                <w:rFonts w:hint="default"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r w14:paraId="21337A36">
        <w:tblPrEx>
          <w:tblCellMar>
            <w:top w:w="15" w:type="dxa"/>
            <w:left w:w="15" w:type="dxa"/>
            <w:bottom w:w="15" w:type="dxa"/>
            <w:right w:w="15" w:type="dxa"/>
          </w:tblCellMar>
        </w:tblPrEx>
        <w:trPr>
          <w:trHeight w:val="565" w:hRule="atLeast"/>
        </w:trPr>
        <w:tc>
          <w:tcPr>
            <w:tcW w:w="303" w:type="dxa"/>
            <w:tcBorders>
              <w:top w:val="single" w:color="000000" w:sz="4" w:space="0"/>
              <w:left w:val="single" w:color="000000" w:sz="4" w:space="0"/>
              <w:bottom w:val="single" w:color="000000" w:sz="4" w:space="0"/>
              <w:right w:val="single" w:color="000000" w:sz="4" w:space="0"/>
            </w:tcBorders>
            <w:vAlign w:val="center"/>
          </w:tcPr>
          <w:p w14:paraId="5B2AF5F1">
            <w:pPr>
              <w:widowControl/>
              <w:jc w:val="center"/>
              <w:textAlignment w:val="center"/>
              <w:rPr>
                <w:rFonts w:hint="default"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p>
        </w:tc>
        <w:tc>
          <w:tcPr>
            <w:tcW w:w="1098" w:type="dxa"/>
            <w:tcBorders>
              <w:top w:val="single" w:color="000000" w:sz="4" w:space="0"/>
              <w:left w:val="single" w:color="000000" w:sz="4" w:space="0"/>
              <w:bottom w:val="single" w:color="000000" w:sz="4" w:space="0"/>
              <w:right w:val="single" w:color="000000" w:sz="4" w:space="0"/>
            </w:tcBorders>
            <w:vAlign w:val="center"/>
          </w:tcPr>
          <w:p w14:paraId="179417E9">
            <w:pPr>
              <w:spacing w:line="360" w:lineRule="auto"/>
              <w:jc w:val="center"/>
              <w:textAlignment w:val="baseline"/>
              <w:rPr>
                <w:rFonts w:hint="eastAsia" w:ascii="宋体" w:hAnsi="Times New Roman" w:eastAsia="宋体" w:cs="宋体"/>
                <w:kern w:val="2"/>
                <w:sz w:val="21"/>
                <w:szCs w:val="21"/>
                <w:highlight w:val="none"/>
                <w:lang w:val="en-US" w:eastAsia="zh-CN" w:bidi="ar-SA"/>
              </w:rPr>
            </w:pPr>
            <w:r>
              <w:rPr>
                <w:rFonts w:hint="eastAsia" w:ascii="宋体" w:cs="宋体"/>
                <w:szCs w:val="21"/>
                <w:highlight w:val="none"/>
              </w:rPr>
              <w:t>踏台</w:t>
            </w:r>
          </w:p>
        </w:tc>
        <w:tc>
          <w:tcPr>
            <w:tcW w:w="11907" w:type="dxa"/>
            <w:tcBorders>
              <w:top w:val="single" w:color="000000" w:sz="4" w:space="0"/>
              <w:left w:val="single" w:color="000000" w:sz="4" w:space="0"/>
              <w:bottom w:val="single" w:color="000000" w:sz="4" w:space="0"/>
              <w:right w:val="single" w:color="000000" w:sz="4" w:space="0"/>
            </w:tcBorders>
            <w:vAlign w:val="center"/>
          </w:tcPr>
          <w:p w14:paraId="16A22A74">
            <w:pPr>
              <w:rPr>
                <w:rFonts w:hint="eastAsia" w:ascii="宋体" w:hAnsi="Times New Roman" w:eastAsia="宋体" w:cs="宋体"/>
                <w:kern w:val="2"/>
                <w:sz w:val="21"/>
                <w:szCs w:val="22"/>
                <w:highlight w:val="none"/>
                <w:lang w:val="en-US" w:eastAsia="zh-CN" w:bidi="ar-SA"/>
              </w:rPr>
            </w:pPr>
            <w:r>
              <w:rPr>
                <w:rFonts w:hint="eastAsia" w:ascii="宋体" w:cs="宋体"/>
                <w:color w:val="000000"/>
                <w:kern w:val="0"/>
                <w:szCs w:val="21"/>
                <w:highlight w:val="none"/>
              </w:rPr>
              <w:t>根据现场环境订制，分段拼装。台面、侧面、地笼板：采用E0级18mm厚三氯氰胺防潮双贴面刨花板，侧面和地笼材料和台面材料相同，金属条封边。各项技术指标达到国家标准；甲醛含量达到国家E0级标准，无毒无害。</w:t>
            </w:r>
          </w:p>
        </w:tc>
        <w:tc>
          <w:tcPr>
            <w:tcW w:w="577" w:type="dxa"/>
            <w:tcBorders>
              <w:top w:val="single" w:color="000000" w:sz="4" w:space="0"/>
              <w:left w:val="single" w:color="000000" w:sz="4" w:space="0"/>
              <w:bottom w:val="single" w:color="000000" w:sz="4" w:space="0"/>
              <w:right w:val="single" w:color="000000" w:sz="4" w:space="0"/>
            </w:tcBorders>
            <w:vAlign w:val="center"/>
          </w:tcPr>
          <w:p w14:paraId="47ECD759">
            <w:pPr>
              <w:widowControl/>
              <w:jc w:val="center"/>
              <w:textAlignment w:val="center"/>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个</w:t>
            </w:r>
          </w:p>
        </w:tc>
        <w:tc>
          <w:tcPr>
            <w:tcW w:w="610" w:type="dxa"/>
            <w:tcBorders>
              <w:top w:val="single" w:color="000000" w:sz="4" w:space="0"/>
              <w:left w:val="single" w:color="000000" w:sz="4" w:space="0"/>
              <w:bottom w:val="single" w:color="000000" w:sz="4" w:space="0"/>
              <w:right w:val="single" w:color="000000" w:sz="4" w:space="0"/>
            </w:tcBorders>
            <w:vAlign w:val="center"/>
          </w:tcPr>
          <w:p w14:paraId="4AD59B08">
            <w:pPr>
              <w:widowControl/>
              <w:jc w:val="center"/>
              <w:textAlignment w:val="center"/>
              <w:rPr>
                <w:rFonts w:hint="default"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81</w:t>
            </w:r>
          </w:p>
        </w:tc>
      </w:tr>
    </w:tbl>
    <w:p w14:paraId="0D0EAF04">
      <w:pPr>
        <w:pStyle w:val="29"/>
        <w:numPr>
          <w:ilvl w:val="0"/>
          <w:numId w:val="0"/>
        </w:numPr>
      </w:pPr>
    </w:p>
    <w:p w14:paraId="16097ED6">
      <w:pPr>
        <w:pStyle w:val="13"/>
        <w:rPr>
          <w:rFonts w:hint="eastAsia"/>
        </w:rPr>
      </w:pPr>
    </w:p>
    <w:p w14:paraId="0156EDB1">
      <w:pPr>
        <w:pageBreakBefore w:val="0"/>
        <w:kinsoku/>
        <w:wordWrap w:val="0"/>
        <w:overflowPunct/>
        <w:bidi w:val="0"/>
        <w:jc w:val="center"/>
        <w:rPr>
          <w:rFonts w:hint="eastAsia" w:ascii="宋体"/>
          <w:highlight w:val="none"/>
        </w:rPr>
      </w:pPr>
    </w:p>
    <w:p w14:paraId="24253BDF">
      <w:pPr>
        <w:pageBreakBefore w:val="0"/>
        <w:kinsoku/>
        <w:wordWrap w:val="0"/>
        <w:overflowPunct/>
        <w:bidi w:val="0"/>
        <w:jc w:val="center"/>
        <w:rPr>
          <w:rFonts w:hint="eastAsia" w:ascii="宋体"/>
          <w:highlight w:val="none"/>
        </w:rPr>
        <w:sectPr>
          <w:headerReference r:id="rId17" w:type="default"/>
          <w:pgSz w:w="16840" w:h="11907" w:orient="landscape"/>
          <w:pgMar w:top="1418" w:right="1134" w:bottom="1418" w:left="1134" w:header="567" w:footer="567" w:gutter="0"/>
          <w:cols w:space="720" w:num="1"/>
          <w:titlePg/>
          <w:docGrid w:linePitch="312" w:charSpace="0"/>
        </w:sectPr>
      </w:pPr>
    </w:p>
    <w:p w14:paraId="06FE6721">
      <w:pPr>
        <w:pStyle w:val="29"/>
        <w:numPr>
          <w:ilvl w:val="0"/>
          <w:numId w:val="0"/>
        </w:numPr>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val="en-US" w:eastAsia="zh-CN"/>
        </w:rPr>
        <w:t>1.交货期：接到供货指令后30</w:t>
      </w:r>
      <w:r>
        <w:rPr>
          <w:rFonts w:hint="eastAsia" w:ascii="宋体" w:hAnsi="宋体" w:eastAsia="宋体" w:cs="宋体"/>
          <w:b w:val="0"/>
          <w:bCs w:val="0"/>
          <w:sz w:val="28"/>
          <w:szCs w:val="36"/>
        </w:rPr>
        <w:t>日内完成供货、安装、调试</w:t>
      </w:r>
      <w:r>
        <w:rPr>
          <w:rFonts w:hint="eastAsia" w:ascii="宋体" w:hAnsi="宋体" w:eastAsia="宋体" w:cs="宋体"/>
          <w:b w:val="0"/>
          <w:bCs w:val="0"/>
          <w:sz w:val="28"/>
          <w:szCs w:val="36"/>
          <w:lang w:eastAsia="zh-CN"/>
        </w:rPr>
        <w:t>。</w:t>
      </w:r>
    </w:p>
    <w:p w14:paraId="6FCB1CF7">
      <w:pPr>
        <w:pStyle w:val="29"/>
        <w:numPr>
          <w:ilvl w:val="0"/>
          <w:numId w:val="0"/>
        </w:numPr>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rPr>
        <w:t>2.交货地点</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lang w:val="en-US" w:eastAsia="zh-CN"/>
        </w:rPr>
        <w:t>使用学校</w:t>
      </w:r>
      <w:r>
        <w:rPr>
          <w:rFonts w:hint="eastAsia" w:ascii="宋体" w:hAnsi="宋体" w:eastAsia="宋体" w:cs="宋体"/>
          <w:b w:val="0"/>
          <w:bCs w:val="0"/>
          <w:sz w:val="28"/>
          <w:szCs w:val="36"/>
        </w:rPr>
        <w:t>，送货上门服务。</w:t>
      </w:r>
    </w:p>
    <w:p w14:paraId="1B9CE14F">
      <w:pPr>
        <w:pStyle w:val="29"/>
        <w:numPr>
          <w:ilvl w:val="0"/>
          <w:numId w:val="0"/>
        </w:numPr>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val="en-US" w:eastAsia="zh-CN"/>
        </w:rPr>
        <w:t>3.</w:t>
      </w:r>
      <w:r>
        <w:rPr>
          <w:rFonts w:hint="eastAsia" w:ascii="宋体" w:hAnsi="宋体" w:eastAsia="宋体" w:cs="宋体"/>
          <w:b w:val="0"/>
          <w:bCs w:val="0"/>
          <w:sz w:val="28"/>
          <w:szCs w:val="36"/>
        </w:rPr>
        <w:t>质保期</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rPr>
        <w:t>设备自验收之日起</w:t>
      </w:r>
      <w:r>
        <w:rPr>
          <w:rFonts w:hint="eastAsia" w:ascii="宋体" w:hAnsi="宋体" w:eastAsia="宋体" w:cs="宋体"/>
          <w:b w:val="0"/>
          <w:bCs w:val="0"/>
          <w:sz w:val="28"/>
          <w:szCs w:val="36"/>
          <w:lang w:val="en-US" w:eastAsia="zh-CN"/>
        </w:rPr>
        <w:t>3</w:t>
      </w:r>
      <w:r>
        <w:rPr>
          <w:rFonts w:hint="eastAsia" w:ascii="宋体" w:hAnsi="宋体" w:eastAsia="宋体" w:cs="宋体"/>
          <w:b w:val="0"/>
          <w:bCs w:val="0"/>
          <w:sz w:val="28"/>
          <w:szCs w:val="36"/>
        </w:rPr>
        <w:t>年内为</w:t>
      </w:r>
      <w:r>
        <w:rPr>
          <w:rFonts w:hint="eastAsia" w:ascii="宋体" w:hAnsi="宋体" w:eastAsia="宋体" w:cs="宋体"/>
          <w:b w:val="0"/>
          <w:bCs w:val="0"/>
          <w:sz w:val="28"/>
          <w:szCs w:val="36"/>
          <w:lang w:val="en-US" w:eastAsia="zh-CN"/>
        </w:rPr>
        <w:t>维</w:t>
      </w:r>
      <w:r>
        <w:rPr>
          <w:rFonts w:hint="eastAsia" w:ascii="宋体" w:hAnsi="宋体" w:eastAsia="宋体" w:cs="宋体"/>
          <w:b w:val="0"/>
          <w:bCs w:val="0"/>
          <w:sz w:val="28"/>
          <w:szCs w:val="36"/>
        </w:rPr>
        <w:t>保期</w:t>
      </w:r>
      <w:r>
        <w:rPr>
          <w:rFonts w:hint="eastAsia" w:ascii="宋体" w:hAnsi="宋体" w:eastAsia="宋体" w:cs="宋体"/>
          <w:b w:val="0"/>
          <w:bCs w:val="0"/>
          <w:sz w:val="28"/>
          <w:szCs w:val="36"/>
          <w:lang w:val="en-US" w:eastAsia="zh-CN"/>
        </w:rPr>
        <w:t>其中第1年为质保期</w:t>
      </w:r>
      <w:r>
        <w:rPr>
          <w:rFonts w:hint="eastAsia" w:ascii="宋体" w:hAnsi="宋体" w:eastAsia="宋体" w:cs="宋体"/>
          <w:b w:val="0"/>
          <w:bCs w:val="0"/>
          <w:sz w:val="28"/>
          <w:szCs w:val="36"/>
        </w:rPr>
        <w:t>（如设备法定质保期或设备使用说明质保期长于</w:t>
      </w:r>
      <w:r>
        <w:rPr>
          <w:rFonts w:hint="eastAsia" w:ascii="宋体" w:hAnsi="宋体" w:eastAsia="宋体" w:cs="宋体"/>
          <w:b w:val="0"/>
          <w:bCs w:val="0"/>
          <w:sz w:val="28"/>
          <w:szCs w:val="36"/>
          <w:lang w:val="en-US" w:eastAsia="zh-CN"/>
        </w:rPr>
        <w:t>1</w:t>
      </w:r>
      <w:r>
        <w:rPr>
          <w:rFonts w:hint="eastAsia" w:ascii="宋体" w:hAnsi="宋体" w:eastAsia="宋体" w:cs="宋体"/>
          <w:b w:val="0"/>
          <w:bCs w:val="0"/>
          <w:sz w:val="28"/>
          <w:szCs w:val="36"/>
        </w:rPr>
        <w:t>年，以法定质保期或说明书中质保期为准）</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lang w:val="en-US" w:eastAsia="zh-CN"/>
        </w:rPr>
        <w:t>质保维保期所有软硬件服务均免费</w:t>
      </w:r>
      <w:r>
        <w:rPr>
          <w:rFonts w:hint="eastAsia" w:ascii="宋体" w:hAnsi="宋体" w:eastAsia="宋体" w:cs="宋体"/>
          <w:b w:val="0"/>
          <w:bCs w:val="0"/>
          <w:sz w:val="28"/>
          <w:szCs w:val="36"/>
          <w:lang w:eastAsia="zh-CN"/>
        </w:rPr>
        <w:t>。</w:t>
      </w:r>
    </w:p>
    <w:p w14:paraId="5874074F">
      <w:pPr>
        <w:pStyle w:val="29"/>
        <w:numPr>
          <w:ilvl w:val="0"/>
          <w:numId w:val="0"/>
        </w:numPr>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val="en-US" w:eastAsia="zh-CN"/>
        </w:rPr>
        <w:t>4.</w:t>
      </w:r>
      <w:r>
        <w:rPr>
          <w:rFonts w:hint="eastAsia" w:ascii="宋体" w:hAnsi="宋体" w:eastAsia="宋体" w:cs="宋体"/>
          <w:b w:val="0"/>
          <w:bCs w:val="0"/>
          <w:sz w:val="28"/>
          <w:szCs w:val="36"/>
        </w:rPr>
        <w:t>与中标方的付款方式</w:t>
      </w:r>
      <w:r>
        <w:rPr>
          <w:rFonts w:hint="eastAsia" w:ascii="宋体" w:hAnsi="宋体" w:eastAsia="宋体" w:cs="宋体"/>
          <w:b w:val="0"/>
          <w:bCs w:val="0"/>
          <w:sz w:val="28"/>
          <w:szCs w:val="36"/>
          <w:lang w:eastAsia="zh-CN"/>
        </w:rPr>
        <w:t>：</w:t>
      </w:r>
      <w:r>
        <w:rPr>
          <w:rFonts w:hint="eastAsia" w:ascii="宋体" w:hAnsi="宋体" w:eastAsia="宋体" w:cs="宋体"/>
          <w:b w:val="0"/>
          <w:bCs w:val="0"/>
          <w:sz w:val="28"/>
          <w:szCs w:val="36"/>
        </w:rPr>
        <w:t>设备安装、调试完毕经</w:t>
      </w:r>
      <w:r>
        <w:rPr>
          <w:rFonts w:hint="eastAsia" w:ascii="宋体" w:hAnsi="宋体" w:eastAsia="宋体" w:cs="宋体"/>
          <w:b w:val="0"/>
          <w:bCs w:val="0"/>
          <w:sz w:val="28"/>
          <w:szCs w:val="36"/>
          <w:lang w:val="en-US" w:eastAsia="zh-CN"/>
        </w:rPr>
        <w:t>实际使用单位</w:t>
      </w:r>
      <w:r>
        <w:rPr>
          <w:rFonts w:hint="eastAsia" w:ascii="宋体" w:hAnsi="宋体" w:eastAsia="宋体" w:cs="宋体"/>
          <w:b w:val="0"/>
          <w:bCs w:val="0"/>
          <w:sz w:val="28"/>
          <w:szCs w:val="36"/>
        </w:rPr>
        <w:t>验收合格后向乙方支付合同总价款</w:t>
      </w:r>
      <w:r>
        <w:rPr>
          <w:rFonts w:hint="eastAsia" w:ascii="宋体" w:hAnsi="宋体" w:eastAsia="宋体" w:cs="宋体"/>
          <w:b w:val="0"/>
          <w:bCs w:val="0"/>
          <w:sz w:val="28"/>
          <w:szCs w:val="36"/>
          <w:lang w:val="en-US" w:eastAsia="zh-CN"/>
        </w:rPr>
        <w:t>70</w:t>
      </w:r>
      <w:r>
        <w:rPr>
          <w:rFonts w:hint="eastAsia" w:ascii="宋体" w:hAnsi="宋体" w:eastAsia="宋体" w:cs="宋体"/>
          <w:b w:val="0"/>
          <w:bCs w:val="0"/>
          <w:sz w:val="28"/>
          <w:szCs w:val="36"/>
        </w:rPr>
        <w:t>%，剩余合同</w:t>
      </w:r>
      <w:r>
        <w:rPr>
          <w:rFonts w:hint="eastAsia" w:ascii="宋体" w:hAnsi="宋体" w:eastAsia="宋体" w:cs="宋体"/>
          <w:b w:val="0"/>
          <w:bCs w:val="0"/>
          <w:sz w:val="28"/>
          <w:szCs w:val="36"/>
          <w:lang w:val="en-US" w:eastAsia="zh-CN"/>
        </w:rPr>
        <w:t>30</w:t>
      </w:r>
      <w:r>
        <w:rPr>
          <w:rFonts w:hint="eastAsia" w:ascii="宋体" w:hAnsi="宋体" w:eastAsia="宋体" w:cs="宋体"/>
          <w:b w:val="0"/>
          <w:bCs w:val="0"/>
          <w:sz w:val="28"/>
          <w:szCs w:val="36"/>
        </w:rPr>
        <w:t>%</w:t>
      </w:r>
      <w:r>
        <w:rPr>
          <w:rFonts w:hint="eastAsia" w:ascii="宋体" w:hAnsi="宋体" w:eastAsia="宋体" w:cs="宋体"/>
          <w:b w:val="0"/>
          <w:bCs w:val="0"/>
          <w:sz w:val="28"/>
          <w:szCs w:val="36"/>
          <w:lang w:val="en-US" w:eastAsia="zh-CN"/>
        </w:rPr>
        <w:t>金额从验收之日起3年内完成付款</w:t>
      </w:r>
      <w:r>
        <w:rPr>
          <w:rFonts w:hint="eastAsia" w:ascii="宋体" w:hAnsi="宋体" w:eastAsia="宋体" w:cs="宋体"/>
          <w:b w:val="0"/>
          <w:bCs w:val="0"/>
          <w:sz w:val="28"/>
          <w:szCs w:val="36"/>
        </w:rPr>
        <w:t>。</w:t>
      </w:r>
    </w:p>
    <w:p w14:paraId="26457E6A">
      <w:pPr>
        <w:pStyle w:val="29"/>
        <w:numPr>
          <w:ilvl w:val="0"/>
          <w:numId w:val="0"/>
        </w:numPr>
        <w:rPr>
          <w:rFonts w:hint="eastAsia"/>
        </w:rPr>
      </w:pPr>
    </w:p>
    <w:p w14:paraId="26D06E54">
      <w:pPr>
        <w:pageBreakBefore w:val="0"/>
        <w:kinsoku/>
        <w:wordWrap w:val="0"/>
        <w:overflowPunct/>
        <w:bidi w:val="0"/>
        <w:jc w:val="center"/>
        <w:rPr>
          <w:rFonts w:hint="eastAsia" w:ascii="宋体"/>
          <w:highlight w:val="none"/>
        </w:rPr>
      </w:pPr>
    </w:p>
    <w:bookmarkEnd w:id="406"/>
    <w:bookmarkEnd w:id="407"/>
    <w:bookmarkEnd w:id="408"/>
    <w:bookmarkEnd w:id="409"/>
    <w:p w14:paraId="407A7858">
      <w:pPr>
        <w:pageBreakBefore w:val="0"/>
        <w:kinsoku/>
        <w:wordWrap w:val="0"/>
        <w:overflowPunct/>
        <w:bidi w:val="0"/>
        <w:jc w:val="center"/>
        <w:outlineLvl w:val="0"/>
        <w:rPr>
          <w:rFonts w:hint="eastAsia"/>
          <w:highlight w:val="none"/>
        </w:rPr>
      </w:pPr>
      <w:bookmarkStart w:id="413" w:name="_Toc246996354"/>
      <w:bookmarkStart w:id="414" w:name="_Toc179632806"/>
      <w:bookmarkStart w:id="415" w:name="_Toc246997097"/>
      <w:bookmarkStart w:id="416" w:name="_Toc247085872"/>
      <w:bookmarkStart w:id="417" w:name="_Toc468267479"/>
      <w:bookmarkStart w:id="418" w:name="_Toc144974855"/>
      <w:bookmarkStart w:id="419" w:name="_Toc152045786"/>
      <w:bookmarkStart w:id="420" w:name="_Toc152042575"/>
      <w:r>
        <w:rPr>
          <w:b/>
          <w:bCs/>
          <w:kern w:val="44"/>
          <w:sz w:val="44"/>
          <w:szCs w:val="44"/>
          <w:highlight w:val="none"/>
        </w:rPr>
        <w:br w:type="page"/>
      </w:r>
      <w:bookmarkStart w:id="421" w:name="_Toc77166520"/>
      <w:bookmarkStart w:id="422" w:name="_Toc20598"/>
      <w:bookmarkStart w:id="423" w:name="_Toc5666"/>
      <w:r>
        <w:rPr>
          <w:rFonts w:hint="eastAsia"/>
          <w:b/>
          <w:bCs/>
          <w:kern w:val="44"/>
          <w:sz w:val="44"/>
          <w:szCs w:val="44"/>
          <w:highlight w:val="none"/>
        </w:rPr>
        <w:t>第六章 投标文件格式</w:t>
      </w:r>
      <w:bookmarkEnd w:id="413"/>
      <w:bookmarkEnd w:id="414"/>
      <w:bookmarkEnd w:id="415"/>
      <w:bookmarkEnd w:id="416"/>
      <w:bookmarkEnd w:id="417"/>
      <w:bookmarkEnd w:id="418"/>
      <w:bookmarkEnd w:id="419"/>
      <w:bookmarkEnd w:id="420"/>
      <w:bookmarkEnd w:id="421"/>
      <w:bookmarkEnd w:id="422"/>
      <w:bookmarkEnd w:id="423"/>
    </w:p>
    <w:p w14:paraId="774DCD13">
      <w:pPr>
        <w:pageBreakBefore w:val="0"/>
        <w:kinsoku/>
        <w:wordWrap w:val="0"/>
        <w:overflowPunct/>
        <w:bidi w:val="0"/>
        <w:spacing w:line="300" w:lineRule="auto"/>
        <w:rPr>
          <w:rFonts w:hint="eastAsia"/>
          <w:highlight w:val="none"/>
        </w:rPr>
      </w:pPr>
    </w:p>
    <w:p w14:paraId="278BE390">
      <w:pPr>
        <w:pageBreakBefore w:val="0"/>
        <w:kinsoku/>
        <w:wordWrap w:val="0"/>
        <w:overflowPunct/>
        <w:bidi w:val="0"/>
        <w:spacing w:line="300" w:lineRule="auto"/>
        <w:rPr>
          <w:rFonts w:eastAsia="黑体"/>
          <w:sz w:val="20"/>
          <w:szCs w:val="20"/>
          <w:highlight w:val="none"/>
        </w:rPr>
      </w:pPr>
    </w:p>
    <w:p w14:paraId="537CFF0A">
      <w:pPr>
        <w:pageBreakBefore w:val="0"/>
        <w:kinsoku/>
        <w:wordWrap w:val="0"/>
        <w:overflowPunct/>
        <w:bidi w:val="0"/>
        <w:spacing w:after="120" w:line="700" w:lineRule="exact"/>
        <w:ind w:firstLine="1248" w:firstLineChars="444"/>
        <w:outlineLvl w:val="0"/>
        <w:rPr>
          <w:rFonts w:hint="eastAsia" w:ascii="宋体"/>
          <w:b/>
          <w:sz w:val="36"/>
          <w:szCs w:val="36"/>
          <w:highlight w:val="none"/>
        </w:rPr>
      </w:pPr>
      <w:r>
        <w:rPr>
          <w:rFonts w:hint="eastAsia" w:ascii="宋体"/>
          <w:b/>
          <w:sz w:val="28"/>
          <w:szCs w:val="28"/>
          <w:highlight w:val="none"/>
          <w:u w:val="single"/>
        </w:rPr>
        <w:t xml:space="preserve">                </w:t>
      </w:r>
      <w:bookmarkStart w:id="424" w:name="_Toc936"/>
      <w:bookmarkStart w:id="425" w:name="_Toc12915"/>
      <w:r>
        <w:rPr>
          <w:rFonts w:hint="eastAsia" w:ascii="宋体"/>
          <w:b/>
          <w:sz w:val="28"/>
          <w:szCs w:val="28"/>
          <w:highlight w:val="none"/>
          <w:u w:val="single"/>
        </w:rPr>
        <w:t>(招标项目名称)</w:t>
      </w:r>
      <w:bookmarkEnd w:id="424"/>
      <w:bookmarkEnd w:id="425"/>
      <w:r>
        <w:rPr>
          <w:rFonts w:hint="eastAsia" w:ascii="宋体"/>
          <w:b/>
          <w:sz w:val="28"/>
          <w:szCs w:val="28"/>
          <w:highlight w:val="none"/>
          <w:u w:val="single"/>
        </w:rPr>
        <w:t xml:space="preserve">               </w:t>
      </w:r>
    </w:p>
    <w:p w14:paraId="453A9F31">
      <w:pPr>
        <w:pageBreakBefore w:val="0"/>
        <w:kinsoku/>
        <w:wordWrap w:val="0"/>
        <w:overflowPunct/>
        <w:bidi w:val="0"/>
        <w:spacing w:after="120" w:line="700" w:lineRule="exact"/>
        <w:jc w:val="center"/>
        <w:rPr>
          <w:rFonts w:hint="eastAsia" w:ascii="宋体"/>
          <w:szCs w:val="21"/>
          <w:highlight w:val="none"/>
        </w:rPr>
      </w:pPr>
    </w:p>
    <w:p w14:paraId="37D5106A">
      <w:pPr>
        <w:pageBreakBefore w:val="0"/>
        <w:kinsoku/>
        <w:wordWrap w:val="0"/>
        <w:overflowPunct/>
        <w:bidi w:val="0"/>
        <w:spacing w:after="120" w:line="700" w:lineRule="exact"/>
        <w:jc w:val="center"/>
        <w:rPr>
          <w:rFonts w:hint="eastAsia" w:ascii="宋体"/>
          <w:szCs w:val="21"/>
          <w:highlight w:val="none"/>
        </w:rPr>
      </w:pPr>
    </w:p>
    <w:p w14:paraId="7E111056">
      <w:pPr>
        <w:pageBreakBefore w:val="0"/>
        <w:kinsoku/>
        <w:wordWrap w:val="0"/>
        <w:overflowPunct/>
        <w:bidi w:val="0"/>
        <w:spacing w:after="120" w:line="700" w:lineRule="exact"/>
        <w:jc w:val="center"/>
        <w:outlineLvl w:val="0"/>
        <w:rPr>
          <w:rFonts w:hint="eastAsia" w:ascii="宋体"/>
          <w:b/>
          <w:sz w:val="44"/>
          <w:szCs w:val="44"/>
          <w:highlight w:val="none"/>
        </w:rPr>
      </w:pPr>
      <w:bookmarkStart w:id="426" w:name="_Toc17063"/>
      <w:bookmarkStart w:id="427" w:name="_Toc2233"/>
      <w:r>
        <w:rPr>
          <w:rFonts w:hint="eastAsia" w:ascii="宋体"/>
          <w:b/>
          <w:sz w:val="44"/>
          <w:szCs w:val="44"/>
          <w:highlight w:val="none"/>
        </w:rPr>
        <w:t>投标文件</w:t>
      </w:r>
      <w:bookmarkEnd w:id="426"/>
      <w:bookmarkEnd w:id="427"/>
    </w:p>
    <w:p w14:paraId="65F7589A">
      <w:pPr>
        <w:pageBreakBefore w:val="0"/>
        <w:kinsoku/>
        <w:wordWrap w:val="0"/>
        <w:overflowPunct/>
        <w:bidi w:val="0"/>
        <w:spacing w:after="120" w:line="440" w:lineRule="exact"/>
        <w:ind w:firstLine="3360" w:firstLineChars="1400"/>
        <w:rPr>
          <w:rFonts w:hint="eastAsia" w:ascii="宋体"/>
          <w:sz w:val="24"/>
          <w:highlight w:val="none"/>
        </w:rPr>
      </w:pPr>
    </w:p>
    <w:p w14:paraId="0ED9C792">
      <w:pPr>
        <w:pageBreakBefore w:val="0"/>
        <w:kinsoku/>
        <w:wordWrap w:val="0"/>
        <w:overflowPunct/>
        <w:bidi w:val="0"/>
        <w:spacing w:after="120" w:line="440" w:lineRule="exact"/>
        <w:ind w:firstLine="3360" w:firstLineChars="1400"/>
        <w:rPr>
          <w:rFonts w:hint="eastAsia" w:ascii="宋体"/>
          <w:sz w:val="24"/>
          <w:highlight w:val="none"/>
        </w:rPr>
      </w:pPr>
      <w:r>
        <w:rPr>
          <w:rFonts w:hint="eastAsia" w:ascii="宋体"/>
          <w:sz w:val="24"/>
          <w:highlight w:val="none"/>
        </w:rPr>
        <w:t>招标项目编号：</w:t>
      </w:r>
    </w:p>
    <w:p w14:paraId="6E5444B9">
      <w:pPr>
        <w:pageBreakBefore w:val="0"/>
        <w:kinsoku/>
        <w:wordWrap w:val="0"/>
        <w:overflowPunct/>
        <w:bidi w:val="0"/>
        <w:spacing w:after="120" w:line="440" w:lineRule="exact"/>
        <w:jc w:val="center"/>
        <w:rPr>
          <w:rFonts w:hint="eastAsia" w:ascii="宋体"/>
          <w:szCs w:val="21"/>
          <w:highlight w:val="none"/>
        </w:rPr>
      </w:pPr>
    </w:p>
    <w:p w14:paraId="34C7F3A4">
      <w:pPr>
        <w:pageBreakBefore w:val="0"/>
        <w:kinsoku/>
        <w:wordWrap w:val="0"/>
        <w:overflowPunct/>
        <w:bidi w:val="0"/>
        <w:spacing w:after="120" w:line="440" w:lineRule="exact"/>
        <w:jc w:val="center"/>
        <w:rPr>
          <w:rFonts w:hint="eastAsia" w:ascii="宋体"/>
          <w:szCs w:val="21"/>
          <w:highlight w:val="none"/>
        </w:rPr>
      </w:pPr>
    </w:p>
    <w:p w14:paraId="1561626B">
      <w:pPr>
        <w:pageBreakBefore w:val="0"/>
        <w:kinsoku/>
        <w:wordWrap w:val="0"/>
        <w:overflowPunct/>
        <w:bidi w:val="0"/>
        <w:spacing w:line="440" w:lineRule="exact"/>
        <w:ind w:firstLine="562"/>
        <w:rPr>
          <w:rFonts w:hint="eastAsia" w:ascii="宋体"/>
          <w:b/>
          <w:szCs w:val="21"/>
          <w:highlight w:val="none"/>
        </w:rPr>
      </w:pPr>
    </w:p>
    <w:p w14:paraId="71228AFD">
      <w:pPr>
        <w:pageBreakBefore w:val="0"/>
        <w:kinsoku/>
        <w:wordWrap w:val="0"/>
        <w:overflowPunct/>
        <w:bidi w:val="0"/>
        <w:spacing w:line="440" w:lineRule="exact"/>
        <w:jc w:val="center"/>
        <w:rPr>
          <w:rFonts w:hint="eastAsia" w:ascii="宋体"/>
          <w:szCs w:val="21"/>
          <w:highlight w:val="none"/>
        </w:rPr>
      </w:pPr>
    </w:p>
    <w:p w14:paraId="1A18EF34">
      <w:pPr>
        <w:pageBreakBefore w:val="0"/>
        <w:kinsoku/>
        <w:wordWrap w:val="0"/>
        <w:overflowPunct/>
        <w:bidi w:val="0"/>
        <w:spacing w:line="440" w:lineRule="exact"/>
        <w:jc w:val="center"/>
        <w:rPr>
          <w:rFonts w:hint="eastAsia" w:ascii="宋体"/>
          <w:szCs w:val="21"/>
          <w:highlight w:val="none"/>
        </w:rPr>
      </w:pPr>
    </w:p>
    <w:p w14:paraId="44BD422E">
      <w:pPr>
        <w:pageBreakBefore w:val="0"/>
        <w:kinsoku/>
        <w:wordWrap w:val="0"/>
        <w:overflowPunct/>
        <w:bidi w:val="0"/>
        <w:spacing w:line="440" w:lineRule="exact"/>
        <w:jc w:val="center"/>
        <w:rPr>
          <w:rFonts w:hint="eastAsia" w:ascii="宋体"/>
          <w:szCs w:val="21"/>
          <w:highlight w:val="none"/>
        </w:rPr>
      </w:pPr>
    </w:p>
    <w:p w14:paraId="641E45C4">
      <w:pPr>
        <w:pageBreakBefore w:val="0"/>
        <w:kinsoku/>
        <w:wordWrap w:val="0"/>
        <w:overflowPunct/>
        <w:bidi w:val="0"/>
        <w:spacing w:line="440" w:lineRule="exact"/>
        <w:jc w:val="center"/>
        <w:rPr>
          <w:rFonts w:hint="eastAsia" w:ascii="宋体"/>
          <w:szCs w:val="21"/>
          <w:highlight w:val="none"/>
        </w:rPr>
      </w:pPr>
    </w:p>
    <w:p w14:paraId="0806165D">
      <w:pPr>
        <w:pageBreakBefore w:val="0"/>
        <w:kinsoku/>
        <w:wordWrap w:val="0"/>
        <w:overflowPunct/>
        <w:bidi w:val="0"/>
        <w:spacing w:line="440" w:lineRule="exact"/>
        <w:ind w:firstLine="957" w:firstLineChars="342"/>
        <w:rPr>
          <w:rFonts w:hint="eastAsia" w:ascii="宋体"/>
          <w:sz w:val="28"/>
          <w:szCs w:val="28"/>
          <w:highlight w:val="none"/>
        </w:rPr>
      </w:pPr>
      <w:r>
        <w:rPr>
          <w:rFonts w:hint="eastAsia" w:ascii="宋体"/>
          <w:sz w:val="28"/>
          <w:szCs w:val="28"/>
          <w:highlight w:val="none"/>
        </w:rPr>
        <w:t>投标人名称：</w:t>
      </w:r>
      <w:r>
        <w:rPr>
          <w:rFonts w:hint="eastAsia" w:ascii="宋体"/>
          <w:sz w:val="28"/>
          <w:szCs w:val="28"/>
          <w:highlight w:val="none"/>
          <w:u w:val="single"/>
        </w:rPr>
        <w:t xml:space="preserve">                             </w:t>
      </w:r>
      <w:r>
        <w:rPr>
          <w:rFonts w:hint="eastAsia" w:ascii="宋体"/>
          <w:sz w:val="28"/>
          <w:szCs w:val="28"/>
          <w:highlight w:val="none"/>
        </w:rPr>
        <w:t>(盖章)</w:t>
      </w:r>
    </w:p>
    <w:p w14:paraId="04BA0E42">
      <w:pPr>
        <w:pageBreakBefore w:val="0"/>
        <w:kinsoku/>
        <w:wordWrap w:val="0"/>
        <w:overflowPunct/>
        <w:bidi w:val="0"/>
        <w:spacing w:line="440" w:lineRule="exact"/>
        <w:ind w:firstLine="957" w:firstLineChars="342"/>
        <w:rPr>
          <w:rFonts w:hint="eastAsia" w:ascii="宋体"/>
          <w:sz w:val="28"/>
          <w:szCs w:val="28"/>
          <w:highlight w:val="none"/>
          <w:u w:val="single"/>
        </w:rPr>
      </w:pPr>
    </w:p>
    <w:p w14:paraId="311E8159">
      <w:pPr>
        <w:pageBreakBefore w:val="0"/>
        <w:kinsoku/>
        <w:wordWrap w:val="0"/>
        <w:overflowPunct/>
        <w:bidi w:val="0"/>
        <w:spacing w:line="440" w:lineRule="exact"/>
        <w:ind w:firstLine="957" w:firstLineChars="342"/>
        <w:rPr>
          <w:rFonts w:hint="eastAsia" w:ascii="宋体"/>
          <w:sz w:val="28"/>
          <w:szCs w:val="28"/>
          <w:highlight w:val="none"/>
          <w:u w:val="single"/>
        </w:rPr>
      </w:pPr>
    </w:p>
    <w:p w14:paraId="1B3C268B">
      <w:pPr>
        <w:pageBreakBefore w:val="0"/>
        <w:kinsoku/>
        <w:wordWrap w:val="0"/>
        <w:overflowPunct/>
        <w:bidi w:val="0"/>
        <w:spacing w:line="440" w:lineRule="exact"/>
        <w:rPr>
          <w:rFonts w:hint="eastAsia" w:ascii="宋体"/>
          <w:sz w:val="28"/>
          <w:szCs w:val="28"/>
          <w:highlight w:val="none"/>
          <w:u w:val="single"/>
        </w:rPr>
      </w:pPr>
      <w:r>
        <w:rPr>
          <w:rFonts w:hint="eastAsia" w:ascii="宋体"/>
          <w:sz w:val="28"/>
          <w:szCs w:val="28"/>
          <w:highlight w:val="none"/>
        </w:rPr>
        <w:t>法定代表人或其授权委托代理人：</w:t>
      </w:r>
      <w:r>
        <w:rPr>
          <w:rFonts w:hint="eastAsia" w:ascii="宋体"/>
          <w:sz w:val="28"/>
          <w:szCs w:val="28"/>
          <w:highlight w:val="none"/>
          <w:u w:val="single"/>
        </w:rPr>
        <w:t xml:space="preserve">                   </w:t>
      </w:r>
      <w:r>
        <w:rPr>
          <w:rFonts w:hint="eastAsia" w:ascii="宋体"/>
          <w:sz w:val="28"/>
          <w:szCs w:val="28"/>
          <w:highlight w:val="none"/>
        </w:rPr>
        <w:t>(签字或盖章)</w:t>
      </w:r>
    </w:p>
    <w:p w14:paraId="2432F2D7">
      <w:pPr>
        <w:pageBreakBefore w:val="0"/>
        <w:kinsoku/>
        <w:wordWrap w:val="0"/>
        <w:overflowPunct/>
        <w:bidi w:val="0"/>
        <w:spacing w:line="440" w:lineRule="exact"/>
        <w:ind w:left="1078" w:firstLine="1026" w:firstLineChars="342"/>
        <w:rPr>
          <w:rFonts w:hint="eastAsia" w:ascii="宋体"/>
          <w:sz w:val="30"/>
          <w:szCs w:val="30"/>
          <w:highlight w:val="none"/>
          <w:u w:val="single"/>
        </w:rPr>
      </w:pPr>
    </w:p>
    <w:p w14:paraId="44DD1E0B">
      <w:pPr>
        <w:pageBreakBefore w:val="0"/>
        <w:kinsoku/>
        <w:wordWrap w:val="0"/>
        <w:overflowPunct/>
        <w:bidi w:val="0"/>
        <w:spacing w:line="440" w:lineRule="exact"/>
        <w:rPr>
          <w:rFonts w:hint="eastAsia" w:ascii="宋体"/>
          <w:sz w:val="30"/>
          <w:szCs w:val="30"/>
          <w:highlight w:val="none"/>
        </w:rPr>
      </w:pPr>
    </w:p>
    <w:p w14:paraId="3BDA9620">
      <w:pPr>
        <w:pageBreakBefore w:val="0"/>
        <w:kinsoku/>
        <w:wordWrap w:val="0"/>
        <w:overflowPunct/>
        <w:bidi w:val="0"/>
        <w:spacing w:line="440" w:lineRule="exact"/>
        <w:rPr>
          <w:rFonts w:hint="eastAsia" w:ascii="宋体"/>
          <w:sz w:val="30"/>
          <w:szCs w:val="30"/>
          <w:highlight w:val="none"/>
        </w:rPr>
      </w:pPr>
    </w:p>
    <w:p w14:paraId="7809C166">
      <w:pPr>
        <w:pageBreakBefore w:val="0"/>
        <w:kinsoku/>
        <w:wordWrap w:val="0"/>
        <w:overflowPunct/>
        <w:bidi w:val="0"/>
        <w:spacing w:line="440" w:lineRule="exact"/>
        <w:jc w:val="center"/>
        <w:outlineLvl w:val="0"/>
        <w:rPr>
          <w:rFonts w:hint="eastAsia" w:ascii="宋体"/>
          <w:sz w:val="28"/>
          <w:szCs w:val="28"/>
          <w:highlight w:val="none"/>
        </w:rPr>
      </w:pPr>
      <w:bookmarkStart w:id="428" w:name="_Toc22058"/>
      <w:r>
        <w:rPr>
          <w:rFonts w:hint="eastAsia" w:ascii="宋体"/>
          <w:sz w:val="28"/>
          <w:szCs w:val="28"/>
          <w:highlight w:val="none"/>
        </w:rPr>
        <w:t>年    月    日</w:t>
      </w:r>
      <w:bookmarkEnd w:id="428"/>
    </w:p>
    <w:p w14:paraId="5BB204E3">
      <w:pPr>
        <w:pageBreakBefore w:val="0"/>
        <w:kinsoku/>
        <w:wordWrap w:val="0"/>
        <w:overflowPunct/>
        <w:bidi w:val="0"/>
        <w:spacing w:line="440" w:lineRule="exact"/>
        <w:jc w:val="center"/>
        <w:rPr>
          <w:rFonts w:hint="eastAsia" w:ascii="宋体"/>
          <w:sz w:val="24"/>
          <w:highlight w:val="none"/>
        </w:rPr>
      </w:pPr>
      <w:r>
        <w:rPr>
          <w:rFonts w:hint="eastAsia" w:ascii="宋体"/>
          <w:sz w:val="24"/>
          <w:highlight w:val="none"/>
        </w:rPr>
        <w:br w:type="page"/>
      </w:r>
    </w:p>
    <w:p w14:paraId="523054C0">
      <w:pPr>
        <w:pageBreakBefore w:val="0"/>
        <w:kinsoku/>
        <w:wordWrap w:val="0"/>
        <w:overflowPunct/>
        <w:bidi w:val="0"/>
        <w:spacing w:line="440" w:lineRule="exact"/>
        <w:jc w:val="center"/>
        <w:outlineLvl w:val="0"/>
        <w:rPr>
          <w:rFonts w:hint="eastAsia" w:ascii="宋体"/>
          <w:b/>
          <w:sz w:val="36"/>
          <w:szCs w:val="36"/>
          <w:highlight w:val="none"/>
        </w:rPr>
      </w:pPr>
      <w:bookmarkStart w:id="429" w:name="_Toc13458"/>
      <w:r>
        <w:rPr>
          <w:rFonts w:hint="eastAsia" w:ascii="宋体"/>
          <w:b/>
          <w:sz w:val="36"/>
          <w:szCs w:val="36"/>
          <w:highlight w:val="none"/>
        </w:rPr>
        <w:t>目   录</w:t>
      </w:r>
      <w:bookmarkEnd w:id="429"/>
    </w:p>
    <w:p w14:paraId="7F4CC8A8">
      <w:pPr>
        <w:pageBreakBefore w:val="0"/>
        <w:kinsoku/>
        <w:wordWrap w:val="0"/>
        <w:overflowPunct/>
        <w:bidi w:val="0"/>
        <w:spacing w:line="200" w:lineRule="exact"/>
        <w:jc w:val="center"/>
        <w:rPr>
          <w:rFonts w:hint="eastAsia" w:ascii="宋体"/>
          <w:szCs w:val="21"/>
          <w:highlight w:val="none"/>
        </w:rPr>
      </w:pPr>
    </w:p>
    <w:p w14:paraId="62E96E64">
      <w:pPr>
        <w:pageBreakBefore w:val="0"/>
        <w:kinsoku/>
        <w:wordWrap w:val="0"/>
        <w:overflowPunct/>
        <w:autoSpaceDE w:val="0"/>
        <w:autoSpaceDN w:val="0"/>
        <w:bidi w:val="0"/>
        <w:adjustRightInd w:val="0"/>
        <w:snapToGrid w:val="0"/>
        <w:spacing w:line="360" w:lineRule="auto"/>
        <w:rPr>
          <w:rFonts w:hint="eastAsia" w:ascii="宋体" w:cs="宋体-18030"/>
          <w:kern w:val="0"/>
          <w:sz w:val="24"/>
          <w:highlight w:val="none"/>
        </w:rPr>
      </w:pPr>
    </w:p>
    <w:p w14:paraId="61E03241">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一、投标函及投标函附录</w:t>
      </w:r>
    </w:p>
    <w:p w14:paraId="35FDE6C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二、法定代表人身份证明和授权委托书</w:t>
      </w:r>
    </w:p>
    <w:p w14:paraId="186934EB">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三、开标一览表</w:t>
      </w:r>
    </w:p>
    <w:p w14:paraId="7D266DC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四、投标保证金</w:t>
      </w:r>
    </w:p>
    <w:p w14:paraId="5779AEEC">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五、资格审查资料</w:t>
      </w:r>
    </w:p>
    <w:p w14:paraId="42230ED8">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六、</w:t>
      </w:r>
      <w:r>
        <w:rPr>
          <w:rFonts w:hint="eastAsia" w:ascii="宋体"/>
          <w:b/>
          <w:bCs/>
          <w:sz w:val="24"/>
          <w:highlight w:val="none"/>
        </w:rPr>
        <w:t>服务方案及其他</w:t>
      </w:r>
    </w:p>
    <w:p w14:paraId="506A5B16">
      <w:pPr>
        <w:pageBreakBefore w:val="0"/>
        <w:kinsoku/>
        <w:wordWrap w:val="0"/>
        <w:overflowPunct/>
        <w:bidi w:val="0"/>
        <w:spacing w:line="480" w:lineRule="auto"/>
        <w:ind w:firstLine="482" w:firstLineChars="200"/>
        <w:rPr>
          <w:rFonts w:hint="eastAsia" w:ascii="宋体" w:cs="宋体-18030"/>
          <w:b/>
          <w:kern w:val="0"/>
          <w:sz w:val="24"/>
          <w:highlight w:val="none"/>
        </w:rPr>
      </w:pPr>
      <w:r>
        <w:rPr>
          <w:rFonts w:hint="eastAsia" w:ascii="宋体" w:cs="宋体-18030"/>
          <w:b/>
          <w:kern w:val="0"/>
          <w:sz w:val="24"/>
          <w:highlight w:val="none"/>
        </w:rPr>
        <w:t>七、其他资料</w:t>
      </w:r>
    </w:p>
    <w:p w14:paraId="567A3039">
      <w:pPr>
        <w:pageBreakBefore w:val="0"/>
        <w:kinsoku/>
        <w:wordWrap w:val="0"/>
        <w:overflowPunct/>
        <w:bidi w:val="0"/>
        <w:spacing w:line="440" w:lineRule="exact"/>
        <w:ind w:firstLine="420" w:firstLineChars="200"/>
        <w:rPr>
          <w:rFonts w:hint="eastAsia" w:ascii="宋体"/>
          <w:szCs w:val="21"/>
          <w:highlight w:val="none"/>
        </w:rPr>
      </w:pPr>
    </w:p>
    <w:p w14:paraId="0FDED5D1">
      <w:pPr>
        <w:pageBreakBefore w:val="0"/>
        <w:kinsoku/>
        <w:wordWrap w:val="0"/>
        <w:overflowPunct/>
        <w:bidi w:val="0"/>
        <w:spacing w:line="440" w:lineRule="exact"/>
        <w:ind w:firstLine="420" w:firstLineChars="200"/>
        <w:rPr>
          <w:rFonts w:hint="eastAsia" w:ascii="宋体"/>
          <w:szCs w:val="21"/>
          <w:highlight w:val="none"/>
        </w:rPr>
      </w:pPr>
    </w:p>
    <w:p w14:paraId="0E3B66C1">
      <w:pPr>
        <w:pageBreakBefore w:val="0"/>
        <w:kinsoku/>
        <w:wordWrap w:val="0"/>
        <w:overflowPunct/>
        <w:bidi w:val="0"/>
        <w:spacing w:line="440" w:lineRule="exact"/>
        <w:ind w:firstLine="420" w:firstLineChars="200"/>
        <w:rPr>
          <w:rFonts w:hint="eastAsia" w:ascii="宋体"/>
          <w:szCs w:val="21"/>
          <w:highlight w:val="none"/>
        </w:rPr>
      </w:pPr>
    </w:p>
    <w:p w14:paraId="68FC6171">
      <w:pPr>
        <w:pageBreakBefore w:val="0"/>
        <w:kinsoku/>
        <w:wordWrap w:val="0"/>
        <w:overflowPunct/>
        <w:bidi w:val="0"/>
        <w:spacing w:line="440" w:lineRule="exact"/>
        <w:ind w:firstLine="420" w:firstLineChars="200"/>
        <w:rPr>
          <w:rFonts w:hint="eastAsia" w:ascii="宋体"/>
          <w:szCs w:val="21"/>
          <w:highlight w:val="none"/>
        </w:rPr>
      </w:pPr>
    </w:p>
    <w:p w14:paraId="45D6EE25">
      <w:pPr>
        <w:pageBreakBefore w:val="0"/>
        <w:kinsoku/>
        <w:wordWrap w:val="0"/>
        <w:overflowPunct/>
        <w:bidi w:val="0"/>
        <w:spacing w:line="440" w:lineRule="exact"/>
        <w:ind w:firstLine="420" w:firstLineChars="200"/>
        <w:rPr>
          <w:rFonts w:hint="eastAsia" w:ascii="宋体"/>
          <w:szCs w:val="21"/>
          <w:highlight w:val="none"/>
        </w:rPr>
      </w:pPr>
    </w:p>
    <w:p w14:paraId="57DC160F">
      <w:pPr>
        <w:pageBreakBefore w:val="0"/>
        <w:kinsoku/>
        <w:wordWrap w:val="0"/>
        <w:overflowPunct/>
        <w:bidi w:val="0"/>
        <w:spacing w:line="440" w:lineRule="exact"/>
        <w:ind w:firstLine="420" w:firstLineChars="200"/>
        <w:rPr>
          <w:rFonts w:hint="eastAsia" w:ascii="宋体"/>
          <w:szCs w:val="21"/>
          <w:highlight w:val="none"/>
        </w:rPr>
      </w:pPr>
    </w:p>
    <w:p w14:paraId="6C292C97">
      <w:pPr>
        <w:pageBreakBefore w:val="0"/>
        <w:kinsoku/>
        <w:wordWrap w:val="0"/>
        <w:overflowPunct/>
        <w:bidi w:val="0"/>
        <w:spacing w:line="440" w:lineRule="exact"/>
        <w:ind w:firstLine="420" w:firstLineChars="200"/>
        <w:rPr>
          <w:rFonts w:hint="eastAsia" w:ascii="宋体"/>
          <w:szCs w:val="21"/>
          <w:highlight w:val="none"/>
        </w:rPr>
      </w:pPr>
    </w:p>
    <w:p w14:paraId="54E1319C">
      <w:pPr>
        <w:pageBreakBefore w:val="0"/>
        <w:kinsoku/>
        <w:wordWrap w:val="0"/>
        <w:overflowPunct/>
        <w:bidi w:val="0"/>
        <w:spacing w:line="440" w:lineRule="exact"/>
        <w:ind w:firstLine="420" w:firstLineChars="200"/>
        <w:rPr>
          <w:rFonts w:hint="eastAsia" w:ascii="宋体"/>
          <w:szCs w:val="21"/>
          <w:highlight w:val="none"/>
        </w:rPr>
      </w:pPr>
    </w:p>
    <w:p w14:paraId="677C89E0">
      <w:pPr>
        <w:pageBreakBefore w:val="0"/>
        <w:kinsoku/>
        <w:wordWrap w:val="0"/>
        <w:overflowPunct/>
        <w:bidi w:val="0"/>
        <w:spacing w:line="440" w:lineRule="exact"/>
        <w:ind w:firstLine="420" w:firstLineChars="200"/>
        <w:rPr>
          <w:rFonts w:hint="eastAsia" w:ascii="宋体"/>
          <w:szCs w:val="21"/>
          <w:highlight w:val="none"/>
        </w:rPr>
      </w:pPr>
    </w:p>
    <w:p w14:paraId="60CAB5BA">
      <w:pPr>
        <w:pageBreakBefore w:val="0"/>
        <w:kinsoku/>
        <w:wordWrap w:val="0"/>
        <w:overflowPunct/>
        <w:bidi w:val="0"/>
        <w:spacing w:line="440" w:lineRule="exact"/>
        <w:ind w:firstLine="420" w:firstLineChars="200"/>
        <w:rPr>
          <w:rFonts w:hint="eastAsia" w:ascii="宋体"/>
          <w:szCs w:val="21"/>
          <w:highlight w:val="none"/>
        </w:rPr>
      </w:pPr>
    </w:p>
    <w:p w14:paraId="330CC78A">
      <w:pPr>
        <w:pageBreakBefore w:val="0"/>
        <w:kinsoku/>
        <w:wordWrap w:val="0"/>
        <w:overflowPunct/>
        <w:bidi w:val="0"/>
        <w:spacing w:line="440" w:lineRule="exact"/>
        <w:ind w:firstLine="420" w:firstLineChars="200"/>
        <w:rPr>
          <w:rFonts w:hint="eastAsia" w:ascii="宋体"/>
          <w:szCs w:val="21"/>
          <w:highlight w:val="none"/>
        </w:rPr>
      </w:pPr>
    </w:p>
    <w:p w14:paraId="3278EAF8">
      <w:pPr>
        <w:pageBreakBefore w:val="0"/>
        <w:kinsoku/>
        <w:wordWrap w:val="0"/>
        <w:overflowPunct/>
        <w:autoSpaceDE w:val="0"/>
        <w:autoSpaceDN w:val="0"/>
        <w:bidi w:val="0"/>
        <w:adjustRightInd w:val="0"/>
        <w:spacing w:line="500" w:lineRule="exact"/>
        <w:jc w:val="center"/>
        <w:outlineLvl w:val="0"/>
        <w:rPr>
          <w:rFonts w:hint="eastAsia" w:ascii="宋体" w:cs="宋体-18030"/>
          <w:b/>
          <w:kern w:val="0"/>
          <w:sz w:val="36"/>
          <w:szCs w:val="36"/>
          <w:highlight w:val="none"/>
        </w:rPr>
      </w:pPr>
      <w:r>
        <w:rPr>
          <w:rFonts w:hint="eastAsia" w:ascii="宋体" w:cs="宋体-18030"/>
          <w:kern w:val="0"/>
          <w:sz w:val="24"/>
          <w:highlight w:val="none"/>
        </w:rPr>
        <w:br w:type="page"/>
      </w:r>
      <w:bookmarkStart w:id="430" w:name="_Toc2336"/>
      <w:bookmarkStart w:id="431" w:name="_Toc28472"/>
      <w:r>
        <w:rPr>
          <w:rFonts w:hint="eastAsia" w:ascii="宋体" w:cs="宋体-18030"/>
          <w:b/>
          <w:kern w:val="0"/>
          <w:sz w:val="36"/>
          <w:szCs w:val="36"/>
          <w:highlight w:val="none"/>
        </w:rPr>
        <w:t>一、投标函及投标函附录</w:t>
      </w:r>
      <w:bookmarkEnd w:id="430"/>
      <w:bookmarkEnd w:id="431"/>
    </w:p>
    <w:p w14:paraId="282DEEAA">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（一）投标函</w:t>
      </w:r>
    </w:p>
    <w:p w14:paraId="3E098255">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u w:val="single"/>
        </w:rPr>
      </w:pPr>
    </w:p>
    <w:p w14:paraId="1E6DDC72">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(采购人名称)：</w:t>
      </w:r>
    </w:p>
    <w:p w14:paraId="418D6C64">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1.我方已仔细研究了</w:t>
      </w:r>
      <w:r>
        <w:rPr>
          <w:rFonts w:hint="eastAsia" w:ascii="宋体" w:cs="宋体-18030"/>
          <w:kern w:val="0"/>
          <w:szCs w:val="21"/>
          <w:highlight w:val="none"/>
          <w:u w:val="single"/>
        </w:rPr>
        <w:t xml:space="preserve">    (项目名称)　                      　</w:t>
      </w:r>
      <w:r>
        <w:rPr>
          <w:rFonts w:hint="eastAsia" w:ascii="宋体" w:cs="宋体-18030"/>
          <w:kern w:val="0"/>
          <w:szCs w:val="21"/>
          <w:highlight w:val="none"/>
        </w:rPr>
        <w:t>招标文件的全部内容，投标报价：</w:t>
      </w:r>
      <w:r>
        <w:rPr>
          <w:rFonts w:hint="eastAsia" w:ascii="宋体" w:cs="宋体-18030"/>
          <w:kern w:val="0"/>
          <w:szCs w:val="21"/>
          <w:highlight w:val="none"/>
          <w:u w:val="single"/>
        </w:rPr>
        <w:t xml:space="preserve">            </w:t>
      </w:r>
      <w:r>
        <w:rPr>
          <w:rFonts w:hint="eastAsia" w:ascii="宋体" w:cs="宋体-18030"/>
          <w:kern w:val="0"/>
          <w:szCs w:val="21"/>
          <w:highlight w:val="none"/>
        </w:rPr>
        <w:t xml:space="preserve"> ,交货期：</w:t>
      </w:r>
      <w:r>
        <w:rPr>
          <w:rFonts w:hint="eastAsia" w:ascii="宋体" w:cs="宋体"/>
          <w:bCs/>
          <w:szCs w:val="21"/>
          <w:highlight w:val="none"/>
          <w:u w:val="single"/>
          <w:lang w:val="zh-CN"/>
        </w:rPr>
        <w:t xml:space="preserve">              </w:t>
      </w:r>
      <w:r>
        <w:rPr>
          <w:rFonts w:hint="eastAsia" w:ascii="宋体" w:cs="宋体-18030"/>
          <w:kern w:val="0"/>
          <w:szCs w:val="21"/>
          <w:highlight w:val="none"/>
        </w:rPr>
        <w:t>，质量标准：</w:t>
      </w:r>
      <w:r>
        <w:rPr>
          <w:rFonts w:hint="eastAsia" w:ascii="宋体" w:cs="宋体-18030"/>
          <w:kern w:val="0"/>
          <w:szCs w:val="21"/>
          <w:highlight w:val="none"/>
          <w:u w:val="single"/>
        </w:rPr>
        <w:t xml:space="preserve">            </w:t>
      </w:r>
      <w:r>
        <w:rPr>
          <w:rFonts w:hint="eastAsia" w:ascii="宋体" w:cs="宋体-18030"/>
          <w:kern w:val="0"/>
          <w:szCs w:val="21"/>
          <w:highlight w:val="none"/>
        </w:rPr>
        <w:t>，并按合同约定实施和完成承包上述招标项目。</w:t>
      </w:r>
    </w:p>
    <w:p w14:paraId="173BE9B5">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2.我方承诺在投标有效期</w:t>
      </w:r>
      <w:r>
        <w:rPr>
          <w:rFonts w:hint="eastAsia" w:ascii="宋体" w:cs="宋体-18030"/>
          <w:kern w:val="0"/>
          <w:szCs w:val="21"/>
          <w:highlight w:val="none"/>
          <w:u w:val="single"/>
        </w:rPr>
        <w:t>90</w:t>
      </w:r>
      <w:r>
        <w:rPr>
          <w:rFonts w:hint="eastAsia" w:ascii="宋体" w:cs="宋体-18030"/>
          <w:kern w:val="0"/>
          <w:szCs w:val="21"/>
          <w:highlight w:val="none"/>
        </w:rPr>
        <w:t>天内不修改、撤销投标文件。</w:t>
      </w:r>
    </w:p>
    <w:p w14:paraId="25FDAADB">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3.随同本投标函提交投标保证金一份，金额为人民币(大写)</w:t>
      </w:r>
      <w:r>
        <w:rPr>
          <w:rFonts w:hint="eastAsia" w:ascii="宋体" w:cs="宋体-18030"/>
          <w:kern w:val="0"/>
          <w:szCs w:val="21"/>
          <w:highlight w:val="none"/>
          <w:u w:val="single"/>
        </w:rPr>
        <w:t xml:space="preserve">        </w:t>
      </w:r>
      <w:r>
        <w:rPr>
          <w:rFonts w:hint="eastAsia" w:ascii="宋体" w:cs="宋体-18030"/>
          <w:kern w:val="0"/>
          <w:szCs w:val="21"/>
          <w:highlight w:val="none"/>
        </w:rPr>
        <w:t>元(¥</w:t>
      </w:r>
      <w:r>
        <w:rPr>
          <w:rFonts w:hint="eastAsia" w:ascii="宋体" w:cs="宋体-18030"/>
          <w:kern w:val="0"/>
          <w:szCs w:val="21"/>
          <w:highlight w:val="none"/>
          <w:u w:val="single"/>
        </w:rPr>
        <w:t xml:space="preserve">       </w:t>
      </w:r>
      <w:r>
        <w:rPr>
          <w:rFonts w:hint="eastAsia" w:ascii="宋体" w:cs="宋体-18030"/>
          <w:kern w:val="0"/>
          <w:szCs w:val="21"/>
          <w:highlight w:val="none"/>
        </w:rPr>
        <w:t>)。</w:t>
      </w:r>
    </w:p>
    <w:p w14:paraId="6E24A918">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4.如我方中标：</w:t>
      </w:r>
    </w:p>
    <w:p w14:paraId="3A3D7255">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(1)我方承诺在收到中标通知书后，在中标通知书规定的期限内与你方签订合同，并遵守合同中关于权利和义务的约定；</w:t>
      </w:r>
    </w:p>
    <w:p w14:paraId="341DB024">
      <w:pPr>
        <w:pageBreakBefore w:val="0"/>
        <w:kinsoku/>
        <w:wordWrap w:val="0"/>
        <w:overflowPunct/>
        <w:autoSpaceDE w:val="0"/>
        <w:autoSpaceDN w:val="0"/>
        <w:bidi w:val="0"/>
        <w:adjustRightInd w:val="0"/>
        <w:spacing w:line="500" w:lineRule="exact"/>
        <w:ind w:firstLine="380" w:firstLineChars="200"/>
        <w:jc w:val="left"/>
        <w:rPr>
          <w:rFonts w:hint="eastAsia" w:ascii="宋体" w:cs="宋体-18030"/>
          <w:kern w:val="0"/>
          <w:szCs w:val="21"/>
          <w:highlight w:val="none"/>
        </w:rPr>
      </w:pPr>
      <w:r>
        <w:rPr>
          <w:rFonts w:hint="eastAsia" w:ascii="宋体" w:cs="宋体-18030"/>
          <w:spacing w:val="-10"/>
          <w:kern w:val="0"/>
          <w:szCs w:val="21"/>
          <w:highlight w:val="none"/>
        </w:rPr>
        <w:t xml:space="preserve"> (2)</w:t>
      </w:r>
      <w:r>
        <w:rPr>
          <w:rFonts w:hint="eastAsia" w:ascii="宋体" w:cs="宋体-18030"/>
          <w:kern w:val="0"/>
          <w:szCs w:val="21"/>
          <w:highlight w:val="none"/>
        </w:rPr>
        <w:t>我方承诺按照招标文件中规定的服务内容及要求在合同约定的期限内，完成并移交全部合同内容。</w:t>
      </w:r>
    </w:p>
    <w:p w14:paraId="3E74FFED">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5.我方在此声明，所递交的投标文件及有关资料内容完整、真实和准确。</w:t>
      </w:r>
    </w:p>
    <w:p w14:paraId="04A1FA96">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6．</w:t>
      </w:r>
      <w:r>
        <w:rPr>
          <w:rFonts w:hint="eastAsia" w:ascii="宋体" w:cs="宋体-18030"/>
          <w:kern w:val="0"/>
          <w:szCs w:val="21"/>
          <w:highlight w:val="none"/>
          <w:u w:val="single"/>
        </w:rPr>
        <w:t xml:space="preserve">                                </w:t>
      </w:r>
      <w:r>
        <w:rPr>
          <w:rFonts w:hint="eastAsia" w:ascii="宋体" w:cs="宋体-18030"/>
          <w:kern w:val="0"/>
          <w:szCs w:val="21"/>
          <w:highlight w:val="none"/>
        </w:rPr>
        <w:t>(其他补充说明)。</w:t>
      </w:r>
    </w:p>
    <w:p w14:paraId="0A0237DE">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p>
    <w:p w14:paraId="23EE1F32">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投 标 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55FF3500">
      <w:pPr>
        <w:pageBreakBefore w:val="0"/>
        <w:kinsoku/>
        <w:wordWrap w:val="0"/>
        <w:overflowPunct/>
        <w:autoSpaceDE w:val="0"/>
        <w:autoSpaceDN w:val="0"/>
        <w:bidi w:val="0"/>
        <w:adjustRightInd w:val="0"/>
        <w:spacing w:line="4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法定代表人或其授权委托代理人：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r>
        <w:rPr>
          <w:rFonts w:hint="eastAsia" w:ascii="宋体" w:cs="宋体-18030"/>
          <w:kern w:val="0"/>
          <w:szCs w:val="21"/>
          <w:highlight w:val="none"/>
          <w:lang w:val="en-US" w:eastAsia="zh-CN"/>
        </w:rPr>
        <w:t>和盖章</w:t>
      </w:r>
      <w:r>
        <w:rPr>
          <w:rFonts w:hint="eastAsia" w:ascii="宋体" w:cs="宋体-18030"/>
          <w:kern w:val="0"/>
          <w:szCs w:val="21"/>
          <w:highlight w:val="none"/>
        </w:rPr>
        <w:t>)</w:t>
      </w:r>
    </w:p>
    <w:p w14:paraId="47BDAC8E">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地    址：</w:t>
      </w:r>
      <w:r>
        <w:rPr>
          <w:rFonts w:hint="eastAsia" w:ascii="宋体" w:cs="宋体-18030"/>
          <w:kern w:val="0"/>
          <w:szCs w:val="21"/>
          <w:highlight w:val="none"/>
          <w:u w:val="single"/>
        </w:rPr>
        <w:t xml:space="preserve">                                        </w:t>
      </w:r>
    </w:p>
    <w:p w14:paraId="295734F2">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网    址：</w:t>
      </w:r>
      <w:r>
        <w:rPr>
          <w:rFonts w:hint="eastAsia" w:ascii="宋体" w:cs="宋体-18030"/>
          <w:kern w:val="0"/>
          <w:szCs w:val="21"/>
          <w:highlight w:val="none"/>
          <w:u w:val="single"/>
        </w:rPr>
        <w:t xml:space="preserve">                                        </w:t>
      </w:r>
    </w:p>
    <w:p w14:paraId="748474A1">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电    话：</w:t>
      </w:r>
      <w:r>
        <w:rPr>
          <w:rFonts w:hint="eastAsia" w:ascii="宋体" w:cs="宋体-18030"/>
          <w:kern w:val="0"/>
          <w:szCs w:val="21"/>
          <w:highlight w:val="none"/>
          <w:u w:val="single"/>
        </w:rPr>
        <w:t xml:space="preserve">                                        </w:t>
      </w:r>
    </w:p>
    <w:p w14:paraId="27A26DCF">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传    真：</w:t>
      </w:r>
      <w:r>
        <w:rPr>
          <w:rFonts w:hint="eastAsia" w:ascii="宋体" w:cs="宋体-18030"/>
          <w:kern w:val="0"/>
          <w:szCs w:val="21"/>
          <w:highlight w:val="none"/>
          <w:u w:val="single"/>
        </w:rPr>
        <w:t xml:space="preserve">                                        </w:t>
      </w:r>
    </w:p>
    <w:p w14:paraId="6BA3FDA8">
      <w:pPr>
        <w:pageBreakBefore w:val="0"/>
        <w:kinsoku/>
        <w:wordWrap w:val="0"/>
        <w:overflowPunct/>
        <w:autoSpaceDE w:val="0"/>
        <w:autoSpaceDN w:val="0"/>
        <w:bidi w:val="0"/>
        <w:adjustRightInd w:val="0"/>
        <w:spacing w:line="5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邮政编码：</w:t>
      </w:r>
      <w:r>
        <w:rPr>
          <w:rFonts w:hint="eastAsia" w:ascii="宋体" w:cs="宋体-18030"/>
          <w:kern w:val="0"/>
          <w:szCs w:val="21"/>
          <w:highlight w:val="none"/>
          <w:u w:val="single"/>
        </w:rPr>
        <w:t xml:space="preserve">                                        </w:t>
      </w:r>
    </w:p>
    <w:p w14:paraId="61508ADE">
      <w:pPr>
        <w:pageBreakBefore w:val="0"/>
        <w:kinsoku/>
        <w:wordWrap w:val="0"/>
        <w:overflowPunct/>
        <w:bidi w:val="0"/>
        <w:spacing w:line="500" w:lineRule="exact"/>
        <w:jc w:val="righ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48506032">
      <w:pPr>
        <w:pageBreakBefore w:val="0"/>
        <w:kinsoku/>
        <w:wordWrap w:val="0"/>
        <w:overflowPunct/>
        <w:autoSpaceDE w:val="0"/>
        <w:autoSpaceDN w:val="0"/>
        <w:bidi w:val="0"/>
        <w:adjustRightInd w:val="0"/>
        <w:spacing w:line="500" w:lineRule="exact"/>
        <w:jc w:val="center"/>
        <w:rPr>
          <w:rFonts w:hint="eastAsia" w:ascii="宋体"/>
          <w:sz w:val="28"/>
          <w:szCs w:val="28"/>
          <w:highlight w:val="none"/>
        </w:rPr>
      </w:pPr>
      <w:r>
        <w:rPr>
          <w:rFonts w:hint="eastAsia" w:ascii="宋体" w:cs="宋体-18030"/>
          <w:kern w:val="0"/>
          <w:szCs w:val="21"/>
          <w:highlight w:val="none"/>
        </w:rPr>
        <w:br w:type="page"/>
      </w:r>
      <w:bookmarkStart w:id="432" w:name="_Toc246997101"/>
      <w:bookmarkStart w:id="433" w:name="_Toc247085876"/>
      <w:bookmarkStart w:id="434" w:name="_Toc144974859"/>
      <w:bookmarkStart w:id="435" w:name="_Toc363457205"/>
      <w:bookmarkStart w:id="436" w:name="_Toc179632810"/>
      <w:bookmarkStart w:id="437" w:name="_Toc246996358"/>
      <w:bookmarkStart w:id="438" w:name="_Toc152042579"/>
      <w:bookmarkStart w:id="439" w:name="_Toc152045790"/>
      <w:r>
        <w:rPr>
          <w:rFonts w:hint="eastAsia" w:ascii="宋体" w:cs="宋体-18030"/>
          <w:kern w:val="0"/>
          <w:sz w:val="28"/>
          <w:szCs w:val="28"/>
          <w:highlight w:val="none"/>
        </w:rPr>
        <w:t>（二）投标函附录</w:t>
      </w:r>
      <w:bookmarkEnd w:id="432"/>
      <w:bookmarkEnd w:id="433"/>
      <w:bookmarkEnd w:id="434"/>
      <w:bookmarkEnd w:id="435"/>
      <w:bookmarkEnd w:id="436"/>
      <w:bookmarkEnd w:id="437"/>
      <w:bookmarkEnd w:id="438"/>
      <w:bookmarkEnd w:id="439"/>
    </w:p>
    <w:p w14:paraId="6B4ED3B6">
      <w:pPr>
        <w:pageBreakBefore w:val="0"/>
        <w:kinsoku/>
        <w:wordWrap w:val="0"/>
        <w:overflowPunct/>
        <w:bidi w:val="0"/>
        <w:spacing w:line="440" w:lineRule="exact"/>
        <w:rPr>
          <w:rFonts w:hint="eastAsia" w:ascii="宋体"/>
          <w:sz w:val="20"/>
          <w:szCs w:val="20"/>
          <w:highlight w:val="none"/>
        </w:rPr>
      </w:pPr>
    </w:p>
    <w:tbl>
      <w:tblPr>
        <w:tblStyle w:val="1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137"/>
        <w:gridCol w:w="4321"/>
        <w:gridCol w:w="1885"/>
      </w:tblGrid>
      <w:tr w14:paraId="5FB0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28" w:type="dxa"/>
            <w:noWrap w:val="0"/>
            <w:vAlign w:val="center"/>
          </w:tcPr>
          <w:p w14:paraId="64213416">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序号</w:t>
            </w:r>
          </w:p>
        </w:tc>
        <w:tc>
          <w:tcPr>
            <w:tcW w:w="2137" w:type="dxa"/>
            <w:noWrap w:val="0"/>
            <w:vAlign w:val="center"/>
          </w:tcPr>
          <w:p w14:paraId="54A81670">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条款名称</w:t>
            </w:r>
          </w:p>
        </w:tc>
        <w:tc>
          <w:tcPr>
            <w:tcW w:w="4321" w:type="dxa"/>
            <w:noWrap w:val="0"/>
            <w:vAlign w:val="center"/>
          </w:tcPr>
          <w:p w14:paraId="182F909E">
            <w:pPr>
              <w:pageBreakBefore w:val="0"/>
              <w:kinsoku/>
              <w:wordWrap w:val="0"/>
              <w:overflowPunct/>
              <w:bidi w:val="0"/>
              <w:spacing w:line="0" w:lineRule="atLeast"/>
              <w:jc w:val="center"/>
              <w:rPr>
                <w:rFonts w:hint="eastAsia" w:ascii="宋体"/>
                <w:b/>
                <w:szCs w:val="21"/>
                <w:highlight w:val="none"/>
              </w:rPr>
            </w:pPr>
            <w:r>
              <w:rPr>
                <w:rFonts w:hint="eastAsia" w:ascii="宋体"/>
                <w:b/>
                <w:szCs w:val="21"/>
                <w:highlight w:val="none"/>
              </w:rPr>
              <w:t>约定内容</w:t>
            </w:r>
          </w:p>
        </w:tc>
        <w:tc>
          <w:tcPr>
            <w:tcW w:w="1885" w:type="dxa"/>
            <w:noWrap w:val="0"/>
            <w:vAlign w:val="center"/>
          </w:tcPr>
          <w:p w14:paraId="0A7BB265">
            <w:pPr>
              <w:pageBreakBefore w:val="0"/>
              <w:kinsoku/>
              <w:wordWrap w:val="0"/>
              <w:overflowPunct/>
              <w:bidi w:val="0"/>
              <w:spacing w:line="0" w:lineRule="atLeast"/>
              <w:jc w:val="center"/>
              <w:rPr>
                <w:rFonts w:hint="eastAsia" w:ascii="宋体"/>
                <w:b/>
                <w:szCs w:val="21"/>
                <w:highlight w:val="none"/>
              </w:rPr>
            </w:pPr>
            <w:r>
              <w:rPr>
                <w:rFonts w:hint="eastAsia" w:ascii="宋体"/>
                <w:b/>
                <w:highlight w:val="none"/>
              </w:rPr>
              <w:t>是否响应</w:t>
            </w:r>
          </w:p>
        </w:tc>
      </w:tr>
      <w:tr w14:paraId="5EEC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697D11A6">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1</w:t>
            </w:r>
          </w:p>
        </w:tc>
        <w:tc>
          <w:tcPr>
            <w:tcW w:w="2137" w:type="dxa"/>
            <w:noWrap w:val="0"/>
            <w:vAlign w:val="center"/>
          </w:tcPr>
          <w:p w14:paraId="2844AFF7">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合同履行期限</w:t>
            </w:r>
          </w:p>
        </w:tc>
        <w:tc>
          <w:tcPr>
            <w:tcW w:w="4321" w:type="dxa"/>
            <w:noWrap w:val="0"/>
            <w:vAlign w:val="center"/>
          </w:tcPr>
          <w:p w14:paraId="6EE9F87D">
            <w:pPr>
              <w:pageBreakBefore w:val="0"/>
              <w:kinsoku/>
              <w:wordWrap w:val="0"/>
              <w:overflowPunct/>
              <w:autoSpaceDE w:val="0"/>
              <w:autoSpaceDN w:val="0"/>
              <w:bidi w:val="0"/>
              <w:adjustRightInd w:val="0"/>
              <w:spacing w:line="380" w:lineRule="exact"/>
              <w:jc w:val="left"/>
              <w:rPr>
                <w:rFonts w:hint="eastAsia" w:ascii="宋体" w:cs="宋体"/>
                <w:szCs w:val="18"/>
                <w:highlight w:val="none"/>
              </w:rPr>
            </w:pPr>
            <w:r>
              <w:rPr>
                <w:rFonts w:hint="eastAsia" w:ascii="宋体" w:cs="宋体"/>
                <w:bCs/>
                <w:szCs w:val="21"/>
                <w:highlight w:val="none"/>
              </w:rPr>
              <w:t>接到供货指令后30日内完成供货、安装、调试</w:t>
            </w:r>
          </w:p>
        </w:tc>
        <w:tc>
          <w:tcPr>
            <w:tcW w:w="1885" w:type="dxa"/>
            <w:noWrap w:val="0"/>
            <w:vAlign w:val="center"/>
          </w:tcPr>
          <w:p w14:paraId="0AAB2D93">
            <w:pPr>
              <w:pageBreakBefore w:val="0"/>
              <w:kinsoku/>
              <w:wordWrap w:val="0"/>
              <w:overflowPunct/>
              <w:bidi w:val="0"/>
              <w:spacing w:line="440" w:lineRule="exact"/>
              <w:jc w:val="center"/>
              <w:rPr>
                <w:rFonts w:hint="eastAsia" w:ascii="宋体"/>
                <w:szCs w:val="21"/>
                <w:highlight w:val="none"/>
              </w:rPr>
            </w:pPr>
          </w:p>
        </w:tc>
      </w:tr>
      <w:tr w14:paraId="0B38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70432E9E">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2</w:t>
            </w:r>
          </w:p>
        </w:tc>
        <w:tc>
          <w:tcPr>
            <w:tcW w:w="2137" w:type="dxa"/>
            <w:noWrap w:val="0"/>
            <w:vAlign w:val="center"/>
          </w:tcPr>
          <w:p w14:paraId="68E90A7F">
            <w:pPr>
              <w:pageBreakBefore w:val="0"/>
              <w:kinsoku/>
              <w:wordWrap w:val="0"/>
              <w:overflowPunct/>
              <w:autoSpaceDE w:val="0"/>
              <w:autoSpaceDN w:val="0"/>
              <w:bidi w:val="0"/>
              <w:adjustRightInd w:val="0"/>
              <w:spacing w:line="240" w:lineRule="exact"/>
              <w:jc w:val="center"/>
              <w:rPr>
                <w:rFonts w:hint="eastAsia" w:ascii="宋体" w:cs="仿宋_GB2312"/>
                <w:kern w:val="0"/>
                <w:szCs w:val="21"/>
                <w:highlight w:val="none"/>
              </w:rPr>
            </w:pPr>
            <w:r>
              <w:rPr>
                <w:rFonts w:hint="eastAsia" w:ascii="宋体" w:cs="仿宋_GB2312"/>
                <w:kern w:val="0"/>
                <w:szCs w:val="21"/>
                <w:highlight w:val="none"/>
              </w:rPr>
              <w:t>投标有效期</w:t>
            </w:r>
          </w:p>
        </w:tc>
        <w:tc>
          <w:tcPr>
            <w:tcW w:w="4321" w:type="dxa"/>
            <w:noWrap w:val="0"/>
            <w:vAlign w:val="center"/>
          </w:tcPr>
          <w:p w14:paraId="2F83F518">
            <w:pPr>
              <w:pageBreakBefore w:val="0"/>
              <w:kinsoku/>
              <w:wordWrap w:val="0"/>
              <w:overflowPunct/>
              <w:autoSpaceDE w:val="0"/>
              <w:autoSpaceDN w:val="0"/>
              <w:bidi w:val="0"/>
              <w:adjustRightInd w:val="0"/>
              <w:spacing w:line="240" w:lineRule="exact"/>
              <w:rPr>
                <w:rFonts w:hint="eastAsia" w:ascii="宋体" w:cs="仿宋_GB2312"/>
                <w:kern w:val="0"/>
                <w:szCs w:val="21"/>
                <w:highlight w:val="none"/>
              </w:rPr>
            </w:pPr>
            <w:r>
              <w:rPr>
                <w:rFonts w:hint="eastAsia" w:ascii="宋体" w:cs="仿宋_GB2312"/>
                <w:kern w:val="0"/>
                <w:szCs w:val="21"/>
                <w:highlight w:val="none"/>
              </w:rPr>
              <w:t>90天</w:t>
            </w:r>
          </w:p>
        </w:tc>
        <w:tc>
          <w:tcPr>
            <w:tcW w:w="1885" w:type="dxa"/>
            <w:noWrap w:val="0"/>
            <w:vAlign w:val="center"/>
          </w:tcPr>
          <w:p w14:paraId="06362068">
            <w:pPr>
              <w:pageBreakBefore w:val="0"/>
              <w:kinsoku/>
              <w:wordWrap w:val="0"/>
              <w:overflowPunct/>
              <w:bidi w:val="0"/>
              <w:spacing w:line="440" w:lineRule="exact"/>
              <w:jc w:val="center"/>
              <w:rPr>
                <w:rFonts w:hint="eastAsia" w:ascii="宋体"/>
                <w:szCs w:val="21"/>
                <w:highlight w:val="none"/>
              </w:rPr>
            </w:pPr>
          </w:p>
        </w:tc>
      </w:tr>
      <w:tr w14:paraId="71A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dxa"/>
            <w:noWrap w:val="0"/>
            <w:vAlign w:val="center"/>
          </w:tcPr>
          <w:p w14:paraId="09A41AA6">
            <w:pPr>
              <w:pageBreakBefore w:val="0"/>
              <w:kinsoku/>
              <w:wordWrap w:val="0"/>
              <w:overflowPunct/>
              <w:bidi w:val="0"/>
              <w:spacing w:line="440" w:lineRule="exact"/>
              <w:jc w:val="center"/>
              <w:rPr>
                <w:rFonts w:hint="eastAsia" w:ascii="宋体"/>
                <w:szCs w:val="21"/>
                <w:highlight w:val="none"/>
              </w:rPr>
            </w:pPr>
            <w:r>
              <w:rPr>
                <w:rFonts w:hint="eastAsia" w:ascii="宋体"/>
                <w:szCs w:val="21"/>
                <w:highlight w:val="none"/>
              </w:rPr>
              <w:t>3</w:t>
            </w:r>
          </w:p>
        </w:tc>
        <w:tc>
          <w:tcPr>
            <w:tcW w:w="2137" w:type="dxa"/>
            <w:noWrap w:val="0"/>
            <w:vAlign w:val="center"/>
          </w:tcPr>
          <w:p w14:paraId="5EACB4E8">
            <w:pPr>
              <w:pageBreakBefore w:val="0"/>
              <w:kinsoku/>
              <w:wordWrap w:val="0"/>
              <w:overflowPunct/>
              <w:autoSpaceDE w:val="0"/>
              <w:autoSpaceDN w:val="0"/>
              <w:bidi w:val="0"/>
              <w:adjustRightInd w:val="0"/>
              <w:spacing w:line="240" w:lineRule="exact"/>
              <w:jc w:val="center"/>
              <w:rPr>
                <w:rFonts w:hint="eastAsia" w:ascii="宋体" w:cs="仿宋_GB2312"/>
                <w:kern w:val="0"/>
                <w:szCs w:val="21"/>
                <w:highlight w:val="none"/>
              </w:rPr>
            </w:pPr>
            <w:r>
              <w:rPr>
                <w:rFonts w:hint="eastAsia" w:ascii="宋体"/>
                <w:highlight w:val="none"/>
              </w:rPr>
              <w:t>货物需求及技术要求</w:t>
            </w:r>
          </w:p>
        </w:tc>
        <w:tc>
          <w:tcPr>
            <w:tcW w:w="4321" w:type="dxa"/>
            <w:noWrap w:val="0"/>
            <w:vAlign w:val="center"/>
          </w:tcPr>
          <w:p w14:paraId="191020E4">
            <w:pPr>
              <w:pageBreakBefore w:val="0"/>
              <w:kinsoku/>
              <w:wordWrap w:val="0"/>
              <w:overflowPunct/>
              <w:autoSpaceDE w:val="0"/>
              <w:autoSpaceDN w:val="0"/>
              <w:bidi w:val="0"/>
              <w:adjustRightInd w:val="0"/>
              <w:spacing w:line="240" w:lineRule="exact"/>
              <w:rPr>
                <w:rFonts w:hint="eastAsia" w:ascii="宋体" w:cs="仿宋_GB2312"/>
                <w:kern w:val="0"/>
                <w:szCs w:val="21"/>
                <w:highlight w:val="none"/>
              </w:rPr>
            </w:pPr>
            <w:r>
              <w:rPr>
                <w:rFonts w:hint="eastAsia" w:ascii="宋体" w:cs="宋体"/>
                <w:bCs/>
                <w:szCs w:val="21"/>
                <w:highlight w:val="none"/>
                <w:lang w:val="zh-CN"/>
              </w:rPr>
              <w:t>符合第五章规定</w:t>
            </w:r>
          </w:p>
        </w:tc>
        <w:tc>
          <w:tcPr>
            <w:tcW w:w="1885" w:type="dxa"/>
            <w:noWrap w:val="0"/>
            <w:vAlign w:val="center"/>
          </w:tcPr>
          <w:p w14:paraId="41B5B4F7">
            <w:pPr>
              <w:pageBreakBefore w:val="0"/>
              <w:kinsoku/>
              <w:wordWrap w:val="0"/>
              <w:overflowPunct/>
              <w:bidi w:val="0"/>
              <w:spacing w:line="440" w:lineRule="exact"/>
              <w:jc w:val="center"/>
              <w:rPr>
                <w:rFonts w:hint="eastAsia" w:ascii="宋体"/>
                <w:szCs w:val="21"/>
                <w:highlight w:val="none"/>
              </w:rPr>
            </w:pPr>
          </w:p>
        </w:tc>
      </w:tr>
    </w:tbl>
    <w:p w14:paraId="2D040D74">
      <w:pPr>
        <w:pageBreakBefore w:val="0"/>
        <w:kinsoku/>
        <w:wordWrap w:val="0"/>
        <w:overflowPunct/>
        <w:bidi w:val="0"/>
        <w:spacing w:line="500" w:lineRule="exact"/>
        <w:jc w:val="right"/>
        <w:rPr>
          <w:rFonts w:hint="eastAsia" w:ascii="宋体" w:cs="宋体-18030"/>
          <w:kern w:val="0"/>
          <w:szCs w:val="21"/>
          <w:highlight w:val="none"/>
        </w:rPr>
      </w:pPr>
    </w:p>
    <w:p w14:paraId="4DAE352F">
      <w:pPr>
        <w:pageBreakBefore w:val="0"/>
        <w:kinsoku/>
        <w:wordWrap w:val="0"/>
        <w:overflowPunct/>
        <w:autoSpaceDE w:val="0"/>
        <w:autoSpaceDN w:val="0"/>
        <w:bidi w:val="0"/>
        <w:adjustRightInd w:val="0"/>
        <w:spacing w:line="500" w:lineRule="exact"/>
        <w:jc w:val="left"/>
        <w:rPr>
          <w:rFonts w:hint="eastAsia" w:ascii="宋体" w:cs="宋体-18030"/>
          <w:b/>
          <w:szCs w:val="21"/>
          <w:highlight w:val="none"/>
          <w:lang w:val="zh-CN"/>
        </w:rPr>
      </w:pPr>
    </w:p>
    <w:p w14:paraId="652B8574">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6EE33ADA">
      <w:pPr>
        <w:pageBreakBefore w:val="0"/>
        <w:kinsoku/>
        <w:wordWrap w:val="0"/>
        <w:overflowPunct/>
        <w:autoSpaceDE w:val="0"/>
        <w:autoSpaceDN w:val="0"/>
        <w:bidi w:val="0"/>
        <w:adjustRightInd w:val="0"/>
        <w:spacing w:line="500" w:lineRule="exact"/>
        <w:jc w:val="center"/>
        <w:rPr>
          <w:rFonts w:hint="eastAsia" w:ascii="宋体" w:cs="宋体-18030"/>
          <w:kern w:val="0"/>
          <w:sz w:val="24"/>
          <w:highlight w:val="none"/>
        </w:rPr>
      </w:pPr>
    </w:p>
    <w:p w14:paraId="6F1D484E">
      <w:pPr>
        <w:pageBreakBefore w:val="0"/>
        <w:kinsoku/>
        <w:wordWrap w:val="0"/>
        <w:overflowPunct/>
        <w:autoSpaceDE w:val="0"/>
        <w:autoSpaceDN w:val="0"/>
        <w:bidi w:val="0"/>
        <w:adjustRightInd w:val="0"/>
        <w:spacing w:line="500" w:lineRule="exact"/>
        <w:jc w:val="center"/>
        <w:rPr>
          <w:rFonts w:hint="eastAsia" w:ascii="宋体" w:cs="宋体-18030"/>
          <w:kern w:val="0"/>
          <w:sz w:val="24"/>
          <w:highlight w:val="none"/>
        </w:rPr>
      </w:pPr>
    </w:p>
    <w:p w14:paraId="25E86A93">
      <w:pPr>
        <w:pageBreakBefore w:val="0"/>
        <w:kinsoku/>
        <w:wordWrap w:val="0"/>
        <w:overflowPunct/>
        <w:autoSpaceDE w:val="0"/>
        <w:autoSpaceDN w:val="0"/>
        <w:bidi w:val="0"/>
        <w:adjustRightInd w:val="0"/>
        <w:spacing w:line="500" w:lineRule="exact"/>
        <w:jc w:val="center"/>
        <w:outlineLvl w:val="0"/>
        <w:rPr>
          <w:rFonts w:hint="eastAsia" w:ascii="宋体" w:cs="宋体-18030"/>
          <w:b/>
          <w:kern w:val="0"/>
          <w:sz w:val="36"/>
          <w:szCs w:val="36"/>
          <w:highlight w:val="none"/>
        </w:rPr>
      </w:pPr>
      <w:r>
        <w:rPr>
          <w:rFonts w:hint="eastAsia" w:ascii="宋体" w:cs="宋体-18030"/>
          <w:kern w:val="0"/>
          <w:sz w:val="24"/>
          <w:highlight w:val="none"/>
        </w:rPr>
        <w:br w:type="page"/>
      </w:r>
      <w:bookmarkStart w:id="440" w:name="_Toc7064"/>
      <w:bookmarkStart w:id="441" w:name="_Toc22132"/>
      <w:r>
        <w:rPr>
          <w:rFonts w:hint="eastAsia" w:ascii="宋体" w:cs="宋体-18030"/>
          <w:b/>
          <w:kern w:val="0"/>
          <w:sz w:val="36"/>
          <w:szCs w:val="36"/>
          <w:highlight w:val="none"/>
        </w:rPr>
        <w:t>二、法定代表人身份证明和授权委托书</w:t>
      </w:r>
      <w:bookmarkEnd w:id="440"/>
      <w:bookmarkEnd w:id="441"/>
    </w:p>
    <w:p w14:paraId="5A4E17A5">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2F2C31AE">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(一) 法定代表人身份证明</w:t>
      </w:r>
    </w:p>
    <w:p w14:paraId="3960CCF7">
      <w:pPr>
        <w:pageBreakBefore w:val="0"/>
        <w:kinsoku/>
        <w:wordWrap w:val="0"/>
        <w:overflowPunct/>
        <w:autoSpaceDE w:val="0"/>
        <w:autoSpaceDN w:val="0"/>
        <w:bidi w:val="0"/>
        <w:adjustRightInd w:val="0"/>
        <w:spacing w:line="500" w:lineRule="exact"/>
        <w:ind w:left="718" w:leftChars="342"/>
        <w:jc w:val="left"/>
        <w:rPr>
          <w:rFonts w:hint="eastAsia" w:ascii="宋体" w:cs="宋体-18030"/>
          <w:kern w:val="0"/>
          <w:szCs w:val="21"/>
          <w:highlight w:val="none"/>
        </w:rPr>
      </w:pPr>
    </w:p>
    <w:p w14:paraId="4C475F52">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投标人名称：</w:t>
      </w:r>
      <w:r>
        <w:rPr>
          <w:rFonts w:hint="eastAsia" w:ascii="宋体" w:cs="宋体-18030"/>
          <w:kern w:val="0"/>
          <w:szCs w:val="21"/>
          <w:highlight w:val="none"/>
          <w:u w:val="single"/>
        </w:rPr>
        <w:t xml:space="preserve">                                </w:t>
      </w:r>
    </w:p>
    <w:p w14:paraId="50DCE076">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单位性质：</w:t>
      </w:r>
      <w:r>
        <w:rPr>
          <w:rFonts w:hint="eastAsia" w:ascii="宋体" w:cs="宋体-18030"/>
          <w:kern w:val="0"/>
          <w:szCs w:val="21"/>
          <w:highlight w:val="none"/>
          <w:u w:val="single"/>
        </w:rPr>
        <w:t xml:space="preserve">                                  </w:t>
      </w:r>
    </w:p>
    <w:p w14:paraId="5CF9678A">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地址：</w:t>
      </w:r>
      <w:r>
        <w:rPr>
          <w:rFonts w:hint="eastAsia" w:ascii="宋体" w:cs="宋体-18030"/>
          <w:kern w:val="0"/>
          <w:szCs w:val="21"/>
          <w:highlight w:val="none"/>
          <w:u w:val="single"/>
        </w:rPr>
        <w:t xml:space="preserve">                                      </w:t>
      </w:r>
    </w:p>
    <w:p w14:paraId="1D33CF5D">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r>
        <w:rPr>
          <w:rFonts w:hint="eastAsia" w:ascii="宋体" w:cs="宋体-18030"/>
          <w:kern w:val="0"/>
          <w:szCs w:val="21"/>
          <w:highlight w:val="none"/>
        </w:rPr>
        <w:t>成立时间：</w:t>
      </w: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4BB7C2D5">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 xml:space="preserve">经营期限： </w:t>
      </w:r>
      <w:r>
        <w:rPr>
          <w:rFonts w:hint="eastAsia" w:ascii="宋体" w:cs="宋体-18030"/>
          <w:kern w:val="0"/>
          <w:szCs w:val="21"/>
          <w:highlight w:val="none"/>
          <w:u w:val="single"/>
        </w:rPr>
        <w:t xml:space="preserve">                                 </w:t>
      </w:r>
    </w:p>
    <w:p w14:paraId="379D654A">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u w:val="single"/>
        </w:rPr>
      </w:pPr>
      <w:r>
        <w:rPr>
          <w:rFonts w:hint="eastAsia" w:ascii="宋体" w:cs="宋体-18030"/>
          <w:kern w:val="0"/>
          <w:szCs w:val="21"/>
          <w:highlight w:val="none"/>
        </w:rPr>
        <w:t>姓名：</w:t>
      </w:r>
      <w:r>
        <w:rPr>
          <w:rFonts w:hint="eastAsia" w:ascii="宋体" w:cs="宋体-18030"/>
          <w:kern w:val="0"/>
          <w:szCs w:val="21"/>
          <w:highlight w:val="none"/>
          <w:u w:val="single"/>
        </w:rPr>
        <w:t xml:space="preserve">        </w:t>
      </w:r>
      <w:r>
        <w:rPr>
          <w:rFonts w:hint="eastAsia" w:ascii="宋体" w:cs="宋体-18030"/>
          <w:kern w:val="0"/>
          <w:szCs w:val="21"/>
          <w:highlight w:val="none"/>
        </w:rPr>
        <w:t>性别：</w:t>
      </w:r>
      <w:r>
        <w:rPr>
          <w:rFonts w:hint="eastAsia" w:ascii="宋体" w:cs="宋体-18030"/>
          <w:kern w:val="0"/>
          <w:szCs w:val="21"/>
          <w:highlight w:val="none"/>
          <w:u w:val="single"/>
        </w:rPr>
        <w:t xml:space="preserve">    </w:t>
      </w:r>
      <w:r>
        <w:rPr>
          <w:rFonts w:hint="eastAsia" w:ascii="宋体" w:cs="宋体-18030"/>
          <w:kern w:val="0"/>
          <w:szCs w:val="21"/>
          <w:highlight w:val="none"/>
        </w:rPr>
        <w:t>年龄：</w:t>
      </w:r>
      <w:r>
        <w:rPr>
          <w:rFonts w:hint="eastAsia" w:ascii="宋体" w:cs="宋体-18030"/>
          <w:kern w:val="0"/>
          <w:szCs w:val="21"/>
          <w:highlight w:val="none"/>
          <w:u w:val="single"/>
        </w:rPr>
        <w:t xml:space="preserve">    </w:t>
      </w:r>
      <w:r>
        <w:rPr>
          <w:rFonts w:hint="eastAsia" w:ascii="宋体" w:cs="宋体-18030"/>
          <w:kern w:val="0"/>
          <w:szCs w:val="21"/>
          <w:highlight w:val="none"/>
        </w:rPr>
        <w:t>职务：</w:t>
      </w:r>
      <w:r>
        <w:rPr>
          <w:rFonts w:hint="eastAsia" w:ascii="宋体" w:cs="宋体-18030"/>
          <w:kern w:val="0"/>
          <w:szCs w:val="21"/>
          <w:highlight w:val="none"/>
          <w:u w:val="single"/>
        </w:rPr>
        <w:t xml:space="preserve">    </w:t>
      </w:r>
    </w:p>
    <w:p w14:paraId="6BE13B78">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r>
        <w:rPr>
          <w:rFonts w:hint="eastAsia" w:ascii="宋体" w:cs="宋体-18030"/>
          <w:kern w:val="0"/>
          <w:szCs w:val="21"/>
          <w:highlight w:val="none"/>
        </w:rPr>
        <w:t>系</w:t>
      </w:r>
      <w:r>
        <w:rPr>
          <w:rFonts w:hint="eastAsia" w:ascii="宋体" w:cs="宋体-18030"/>
          <w:kern w:val="0"/>
          <w:szCs w:val="21"/>
          <w:highlight w:val="none"/>
          <w:u w:val="single"/>
        </w:rPr>
        <w:t xml:space="preserve">       (投标人名称)       </w:t>
      </w:r>
      <w:r>
        <w:rPr>
          <w:rFonts w:hint="eastAsia" w:ascii="宋体" w:cs="宋体-18030"/>
          <w:kern w:val="0"/>
          <w:szCs w:val="21"/>
          <w:highlight w:val="none"/>
        </w:rPr>
        <w:t>的法定代表人。</w:t>
      </w:r>
    </w:p>
    <w:p w14:paraId="338B2810">
      <w:pPr>
        <w:pageBreakBefore w:val="0"/>
        <w:kinsoku/>
        <w:wordWrap w:val="0"/>
        <w:overflowPunct/>
        <w:autoSpaceDE w:val="0"/>
        <w:autoSpaceDN w:val="0"/>
        <w:bidi w:val="0"/>
        <w:adjustRightInd w:val="0"/>
        <w:spacing w:line="600" w:lineRule="exact"/>
        <w:ind w:left="718" w:leftChars="342" w:firstLine="420" w:firstLineChars="200"/>
        <w:jc w:val="left"/>
        <w:rPr>
          <w:rFonts w:hint="eastAsia" w:ascii="宋体" w:cs="宋体-18030"/>
          <w:kern w:val="0"/>
          <w:szCs w:val="21"/>
          <w:highlight w:val="none"/>
        </w:rPr>
      </w:pPr>
      <w:r>
        <w:rPr>
          <w:rFonts w:hint="eastAsia" w:ascii="宋体" w:cs="宋体-18030"/>
          <w:kern w:val="0"/>
          <w:szCs w:val="21"/>
          <w:highlight w:val="none"/>
        </w:rPr>
        <w:t>特此证明。</w:t>
      </w:r>
    </w:p>
    <w:p w14:paraId="334E7CD4">
      <w:pPr>
        <w:pageBreakBefore w:val="0"/>
        <w:kinsoku/>
        <w:wordWrap w:val="0"/>
        <w:overflowPunct/>
        <w:autoSpaceDE w:val="0"/>
        <w:autoSpaceDN w:val="0"/>
        <w:bidi w:val="0"/>
        <w:adjustRightInd w:val="0"/>
        <w:spacing w:line="600" w:lineRule="exact"/>
        <w:ind w:left="718" w:leftChars="342"/>
        <w:jc w:val="left"/>
        <w:rPr>
          <w:rFonts w:hint="eastAsia" w:ascii="宋体" w:cs="宋体-18030"/>
          <w:kern w:val="0"/>
          <w:szCs w:val="21"/>
          <w:highlight w:val="none"/>
        </w:rPr>
      </w:pPr>
    </w:p>
    <w:p w14:paraId="785E5F58">
      <w:pPr>
        <w:pageBreakBefore w:val="0"/>
        <w:kinsoku/>
        <w:wordWrap w:val="0"/>
        <w:overflowPunct/>
        <w:autoSpaceDE w:val="0"/>
        <w:autoSpaceDN w:val="0"/>
        <w:bidi w:val="0"/>
        <w:adjustRightInd w:val="0"/>
        <w:spacing w:line="600" w:lineRule="exact"/>
        <w:ind w:left="718" w:leftChars="342"/>
        <w:jc w:val="right"/>
        <w:rPr>
          <w:rFonts w:hint="eastAsia" w:ascii="宋体" w:cs="宋体-18030"/>
          <w:kern w:val="0"/>
          <w:szCs w:val="21"/>
          <w:highlight w:val="none"/>
        </w:rPr>
      </w:pPr>
    </w:p>
    <w:p w14:paraId="40D17B86">
      <w:pPr>
        <w:pageBreakBefore w:val="0"/>
        <w:kinsoku/>
        <w:wordWrap w:val="0"/>
        <w:overflowPunct/>
        <w:autoSpaceDE w:val="0"/>
        <w:autoSpaceDN w:val="0"/>
        <w:bidi w:val="0"/>
        <w:adjustRightInd w:val="0"/>
        <w:spacing w:line="600" w:lineRule="exact"/>
        <w:ind w:left="718" w:leftChars="342"/>
        <w:jc w:val="right"/>
        <w:rPr>
          <w:rFonts w:hint="eastAsia" w:ascii="宋体" w:cs="宋体-18030"/>
          <w:kern w:val="0"/>
          <w:szCs w:val="21"/>
          <w:highlight w:val="none"/>
        </w:rPr>
      </w:pPr>
      <w:r>
        <w:rPr>
          <w:rFonts w:hint="eastAsia" w:ascii="宋体" w:cs="宋体-18030"/>
          <w:kern w:val="0"/>
          <w:szCs w:val="21"/>
          <w:highlight w:val="none"/>
        </w:rPr>
        <w:t>投标人：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221AF1CB">
      <w:pPr>
        <w:pageBreakBefore w:val="0"/>
        <w:kinsoku/>
        <w:wordWrap w:val="0"/>
        <w:overflowPunct/>
        <w:bidi w:val="0"/>
        <w:spacing w:line="600" w:lineRule="exact"/>
        <w:ind w:firstLine="2520" w:firstLineChars="1200"/>
        <w:jc w:val="right"/>
        <w:rPr>
          <w:rFonts w:hint="eastAsia" w:ascii="宋体" w:cs="宋体-18030"/>
          <w:kern w:val="0"/>
          <w:szCs w:val="21"/>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3EC86C72">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2DA7893E">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33273E7">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090810A">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433CF44B">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6C4406B5">
      <w:pPr>
        <w:pageBreakBefore w:val="0"/>
        <w:kinsoku/>
        <w:wordWrap w:val="0"/>
        <w:overflowPunct/>
        <w:bidi w:val="0"/>
        <w:spacing w:line="500" w:lineRule="exact"/>
        <w:ind w:firstLine="2520" w:firstLineChars="1200"/>
        <w:jc w:val="right"/>
        <w:rPr>
          <w:rFonts w:hint="eastAsia" w:ascii="宋体" w:cs="宋体-18030"/>
          <w:kern w:val="0"/>
          <w:szCs w:val="21"/>
          <w:highlight w:val="none"/>
        </w:rPr>
      </w:pPr>
    </w:p>
    <w:p w14:paraId="5AAC3065">
      <w:pPr>
        <w:pageBreakBefore w:val="0"/>
        <w:kinsoku/>
        <w:wordWrap w:val="0"/>
        <w:overflowPunct/>
        <w:bidi w:val="0"/>
        <w:spacing w:line="500" w:lineRule="exact"/>
        <w:ind w:right="420"/>
        <w:rPr>
          <w:rFonts w:hint="eastAsia" w:ascii="宋体" w:cs="宋体-18030"/>
          <w:kern w:val="0"/>
          <w:szCs w:val="21"/>
          <w:highlight w:val="none"/>
        </w:rPr>
      </w:pPr>
    </w:p>
    <w:p w14:paraId="68DEA875">
      <w:pPr>
        <w:pageBreakBefore w:val="0"/>
        <w:kinsoku/>
        <w:wordWrap w:val="0"/>
        <w:overflowPunct/>
        <w:bidi w:val="0"/>
        <w:spacing w:line="500" w:lineRule="exact"/>
        <w:ind w:right="420"/>
        <w:rPr>
          <w:rFonts w:hint="eastAsia" w:ascii="宋体" w:cs="宋体-18030"/>
          <w:kern w:val="0"/>
          <w:szCs w:val="21"/>
          <w:highlight w:val="none"/>
        </w:rPr>
      </w:pPr>
    </w:p>
    <w:p w14:paraId="2BA4E5C2">
      <w:pPr>
        <w:pageBreakBefore w:val="0"/>
        <w:kinsoku/>
        <w:wordWrap w:val="0"/>
        <w:overflowPunct/>
        <w:bidi w:val="0"/>
        <w:spacing w:line="500" w:lineRule="exact"/>
        <w:ind w:right="420"/>
        <w:rPr>
          <w:rFonts w:hint="eastAsia" w:ascii="宋体" w:cs="宋体-18030"/>
          <w:kern w:val="0"/>
          <w:szCs w:val="21"/>
          <w:highlight w:val="none"/>
        </w:rPr>
      </w:pPr>
    </w:p>
    <w:p w14:paraId="56715677">
      <w:pPr>
        <w:pageBreakBefore w:val="0"/>
        <w:kinsoku/>
        <w:wordWrap w:val="0"/>
        <w:overflowPunct/>
        <w:autoSpaceDE w:val="0"/>
        <w:autoSpaceDN w:val="0"/>
        <w:bidi w:val="0"/>
        <w:adjustRightInd w:val="0"/>
        <w:spacing w:line="500" w:lineRule="exact"/>
        <w:jc w:val="center"/>
        <w:rPr>
          <w:rFonts w:hint="eastAsia" w:ascii="宋体" w:cs="宋体-18030"/>
          <w:kern w:val="0"/>
          <w:szCs w:val="21"/>
          <w:highlight w:val="none"/>
        </w:rPr>
      </w:pPr>
    </w:p>
    <w:p w14:paraId="087A6056">
      <w:pPr>
        <w:pageBreakBefore w:val="0"/>
        <w:kinsoku/>
        <w:wordWrap w:val="0"/>
        <w:overflowPunct/>
        <w:autoSpaceDE w:val="0"/>
        <w:autoSpaceDN w:val="0"/>
        <w:bidi w:val="0"/>
        <w:adjustRightInd w:val="0"/>
        <w:spacing w:line="500" w:lineRule="exact"/>
        <w:jc w:val="center"/>
        <w:rPr>
          <w:rFonts w:hint="eastAsia" w:ascii="宋体" w:cs="宋体-18030"/>
          <w:kern w:val="0"/>
          <w:sz w:val="28"/>
          <w:szCs w:val="28"/>
          <w:highlight w:val="none"/>
        </w:rPr>
      </w:pPr>
      <w:r>
        <w:rPr>
          <w:rFonts w:hint="eastAsia" w:ascii="宋体" w:cs="宋体-18030"/>
          <w:kern w:val="0"/>
          <w:sz w:val="28"/>
          <w:szCs w:val="28"/>
          <w:highlight w:val="none"/>
        </w:rPr>
        <w:t>(二)授权委托书</w:t>
      </w:r>
    </w:p>
    <w:p w14:paraId="5C89F35C">
      <w:pPr>
        <w:pageBreakBefore w:val="0"/>
        <w:kinsoku/>
        <w:wordWrap w:val="0"/>
        <w:overflowPunct/>
        <w:autoSpaceDE w:val="0"/>
        <w:autoSpaceDN w:val="0"/>
        <w:bidi w:val="0"/>
        <w:adjustRightInd w:val="0"/>
        <w:spacing w:line="500" w:lineRule="exact"/>
        <w:jc w:val="left"/>
        <w:rPr>
          <w:rFonts w:hint="eastAsia" w:ascii="宋体" w:cs="宋体-18030"/>
          <w:kern w:val="0"/>
          <w:szCs w:val="21"/>
          <w:highlight w:val="none"/>
        </w:rPr>
      </w:pPr>
    </w:p>
    <w:p w14:paraId="2A21BF06">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本人</w:t>
      </w:r>
      <w:r>
        <w:rPr>
          <w:rFonts w:hint="eastAsia" w:ascii="宋体" w:cs="宋体-18030"/>
          <w:kern w:val="0"/>
          <w:szCs w:val="21"/>
          <w:highlight w:val="none"/>
          <w:u w:val="single"/>
        </w:rPr>
        <w:t xml:space="preserve">  (姓名)   </w:t>
      </w:r>
      <w:r>
        <w:rPr>
          <w:rFonts w:hint="eastAsia" w:ascii="宋体" w:cs="宋体-18030"/>
          <w:kern w:val="0"/>
          <w:szCs w:val="21"/>
          <w:highlight w:val="none"/>
        </w:rPr>
        <w:t>系</w:t>
      </w:r>
      <w:r>
        <w:rPr>
          <w:rFonts w:hint="eastAsia" w:ascii="宋体" w:cs="宋体-18030"/>
          <w:kern w:val="0"/>
          <w:szCs w:val="21"/>
          <w:highlight w:val="none"/>
          <w:u w:val="single"/>
        </w:rPr>
        <w:t xml:space="preserve">    (投标人名称)    </w:t>
      </w:r>
      <w:r>
        <w:rPr>
          <w:rFonts w:hint="eastAsia" w:ascii="宋体" w:cs="宋体-18030"/>
          <w:kern w:val="0"/>
          <w:szCs w:val="21"/>
          <w:highlight w:val="none"/>
        </w:rPr>
        <w:t>的法定代表人，现委托</w:t>
      </w:r>
      <w:r>
        <w:rPr>
          <w:rFonts w:hint="eastAsia" w:ascii="宋体" w:cs="宋体-18030"/>
          <w:kern w:val="0"/>
          <w:szCs w:val="21"/>
          <w:highlight w:val="none"/>
          <w:u w:val="single"/>
        </w:rPr>
        <w:t xml:space="preserve">   (姓名)  </w:t>
      </w:r>
      <w:r>
        <w:rPr>
          <w:rFonts w:hint="eastAsia" w:ascii="宋体" w:cs="宋体-18030"/>
          <w:kern w:val="0"/>
          <w:szCs w:val="21"/>
          <w:highlight w:val="none"/>
        </w:rPr>
        <w:t>为我方代理人。代理人根据授权，以我方名义签署、澄清、说明、补正、递交、撤回、修改</w:t>
      </w:r>
      <w:r>
        <w:rPr>
          <w:rFonts w:hint="eastAsia" w:ascii="宋体" w:cs="宋体-18030"/>
          <w:kern w:val="0"/>
          <w:szCs w:val="21"/>
          <w:highlight w:val="none"/>
          <w:u w:val="single"/>
        </w:rPr>
        <w:t xml:space="preserve">   (项目名称)    </w:t>
      </w:r>
      <w:r>
        <w:rPr>
          <w:rFonts w:hint="eastAsia" w:ascii="宋体" w:cs="宋体-18030"/>
          <w:kern w:val="0"/>
          <w:szCs w:val="21"/>
          <w:highlight w:val="none"/>
        </w:rPr>
        <w:t>投标文件、签订合同和处理有关事宜，其法律后果由我方承担。</w:t>
      </w:r>
    </w:p>
    <w:p w14:paraId="6749EA01">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委托期限：</w:t>
      </w:r>
      <w:r>
        <w:rPr>
          <w:rFonts w:hint="eastAsia" w:ascii="宋体" w:cs="宋体-18030"/>
          <w:kern w:val="0"/>
          <w:szCs w:val="21"/>
          <w:highlight w:val="none"/>
          <w:u w:val="single"/>
        </w:rPr>
        <w:t xml:space="preserve">        　　　　　　　　　　　　　　　</w:t>
      </w:r>
      <w:r>
        <w:rPr>
          <w:rFonts w:hint="eastAsia" w:ascii="宋体" w:cs="宋体-18030"/>
          <w:kern w:val="0"/>
          <w:szCs w:val="21"/>
          <w:highlight w:val="none"/>
        </w:rPr>
        <w:t>。</w:t>
      </w:r>
    </w:p>
    <w:p w14:paraId="5E40A14C">
      <w:pPr>
        <w:pageBreakBefore w:val="0"/>
        <w:kinsoku/>
        <w:wordWrap w:val="0"/>
        <w:overflowPunct/>
        <w:autoSpaceDE w:val="0"/>
        <w:autoSpaceDN w:val="0"/>
        <w:bidi w:val="0"/>
        <w:adjustRightInd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代理人无转委托权。</w:t>
      </w:r>
    </w:p>
    <w:p w14:paraId="50C5D2D3">
      <w:pPr>
        <w:pageBreakBefore w:val="0"/>
        <w:kinsoku/>
        <w:wordWrap w:val="0"/>
        <w:overflowPunct/>
        <w:bidi w:val="0"/>
        <w:spacing w:line="600" w:lineRule="exact"/>
        <w:ind w:firstLine="420" w:firstLineChars="200"/>
        <w:jc w:val="left"/>
        <w:rPr>
          <w:rFonts w:hint="eastAsia" w:ascii="宋体" w:cs="宋体-18030"/>
          <w:kern w:val="0"/>
          <w:szCs w:val="21"/>
          <w:highlight w:val="none"/>
        </w:rPr>
      </w:pPr>
      <w:r>
        <w:rPr>
          <w:rFonts w:hint="eastAsia" w:ascii="宋体" w:cs="宋体-18030"/>
          <w:kern w:val="0"/>
          <w:szCs w:val="21"/>
          <w:highlight w:val="none"/>
        </w:rPr>
        <w:t>附：法定代表人身份证明；被授权人身份证明。</w:t>
      </w:r>
    </w:p>
    <w:p w14:paraId="4B37CA71">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4AC2C497">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3BC5F35D">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055E28FE">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p>
    <w:p w14:paraId="66795D55">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投  标  人：</w:t>
      </w:r>
      <w:r>
        <w:rPr>
          <w:rFonts w:hint="eastAsia" w:ascii="宋体" w:cs="宋体-18030"/>
          <w:kern w:val="0"/>
          <w:szCs w:val="21"/>
          <w:highlight w:val="none"/>
          <w:u w:val="single"/>
        </w:rPr>
        <w:t xml:space="preserve">                            </w:t>
      </w:r>
      <w:r>
        <w:rPr>
          <w:rFonts w:hint="eastAsia" w:ascii="宋体" w:cs="宋体-18030"/>
          <w:kern w:val="0"/>
          <w:szCs w:val="21"/>
          <w:highlight w:val="none"/>
        </w:rPr>
        <w:t>(盖单位章)</w:t>
      </w:r>
    </w:p>
    <w:p w14:paraId="6BBC9F38">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法定代表人：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p>
    <w:p w14:paraId="06683E96">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u w:val="single"/>
        </w:rPr>
      </w:pPr>
      <w:r>
        <w:rPr>
          <w:rFonts w:hint="eastAsia" w:ascii="宋体" w:cs="宋体-18030"/>
          <w:kern w:val="0"/>
          <w:szCs w:val="21"/>
          <w:highlight w:val="none"/>
        </w:rPr>
        <w:t>身份证号码：</w:t>
      </w:r>
      <w:r>
        <w:rPr>
          <w:rFonts w:hint="eastAsia" w:ascii="宋体" w:cs="宋体-18030"/>
          <w:kern w:val="0"/>
          <w:szCs w:val="21"/>
          <w:highlight w:val="none"/>
          <w:u w:val="single"/>
        </w:rPr>
        <w:t xml:space="preserve">                                </w:t>
      </w:r>
    </w:p>
    <w:p w14:paraId="656BEE79">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委托代理人：</w:t>
      </w:r>
      <w:r>
        <w:rPr>
          <w:rFonts w:hint="eastAsia" w:ascii="宋体" w:cs="宋体-18030"/>
          <w:kern w:val="0"/>
          <w:szCs w:val="21"/>
          <w:highlight w:val="none"/>
          <w:u w:val="single"/>
        </w:rPr>
        <w:t xml:space="preserve">                                </w:t>
      </w:r>
      <w:r>
        <w:rPr>
          <w:rFonts w:hint="eastAsia" w:ascii="宋体" w:cs="宋体-18030"/>
          <w:kern w:val="0"/>
          <w:szCs w:val="21"/>
          <w:highlight w:val="none"/>
        </w:rPr>
        <w:t>(签字)</w:t>
      </w:r>
    </w:p>
    <w:p w14:paraId="16A0EDAD">
      <w:pPr>
        <w:pageBreakBefore w:val="0"/>
        <w:kinsoku/>
        <w:wordWrap w:val="0"/>
        <w:overflowPunct/>
        <w:autoSpaceDE w:val="0"/>
        <w:autoSpaceDN w:val="0"/>
        <w:bidi w:val="0"/>
        <w:adjustRightInd w:val="0"/>
        <w:spacing w:line="600" w:lineRule="exact"/>
        <w:ind w:left="540" w:leftChars="257"/>
        <w:jc w:val="left"/>
        <w:rPr>
          <w:rFonts w:hint="eastAsia" w:ascii="宋体" w:cs="宋体-18030"/>
          <w:kern w:val="0"/>
          <w:szCs w:val="21"/>
          <w:highlight w:val="none"/>
        </w:rPr>
      </w:pPr>
      <w:r>
        <w:rPr>
          <w:rFonts w:hint="eastAsia" w:ascii="宋体" w:cs="宋体-18030"/>
          <w:kern w:val="0"/>
          <w:szCs w:val="21"/>
          <w:highlight w:val="none"/>
        </w:rPr>
        <w:t>身份证号码：</w:t>
      </w:r>
      <w:r>
        <w:rPr>
          <w:rFonts w:hint="eastAsia" w:ascii="宋体" w:cs="宋体-18030"/>
          <w:kern w:val="0"/>
          <w:szCs w:val="21"/>
          <w:highlight w:val="none"/>
          <w:u w:val="single"/>
        </w:rPr>
        <w:t xml:space="preserve">                                </w:t>
      </w:r>
    </w:p>
    <w:p w14:paraId="5CB18321">
      <w:pPr>
        <w:pageBreakBefore w:val="0"/>
        <w:kinsoku/>
        <w:wordWrap w:val="0"/>
        <w:overflowPunct/>
        <w:bidi w:val="0"/>
        <w:spacing w:line="600" w:lineRule="exact"/>
        <w:ind w:firstLine="1890" w:firstLineChars="900"/>
        <w:jc w:val="right"/>
        <w:rPr>
          <w:rFonts w:hint="eastAsia" w:ascii="宋体" w:cs="宋体-18030"/>
          <w:kern w:val="0"/>
          <w:szCs w:val="21"/>
          <w:highlight w:val="none"/>
          <w:u w:val="single"/>
        </w:rPr>
      </w:pPr>
    </w:p>
    <w:p w14:paraId="61302972">
      <w:pPr>
        <w:pageBreakBefore w:val="0"/>
        <w:kinsoku/>
        <w:wordWrap w:val="0"/>
        <w:overflowPunct/>
        <w:bidi w:val="0"/>
        <w:spacing w:line="600" w:lineRule="exact"/>
        <w:ind w:firstLine="1890" w:firstLineChars="900"/>
        <w:jc w:val="right"/>
        <w:rPr>
          <w:rFonts w:hint="eastAsia" w:ascii="宋体" w:cs="宋体-18030"/>
          <w:kern w:val="0"/>
          <w:sz w:val="24"/>
          <w:highlight w:val="none"/>
        </w:rPr>
      </w:pPr>
      <w:r>
        <w:rPr>
          <w:rFonts w:hint="eastAsia" w:ascii="宋体" w:cs="宋体-18030"/>
          <w:kern w:val="0"/>
          <w:szCs w:val="21"/>
          <w:highlight w:val="none"/>
          <w:u w:val="single"/>
        </w:rPr>
        <w:t xml:space="preserve">           </w:t>
      </w:r>
      <w:r>
        <w:rPr>
          <w:rFonts w:hint="eastAsia" w:ascii="宋体" w:cs="宋体-18030"/>
          <w:kern w:val="0"/>
          <w:szCs w:val="21"/>
          <w:highlight w:val="none"/>
        </w:rPr>
        <w:t>年</w:t>
      </w:r>
      <w:r>
        <w:rPr>
          <w:rFonts w:hint="eastAsia" w:ascii="宋体" w:cs="宋体-18030"/>
          <w:kern w:val="0"/>
          <w:szCs w:val="21"/>
          <w:highlight w:val="none"/>
          <w:u w:val="single"/>
        </w:rPr>
        <w:t xml:space="preserve">     </w:t>
      </w:r>
      <w:r>
        <w:rPr>
          <w:rFonts w:hint="eastAsia" w:ascii="宋体" w:cs="宋体-18030"/>
          <w:kern w:val="0"/>
          <w:szCs w:val="21"/>
          <w:highlight w:val="none"/>
        </w:rPr>
        <w:t>月</w:t>
      </w:r>
      <w:r>
        <w:rPr>
          <w:rFonts w:hint="eastAsia" w:ascii="宋体" w:cs="宋体-18030"/>
          <w:kern w:val="0"/>
          <w:szCs w:val="21"/>
          <w:highlight w:val="none"/>
          <w:u w:val="single"/>
        </w:rPr>
        <w:t xml:space="preserve">     </w:t>
      </w:r>
      <w:r>
        <w:rPr>
          <w:rFonts w:hint="eastAsia" w:ascii="宋体" w:cs="宋体-18030"/>
          <w:kern w:val="0"/>
          <w:szCs w:val="21"/>
          <w:highlight w:val="none"/>
        </w:rPr>
        <w:t>日</w:t>
      </w:r>
    </w:p>
    <w:p w14:paraId="0DBE3F27">
      <w:pPr>
        <w:pageBreakBefore w:val="0"/>
        <w:kinsoku/>
        <w:wordWrap w:val="0"/>
        <w:overflowPunct/>
        <w:bidi w:val="0"/>
        <w:spacing w:line="500" w:lineRule="exact"/>
        <w:ind w:left="540" w:leftChars="257" w:firstLine="1680" w:firstLineChars="800"/>
        <w:jc w:val="left"/>
        <w:rPr>
          <w:rFonts w:hint="eastAsia" w:ascii="宋体" w:cs="宋体-18030"/>
          <w:kern w:val="0"/>
          <w:szCs w:val="21"/>
          <w:highlight w:val="none"/>
        </w:rPr>
      </w:pPr>
    </w:p>
    <w:p w14:paraId="4695DEE3">
      <w:pPr>
        <w:pageBreakBefore w:val="0"/>
        <w:kinsoku/>
        <w:wordWrap w:val="0"/>
        <w:overflowPunct/>
        <w:bidi w:val="0"/>
        <w:spacing w:line="500" w:lineRule="exact"/>
        <w:ind w:left="540" w:leftChars="257" w:firstLine="1680" w:firstLineChars="800"/>
        <w:jc w:val="left"/>
        <w:rPr>
          <w:rFonts w:hint="eastAsia" w:ascii="宋体" w:cs="宋体-18030"/>
          <w:kern w:val="0"/>
          <w:szCs w:val="21"/>
          <w:highlight w:val="none"/>
        </w:rPr>
      </w:pPr>
    </w:p>
    <w:p w14:paraId="406CCFF3">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pPr>
    </w:p>
    <w:p w14:paraId="4C204536">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pPr>
    </w:p>
    <w:p w14:paraId="53C0C216">
      <w:pPr>
        <w:pageBreakBefore w:val="0"/>
        <w:kinsoku/>
        <w:wordWrap w:val="0"/>
        <w:overflowPunct/>
        <w:autoSpaceDE w:val="0"/>
        <w:autoSpaceDN w:val="0"/>
        <w:bidi w:val="0"/>
        <w:adjustRightInd w:val="0"/>
        <w:spacing w:line="500" w:lineRule="exact"/>
        <w:jc w:val="center"/>
        <w:rPr>
          <w:rFonts w:hint="eastAsia" w:ascii="宋体" w:cs="宋体-18030"/>
          <w:szCs w:val="21"/>
          <w:highlight w:val="none"/>
          <w:lang w:val="zh-CN"/>
        </w:rPr>
        <w:sectPr>
          <w:pgSz w:w="11907" w:h="16840"/>
          <w:pgMar w:top="1134" w:right="1418" w:bottom="1134" w:left="1418" w:header="567" w:footer="567" w:gutter="0"/>
          <w:cols w:space="720" w:num="1"/>
          <w:titlePg/>
          <w:docGrid w:linePitch="312" w:charSpace="0"/>
        </w:sectPr>
      </w:pPr>
    </w:p>
    <w:p w14:paraId="3EB02E64">
      <w:pPr>
        <w:pageBreakBefore w:val="0"/>
        <w:kinsoku/>
        <w:wordWrap w:val="0"/>
        <w:overflowPunct/>
        <w:autoSpaceDE w:val="0"/>
        <w:autoSpaceDN w:val="0"/>
        <w:bidi w:val="0"/>
        <w:adjustRightInd w:val="0"/>
        <w:spacing w:line="500" w:lineRule="exact"/>
        <w:jc w:val="center"/>
        <w:outlineLvl w:val="0"/>
        <w:rPr>
          <w:rFonts w:hint="eastAsia" w:ascii="宋体" w:cs="宋体-18030"/>
          <w:b/>
          <w:sz w:val="36"/>
          <w:szCs w:val="36"/>
          <w:highlight w:val="none"/>
          <w:lang w:val="zh-CN"/>
        </w:rPr>
      </w:pPr>
      <w:bookmarkStart w:id="442" w:name="_Toc10156"/>
      <w:bookmarkStart w:id="443" w:name="_Toc14930"/>
      <w:r>
        <w:rPr>
          <w:rFonts w:hint="eastAsia" w:ascii="宋体" w:cs="宋体-18030"/>
          <w:b/>
          <w:sz w:val="36"/>
          <w:szCs w:val="36"/>
          <w:highlight w:val="none"/>
          <w:lang w:val="zh-CN"/>
        </w:rPr>
        <w:t>三、开标一览表</w:t>
      </w:r>
      <w:bookmarkEnd w:id="442"/>
      <w:bookmarkEnd w:id="443"/>
    </w:p>
    <w:p w14:paraId="68B84973">
      <w:pPr>
        <w:pageBreakBefore w:val="0"/>
        <w:kinsoku/>
        <w:wordWrap w:val="0"/>
        <w:overflowPunct/>
        <w:autoSpaceDE w:val="0"/>
        <w:autoSpaceDN w:val="0"/>
        <w:bidi w:val="0"/>
        <w:adjustRightInd w:val="0"/>
        <w:spacing w:line="400" w:lineRule="exact"/>
        <w:jc w:val="left"/>
        <w:rPr>
          <w:rFonts w:hint="eastAsia" w:ascii="宋体" w:cs="黑体"/>
          <w:b/>
          <w:kern w:val="0"/>
          <w:szCs w:val="21"/>
          <w:highlight w:val="none"/>
          <w:shd w:val="clear" w:color="auto" w:fill="FFFFFF"/>
        </w:rPr>
      </w:pPr>
    </w:p>
    <w:p w14:paraId="6F301F29">
      <w:pPr>
        <w:wordWrap w:val="0"/>
        <w:overflowPunct/>
        <w:bidi w:val="0"/>
        <w:spacing w:line="360"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名 称 ：</w:t>
      </w:r>
    </w:p>
    <w:p w14:paraId="636DA45B">
      <w:pPr>
        <w:wordWrap w:val="0"/>
        <w:overflowPunct/>
        <w:bidi w:val="0"/>
        <w:spacing w:line="360" w:lineRule="auto"/>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 目 编 号：</w:t>
      </w:r>
    </w:p>
    <w:p w14:paraId="75A3ACFE">
      <w:pPr>
        <w:wordWrap w:val="0"/>
        <w:overflowPunct/>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时间：   年  月  日</w:t>
      </w:r>
    </w:p>
    <w:tbl>
      <w:tblPr>
        <w:tblStyle w:val="16"/>
        <w:tblW w:w="5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6"/>
        <w:gridCol w:w="2407"/>
        <w:gridCol w:w="2391"/>
        <w:gridCol w:w="2391"/>
      </w:tblGrid>
      <w:tr w14:paraId="290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1345" w:type="pct"/>
            <w:noWrap w:val="0"/>
            <w:vAlign w:val="center"/>
          </w:tcPr>
          <w:p w14:paraId="4F6AE6E4">
            <w:pPr>
              <w:wordWrap w:val="0"/>
              <w:overflowPunct/>
              <w:bidi w:val="0"/>
              <w:spacing w:line="360" w:lineRule="auto"/>
              <w:jc w:val="center"/>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lang w:val="en-US" w:eastAsia="zh-CN"/>
              </w:rPr>
              <w:t>名称</w:t>
            </w:r>
          </w:p>
        </w:tc>
        <w:tc>
          <w:tcPr>
            <w:tcW w:w="1223" w:type="pct"/>
            <w:tcBorders>
              <w:right w:val="single" w:color="auto" w:sz="4" w:space="0"/>
            </w:tcBorders>
            <w:noWrap w:val="0"/>
            <w:vAlign w:val="center"/>
          </w:tcPr>
          <w:p w14:paraId="7C4AB0CE">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投标总价</w:t>
            </w:r>
          </w:p>
          <w:p w14:paraId="53BE468D">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元</w:t>
            </w:r>
            <w:r>
              <w:rPr>
                <w:rFonts w:hint="eastAsia" w:ascii="宋体" w:hAnsi="宋体" w:eastAsia="宋体" w:cs="宋体"/>
                <w:sz w:val="24"/>
                <w:szCs w:val="24"/>
                <w:highlight w:val="none"/>
                <w:lang w:eastAsia="zh-CN"/>
              </w:rPr>
              <w:t>)</w:t>
            </w:r>
          </w:p>
        </w:tc>
        <w:tc>
          <w:tcPr>
            <w:tcW w:w="1215" w:type="pct"/>
            <w:tcBorders>
              <w:right w:val="single" w:color="auto" w:sz="4" w:space="0"/>
            </w:tcBorders>
            <w:noWrap w:val="0"/>
            <w:vAlign w:val="center"/>
          </w:tcPr>
          <w:p w14:paraId="08F16B8E">
            <w:pPr>
              <w:wordWrap w:val="0"/>
              <w:overflowPunct/>
              <w:bidi w:val="0"/>
              <w:spacing w:line="360" w:lineRule="auto"/>
              <w:jc w:val="center"/>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合同履行期限</w:t>
            </w:r>
          </w:p>
        </w:tc>
        <w:tc>
          <w:tcPr>
            <w:tcW w:w="1215" w:type="pct"/>
            <w:tcBorders>
              <w:right w:val="single" w:color="auto" w:sz="4" w:space="0"/>
            </w:tcBorders>
            <w:noWrap w:val="0"/>
            <w:vAlign w:val="center"/>
          </w:tcPr>
          <w:p w14:paraId="365B120D">
            <w:pPr>
              <w:wordWrap w:val="0"/>
              <w:overflowPunct/>
              <w:bidi w:val="0"/>
              <w:spacing w:line="360" w:lineRule="auto"/>
              <w:jc w:val="center"/>
              <w:outlineLvl w:val="9"/>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质量标准</w:t>
            </w:r>
          </w:p>
        </w:tc>
      </w:tr>
      <w:tr w14:paraId="6272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exact"/>
          <w:jc w:val="center"/>
        </w:trPr>
        <w:tc>
          <w:tcPr>
            <w:tcW w:w="1345" w:type="pct"/>
            <w:noWrap w:val="0"/>
            <w:vAlign w:val="center"/>
          </w:tcPr>
          <w:p w14:paraId="4591ED3E">
            <w:pPr>
              <w:wordWrap w:val="0"/>
              <w:overflowPunct/>
              <w:bidi w:val="0"/>
              <w:spacing w:line="360" w:lineRule="auto"/>
              <w:outlineLvl w:val="9"/>
              <w:rPr>
                <w:rFonts w:hint="eastAsia" w:ascii="宋体" w:hAnsi="宋体" w:eastAsia="宋体" w:cs="宋体"/>
                <w:sz w:val="24"/>
                <w:szCs w:val="24"/>
                <w:highlight w:val="none"/>
              </w:rPr>
            </w:pPr>
          </w:p>
        </w:tc>
        <w:tc>
          <w:tcPr>
            <w:tcW w:w="1223" w:type="pct"/>
            <w:tcBorders>
              <w:right w:val="single" w:color="auto" w:sz="4" w:space="0"/>
            </w:tcBorders>
            <w:noWrap w:val="0"/>
            <w:vAlign w:val="center"/>
          </w:tcPr>
          <w:p w14:paraId="232AB3A7">
            <w:pPr>
              <w:wordWrap w:val="0"/>
              <w:overflowPunct/>
              <w:bidi w:val="0"/>
              <w:spacing w:line="360" w:lineRule="auto"/>
              <w:jc w:val="center"/>
              <w:outlineLvl w:val="9"/>
              <w:rPr>
                <w:rFonts w:hint="eastAsia" w:ascii="宋体" w:hAnsi="宋体" w:eastAsia="宋体" w:cs="宋体"/>
                <w:sz w:val="24"/>
                <w:szCs w:val="24"/>
                <w:highlight w:val="none"/>
              </w:rPr>
            </w:pPr>
          </w:p>
        </w:tc>
        <w:tc>
          <w:tcPr>
            <w:tcW w:w="1215" w:type="pct"/>
            <w:tcBorders>
              <w:bottom w:val="single" w:color="auto" w:sz="4" w:space="0"/>
              <w:right w:val="single" w:color="auto" w:sz="4" w:space="0"/>
            </w:tcBorders>
            <w:noWrap w:val="0"/>
            <w:vAlign w:val="center"/>
          </w:tcPr>
          <w:p w14:paraId="60EC789C">
            <w:pPr>
              <w:wordWrap w:val="0"/>
              <w:overflowPunct/>
              <w:bidi w:val="0"/>
              <w:spacing w:line="360" w:lineRule="auto"/>
              <w:jc w:val="center"/>
              <w:outlineLvl w:val="9"/>
              <w:rPr>
                <w:rFonts w:hint="eastAsia" w:ascii="宋体" w:hAnsi="宋体" w:eastAsia="宋体" w:cs="宋体"/>
                <w:sz w:val="24"/>
                <w:szCs w:val="24"/>
                <w:highlight w:val="none"/>
              </w:rPr>
            </w:pPr>
          </w:p>
        </w:tc>
        <w:tc>
          <w:tcPr>
            <w:tcW w:w="1215" w:type="pct"/>
            <w:tcBorders>
              <w:bottom w:val="single" w:color="auto" w:sz="4" w:space="0"/>
              <w:right w:val="single" w:color="auto" w:sz="4" w:space="0"/>
            </w:tcBorders>
            <w:noWrap w:val="0"/>
            <w:vAlign w:val="center"/>
          </w:tcPr>
          <w:p w14:paraId="4290C949">
            <w:pPr>
              <w:wordWrap w:val="0"/>
              <w:overflowPunct/>
              <w:bidi w:val="0"/>
              <w:spacing w:line="360" w:lineRule="auto"/>
              <w:jc w:val="center"/>
              <w:outlineLvl w:val="9"/>
              <w:rPr>
                <w:rFonts w:hint="eastAsia" w:ascii="宋体" w:hAnsi="宋体" w:eastAsia="宋体" w:cs="宋体"/>
                <w:sz w:val="24"/>
                <w:szCs w:val="24"/>
                <w:highlight w:val="none"/>
              </w:rPr>
            </w:pPr>
          </w:p>
        </w:tc>
      </w:tr>
    </w:tbl>
    <w:p w14:paraId="540C17F9">
      <w:pPr>
        <w:wordWrap w:val="0"/>
        <w:overflowPunct/>
        <w:bidi w:val="0"/>
        <w:spacing w:line="360" w:lineRule="auto"/>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备注：1、此表可以自行调整表格宽度。</w:t>
      </w:r>
    </w:p>
    <w:p w14:paraId="4C40ACEE">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报价保留两位小数</w:t>
      </w:r>
      <w:r>
        <w:rPr>
          <w:rFonts w:hint="eastAsia" w:ascii="宋体" w:hAnsi="宋体" w:eastAsia="宋体" w:cs="宋体"/>
          <w:sz w:val="24"/>
          <w:szCs w:val="24"/>
          <w:highlight w:val="none"/>
        </w:rPr>
        <w:t>。</w:t>
      </w:r>
    </w:p>
    <w:p w14:paraId="3189AB13">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p>
    <w:p w14:paraId="22FC4C5C">
      <w:pPr>
        <w:wordWrap w:val="0"/>
        <w:overflowPunct/>
        <w:bidi w:val="0"/>
        <w:spacing w:line="360" w:lineRule="auto"/>
        <w:ind w:firstLine="736" w:firstLineChars="307"/>
        <w:jc w:val="left"/>
        <w:outlineLvl w:val="9"/>
        <w:rPr>
          <w:rFonts w:hint="eastAsia" w:ascii="宋体" w:hAnsi="宋体" w:eastAsia="宋体" w:cs="宋体"/>
          <w:sz w:val="24"/>
          <w:szCs w:val="24"/>
          <w:highlight w:val="none"/>
        </w:rPr>
      </w:pPr>
    </w:p>
    <w:p w14:paraId="19D57A8A">
      <w:pPr>
        <w:wordWrap w:val="0"/>
        <w:overflowPunct/>
        <w:bidi w:val="0"/>
        <w:spacing w:line="360" w:lineRule="auto"/>
        <w:ind w:firstLine="480" w:firstLineChars="200"/>
        <w:outlineLvl w:val="9"/>
        <w:rPr>
          <w:rFonts w:hint="eastAsia" w:ascii="宋体" w:hAnsi="宋体" w:eastAsia="宋体" w:cs="宋体"/>
          <w:sz w:val="24"/>
          <w:szCs w:val="24"/>
          <w:highlight w:val="none"/>
        </w:rPr>
      </w:pPr>
    </w:p>
    <w:p w14:paraId="5F1B1772">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授权代表签字：</w:t>
      </w:r>
      <w:r>
        <w:rPr>
          <w:rFonts w:hint="eastAsia" w:ascii="宋体" w:hAnsi="宋体" w:eastAsia="宋体" w:cs="宋体"/>
          <w:sz w:val="24"/>
          <w:szCs w:val="24"/>
          <w:highlight w:val="none"/>
          <w:u w:val="single"/>
        </w:rPr>
        <w:t>　　　　　　　　　　　　</w:t>
      </w:r>
    </w:p>
    <w:p w14:paraId="4B54CED1">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w:t>
      </w:r>
    </w:p>
    <w:p w14:paraId="0C87951C">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6434B95">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p>
    <w:p w14:paraId="2FDAF84C">
      <w:pPr>
        <w:wordWrap w:val="0"/>
        <w:overflowPunct/>
        <w:bidi w:val="0"/>
        <w:spacing w:line="360" w:lineRule="auto"/>
        <w:ind w:firstLine="480" w:firstLineChars="200"/>
        <w:outlineLvl w:val="9"/>
        <w:rPr>
          <w:rFonts w:hint="eastAsia" w:ascii="宋体" w:hAnsi="宋体" w:eastAsia="宋体" w:cs="宋体"/>
          <w:sz w:val="24"/>
          <w:szCs w:val="24"/>
          <w:highlight w:val="none"/>
          <w:u w:val="single"/>
        </w:rPr>
      </w:pPr>
    </w:p>
    <w:p w14:paraId="12361280">
      <w:pPr>
        <w:pageBreakBefore w:val="0"/>
        <w:kinsoku/>
        <w:wordWrap w:val="0"/>
        <w:overflowPunct/>
        <w:autoSpaceDE w:val="0"/>
        <w:autoSpaceDN w:val="0"/>
        <w:bidi w:val="0"/>
        <w:adjustRightInd w:val="0"/>
        <w:spacing w:line="500" w:lineRule="exact"/>
        <w:jc w:val="center"/>
        <w:rPr>
          <w:rFonts w:hint="eastAsia" w:ascii="宋体" w:cs="宋体-18030"/>
          <w:sz w:val="24"/>
          <w:highlight w:val="none"/>
          <w:lang w:val="zh-CN"/>
        </w:rPr>
      </w:pPr>
    </w:p>
    <w:p w14:paraId="7722B53E">
      <w:pPr>
        <w:pageBreakBefore w:val="0"/>
        <w:kinsoku/>
        <w:wordWrap w:val="0"/>
        <w:overflowPunct/>
        <w:autoSpaceDE w:val="0"/>
        <w:autoSpaceDN w:val="0"/>
        <w:bidi w:val="0"/>
        <w:adjustRightInd w:val="0"/>
        <w:spacing w:line="500" w:lineRule="exact"/>
        <w:jc w:val="center"/>
        <w:outlineLvl w:val="0"/>
        <w:rPr>
          <w:rFonts w:hint="eastAsia" w:ascii="宋体" w:cs="宋体-18030"/>
          <w:b/>
          <w:sz w:val="36"/>
          <w:szCs w:val="36"/>
          <w:highlight w:val="none"/>
          <w:lang w:val="zh-CN"/>
        </w:rPr>
      </w:pPr>
      <w:r>
        <w:rPr>
          <w:rFonts w:hint="eastAsia" w:ascii="宋体" w:cs="宋体-18030"/>
          <w:sz w:val="24"/>
          <w:highlight w:val="none"/>
          <w:lang w:val="zh-CN"/>
        </w:rPr>
        <w:br w:type="page"/>
      </w:r>
      <w:bookmarkStart w:id="444" w:name="_Toc7490"/>
      <w:bookmarkStart w:id="445" w:name="_Toc17622"/>
      <w:r>
        <w:rPr>
          <w:rFonts w:hint="eastAsia" w:ascii="宋体" w:cs="宋体-18030"/>
          <w:b/>
          <w:sz w:val="36"/>
          <w:szCs w:val="36"/>
          <w:highlight w:val="none"/>
          <w:lang w:val="zh-CN"/>
        </w:rPr>
        <w:t>四、投标保证金</w:t>
      </w:r>
      <w:bookmarkEnd w:id="444"/>
      <w:bookmarkEnd w:id="445"/>
    </w:p>
    <w:p w14:paraId="464AE83C">
      <w:pPr>
        <w:pageBreakBefore w:val="0"/>
        <w:kinsoku/>
        <w:wordWrap w:val="0"/>
        <w:overflowPunct/>
        <w:bidi w:val="0"/>
        <w:rPr>
          <w:rFonts w:hint="eastAsia" w:ascii="宋体"/>
          <w:b/>
          <w:bCs/>
          <w:sz w:val="24"/>
          <w:szCs w:val="32"/>
          <w:highlight w:val="none"/>
        </w:rPr>
      </w:pPr>
    </w:p>
    <w:p w14:paraId="195C10F5">
      <w:pPr>
        <w:pageBreakBefore w:val="0"/>
        <w:kinsoku/>
        <w:wordWrap w:val="0"/>
        <w:overflowPunct/>
        <w:autoSpaceDE w:val="0"/>
        <w:autoSpaceDN w:val="0"/>
        <w:bidi w:val="0"/>
        <w:adjustRightInd w:val="0"/>
        <w:spacing w:line="500" w:lineRule="exact"/>
        <w:jc w:val="center"/>
        <w:rPr>
          <w:rFonts w:hint="eastAsia" w:ascii="宋体" w:eastAsia="宋体" w:cs="宋体-18030"/>
          <w:sz w:val="18"/>
          <w:szCs w:val="18"/>
          <w:highlight w:val="none"/>
          <w:lang w:val="en-US" w:eastAsia="zh-CN"/>
        </w:rPr>
      </w:pPr>
    </w:p>
    <w:p w14:paraId="3960D7BF">
      <w:pPr>
        <w:pageBreakBefore w:val="0"/>
        <w:kinsoku/>
        <w:wordWrap w:val="0"/>
        <w:overflowPunct/>
        <w:autoSpaceDE w:val="0"/>
        <w:autoSpaceDN w:val="0"/>
        <w:bidi w:val="0"/>
        <w:adjustRightInd w:val="0"/>
        <w:spacing w:line="500" w:lineRule="exact"/>
        <w:jc w:val="center"/>
        <w:outlineLvl w:val="0"/>
        <w:rPr>
          <w:rFonts w:hint="eastAsia"/>
          <w:b/>
          <w:bCs/>
          <w:sz w:val="36"/>
          <w:szCs w:val="36"/>
          <w:highlight w:val="none"/>
        </w:rPr>
      </w:pPr>
      <w:r>
        <w:rPr>
          <w:rFonts w:hint="eastAsia" w:ascii="宋体" w:cs="宋体-18030"/>
          <w:sz w:val="24"/>
          <w:highlight w:val="none"/>
          <w:lang w:val="zh-CN"/>
        </w:rPr>
        <w:br w:type="page"/>
      </w:r>
      <w:bookmarkStart w:id="446" w:name="_Toc18106"/>
      <w:bookmarkStart w:id="447" w:name="_Toc30171"/>
      <w:r>
        <w:rPr>
          <w:rFonts w:hint="eastAsia" w:ascii="宋体" w:cs="宋体-18030"/>
          <w:b/>
          <w:sz w:val="36"/>
          <w:szCs w:val="36"/>
          <w:highlight w:val="none"/>
          <w:lang w:val="zh-CN"/>
        </w:rPr>
        <w:t>五、</w:t>
      </w:r>
      <w:bookmarkStart w:id="448" w:name="_Toc373772564"/>
      <w:bookmarkStart w:id="449" w:name="_Toc372556120"/>
      <w:r>
        <w:rPr>
          <w:rFonts w:hint="eastAsia"/>
          <w:b/>
          <w:bCs/>
          <w:sz w:val="36"/>
          <w:szCs w:val="36"/>
          <w:highlight w:val="none"/>
        </w:rPr>
        <w:t>资格审查资料</w:t>
      </w:r>
      <w:bookmarkEnd w:id="446"/>
      <w:bookmarkEnd w:id="447"/>
      <w:bookmarkEnd w:id="448"/>
      <w:bookmarkEnd w:id="449"/>
    </w:p>
    <w:p w14:paraId="49A16969">
      <w:pPr>
        <w:pageBreakBefore w:val="0"/>
        <w:kinsoku/>
        <w:wordWrap w:val="0"/>
        <w:overflowPunct/>
        <w:bidi w:val="0"/>
        <w:spacing w:line="360" w:lineRule="auto"/>
        <w:ind w:left="1124" w:hanging="1124" w:hangingChars="400"/>
        <w:jc w:val="center"/>
        <w:rPr>
          <w:rFonts w:hint="eastAsia" w:ascii="宋体"/>
          <w:b/>
          <w:bCs/>
          <w:kern w:val="0"/>
          <w:sz w:val="28"/>
          <w:szCs w:val="28"/>
          <w:highlight w:val="none"/>
        </w:rPr>
      </w:pPr>
      <w:r>
        <w:rPr>
          <w:rFonts w:hint="eastAsia" w:ascii="宋体"/>
          <w:b/>
          <w:bCs/>
          <w:kern w:val="0"/>
          <w:sz w:val="28"/>
          <w:szCs w:val="28"/>
          <w:highlight w:val="none"/>
        </w:rPr>
        <w:t>(一)投标人基本情况表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2160"/>
        <w:gridCol w:w="3420"/>
      </w:tblGrid>
      <w:tr w14:paraId="6A1A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908" w:type="dxa"/>
            <w:noWrap w:val="0"/>
            <w:vAlign w:val="center"/>
          </w:tcPr>
          <w:p w14:paraId="7AAC6653">
            <w:pPr>
              <w:pageBreakBefore w:val="0"/>
              <w:kinsoku/>
              <w:wordWrap w:val="0"/>
              <w:overflowPunct/>
              <w:bidi w:val="0"/>
              <w:jc w:val="center"/>
              <w:rPr>
                <w:rFonts w:hint="eastAsia" w:ascii="宋体"/>
                <w:szCs w:val="21"/>
                <w:highlight w:val="none"/>
              </w:rPr>
            </w:pPr>
            <w:r>
              <w:rPr>
                <w:rFonts w:hint="eastAsia" w:ascii="宋体"/>
                <w:kern w:val="0"/>
                <w:szCs w:val="21"/>
                <w:highlight w:val="none"/>
              </w:rPr>
              <w:t>投标人全称</w:t>
            </w:r>
          </w:p>
        </w:tc>
        <w:tc>
          <w:tcPr>
            <w:tcW w:w="7740" w:type="dxa"/>
            <w:gridSpan w:val="3"/>
            <w:noWrap w:val="0"/>
            <w:vAlign w:val="center"/>
          </w:tcPr>
          <w:p w14:paraId="22BDCB6B">
            <w:pPr>
              <w:pageBreakBefore w:val="0"/>
              <w:kinsoku/>
              <w:wordWrap w:val="0"/>
              <w:overflowPunct/>
              <w:bidi w:val="0"/>
              <w:rPr>
                <w:rFonts w:hint="eastAsia" w:ascii="宋体"/>
                <w:szCs w:val="21"/>
                <w:highlight w:val="none"/>
              </w:rPr>
            </w:pPr>
          </w:p>
        </w:tc>
      </w:tr>
      <w:tr w14:paraId="6C06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08" w:type="dxa"/>
            <w:noWrap w:val="0"/>
            <w:vAlign w:val="center"/>
          </w:tcPr>
          <w:p w14:paraId="1DC7D161">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投标方式</w:t>
            </w:r>
          </w:p>
        </w:tc>
        <w:tc>
          <w:tcPr>
            <w:tcW w:w="2160" w:type="dxa"/>
            <w:noWrap w:val="0"/>
            <w:vAlign w:val="center"/>
          </w:tcPr>
          <w:p w14:paraId="2A31382D">
            <w:pPr>
              <w:pageBreakBefore w:val="0"/>
              <w:kinsoku/>
              <w:wordWrap w:val="0"/>
              <w:overflowPunct/>
              <w:bidi w:val="0"/>
              <w:jc w:val="center"/>
              <w:rPr>
                <w:rFonts w:hint="eastAsia" w:ascii="宋体"/>
                <w:szCs w:val="21"/>
                <w:highlight w:val="none"/>
              </w:rPr>
            </w:pPr>
            <w:r>
              <w:rPr>
                <w:rFonts w:hint="eastAsia" w:ascii="宋体"/>
                <w:kern w:val="0"/>
                <w:szCs w:val="21"/>
                <w:highlight w:val="none"/>
              </w:rPr>
              <w:t>独立</w:t>
            </w:r>
          </w:p>
        </w:tc>
        <w:tc>
          <w:tcPr>
            <w:tcW w:w="2160" w:type="dxa"/>
            <w:noWrap w:val="0"/>
            <w:vAlign w:val="center"/>
          </w:tcPr>
          <w:p w14:paraId="4CEEB17C">
            <w:pPr>
              <w:pageBreakBefore w:val="0"/>
              <w:kinsoku/>
              <w:wordWrap w:val="0"/>
              <w:overflowPunct/>
              <w:bidi w:val="0"/>
              <w:jc w:val="center"/>
              <w:rPr>
                <w:rFonts w:hint="eastAsia" w:ascii="宋体"/>
                <w:szCs w:val="21"/>
                <w:highlight w:val="none"/>
              </w:rPr>
            </w:pPr>
            <w:r>
              <w:rPr>
                <w:rFonts w:hint="eastAsia" w:ascii="宋体"/>
                <w:kern w:val="0"/>
                <w:szCs w:val="21"/>
                <w:highlight w:val="none"/>
              </w:rPr>
              <w:t>注册资金</w:t>
            </w:r>
          </w:p>
        </w:tc>
        <w:tc>
          <w:tcPr>
            <w:tcW w:w="3420" w:type="dxa"/>
            <w:noWrap w:val="0"/>
            <w:vAlign w:val="center"/>
          </w:tcPr>
          <w:p w14:paraId="1841A323">
            <w:pPr>
              <w:pageBreakBefore w:val="0"/>
              <w:kinsoku/>
              <w:wordWrap w:val="0"/>
              <w:overflowPunct/>
              <w:bidi w:val="0"/>
              <w:jc w:val="center"/>
              <w:rPr>
                <w:rFonts w:hint="eastAsia" w:ascii="宋体"/>
                <w:szCs w:val="21"/>
                <w:highlight w:val="none"/>
              </w:rPr>
            </w:pPr>
          </w:p>
        </w:tc>
      </w:tr>
      <w:tr w14:paraId="28D4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6A91589E">
            <w:pPr>
              <w:pageBreakBefore w:val="0"/>
              <w:kinsoku/>
              <w:wordWrap w:val="0"/>
              <w:overflowPunct/>
              <w:bidi w:val="0"/>
              <w:jc w:val="center"/>
              <w:rPr>
                <w:rFonts w:hint="eastAsia" w:ascii="宋体"/>
                <w:szCs w:val="21"/>
                <w:highlight w:val="none"/>
              </w:rPr>
            </w:pPr>
            <w:r>
              <w:rPr>
                <w:rFonts w:hint="eastAsia" w:ascii="宋体"/>
                <w:kern w:val="0"/>
                <w:szCs w:val="21"/>
                <w:highlight w:val="none"/>
              </w:rPr>
              <w:t>营业执照编号</w:t>
            </w:r>
          </w:p>
        </w:tc>
        <w:tc>
          <w:tcPr>
            <w:tcW w:w="2160" w:type="dxa"/>
            <w:noWrap w:val="0"/>
            <w:vAlign w:val="center"/>
          </w:tcPr>
          <w:p w14:paraId="702A78DC">
            <w:pPr>
              <w:pageBreakBefore w:val="0"/>
              <w:kinsoku/>
              <w:wordWrap w:val="0"/>
              <w:overflowPunct/>
              <w:bidi w:val="0"/>
              <w:jc w:val="center"/>
              <w:rPr>
                <w:rFonts w:hint="eastAsia" w:ascii="宋体"/>
                <w:szCs w:val="21"/>
                <w:highlight w:val="none"/>
              </w:rPr>
            </w:pPr>
          </w:p>
        </w:tc>
        <w:tc>
          <w:tcPr>
            <w:tcW w:w="2160" w:type="dxa"/>
            <w:noWrap w:val="0"/>
            <w:vAlign w:val="center"/>
          </w:tcPr>
          <w:p w14:paraId="0FE0E92F">
            <w:pPr>
              <w:pageBreakBefore w:val="0"/>
              <w:kinsoku/>
              <w:wordWrap w:val="0"/>
              <w:overflowPunct/>
              <w:bidi w:val="0"/>
              <w:jc w:val="center"/>
              <w:rPr>
                <w:rFonts w:hint="eastAsia" w:ascii="宋体"/>
                <w:szCs w:val="21"/>
                <w:highlight w:val="none"/>
              </w:rPr>
            </w:pPr>
            <w:r>
              <w:rPr>
                <w:rFonts w:hint="eastAsia" w:ascii="宋体"/>
                <w:kern w:val="0"/>
                <w:szCs w:val="21"/>
                <w:highlight w:val="none"/>
              </w:rPr>
              <w:t>成立日期</w:t>
            </w:r>
          </w:p>
        </w:tc>
        <w:tc>
          <w:tcPr>
            <w:tcW w:w="3420" w:type="dxa"/>
            <w:noWrap w:val="0"/>
            <w:vAlign w:val="center"/>
          </w:tcPr>
          <w:p w14:paraId="100AB496">
            <w:pPr>
              <w:pageBreakBefore w:val="0"/>
              <w:kinsoku/>
              <w:wordWrap w:val="0"/>
              <w:overflowPunct/>
              <w:bidi w:val="0"/>
              <w:jc w:val="center"/>
              <w:rPr>
                <w:rFonts w:hint="eastAsia" w:ascii="宋体"/>
                <w:szCs w:val="21"/>
                <w:highlight w:val="none"/>
              </w:rPr>
            </w:pPr>
          </w:p>
        </w:tc>
      </w:tr>
      <w:tr w14:paraId="4B11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08" w:type="dxa"/>
            <w:noWrap w:val="0"/>
            <w:vAlign w:val="center"/>
          </w:tcPr>
          <w:p w14:paraId="0EE5406E">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主要业务</w:t>
            </w:r>
          </w:p>
        </w:tc>
        <w:tc>
          <w:tcPr>
            <w:tcW w:w="7740" w:type="dxa"/>
            <w:gridSpan w:val="3"/>
            <w:noWrap w:val="0"/>
            <w:vAlign w:val="center"/>
          </w:tcPr>
          <w:p w14:paraId="10A44AAC">
            <w:pPr>
              <w:pageBreakBefore w:val="0"/>
              <w:kinsoku/>
              <w:wordWrap w:val="0"/>
              <w:overflowPunct/>
              <w:bidi w:val="0"/>
              <w:jc w:val="center"/>
              <w:rPr>
                <w:rFonts w:hint="eastAsia" w:ascii="宋体"/>
                <w:szCs w:val="21"/>
                <w:highlight w:val="none"/>
              </w:rPr>
            </w:pPr>
          </w:p>
        </w:tc>
      </w:tr>
      <w:tr w14:paraId="659C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08" w:type="dxa"/>
            <w:noWrap w:val="0"/>
            <w:vAlign w:val="center"/>
          </w:tcPr>
          <w:p w14:paraId="4E8DDAB7">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行政负责人</w:t>
            </w:r>
          </w:p>
        </w:tc>
        <w:tc>
          <w:tcPr>
            <w:tcW w:w="7740" w:type="dxa"/>
            <w:gridSpan w:val="3"/>
            <w:noWrap w:val="0"/>
            <w:vAlign w:val="center"/>
          </w:tcPr>
          <w:p w14:paraId="6AB71291">
            <w:pPr>
              <w:pageBreakBefore w:val="0"/>
              <w:kinsoku/>
              <w:wordWrap w:val="0"/>
              <w:overflowPunct/>
              <w:bidi w:val="0"/>
              <w:rPr>
                <w:rFonts w:hint="eastAsia" w:ascii="宋体"/>
                <w:kern w:val="0"/>
                <w:szCs w:val="21"/>
                <w:highlight w:val="none"/>
              </w:rPr>
            </w:pPr>
            <w:r>
              <w:rPr>
                <w:rFonts w:hint="eastAsia" w:ascii="宋体"/>
                <w:kern w:val="0"/>
                <w:szCs w:val="21"/>
                <w:highlight w:val="none"/>
              </w:rPr>
              <w:t>1．姓名：          2.职务：         3.职称：</w:t>
            </w:r>
          </w:p>
        </w:tc>
      </w:tr>
      <w:tr w14:paraId="7E03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908" w:type="dxa"/>
            <w:noWrap w:val="0"/>
            <w:vAlign w:val="center"/>
          </w:tcPr>
          <w:p w14:paraId="26D223FE">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联系方式</w:t>
            </w:r>
          </w:p>
        </w:tc>
        <w:tc>
          <w:tcPr>
            <w:tcW w:w="7740" w:type="dxa"/>
            <w:gridSpan w:val="3"/>
            <w:noWrap w:val="0"/>
            <w:vAlign w:val="center"/>
          </w:tcPr>
          <w:p w14:paraId="2CE31C00">
            <w:pPr>
              <w:pageBreakBefore w:val="0"/>
              <w:kinsoku/>
              <w:wordWrap w:val="0"/>
              <w:overflowPunct/>
              <w:bidi w:val="0"/>
              <w:rPr>
                <w:rFonts w:hint="eastAsia" w:ascii="宋体"/>
                <w:kern w:val="0"/>
                <w:szCs w:val="21"/>
                <w:highlight w:val="none"/>
              </w:rPr>
            </w:pPr>
            <w:r>
              <w:rPr>
                <w:rFonts w:hint="eastAsia" w:ascii="宋体"/>
                <w:kern w:val="0"/>
                <w:szCs w:val="21"/>
                <w:highlight w:val="none"/>
              </w:rPr>
              <w:t>1．地址：          2. 邮编：         3. 电话：</w:t>
            </w:r>
          </w:p>
          <w:p w14:paraId="5484809E">
            <w:pPr>
              <w:pageBreakBefore w:val="0"/>
              <w:kinsoku/>
              <w:wordWrap w:val="0"/>
              <w:overflowPunct/>
              <w:bidi w:val="0"/>
              <w:rPr>
                <w:rFonts w:hint="eastAsia" w:ascii="宋体"/>
                <w:kern w:val="0"/>
                <w:szCs w:val="21"/>
                <w:highlight w:val="none"/>
              </w:rPr>
            </w:pPr>
          </w:p>
          <w:p w14:paraId="3A71AD15">
            <w:pPr>
              <w:pageBreakBefore w:val="0"/>
              <w:kinsoku/>
              <w:wordWrap w:val="0"/>
              <w:overflowPunct/>
              <w:bidi w:val="0"/>
              <w:rPr>
                <w:rFonts w:hint="eastAsia" w:ascii="宋体"/>
                <w:kern w:val="0"/>
                <w:szCs w:val="21"/>
                <w:highlight w:val="none"/>
              </w:rPr>
            </w:pPr>
            <w:r>
              <w:rPr>
                <w:rFonts w:hint="eastAsia" w:ascii="宋体"/>
                <w:kern w:val="0"/>
                <w:szCs w:val="21"/>
                <w:highlight w:val="none"/>
              </w:rPr>
              <w:t>4. 传真：          5. E-mail           6. 联系人：</w:t>
            </w:r>
          </w:p>
        </w:tc>
      </w:tr>
      <w:tr w14:paraId="0C27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08" w:type="dxa"/>
            <w:noWrap w:val="0"/>
            <w:vAlign w:val="center"/>
          </w:tcPr>
          <w:p w14:paraId="2D7E3ED8">
            <w:pPr>
              <w:pageBreakBefore w:val="0"/>
              <w:kinsoku/>
              <w:wordWrap w:val="0"/>
              <w:overflowPunct/>
              <w:bidi w:val="0"/>
              <w:jc w:val="center"/>
              <w:rPr>
                <w:rFonts w:hint="eastAsia" w:ascii="宋体"/>
                <w:kern w:val="0"/>
                <w:szCs w:val="21"/>
                <w:highlight w:val="none"/>
              </w:rPr>
            </w:pPr>
            <w:r>
              <w:rPr>
                <w:rFonts w:hint="eastAsia" w:ascii="宋体"/>
                <w:kern w:val="0"/>
                <w:szCs w:val="21"/>
                <w:highlight w:val="none"/>
              </w:rPr>
              <w:t>开户银行</w:t>
            </w:r>
          </w:p>
        </w:tc>
        <w:tc>
          <w:tcPr>
            <w:tcW w:w="7740" w:type="dxa"/>
            <w:gridSpan w:val="3"/>
            <w:noWrap w:val="0"/>
            <w:vAlign w:val="center"/>
          </w:tcPr>
          <w:p w14:paraId="5741A6C4">
            <w:pPr>
              <w:pageBreakBefore w:val="0"/>
              <w:kinsoku/>
              <w:wordWrap w:val="0"/>
              <w:overflowPunct/>
              <w:bidi w:val="0"/>
              <w:rPr>
                <w:rFonts w:hint="eastAsia" w:ascii="宋体" w:eastAsia="宋体"/>
                <w:kern w:val="0"/>
                <w:szCs w:val="21"/>
                <w:highlight w:val="none"/>
                <w:lang w:eastAsia="zh-CN"/>
              </w:rPr>
            </w:pPr>
            <w:r>
              <w:rPr>
                <w:rFonts w:hint="eastAsia" w:ascii="宋体"/>
                <w:kern w:val="0"/>
                <w:szCs w:val="21"/>
                <w:highlight w:val="none"/>
              </w:rPr>
              <w:t>1．户名：          2.开户行：        3.账号</w:t>
            </w:r>
            <w:r>
              <w:rPr>
                <w:rFonts w:hint="eastAsia" w:ascii="宋体"/>
                <w:kern w:val="0"/>
                <w:szCs w:val="21"/>
                <w:highlight w:val="none"/>
                <w:lang w:eastAsia="zh-CN"/>
              </w:rPr>
              <w:t>：</w:t>
            </w:r>
          </w:p>
        </w:tc>
      </w:tr>
    </w:tbl>
    <w:p w14:paraId="2E199687">
      <w:pPr>
        <w:pageBreakBefore w:val="0"/>
        <w:kinsoku/>
        <w:wordWrap w:val="0"/>
        <w:overflowPunct/>
        <w:bidi w:val="0"/>
        <w:spacing w:before="156" w:beforeLines="50" w:after="156" w:afterLines="50"/>
        <w:rPr>
          <w:rFonts w:hint="eastAsia" w:ascii="宋体"/>
          <w:b/>
          <w:bCs/>
          <w:kern w:val="0"/>
          <w:szCs w:val="21"/>
          <w:highlight w:val="none"/>
        </w:rPr>
      </w:pPr>
      <w:r>
        <w:rPr>
          <w:rFonts w:hint="eastAsia" w:ascii="宋体"/>
          <w:b/>
          <w:bCs/>
          <w:kern w:val="0"/>
          <w:szCs w:val="21"/>
          <w:highlight w:val="none"/>
        </w:rPr>
        <w:t>注：在本表后须附投标人营业执照（副本） 、开户许可证或基本存款账户信息的复印件等资料。</w:t>
      </w:r>
    </w:p>
    <w:p w14:paraId="482AFF6F">
      <w:pPr>
        <w:pageBreakBefore w:val="0"/>
        <w:kinsoku/>
        <w:wordWrap w:val="0"/>
        <w:overflowPunct/>
        <w:bidi w:val="0"/>
        <w:spacing w:before="156" w:beforeLines="50" w:after="156" w:afterLines="50"/>
        <w:rPr>
          <w:rFonts w:hint="eastAsia" w:ascii="宋体"/>
          <w:kern w:val="0"/>
          <w:szCs w:val="21"/>
          <w:highlight w:val="none"/>
        </w:rPr>
      </w:pPr>
    </w:p>
    <w:p w14:paraId="01DC4855">
      <w:pPr>
        <w:pageBreakBefore w:val="0"/>
        <w:kinsoku/>
        <w:wordWrap w:val="0"/>
        <w:overflowPunct/>
        <w:bidi w:val="0"/>
        <w:spacing w:before="156" w:beforeLines="50" w:after="156" w:afterLines="50"/>
        <w:rPr>
          <w:rFonts w:hint="eastAsia" w:ascii="宋体"/>
          <w:kern w:val="0"/>
          <w:szCs w:val="21"/>
          <w:highlight w:val="none"/>
        </w:rPr>
      </w:pPr>
    </w:p>
    <w:p w14:paraId="54FD30B9">
      <w:pPr>
        <w:pageBreakBefore w:val="0"/>
        <w:kinsoku/>
        <w:wordWrap w:val="0"/>
        <w:overflowPunct/>
        <w:bidi w:val="0"/>
        <w:spacing w:before="156" w:beforeLines="50" w:after="156" w:afterLines="50"/>
        <w:rPr>
          <w:rFonts w:hint="eastAsia" w:ascii="宋体"/>
          <w:kern w:val="0"/>
          <w:szCs w:val="21"/>
          <w:highlight w:val="none"/>
        </w:rPr>
      </w:pPr>
    </w:p>
    <w:p w14:paraId="2BE89CB5">
      <w:pPr>
        <w:pageBreakBefore w:val="0"/>
        <w:kinsoku/>
        <w:wordWrap w:val="0"/>
        <w:overflowPunct/>
        <w:bidi w:val="0"/>
        <w:spacing w:before="156" w:beforeLines="50" w:after="156" w:afterLines="50"/>
        <w:rPr>
          <w:rFonts w:hint="eastAsia" w:ascii="宋体"/>
          <w:kern w:val="0"/>
          <w:szCs w:val="21"/>
          <w:highlight w:val="none"/>
        </w:rPr>
      </w:pPr>
    </w:p>
    <w:p w14:paraId="3D315B46">
      <w:pPr>
        <w:pageBreakBefore w:val="0"/>
        <w:kinsoku/>
        <w:wordWrap w:val="0"/>
        <w:overflowPunct/>
        <w:bidi w:val="0"/>
        <w:ind w:right="-2642" w:rightChars="-1258"/>
        <w:jc w:val="both"/>
        <w:rPr>
          <w:rFonts w:hint="eastAsia" w:ascii="宋体" w:hAnsi="Times New Roman" w:eastAsia="宋体" w:cs="Times New Roman"/>
          <w:b/>
          <w:bCs/>
          <w:kern w:val="0"/>
          <w:szCs w:val="21"/>
          <w:highlight w:val="none"/>
          <w:lang w:val="en-US" w:eastAsia="zh-CN"/>
        </w:rPr>
      </w:pPr>
      <w:r>
        <w:rPr>
          <w:rFonts w:hint="eastAsia" w:ascii="宋体"/>
          <w:kern w:val="0"/>
          <w:szCs w:val="21"/>
          <w:highlight w:val="none"/>
        </w:rPr>
        <w:br w:type="page"/>
      </w:r>
      <w:r>
        <w:rPr>
          <w:rFonts w:hint="eastAsia" w:ascii="宋体"/>
          <w:kern w:val="0"/>
          <w:szCs w:val="21"/>
          <w:highlight w:val="none"/>
          <w:lang w:val="en-US" w:eastAsia="zh-CN"/>
        </w:rPr>
        <w:t xml:space="preserve">                                </w:t>
      </w:r>
      <w:r>
        <w:rPr>
          <w:rFonts w:hint="eastAsia" w:ascii="宋体"/>
          <w:b/>
          <w:bCs/>
          <w:kern w:val="0"/>
          <w:sz w:val="28"/>
          <w:szCs w:val="28"/>
          <w:highlight w:val="none"/>
        </w:rPr>
        <w:t>(</w:t>
      </w:r>
      <w:r>
        <w:rPr>
          <w:rFonts w:hint="eastAsia" w:ascii="宋体"/>
          <w:b/>
          <w:bCs/>
          <w:kern w:val="0"/>
          <w:sz w:val="28"/>
          <w:szCs w:val="28"/>
          <w:highlight w:val="none"/>
          <w:lang w:val="en-US" w:eastAsia="zh-CN"/>
        </w:rPr>
        <w:t>二</w:t>
      </w:r>
      <w:r>
        <w:rPr>
          <w:rFonts w:hint="eastAsia" w:ascii="宋体"/>
          <w:b/>
          <w:bCs/>
          <w:kern w:val="0"/>
          <w:sz w:val="28"/>
          <w:szCs w:val="28"/>
          <w:highlight w:val="none"/>
        </w:rPr>
        <w:t>)</w:t>
      </w:r>
      <w:r>
        <w:rPr>
          <w:rFonts w:hint="eastAsia" w:ascii="宋体"/>
          <w:b/>
          <w:bCs/>
          <w:kern w:val="0"/>
          <w:szCs w:val="21"/>
          <w:highlight w:val="none"/>
          <w:lang w:val="en-US" w:eastAsia="zh-CN"/>
        </w:rPr>
        <w:t xml:space="preserve"> </w:t>
      </w:r>
      <w:r>
        <w:rPr>
          <w:rFonts w:hint="eastAsia" w:ascii="宋体"/>
          <w:b/>
          <w:bCs/>
          <w:kern w:val="0"/>
          <w:sz w:val="28"/>
          <w:szCs w:val="28"/>
          <w:highlight w:val="none"/>
          <w:lang w:val="en-US" w:eastAsia="zh-CN"/>
        </w:rPr>
        <w:t xml:space="preserve"> </w:t>
      </w:r>
      <w:r>
        <w:rPr>
          <w:rFonts w:hint="eastAsia" w:ascii="宋体" w:hAnsi="Times New Roman" w:eastAsia="宋体" w:cs="Times New Roman"/>
          <w:b/>
          <w:bCs/>
          <w:kern w:val="0"/>
          <w:sz w:val="28"/>
          <w:szCs w:val="28"/>
          <w:highlight w:val="none"/>
          <w:lang w:val="en-US" w:eastAsia="zh-CN"/>
        </w:rPr>
        <w:t>报价单</w:t>
      </w:r>
    </w:p>
    <w:tbl>
      <w:tblPr>
        <w:tblStyle w:val="16"/>
        <w:tblW w:w="5442" w:type="pct"/>
        <w:tblInd w:w="0" w:type="dxa"/>
        <w:tblLayout w:type="autofit"/>
        <w:tblCellMar>
          <w:top w:w="15" w:type="dxa"/>
          <w:left w:w="15" w:type="dxa"/>
          <w:bottom w:w="15" w:type="dxa"/>
          <w:right w:w="15" w:type="dxa"/>
        </w:tblCellMar>
      </w:tblPr>
      <w:tblGrid>
        <w:gridCol w:w="1225"/>
        <w:gridCol w:w="979"/>
        <w:gridCol w:w="481"/>
        <w:gridCol w:w="979"/>
        <w:gridCol w:w="481"/>
        <w:gridCol w:w="979"/>
        <w:gridCol w:w="1868"/>
        <w:gridCol w:w="481"/>
        <w:gridCol w:w="481"/>
        <w:gridCol w:w="819"/>
        <w:gridCol w:w="761"/>
      </w:tblGrid>
      <w:tr w14:paraId="1C34F0CB">
        <w:tblPrEx>
          <w:tblCellMar>
            <w:top w:w="15" w:type="dxa"/>
            <w:left w:w="15" w:type="dxa"/>
            <w:bottom w:w="15" w:type="dxa"/>
            <w:right w:w="15" w:type="dxa"/>
          </w:tblCellMar>
        </w:tblPrEx>
        <w:trPr>
          <w:trHeight w:val="1039" w:hRule="atLeast"/>
        </w:trPr>
        <w:tc>
          <w:tcPr>
            <w:tcW w:w="1225" w:type="dxa"/>
            <w:tcBorders>
              <w:top w:val="single" w:color="000000" w:sz="4" w:space="0"/>
              <w:left w:val="single" w:color="000000" w:sz="4" w:space="0"/>
              <w:bottom w:val="single" w:color="000000" w:sz="4" w:space="0"/>
              <w:right w:val="single" w:color="000000" w:sz="4" w:space="0"/>
            </w:tcBorders>
            <w:noWrap w:val="0"/>
            <w:vAlign w:val="center"/>
          </w:tcPr>
          <w:p w14:paraId="3EEB54F7">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序号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1F647A9">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货物名称</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0D426274">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 xml:space="preserve">品牌 </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CFCCB26">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规格</w:t>
            </w:r>
            <w:r>
              <w:rPr>
                <w:rFonts w:hint="eastAsia" w:ascii="宋体" w:hAnsi="宋体" w:eastAsia="宋体" w:cs="宋体"/>
                <w:b w:val="0"/>
                <w:bCs w:val="0"/>
                <w:kern w:val="0"/>
                <w:sz w:val="21"/>
                <w:szCs w:val="21"/>
                <w:lang w:bidi="ar"/>
              </w:rPr>
              <w:t>型号</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6584F83">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产地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7EE87">
            <w:pPr>
              <w:pageBreakBefore w:val="0"/>
              <w:widowControl/>
              <w:kinsoku/>
              <w:wordWrap w:val="0"/>
              <w:overflowPunct/>
              <w:bidi w:val="0"/>
              <w:jc w:val="center"/>
              <w:textAlignment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生产厂家</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543FA589">
            <w:pPr>
              <w:pageBreakBefore w:val="0"/>
              <w:widowControl/>
              <w:kinsoku/>
              <w:wordWrap w:val="0"/>
              <w:overflowPunct/>
              <w:bidi w:val="0"/>
              <w:jc w:val="center"/>
              <w:textAlignment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参数</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725A3EC">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单位</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5F7DD3CF">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数量</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44D6FBC">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bidi="ar"/>
              </w:rPr>
              <w:t>单价（元）</w:t>
            </w:r>
          </w:p>
        </w:tc>
        <w:tc>
          <w:tcPr>
            <w:tcW w:w="761" w:type="dxa"/>
            <w:tcBorders>
              <w:top w:val="single" w:color="000000" w:sz="4" w:space="0"/>
              <w:left w:val="single" w:color="000000" w:sz="4" w:space="0"/>
              <w:bottom w:val="single" w:color="000000" w:sz="4" w:space="0"/>
              <w:right w:val="single" w:color="000000" w:sz="4" w:space="0"/>
            </w:tcBorders>
            <w:noWrap w:val="0"/>
            <w:vAlign w:val="center"/>
          </w:tcPr>
          <w:p w14:paraId="79A3D11A">
            <w:pPr>
              <w:pageBreakBefore w:val="0"/>
              <w:widowControl/>
              <w:kinsoku/>
              <w:wordWrap w:val="0"/>
              <w:overflowPunct/>
              <w:bidi w:val="0"/>
              <w:jc w:val="center"/>
              <w:textAlignment w:val="center"/>
              <w:rPr>
                <w:rFonts w:hint="eastAsia" w:ascii="宋体" w:hAnsi="宋体" w:eastAsia="宋体" w:cs="宋体"/>
                <w:b w:val="0"/>
                <w:bCs w:val="0"/>
                <w:sz w:val="21"/>
                <w:szCs w:val="21"/>
              </w:rPr>
            </w:pPr>
            <w:r>
              <w:rPr>
                <w:rFonts w:hint="eastAsia" w:ascii="宋体" w:hAnsi="宋体" w:cs="宋体"/>
                <w:b w:val="0"/>
                <w:bCs w:val="0"/>
                <w:kern w:val="0"/>
                <w:sz w:val="21"/>
                <w:szCs w:val="21"/>
                <w:lang w:val="en-US" w:eastAsia="zh-CN" w:bidi="ar"/>
              </w:rPr>
              <w:t>小</w:t>
            </w:r>
            <w:r>
              <w:rPr>
                <w:rFonts w:hint="eastAsia" w:ascii="宋体" w:hAnsi="宋体" w:eastAsia="宋体" w:cs="宋体"/>
                <w:b w:val="0"/>
                <w:bCs w:val="0"/>
                <w:kern w:val="0"/>
                <w:sz w:val="21"/>
                <w:szCs w:val="21"/>
                <w:lang w:bidi="ar"/>
              </w:rPr>
              <w:t>计（元）</w:t>
            </w:r>
          </w:p>
        </w:tc>
      </w:tr>
      <w:tr w14:paraId="1B830C66">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1D8914ED">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315F93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2A9974D">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09B49BC">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9D71731">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94D1AA2">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2D265C64">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6EC2A6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C2BBC2F">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31088F65">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2B0F9FF7">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6357816D">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525ADEF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59E737B">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392B857F">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6173A9">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BF55302">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0B308C2A">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738706AC">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6AF9F58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2F05318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56BDB8D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43BAE9B">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30BB6731">
        <w:tblPrEx>
          <w:tblCellMar>
            <w:top w:w="15" w:type="dxa"/>
            <w:left w:w="15" w:type="dxa"/>
            <w:bottom w:w="15" w:type="dxa"/>
            <w:right w:w="15" w:type="dxa"/>
          </w:tblCellMar>
        </w:tblPrEx>
        <w:trPr>
          <w:trHeight w:val="950"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7BEB0325">
            <w:pPr>
              <w:pageBreakBefore w:val="0"/>
              <w:widowControl/>
              <w:kinsoku/>
              <w:wordWrap w:val="0"/>
              <w:overflowPunct/>
              <w:bidi w:val="0"/>
              <w:jc w:val="center"/>
              <w:textAlignment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1CBADC5">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AF06B0F">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264F580B">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88AAED5">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172E859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2E828F10">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5FB3C7F7">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76452981">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746A61C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1D361E59">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r w14:paraId="7F1EB417">
        <w:tblPrEx>
          <w:tblCellMar>
            <w:top w:w="15" w:type="dxa"/>
            <w:left w:w="15" w:type="dxa"/>
            <w:bottom w:w="15" w:type="dxa"/>
            <w:right w:w="15" w:type="dxa"/>
          </w:tblCellMar>
        </w:tblPrEx>
        <w:trPr>
          <w:trHeight w:val="975" w:hRule="atLeast"/>
        </w:trPr>
        <w:tc>
          <w:tcPr>
            <w:tcW w:w="642" w:type="pct"/>
            <w:tcBorders>
              <w:top w:val="single" w:color="000000" w:sz="4" w:space="0"/>
              <w:left w:val="single" w:color="000000" w:sz="4" w:space="0"/>
              <w:bottom w:val="single" w:color="000000" w:sz="4" w:space="0"/>
              <w:right w:val="single" w:color="000000" w:sz="4" w:space="0"/>
            </w:tcBorders>
            <w:noWrap w:val="0"/>
            <w:vAlign w:val="center"/>
          </w:tcPr>
          <w:p w14:paraId="3BD9DE96">
            <w:pPr>
              <w:pageBreakBefore w:val="0"/>
              <w:widowControl/>
              <w:kinsoku/>
              <w:wordWrap w:val="0"/>
              <w:overflowPunct/>
              <w:bidi w:val="0"/>
              <w:jc w:val="center"/>
              <w:textAlignment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合计（元）</w:t>
            </w: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6E452A4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1AD3244">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4131A370">
            <w:pPr>
              <w:pageBreakBefore w:val="0"/>
              <w:widowControl/>
              <w:kinsoku/>
              <w:wordWrap w:val="0"/>
              <w:overflowPunct/>
              <w:bidi w:val="0"/>
              <w:jc w:val="center"/>
              <w:textAlignment w:val="center"/>
              <w:rPr>
                <w:rFonts w:hint="eastAsia" w:ascii="宋体" w:hAnsi="宋体" w:eastAsia="宋体" w:cs="宋体"/>
                <w:b w:val="0"/>
                <w:bCs w:val="0"/>
                <w:sz w:val="21"/>
                <w:szCs w:val="21"/>
                <w:u w:val="dotted"/>
                <w:lang w:val="en-US" w:eastAsia="zh-CN"/>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1903C06B">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513" w:type="pct"/>
            <w:tcBorders>
              <w:top w:val="single" w:color="000000" w:sz="4" w:space="0"/>
              <w:left w:val="single" w:color="000000" w:sz="4" w:space="0"/>
              <w:bottom w:val="single" w:color="000000" w:sz="4" w:space="0"/>
              <w:right w:val="single" w:color="000000" w:sz="4" w:space="0"/>
            </w:tcBorders>
            <w:noWrap w:val="0"/>
            <w:vAlign w:val="center"/>
          </w:tcPr>
          <w:p w14:paraId="7DAD66D7">
            <w:pPr>
              <w:pageBreakBefore w:val="0"/>
              <w:widowControl/>
              <w:kinsoku/>
              <w:wordWrap w:val="0"/>
              <w:overflowPunct/>
              <w:bidi w:val="0"/>
              <w:jc w:val="center"/>
              <w:textAlignment w:val="center"/>
              <w:rPr>
                <w:rFonts w:hint="eastAsia" w:ascii="宋体" w:hAnsi="宋体" w:eastAsia="宋体" w:cs="宋体"/>
                <w:b w:val="0"/>
                <w:bCs w:val="0"/>
                <w:sz w:val="21"/>
                <w:szCs w:val="21"/>
                <w:lang w:val="en-US" w:eastAsia="zh-CN"/>
              </w:rPr>
            </w:pPr>
          </w:p>
        </w:tc>
        <w:tc>
          <w:tcPr>
            <w:tcW w:w="979" w:type="pct"/>
            <w:tcBorders>
              <w:top w:val="single" w:color="000000" w:sz="4" w:space="0"/>
              <w:left w:val="single" w:color="000000" w:sz="4" w:space="0"/>
              <w:bottom w:val="single" w:color="000000" w:sz="4" w:space="0"/>
              <w:right w:val="single" w:color="000000" w:sz="4" w:space="0"/>
            </w:tcBorders>
            <w:noWrap w:val="0"/>
            <w:vAlign w:val="center"/>
          </w:tcPr>
          <w:p w14:paraId="75B3B0DD">
            <w:pPr>
              <w:pageBreakBefore w:val="0"/>
              <w:widowControl/>
              <w:kinsoku/>
              <w:wordWrap w:val="0"/>
              <w:overflowPunct/>
              <w:bidi w:val="0"/>
              <w:jc w:val="left"/>
              <w:textAlignment w:val="center"/>
              <w:rPr>
                <w:rFonts w:hint="eastAsia" w:ascii="宋体" w:hAnsi="宋体" w:eastAsia="宋体" w:cs="宋体"/>
                <w:b w:val="0"/>
                <w:bCs w:val="0"/>
                <w:color w:val="000000"/>
                <w:sz w:val="21"/>
                <w:szCs w:val="21"/>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453B1B88">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14:paraId="05871BCC">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429" w:type="pct"/>
            <w:tcBorders>
              <w:top w:val="single" w:color="000000" w:sz="4" w:space="0"/>
              <w:left w:val="single" w:color="000000" w:sz="4" w:space="0"/>
              <w:bottom w:val="single" w:color="000000" w:sz="4" w:space="0"/>
              <w:right w:val="single" w:color="000000" w:sz="4" w:space="0"/>
            </w:tcBorders>
            <w:noWrap w:val="0"/>
            <w:vAlign w:val="center"/>
          </w:tcPr>
          <w:p w14:paraId="676F62C9">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14:paraId="22EE084B">
            <w:pPr>
              <w:pageBreakBefore w:val="0"/>
              <w:widowControl/>
              <w:kinsoku/>
              <w:wordWrap w:val="0"/>
              <w:overflowPunct/>
              <w:bidi w:val="0"/>
              <w:jc w:val="center"/>
              <w:textAlignment w:val="center"/>
              <w:rPr>
                <w:rFonts w:hint="eastAsia" w:ascii="宋体" w:hAnsi="宋体" w:eastAsia="宋体" w:cs="宋体"/>
                <w:b w:val="0"/>
                <w:bCs w:val="0"/>
                <w:kern w:val="2"/>
                <w:sz w:val="21"/>
                <w:szCs w:val="21"/>
                <w:lang w:val="en-US" w:eastAsia="zh-CN" w:bidi="ar-SA"/>
              </w:rPr>
            </w:pPr>
          </w:p>
        </w:tc>
      </w:tr>
    </w:tbl>
    <w:p w14:paraId="4D09BA67">
      <w:pPr>
        <w:pStyle w:val="29"/>
        <w:pageBreakBefore w:val="0"/>
        <w:numPr>
          <w:ilvl w:val="0"/>
          <w:numId w:val="0"/>
        </w:numPr>
        <w:kinsoku/>
        <w:wordWrap w:val="0"/>
        <w:overflowPunct/>
        <w:bidi w:val="0"/>
        <w:rPr>
          <w:rFonts w:hint="eastAsia" w:hAnsi="宋体" w:eastAsia="宋体"/>
          <w:szCs w:val="24"/>
          <w:highlight w:val="none"/>
          <w:lang w:val="en-US" w:eastAsia="zh-CN"/>
        </w:rPr>
      </w:pPr>
    </w:p>
    <w:p w14:paraId="03940CCB">
      <w:pPr>
        <w:pageBreakBefore w:val="0"/>
        <w:kinsoku/>
        <w:wordWrap w:val="0"/>
        <w:overflowPunct/>
        <w:bidi w:val="0"/>
        <w:spacing w:before="156" w:beforeLines="50" w:after="156" w:afterLines="50"/>
        <w:rPr>
          <w:rFonts w:hint="eastAsia" w:ascii="宋体" w:eastAsia="宋体"/>
          <w:b/>
          <w:bCs/>
          <w:kern w:val="0"/>
          <w:szCs w:val="21"/>
          <w:highlight w:val="none"/>
          <w:lang w:eastAsia="zh-CN"/>
        </w:rPr>
      </w:pPr>
      <w:r>
        <w:rPr>
          <w:rFonts w:hint="eastAsia" w:ascii="宋体"/>
          <w:b/>
          <w:bCs/>
          <w:kern w:val="0"/>
          <w:szCs w:val="21"/>
          <w:highlight w:val="none"/>
        </w:rPr>
        <w:t>注：供应商按此清单出报价单，清单中各项必须填写完整，不能以空格、斜杠等其它形式代替</w:t>
      </w:r>
      <w:r>
        <w:rPr>
          <w:rFonts w:hint="eastAsia" w:ascii="宋体"/>
          <w:b/>
          <w:bCs/>
          <w:kern w:val="0"/>
          <w:szCs w:val="21"/>
          <w:highlight w:val="none"/>
          <w:lang w:eastAsia="zh-CN"/>
        </w:rPr>
        <w:t>。</w:t>
      </w:r>
    </w:p>
    <w:p w14:paraId="5795CD8A">
      <w:pPr>
        <w:pageBreakBefore w:val="0"/>
        <w:kinsoku/>
        <w:wordWrap w:val="0"/>
        <w:overflowPunct/>
        <w:bidi w:val="0"/>
        <w:spacing w:before="156" w:beforeLines="50" w:after="156" w:afterLines="50"/>
        <w:rPr>
          <w:rFonts w:hint="eastAsia" w:ascii="宋体"/>
          <w:kern w:val="0"/>
          <w:szCs w:val="21"/>
          <w:highlight w:val="none"/>
        </w:rPr>
      </w:pPr>
    </w:p>
    <w:p w14:paraId="7255146B">
      <w:pPr>
        <w:pageBreakBefore w:val="0"/>
        <w:kinsoku/>
        <w:wordWrap w:val="0"/>
        <w:overflowPunct/>
        <w:bidi w:val="0"/>
        <w:spacing w:before="156" w:beforeLines="50" w:after="156" w:afterLines="50"/>
        <w:rPr>
          <w:rFonts w:hint="eastAsia" w:ascii="宋体"/>
          <w:kern w:val="0"/>
          <w:szCs w:val="21"/>
          <w:highlight w:val="none"/>
        </w:rPr>
      </w:pPr>
    </w:p>
    <w:p w14:paraId="2F691782">
      <w:pPr>
        <w:pageBreakBefore w:val="0"/>
        <w:kinsoku/>
        <w:wordWrap w:val="0"/>
        <w:overflowPunct/>
        <w:bidi w:val="0"/>
        <w:spacing w:before="156" w:beforeLines="50" w:after="156" w:afterLines="50"/>
        <w:rPr>
          <w:rFonts w:hint="eastAsia" w:ascii="宋体"/>
          <w:kern w:val="0"/>
          <w:szCs w:val="21"/>
          <w:highlight w:val="none"/>
        </w:rPr>
      </w:pPr>
    </w:p>
    <w:p w14:paraId="079B2A3F">
      <w:pPr>
        <w:pageBreakBefore w:val="0"/>
        <w:kinsoku/>
        <w:wordWrap w:val="0"/>
        <w:overflowPunct/>
        <w:bidi w:val="0"/>
        <w:jc w:val="center"/>
        <w:rPr>
          <w:rFonts w:hint="eastAsia" w:ascii="宋体"/>
          <w:kern w:val="0"/>
          <w:sz w:val="28"/>
          <w:szCs w:val="28"/>
          <w:highlight w:val="none"/>
        </w:rPr>
      </w:pPr>
      <w:r>
        <w:rPr>
          <w:rFonts w:hint="eastAsia" w:ascii="宋体"/>
          <w:kern w:val="0"/>
          <w:szCs w:val="21"/>
          <w:highlight w:val="none"/>
        </w:rPr>
        <w:br w:type="page"/>
      </w:r>
      <w:r>
        <w:rPr>
          <w:rFonts w:hint="eastAsia" w:ascii="宋体"/>
          <w:kern w:val="0"/>
          <w:sz w:val="28"/>
          <w:szCs w:val="28"/>
          <w:highlight w:val="none"/>
        </w:rPr>
        <w:t xml:space="preserve"> </w:t>
      </w:r>
      <w:r>
        <w:rPr>
          <w:rFonts w:hint="eastAsia" w:ascii="宋体"/>
          <w:b/>
          <w:bCs/>
          <w:kern w:val="0"/>
          <w:sz w:val="28"/>
          <w:szCs w:val="28"/>
          <w:highlight w:val="none"/>
        </w:rPr>
        <w:t>(三)其他资料表</w:t>
      </w:r>
    </w:p>
    <w:p w14:paraId="2BC9AD06">
      <w:pPr>
        <w:pageBreakBefore w:val="0"/>
        <w:kinsoku/>
        <w:wordWrap w:val="0"/>
        <w:overflowPunct/>
        <w:bidi w:val="0"/>
        <w:ind w:left="960" w:hanging="960" w:hangingChars="400"/>
        <w:jc w:val="center"/>
        <w:rPr>
          <w:rFonts w:hint="eastAsia" w:ascii="宋体"/>
          <w:sz w:val="24"/>
          <w:highlight w:val="none"/>
        </w:rPr>
      </w:pPr>
    </w:p>
    <w:p w14:paraId="04B4C910">
      <w:pPr>
        <w:pageBreakBefore w:val="0"/>
        <w:kinsoku/>
        <w:wordWrap w:val="0"/>
        <w:overflowPunct/>
        <w:bidi w:val="0"/>
        <w:jc w:val="both"/>
        <w:rPr>
          <w:rFonts w:hint="eastAsia" w:ascii="宋体"/>
          <w:sz w:val="24"/>
          <w:highlight w:val="none"/>
        </w:rPr>
      </w:pPr>
    </w:p>
    <w:p w14:paraId="74A11645">
      <w:pPr>
        <w:pageBreakBefore w:val="0"/>
        <w:kinsoku/>
        <w:wordWrap w:val="0"/>
        <w:overflowPunct/>
        <w:bidi w:val="0"/>
        <w:ind w:left="840" w:hanging="840" w:hangingChars="400"/>
        <w:rPr>
          <w:rFonts w:hint="eastAsia" w:ascii="宋体"/>
          <w:szCs w:val="21"/>
          <w:highlight w:val="none"/>
        </w:rPr>
      </w:pPr>
      <w:r>
        <w:rPr>
          <w:rFonts w:hint="eastAsia" w:ascii="宋体"/>
          <w:szCs w:val="21"/>
          <w:highlight w:val="none"/>
        </w:rPr>
        <w:t>投标人：</w:t>
      </w:r>
      <w:r>
        <w:rPr>
          <w:rFonts w:hint="eastAsia" w:ascii="宋体"/>
          <w:szCs w:val="21"/>
          <w:highlight w:val="none"/>
          <w:u w:val="single"/>
        </w:rPr>
        <w:t xml:space="preserve">                            </w:t>
      </w:r>
    </w:p>
    <w:tbl>
      <w:tblPr>
        <w:tblStyle w:val="16"/>
        <w:tblW w:w="9030"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5231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8" w:hRule="atLeast"/>
        </w:trPr>
        <w:tc>
          <w:tcPr>
            <w:tcW w:w="9030" w:type="dxa"/>
            <w:noWrap w:val="0"/>
            <w:vAlign w:val="top"/>
          </w:tcPr>
          <w:p w14:paraId="63D6E476">
            <w:pPr>
              <w:pageBreakBefore w:val="0"/>
              <w:kinsoku/>
              <w:wordWrap w:val="0"/>
              <w:overflowPunct/>
              <w:bidi w:val="0"/>
              <w:rPr>
                <w:rFonts w:hint="eastAsia" w:ascii="宋体"/>
                <w:szCs w:val="21"/>
                <w:highlight w:val="none"/>
              </w:rPr>
            </w:pPr>
          </w:p>
          <w:p w14:paraId="7B1C3C0D">
            <w:pPr>
              <w:pageBreakBefore w:val="0"/>
              <w:kinsoku/>
              <w:wordWrap w:val="0"/>
              <w:overflowPunct/>
              <w:bidi w:val="0"/>
              <w:rPr>
                <w:rFonts w:hint="eastAsia" w:ascii="宋体"/>
                <w:szCs w:val="21"/>
                <w:highlight w:val="none"/>
              </w:rPr>
            </w:pPr>
          </w:p>
          <w:p w14:paraId="683EF8BB">
            <w:pPr>
              <w:pageBreakBefore w:val="0"/>
              <w:kinsoku/>
              <w:wordWrap w:val="0"/>
              <w:overflowPunct/>
              <w:bidi w:val="0"/>
              <w:ind w:firstLine="420" w:firstLineChars="200"/>
              <w:rPr>
                <w:rFonts w:hint="eastAsia" w:ascii="宋体"/>
                <w:szCs w:val="21"/>
                <w:highlight w:val="none"/>
              </w:rPr>
            </w:pPr>
          </w:p>
        </w:tc>
      </w:tr>
    </w:tbl>
    <w:p w14:paraId="17DB4488">
      <w:pPr>
        <w:pageBreakBefore w:val="0"/>
        <w:kinsoku/>
        <w:wordWrap w:val="0"/>
        <w:overflowPunct/>
        <w:bidi w:val="0"/>
        <w:ind w:left="1120" w:hanging="1120" w:hangingChars="400"/>
        <w:jc w:val="center"/>
        <w:rPr>
          <w:rFonts w:hint="eastAsia" w:ascii="宋体"/>
          <w:kern w:val="0"/>
          <w:sz w:val="28"/>
          <w:szCs w:val="28"/>
          <w:highlight w:val="none"/>
        </w:rPr>
      </w:pPr>
    </w:p>
    <w:p w14:paraId="14C4976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r>
        <w:rPr>
          <w:rFonts w:hint="eastAsia" w:ascii="宋体"/>
          <w:kern w:val="0"/>
          <w:sz w:val="28"/>
          <w:szCs w:val="28"/>
          <w:highlight w:val="none"/>
        </w:rPr>
        <w:br w:type="page"/>
      </w:r>
      <w:r>
        <w:rPr>
          <w:rFonts w:hint="eastAsia" w:ascii="宋体"/>
          <w:b/>
          <w:bCs/>
          <w:kern w:val="0"/>
          <w:sz w:val="28"/>
          <w:szCs w:val="28"/>
          <w:highlight w:val="none"/>
        </w:rPr>
        <w:t>（四）财务状况</w:t>
      </w:r>
    </w:p>
    <w:p w14:paraId="55DB57F9">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1C842130">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2486BAF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620E0492">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5C08A8D8">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235F7067">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rPr>
      </w:pPr>
    </w:p>
    <w:p w14:paraId="403ABBA3">
      <w:pPr>
        <w:pageBreakBefore w:val="0"/>
        <w:kinsoku/>
        <w:wordWrap w:val="0"/>
        <w:overflowPunct/>
        <w:autoSpaceDE w:val="0"/>
        <w:autoSpaceDN w:val="0"/>
        <w:bidi w:val="0"/>
        <w:adjustRightInd w:val="0"/>
        <w:spacing w:line="360" w:lineRule="auto"/>
        <w:ind w:firstLine="570"/>
        <w:jc w:val="center"/>
        <w:rPr>
          <w:rFonts w:hint="eastAsia" w:ascii="宋体"/>
          <w:b/>
          <w:bCs/>
          <w:kern w:val="0"/>
          <w:sz w:val="28"/>
          <w:szCs w:val="28"/>
          <w:highlight w:val="none"/>
          <w:lang w:val="zh-CN"/>
        </w:rPr>
        <w:sectPr>
          <w:headerReference r:id="rId18" w:type="default"/>
          <w:footerReference r:id="rId19" w:type="default"/>
          <w:pgSz w:w="11906" w:h="16838"/>
          <w:pgMar w:top="1644" w:right="1588" w:bottom="1644" w:left="1588" w:header="851" w:footer="992" w:gutter="0"/>
          <w:cols w:space="720" w:num="1"/>
          <w:docGrid w:type="lines" w:linePitch="312" w:charSpace="0"/>
        </w:sectPr>
      </w:pPr>
    </w:p>
    <w:p w14:paraId="023247F7">
      <w:pPr>
        <w:pageBreakBefore w:val="0"/>
        <w:kinsoku/>
        <w:wordWrap w:val="0"/>
        <w:overflowPunct/>
        <w:autoSpaceDE w:val="0"/>
        <w:autoSpaceDN w:val="0"/>
        <w:bidi w:val="0"/>
        <w:adjustRightInd w:val="0"/>
        <w:spacing w:line="360" w:lineRule="auto"/>
        <w:ind w:firstLine="570"/>
        <w:jc w:val="center"/>
        <w:rPr>
          <w:rFonts w:hint="eastAsia" w:ascii="宋体" w:hAnsi="Times New Roman" w:eastAsia="宋体" w:cs="宋体"/>
          <w:b/>
          <w:kern w:val="0"/>
          <w:szCs w:val="21"/>
          <w:highlight w:val="none"/>
          <w:lang w:val="zh-CN"/>
        </w:rPr>
      </w:pPr>
      <w:r>
        <w:rPr>
          <w:rFonts w:hint="eastAsia" w:ascii="宋体"/>
          <w:b/>
          <w:bCs/>
          <w:kern w:val="0"/>
          <w:sz w:val="28"/>
          <w:szCs w:val="28"/>
          <w:highlight w:val="none"/>
        </w:rPr>
        <w:t>（五）依法缴纳税收和社会保障资金的良好记录</w:t>
      </w:r>
    </w:p>
    <w:p w14:paraId="7A19CAD0">
      <w:pPr>
        <w:pageBreakBefore w:val="0"/>
        <w:kinsoku/>
        <w:wordWrap w:val="0"/>
        <w:overflowPunct/>
        <w:bidi w:val="0"/>
        <w:spacing w:before="156" w:beforeLines="50" w:after="156" w:afterLines="50"/>
        <w:jc w:val="center"/>
        <w:rPr>
          <w:rFonts w:hint="eastAsia" w:ascii="宋体" w:cs="宋体-18030"/>
          <w:sz w:val="24"/>
          <w:highlight w:val="none"/>
          <w:lang w:val="zh-CN"/>
        </w:rPr>
        <w:sectPr>
          <w:headerReference r:id="rId20" w:type="default"/>
          <w:footerReference r:id="rId21" w:type="default"/>
          <w:pgSz w:w="11906" w:h="16838"/>
          <w:pgMar w:top="1644" w:right="1588" w:bottom="1644" w:left="1588" w:header="851" w:footer="992" w:gutter="0"/>
          <w:cols w:space="720" w:num="1"/>
          <w:docGrid w:type="lines" w:linePitch="312" w:charSpace="0"/>
        </w:sectPr>
      </w:pPr>
    </w:p>
    <w:p w14:paraId="6F54EBFF">
      <w:pPr>
        <w:pageBreakBefore w:val="0"/>
        <w:kinsoku/>
        <w:wordWrap w:val="0"/>
        <w:overflowPunct/>
        <w:bidi w:val="0"/>
        <w:spacing w:before="156" w:beforeLines="50" w:after="156" w:afterLines="50"/>
        <w:jc w:val="center"/>
        <w:outlineLvl w:val="0"/>
        <w:rPr>
          <w:rFonts w:hint="eastAsia" w:ascii="宋体"/>
          <w:b/>
          <w:bCs/>
          <w:sz w:val="32"/>
          <w:szCs w:val="32"/>
          <w:highlight w:val="none"/>
        </w:rPr>
      </w:pPr>
      <w:bookmarkStart w:id="450" w:name="_Toc25750"/>
      <w:bookmarkStart w:id="451" w:name="_Toc22606"/>
      <w:r>
        <w:rPr>
          <w:rFonts w:hint="eastAsia" w:ascii="宋体" w:cs="宋体-18030"/>
          <w:b/>
          <w:sz w:val="32"/>
          <w:szCs w:val="32"/>
          <w:highlight w:val="none"/>
          <w:lang w:val="zh-CN"/>
        </w:rPr>
        <w:t>六、</w:t>
      </w:r>
      <w:r>
        <w:rPr>
          <w:rFonts w:hint="eastAsia" w:ascii="宋体"/>
          <w:b/>
          <w:bCs/>
          <w:sz w:val="32"/>
          <w:szCs w:val="32"/>
          <w:highlight w:val="none"/>
        </w:rPr>
        <w:t>服务方案及其他</w:t>
      </w:r>
      <w:bookmarkEnd w:id="450"/>
      <w:bookmarkEnd w:id="451"/>
    </w:p>
    <w:p w14:paraId="2EC6D094">
      <w:pPr>
        <w:pageBreakBefore w:val="0"/>
        <w:kinsoku/>
        <w:wordWrap w:val="0"/>
        <w:overflowPunct/>
        <w:bidi w:val="0"/>
        <w:spacing w:before="156" w:beforeLines="50" w:after="156" w:afterLines="50"/>
        <w:jc w:val="center"/>
        <w:rPr>
          <w:rFonts w:hint="eastAsia" w:ascii="宋体"/>
          <w:bCs/>
          <w:sz w:val="24"/>
          <w:highlight w:val="none"/>
        </w:rPr>
      </w:pPr>
    </w:p>
    <w:p w14:paraId="53D2444C">
      <w:pPr>
        <w:pageBreakBefore w:val="0"/>
        <w:kinsoku/>
        <w:wordWrap w:val="0"/>
        <w:overflowPunct/>
        <w:bidi w:val="0"/>
        <w:spacing w:before="156" w:beforeLines="50" w:after="156" w:afterLines="50" w:line="360" w:lineRule="auto"/>
        <w:jc w:val="center"/>
        <w:outlineLvl w:val="0"/>
        <w:rPr>
          <w:rFonts w:hint="eastAsia" w:ascii="宋体" w:cs="宋体-18030"/>
          <w:b/>
          <w:sz w:val="36"/>
          <w:szCs w:val="36"/>
          <w:highlight w:val="none"/>
          <w:lang w:val="zh-CN"/>
        </w:rPr>
      </w:pPr>
      <w:bookmarkStart w:id="452" w:name="_Toc20839"/>
      <w:bookmarkStart w:id="453" w:name="_Toc23269"/>
      <w:r>
        <w:rPr>
          <w:rFonts w:hint="eastAsia" w:ascii="宋体"/>
          <w:bCs/>
          <w:sz w:val="24"/>
          <w:highlight w:val="none"/>
        </w:rPr>
        <w:t>（格式自拟）</w:t>
      </w:r>
      <w:r>
        <w:rPr>
          <w:rFonts w:hint="eastAsia" w:ascii="宋体"/>
          <w:bCs/>
          <w:sz w:val="24"/>
          <w:highlight w:val="none"/>
        </w:rPr>
        <w:br w:type="page"/>
      </w:r>
      <w:r>
        <w:rPr>
          <w:rFonts w:hint="eastAsia" w:ascii="宋体" w:cs="宋体-18030"/>
          <w:b/>
          <w:sz w:val="36"/>
          <w:szCs w:val="36"/>
          <w:highlight w:val="none"/>
          <w:lang w:val="zh-CN"/>
        </w:rPr>
        <w:t>七、其他资料</w:t>
      </w:r>
      <w:bookmarkEnd w:id="452"/>
      <w:bookmarkEnd w:id="453"/>
    </w:p>
    <w:p w14:paraId="0E619CF6">
      <w:pPr>
        <w:pageBreakBefore w:val="0"/>
        <w:kinsoku/>
        <w:wordWrap w:val="0"/>
        <w:overflowPunct/>
        <w:bidi w:val="0"/>
        <w:spacing w:before="100" w:beforeAutospacing="1" w:after="100" w:afterAutospacing="1" w:line="360" w:lineRule="auto"/>
        <w:ind w:firstLine="3240" w:firstLineChars="1350"/>
        <w:rPr>
          <w:rFonts w:hint="eastAsia" w:ascii="宋体"/>
          <w:kern w:val="0"/>
          <w:sz w:val="24"/>
          <w:highlight w:val="none"/>
        </w:rPr>
      </w:pPr>
    </w:p>
    <w:p w14:paraId="53E44915">
      <w:pPr>
        <w:pageBreakBefore w:val="0"/>
        <w:kinsoku/>
        <w:wordWrap w:val="0"/>
        <w:overflowPunct/>
        <w:bidi w:val="0"/>
        <w:rPr>
          <w:highlight w:val="none"/>
        </w:rPr>
      </w:pPr>
    </w:p>
    <w:p w14:paraId="62658A46">
      <w:pPr>
        <w:pageBreakBefore w:val="0"/>
        <w:kinsoku/>
        <w:wordWrap w:val="0"/>
        <w:overflowPunct/>
        <w:bidi w:val="0"/>
      </w:pPr>
    </w:p>
    <w:sectPr>
      <w:headerReference r:id="rId22" w:type="default"/>
      <w:footerReference r:id="rId23" w:type="default"/>
      <w:pgSz w:w="11906" w:h="16838"/>
      <w:pgMar w:top="1644" w:right="158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63742">
    <w:pPr>
      <w:pStyle w:val="10"/>
      <w:tabs>
        <w:tab w:val="center" w:pos="4140"/>
        <w:tab w:val="right" w:pos="8300"/>
        <w:tab w:val="clear" w:pos="4153"/>
        <w:tab w:val="clear" w:pos="8306"/>
      </w:tabs>
      <w:jc w:val="both"/>
    </w:pPr>
  </w:p>
  <w:p w14:paraId="362A47CE">
    <w:pPr>
      <w:pStyle w:val="10"/>
      <w:tabs>
        <w:tab w:val="center" w:pos="4140"/>
        <w:tab w:val="left" w:pos="4621"/>
        <w:tab w:val="center" w:pos="4744"/>
        <w:tab w:val="right" w:pos="8300"/>
        <w:tab w:val="clear" w:pos="4153"/>
        <w:tab w:val="clear" w:pos="8306"/>
      </w:tabs>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787A">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0CD95">
                          <w:pPr>
                            <w:pStyle w:val="10"/>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5F0CD95">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D701">
    <w:pPr>
      <w:spacing w:after="120"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9627235</wp:posOffset>
              </wp:positionV>
              <wp:extent cx="4748530" cy="3054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62058742">
                          <w:pPr>
                            <w:spacing w:before="5"/>
                            <w:ind w:left="20"/>
                            <w:jc w:val="left"/>
                            <w:rPr>
                              <w:rFonts w:hint="eastAsia" w:ascii="宋体"/>
                              <w:sz w:val="18"/>
                            </w:rPr>
                          </w:pPr>
                        </w:p>
                        <w:p w14:paraId="4B7C5BC9">
                          <w:pPr>
                            <w:spacing w:before="8"/>
                            <w:ind w:left="866"/>
                            <w:jc w:val="center"/>
                            <w:rPr>
                              <w:rFonts w:ascii="Calibri" w:hAnsi="Calibri"/>
                              <w:sz w:val="18"/>
                            </w:rPr>
                          </w:pPr>
                          <w:r>
                            <w:fldChar w:fldCharType="begin"/>
                          </w:r>
                          <w:r>
                            <w:rPr>
                              <w:rFonts w:ascii="Calibri" w:hAnsi="Calibri"/>
                              <w:sz w:val="18"/>
                            </w:rPr>
                            <w:instrText xml:space="preserve"> PAGE </w:instrText>
                          </w:r>
                          <w:r>
                            <w:fldChar w:fldCharType="separate"/>
                          </w:r>
                          <w:r>
                            <w:rPr>
                              <w:rFonts w:ascii="Calibri" w:hAnsi="Calibri"/>
                              <w:sz w:val="18"/>
                            </w:rPr>
                            <w:t>36</w:t>
                          </w:r>
                          <w:r>
                            <w:fldChar w:fldCharType="end"/>
                          </w:r>
                        </w:p>
                      </w:txbxContent>
                    </wps:txbx>
                    <wps:bodyPr lIns="0" tIns="0" rIns="0" bIns="0" upright="1"/>
                  </wps:wsp>
                </a:graphicData>
              </a:graphic>
            </wp:anchor>
          </w:drawing>
        </mc:Choice>
        <mc:Fallback>
          <w:pict>
            <v:shape id="_x0000_s1026" o:spid="_x0000_s1026" o:spt="202" type="#_x0000_t202" style="position:absolute;left:0pt;margin-top:758.05pt;height:24.05pt;width:373.9pt;mso-position-horizontal:center;mso-position-horizontal-relative:margin;mso-position-vertical-relative:page;z-index:251660288;mso-width-relative:page;mso-height-relative:page;" filled="f" stroked="f" coordsize="21600,21600" o:gfxdata="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ZWlp2AAAAAoBAAAPAAAAAAAAAAEAIAAAACIAAABkcnMvZG93bnJldi54bWxQSwEC&#10;FAAUAAAACACHTuJAeEXI9bsBAAByAwAADgAAAAAAAAABACAAAAAnAQAAZHJzL2Uyb0RvYy54bWxQ&#10;SwUGAAAAAAYABgBZAQAAVAUAAAAA&#10;">
              <v:fill on="f" focussize="0,0"/>
              <v:stroke on="f"/>
              <v:imagedata o:title=""/>
              <o:lock v:ext="edit" aspectratio="f"/>
              <v:textbox inset="0mm,0mm,0mm,0mm">
                <w:txbxContent>
                  <w:p w14:paraId="62058742">
                    <w:pPr>
                      <w:spacing w:before="5"/>
                      <w:ind w:left="20"/>
                      <w:jc w:val="left"/>
                      <w:rPr>
                        <w:rFonts w:hint="eastAsia" w:ascii="宋体"/>
                        <w:sz w:val="18"/>
                      </w:rPr>
                    </w:pPr>
                  </w:p>
                  <w:p w14:paraId="4B7C5BC9">
                    <w:pPr>
                      <w:spacing w:before="8"/>
                      <w:ind w:left="866"/>
                      <w:jc w:val="center"/>
                      <w:rPr>
                        <w:rFonts w:ascii="Calibri" w:hAnsi="Calibri"/>
                        <w:sz w:val="18"/>
                      </w:rPr>
                    </w:pPr>
                    <w:r>
                      <w:fldChar w:fldCharType="begin"/>
                    </w:r>
                    <w:r>
                      <w:rPr>
                        <w:rFonts w:ascii="Calibri" w:hAnsi="Calibri"/>
                        <w:sz w:val="18"/>
                      </w:rPr>
                      <w:instrText xml:space="preserve"> PAGE </w:instrText>
                    </w:r>
                    <w:r>
                      <w:fldChar w:fldCharType="separate"/>
                    </w:r>
                    <w:r>
                      <w:rPr>
                        <w:rFonts w:ascii="Calibri" w:hAnsi="Calibri"/>
                        <w:sz w:val="18"/>
                      </w:rPr>
                      <w:t>36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C8F24">
    <w:pPr>
      <w:snapToGrid w:val="0"/>
      <w:ind w:right="360"/>
      <w:jc w:val="left"/>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3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7BADA8F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3360;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ASeGUTWAQAAoQMAAA4AAAAAAAAAAQAg&#10;AAAAIgEAAGRycy9lMm9Eb2MueG1sUEsFBgAAAAAGAAYAWQEAAGoFAAAAAA==&#10;">
              <v:fill on="f" focussize="0,0"/>
              <v:stroke on="f" weight="1.25pt"/>
              <v:imagedata o:title=""/>
              <o:lock v:ext="edit" aspectratio="f"/>
              <v:textbox inset="0mm,0mm,0mm,0mm" style="mso-fit-shape-to-text:t;">
                <w:txbxContent>
                  <w:p w14:paraId="7BADA8F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42C0">
    <w:pPr>
      <w:snapToGrid w:val="0"/>
      <w:jc w:val="left"/>
      <w:rPr>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30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36E3F5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5408;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Mq02kfWAQAAoQMAAA4AAAAAAAAAAQAg&#10;AAAAIgEAAGRycy9lMm9Eb2MueG1sUEsFBgAAAAAGAAYAWQEAAGoFAAAAAA==&#10;">
              <v:fill on="f" focussize="0,0"/>
              <v:stroke on="f" weight="1.25pt"/>
              <v:imagedata o:title=""/>
              <o:lock v:ext="edit" aspectratio="f"/>
              <v:textbox inset="0mm,0mm,0mm,0mm" style="mso-fit-shape-to-text:t;">
                <w:txbxContent>
                  <w:p w14:paraId="36E3F5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37</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077C">
    <w:pPr>
      <w:pStyle w:val="10"/>
      <w:tabs>
        <w:tab w:val="center" w:pos="425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11D0D68D">
                          <w:pPr>
                            <w:pStyle w:val="10"/>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61312;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UC1h1QAAAAYBAAAPAAAAAAAAAAEAIAAA&#10;ACIAAABkcnMvZG93bnJldi54bWxQSwECFAAUAAAACACHTuJAoGCTTNYBAAChAwAADgAAAAAAAAAB&#10;ACAAAAAkAQAAZHJzL2Uyb0RvYy54bWxQSwUGAAAAAAYABgBZAQAAbAUAAAAA&#10;">
              <v:fill on="f" focussize="0,0"/>
              <v:stroke on="f" weight="1.25pt"/>
              <v:imagedata o:title=""/>
              <o:lock v:ext="edit" aspectratio="f"/>
              <v:textbox inset="0mm,0mm,0mm,0mm" style="mso-fit-shape-to-text:t;">
                <w:txbxContent>
                  <w:p w14:paraId="11D0D68D">
                    <w:pPr>
                      <w:pStyle w:val="10"/>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926A">
    <w:pPr>
      <w:pStyle w:val="10"/>
      <w:tabs>
        <w:tab w:val="center" w:pos="425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-163830</wp:posOffset>
              </wp:positionV>
              <wp:extent cx="1143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4806339B">
                          <w:pPr>
                            <w:pStyle w:val="10"/>
                          </w:pPr>
                          <w:r>
                            <w:fldChar w:fldCharType="begin"/>
                          </w:r>
                          <w:r>
                            <w:instrText xml:space="preserve"> PAGE  \* MERGEFORMAT </w:instrText>
                          </w:r>
                          <w:r>
                            <w:fldChar w:fldCharType="separate"/>
                          </w:r>
                          <w:r>
                            <w:t>65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2.9pt;height:10.35pt;width:9pt;mso-position-horizontal:center;mso-position-horizontal-relative:margin;mso-wrap-style:none;z-index:251662336;mso-width-relative:page;mso-height-relative:page;" filled="f" stroked="f" coordsize="21600,21600" o:gfxdata="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UC1h1QAAAAYBAAAPAAAAAAAAAAEAIAAA&#10;ACIAAABkcnMvZG93bnJldi54bWxQSwECFAAUAAAACACHTuJAbkpQT9YBAAChAwAADgAAAAAAAAAB&#10;ACAAAAAkAQAAZHJzL2Uyb0RvYy54bWxQSwUGAAAAAAYABgBZAQAAbAUAAAAA&#10;">
              <v:fill on="f" focussize="0,0"/>
              <v:stroke on="f" weight="1.25pt"/>
              <v:imagedata o:title=""/>
              <o:lock v:ext="edit" aspectratio="f"/>
              <v:textbox inset="0mm,0mm,0mm,0mm" style="mso-fit-shape-to-text:t;">
                <w:txbxContent>
                  <w:p w14:paraId="4806339B">
                    <w:pPr>
                      <w:pStyle w:val="10"/>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1CC2">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3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wps:spPr>
                    <wps:txbx>
                      <w:txbxContent>
                        <w:p w14:paraId="383C4B06">
                          <w:pPr>
                            <w:pStyle w:val="10"/>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6438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RdL7tMAAAADAQAADwAAAAAAAAABACAAAAAi&#10;AAAAZHJzL2Rvd25yZXYueG1sUEsBAhQAFAAAAAgAh07iQDw1FUvWAQAAoQMAAA4AAAAAAAAAAQAg&#10;AAAAIgEAAGRycy9lMm9Eb2MueG1sUEsFBgAAAAAGAAYAWQEAAGoFAAAAAA==&#10;">
              <v:fill on="f" focussize="0,0"/>
              <v:stroke on="f" weight="1.25pt"/>
              <v:imagedata o:title=""/>
              <o:lock v:ext="edit" aspectratio="f"/>
              <v:textbox inset="0mm,0mm,0mm,0mm" style="mso-fit-shape-to-text:t;">
                <w:txbxContent>
                  <w:p w14:paraId="383C4B06">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C4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E273">
    <w:pPr>
      <w:pStyle w:val="10"/>
      <w:tabs>
        <w:tab w:val="center" w:pos="4140"/>
        <w:tab w:val="right" w:pos="83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9136">
    <w:pPr>
      <w:pStyle w:val="10"/>
      <w:tabs>
        <w:tab w:val="center" w:pos="4140"/>
        <w:tab w:val="right" w:pos="8300"/>
        <w:tab w:val="clear" w:pos="4153"/>
        <w:tab w:val="clear" w:pos="8306"/>
      </w:tabs>
      <w:jc w:val="both"/>
    </w:pPr>
  </w:p>
  <w:p w14:paraId="3CC8BA2E">
    <w:pPr>
      <w:pStyle w:val="10"/>
      <w:tabs>
        <w:tab w:val="center" w:pos="4140"/>
        <w:tab w:val="left" w:pos="4621"/>
        <w:tab w:val="center" w:pos="4744"/>
        <w:tab w:val="right" w:pos="8300"/>
        <w:tab w:val="clear" w:pos="4153"/>
        <w:tab w:val="clear" w:pos="8306"/>
      </w:tabs>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724E">
    <w:pPr>
      <w:pStyle w:val="10"/>
      <w:tabs>
        <w:tab w:val="center" w:pos="4140"/>
        <w:tab w:val="right" w:pos="8300"/>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23A91C">
                          <w:pPr>
                            <w:pStyle w:val="10"/>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5323A91C">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D2DA">
    <w:pPr>
      <w:pStyle w:val="10"/>
      <w:tabs>
        <w:tab w:val="center" w:pos="4140"/>
        <w:tab w:val="right" w:pos="8300"/>
        <w:tab w:val="clear" w:pos="4153"/>
        <w:tab w:val="clear" w:pos="8306"/>
      </w:tabs>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A3D75">
                          <w:pPr>
                            <w:pStyle w:val="10"/>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2FBA3D75">
                    <w:pPr>
                      <w:pStyle w:val="10"/>
                    </w:pPr>
                    <w:r>
                      <w:fldChar w:fldCharType="begin"/>
                    </w:r>
                    <w:r>
                      <w:instrText xml:space="preserve"> PAGE  \* MERGEFORMAT </w:instrText>
                    </w:r>
                    <w:r>
                      <w:fldChar w:fldCharType="separate"/>
                    </w:r>
                    <w:r>
                      <w:t>11</w:t>
                    </w:r>
                    <w:r>
                      <w:fldChar w:fldCharType="end"/>
                    </w:r>
                  </w:p>
                </w:txbxContent>
              </v:textbox>
            </v:shape>
          </w:pict>
        </mc:Fallback>
      </mc:AlternateContent>
    </w:r>
  </w:p>
  <w:p w14:paraId="6CCF4BFC">
    <w:pPr>
      <w:pStyle w:val="10"/>
      <w:tabs>
        <w:tab w:val="center" w:pos="4140"/>
        <w:tab w:val="left" w:pos="4621"/>
        <w:tab w:val="center" w:pos="4744"/>
        <w:tab w:val="right" w:pos="8300"/>
        <w:tab w:val="clear" w:pos="4153"/>
        <w:tab w:val="clear" w:pos="8306"/>
      </w:tabs>
      <w:ind w:right="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26E2">
    <w:pPr>
      <w:pStyle w:val="10"/>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892FF">
                          <w:pPr>
                            <w:pStyle w:val="1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0EB892FF">
                    <w:pPr>
                      <w:pStyle w:val="10"/>
                    </w:pPr>
                    <w:r>
                      <w:fldChar w:fldCharType="begin"/>
                    </w:r>
                    <w:r>
                      <w:instrText xml:space="preserve"> PAGE  \* MERGEFORMAT </w:instrText>
                    </w:r>
                    <w:r>
                      <w:fldChar w:fldCharType="separate"/>
                    </w:r>
                    <w:r>
                      <w:t>28</w:t>
                    </w:r>
                    <w:r>
                      <w:fldChar w:fldCharType="end"/>
                    </w:r>
                  </w:p>
                </w:txbxContent>
              </v:textbox>
            </v:shape>
          </w:pict>
        </mc:Fallback>
      </mc:AlternateContent>
    </w:r>
  </w:p>
  <w:p w14:paraId="4E92E51D">
    <w:pPr>
      <w:pStyle w:val="10"/>
      <w:tabs>
        <w:tab w:val="center" w:pos="4140"/>
        <w:tab w:val="left" w:pos="4621"/>
        <w:tab w:val="center" w:pos="4744"/>
        <w:tab w:val="right" w:pos="8300"/>
        <w:tab w:val="clear" w:pos="4153"/>
        <w:tab w:val="clear" w:pos="8306"/>
      </w:tabs>
      <w:ind w:right="360"/>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23DB">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EE666">
                          <w:pPr>
                            <w:pStyle w:val="10"/>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29EE666">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74479">
    <w:pPr>
      <w:pStyle w:val="10"/>
      <w:tabs>
        <w:tab w:val="center" w:pos="4140"/>
        <w:tab w:val="right" w:pos="8300"/>
        <w:tab w:val="clear" w:pos="4153"/>
        <w:tab w:val="clear" w:pos="8306"/>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75FB1">
                          <w:pPr>
                            <w:pStyle w:val="1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07C75FB1">
                    <w:pPr>
                      <w:pStyle w:val="10"/>
                    </w:pPr>
                    <w:r>
                      <w:fldChar w:fldCharType="begin"/>
                    </w:r>
                    <w:r>
                      <w:instrText xml:space="preserve"> PAGE  \* MERGEFORMAT </w:instrText>
                    </w:r>
                    <w:r>
                      <w:fldChar w:fldCharType="separate"/>
                    </w:r>
                    <w:r>
                      <w:t>28</w:t>
                    </w:r>
                    <w:r>
                      <w:fldChar w:fldCharType="end"/>
                    </w:r>
                  </w:p>
                </w:txbxContent>
              </v:textbox>
            </v:shape>
          </w:pict>
        </mc:Fallback>
      </mc:AlternateContent>
    </w:r>
  </w:p>
  <w:p w14:paraId="5044DAE1">
    <w:pPr>
      <w:pStyle w:val="10"/>
      <w:tabs>
        <w:tab w:val="center" w:pos="4140"/>
        <w:tab w:val="left" w:pos="4621"/>
        <w:tab w:val="center" w:pos="4744"/>
        <w:tab w:val="right" w:pos="8300"/>
        <w:tab w:val="clear" w:pos="4153"/>
        <w:tab w:val="clear" w:pos="8306"/>
      </w:tabs>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AA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6547">
    <w:pPr>
      <w:pStyle w:val="11"/>
      <w:pBdr>
        <w:bottom w:val="none" w:color="auto" w:sz="0" w:space="1"/>
      </w:pBdr>
      <w:jc w:val="right"/>
      <w:rPr>
        <w:rFonts w:hint="eastAsia" w:eastAsia="宋体"/>
        <w:lang w:eastAsia="zh-CN"/>
      </w:rPr>
    </w:pPr>
    <w:r>
      <w:rPr>
        <w:rFonts w:hint="eastAsia"/>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BE7D">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A38F">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6F99">
    <w:pPr>
      <w:pStyle w:val="11"/>
      <w:pBdr>
        <w:bottom w:val="none" w:color="auto" w:sz="0" w:space="0"/>
      </w:pBdr>
      <w:jc w:val="both"/>
      <w:rPr>
        <w:rFonts w:hint="eastAsia"/>
      </w:rPr>
    </w:pPr>
    <w: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363855</wp:posOffset>
              </wp:positionV>
              <wp:extent cx="5278755" cy="1536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78755" cy="153670"/>
                      </a:xfrm>
                      <a:prstGeom prst="rect">
                        <a:avLst/>
                      </a:prstGeom>
                      <a:noFill/>
                      <a:ln>
                        <a:noFill/>
                      </a:ln>
                    </wps:spPr>
                    <wps:txbx>
                      <w:txbxContent>
                        <w:p w14:paraId="2E22F270">
                          <w:pPr>
                            <w:jc w:val="right"/>
                          </w:pPr>
                        </w:p>
                      </w:txbxContent>
                    </wps:txbx>
                    <wps:bodyPr lIns="91440" tIns="0" rIns="91440" bIns="0" upright="1">
                      <a:spAutoFit/>
                    </wps:bodyPr>
                  </wps:wsp>
                </a:graphicData>
              </a:graphic>
            </wp:anchor>
          </w:drawing>
        </mc:Choice>
        <mc:Fallback>
          <w:pict>
            <v:shape id="_x0000_s1026" o:spid="_x0000_s1026" o:spt="202" type="#_x0000_t202" style="position:absolute;left:0pt;margin-left:89.85pt;margin-top:28.65pt;height:12.1pt;width:415.65pt;mso-position-horizontal-relative:page;mso-position-vertical-relative:page;z-index:251659264;mso-width-relative:page;mso-height-relative:page;" filled="f" stroked="f" coordsize="21600,21600" o:allowincell="f" o:gfxdata="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&#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3tulnWAAAACgEAAA8AAAAAAAAAAQAgAAAAIgAAAGRy&#10;cy9kb3ducmV2LnhtbFBLAQIUABQAAAAIAIdO4kA67QGVzgEAAJQDAAAOAAAAAAAAAAEAIAAAACUB&#10;AABkcnMvZTJvRG9jLnhtbFBLBQYAAAAABgAGAFkBAABlBQAAAAA=&#10;">
              <v:fill on="f" focussize="0,0"/>
              <v:stroke on="f"/>
              <v:imagedata o:title=""/>
              <o:lock v:ext="edit" aspectratio="f"/>
              <v:textbox inset="2.54mm,0mm,2.54mm,0mm" style="mso-fit-shape-to-text:t;">
                <w:txbxContent>
                  <w:p w14:paraId="2E22F270">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AA3E"/>
    <w:multiLevelType w:val="singleLevel"/>
    <w:tmpl w:val="9E5DAA3E"/>
    <w:lvl w:ilvl="0" w:tentative="0">
      <w:start w:val="1"/>
      <w:numFmt w:val="decimal"/>
      <w:suff w:val="space"/>
      <w:lvlText w:val="%1."/>
      <w:lvlJc w:val="left"/>
      <w:pPr>
        <w:ind w:left="0" w:firstLine="0"/>
      </w:pPr>
    </w:lvl>
  </w:abstractNum>
  <w:abstractNum w:abstractNumId="1">
    <w:nsid w:val="0000000E"/>
    <w:multiLevelType w:val="multilevel"/>
    <w:tmpl w:val="0000000E"/>
    <w:lvl w:ilvl="0" w:tentative="0">
      <w:start w:val="1"/>
      <w:numFmt w:val="bullet"/>
      <w:pStyle w:val="2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2">
    <w:nsid w:val="2DA42CD4"/>
    <w:multiLevelType w:val="multilevel"/>
    <w:tmpl w:val="2DA42CD4"/>
    <w:lvl w:ilvl="0" w:tentative="0">
      <w:start w:val="1"/>
      <w:numFmt w:val="japaneseCounting"/>
      <w:lvlText w:val="（%1）"/>
      <w:lvlJc w:val="left"/>
      <w:pPr>
        <w:ind w:left="4967" w:hanging="855"/>
      </w:pPr>
      <w:rPr>
        <w:rFonts w:hint="default"/>
      </w:rPr>
    </w:lvl>
    <w:lvl w:ilvl="1" w:tentative="0">
      <w:start w:val="1"/>
      <w:numFmt w:val="lowerLetter"/>
      <w:lvlText w:val="%2)"/>
      <w:lvlJc w:val="left"/>
      <w:pPr>
        <w:ind w:left="4952" w:hanging="420"/>
      </w:pPr>
    </w:lvl>
    <w:lvl w:ilvl="2" w:tentative="0">
      <w:start w:val="1"/>
      <w:numFmt w:val="lowerRoman"/>
      <w:lvlText w:val="%3."/>
      <w:lvlJc w:val="right"/>
      <w:pPr>
        <w:ind w:left="5372" w:hanging="420"/>
      </w:pPr>
    </w:lvl>
    <w:lvl w:ilvl="3" w:tentative="0">
      <w:start w:val="1"/>
      <w:numFmt w:val="decimal"/>
      <w:lvlText w:val="%4."/>
      <w:lvlJc w:val="left"/>
      <w:pPr>
        <w:ind w:left="5792" w:hanging="420"/>
      </w:pPr>
    </w:lvl>
    <w:lvl w:ilvl="4" w:tentative="0">
      <w:start w:val="1"/>
      <w:numFmt w:val="lowerLetter"/>
      <w:lvlText w:val="%5)"/>
      <w:lvlJc w:val="left"/>
      <w:pPr>
        <w:ind w:left="6212" w:hanging="420"/>
      </w:pPr>
    </w:lvl>
    <w:lvl w:ilvl="5" w:tentative="0">
      <w:start w:val="1"/>
      <w:numFmt w:val="lowerRoman"/>
      <w:lvlText w:val="%6."/>
      <w:lvlJc w:val="right"/>
      <w:pPr>
        <w:ind w:left="6632" w:hanging="420"/>
      </w:pPr>
    </w:lvl>
    <w:lvl w:ilvl="6" w:tentative="0">
      <w:start w:val="1"/>
      <w:numFmt w:val="decimal"/>
      <w:lvlText w:val="%7."/>
      <w:lvlJc w:val="left"/>
      <w:pPr>
        <w:ind w:left="7052" w:hanging="420"/>
      </w:pPr>
    </w:lvl>
    <w:lvl w:ilvl="7" w:tentative="0">
      <w:start w:val="1"/>
      <w:numFmt w:val="lowerLetter"/>
      <w:lvlText w:val="%8)"/>
      <w:lvlJc w:val="left"/>
      <w:pPr>
        <w:ind w:left="7472" w:hanging="420"/>
      </w:pPr>
    </w:lvl>
    <w:lvl w:ilvl="8" w:tentative="0">
      <w:start w:val="1"/>
      <w:numFmt w:val="lowerRoman"/>
      <w:lvlText w:val="%9."/>
      <w:lvlJc w:val="right"/>
      <w:pPr>
        <w:ind w:left="7892" w:hanging="420"/>
      </w:pPr>
    </w:lvl>
  </w:abstractNum>
  <w:abstractNum w:abstractNumId="3">
    <w:nsid w:val="3C6C1C80"/>
    <w:multiLevelType w:val="singleLevel"/>
    <w:tmpl w:val="3C6C1C80"/>
    <w:lvl w:ilvl="0" w:tentative="0">
      <w:start w:val="1"/>
      <w:numFmt w:val="decimal"/>
      <w:suff w:val="nothing"/>
      <w:lvlText w:val="%1"/>
      <w:lvlJc w:val="center"/>
      <w:pPr>
        <w:ind w:left="0" w:firstLine="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C50A5"/>
    <w:rsid w:val="0FAC439B"/>
    <w:rsid w:val="16B2591B"/>
    <w:rsid w:val="1C1366F1"/>
    <w:rsid w:val="223C50A5"/>
    <w:rsid w:val="22805021"/>
    <w:rsid w:val="29435648"/>
    <w:rsid w:val="2DEB7261"/>
    <w:rsid w:val="30F444DE"/>
    <w:rsid w:val="385B6B46"/>
    <w:rsid w:val="39B21C87"/>
    <w:rsid w:val="3CE13A6B"/>
    <w:rsid w:val="403C5CDE"/>
    <w:rsid w:val="42820934"/>
    <w:rsid w:val="449713BF"/>
    <w:rsid w:val="45ED1CB0"/>
    <w:rsid w:val="568737FC"/>
    <w:rsid w:val="6C3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4">
    <w:name w:val="heading 7"/>
    <w:basedOn w:val="1"/>
    <w:next w:val="5"/>
    <w:qFormat/>
    <w:uiPriority w:val="0"/>
    <w:pPr>
      <w:keepNext/>
      <w:keepLines/>
      <w:widowControl/>
      <w:tabs>
        <w:tab w:val="left" w:pos="2520"/>
      </w:tabs>
      <w:spacing w:before="240" w:after="64" w:line="316" w:lineRule="auto"/>
      <w:ind w:left="1296" w:hanging="1296"/>
      <w:jc w:val="left"/>
      <w:outlineLvl w:val="6"/>
    </w:pPr>
    <w:rPr>
      <w:b/>
      <w:bCs/>
      <w:kern w:val="0"/>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200" w:firstLineChars="200"/>
    </w:pPr>
  </w:style>
  <w:style w:type="paragraph" w:styleId="6">
    <w:name w:val="index 5"/>
    <w:basedOn w:val="1"/>
    <w:next w:val="1"/>
    <w:unhideWhenUsed/>
    <w:qFormat/>
    <w:uiPriority w:val="99"/>
    <w:pPr>
      <w:ind w:left="800" w:leftChars="800"/>
    </w:pPr>
  </w:style>
  <w:style w:type="paragraph" w:styleId="7">
    <w:name w:val="Body Text 3"/>
    <w:basedOn w:val="1"/>
    <w:qFormat/>
    <w:uiPriority w:val="0"/>
    <w:rPr>
      <w:rFonts w:ascii="宋体"/>
      <w:sz w:val="24"/>
      <w:szCs w:val="20"/>
    </w:rPr>
  </w:style>
  <w:style w:type="paragraph" w:styleId="8">
    <w:name w:val="Body Text Indent"/>
    <w:basedOn w:val="1"/>
    <w:next w:val="1"/>
    <w:qFormat/>
    <w:uiPriority w:val="0"/>
    <w:pPr>
      <w:ind w:left="420" w:leftChars="200"/>
    </w:pPr>
    <w:rPr>
      <w:rFonts w:ascii="Times New Roman" w:hAnsi="Times New Roman"/>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 w:hAnsi="??" w:cs="宋体"/>
      <w:kern w:val="0"/>
      <w:sz w:val="24"/>
      <w:lang w:bidi="ar-SA"/>
    </w:rPr>
  </w:style>
  <w:style w:type="paragraph" w:styleId="13">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4">
    <w:name w:val="Body Text First Indent"/>
    <w:basedOn w:val="2"/>
    <w:qFormat/>
    <w:uiPriority w:val="0"/>
    <w:pPr>
      <w:spacing w:line="312" w:lineRule="auto"/>
      <w:ind w:firstLine="420"/>
    </w:pPr>
  </w:style>
  <w:style w:type="paragraph" w:styleId="15">
    <w:name w:val="Body Text First Indent 2"/>
    <w:basedOn w:val="8"/>
    <w:next w:val="1"/>
    <w:unhideWhenUsed/>
    <w:qFormat/>
    <w:uiPriority w:val="99"/>
    <w:pPr>
      <w:tabs>
        <w:tab w:val="left" w:pos="360"/>
      </w:tabs>
      <w:ind w:firstLine="420"/>
    </w:pPr>
    <w:rPr>
      <w:sz w:val="24"/>
    </w:rPr>
  </w:style>
  <w:style w:type="table" w:styleId="17">
    <w:name w:val="Table Grid"/>
    <w:basedOn w:val="16"/>
    <w:qFormat/>
    <w:uiPriority w:val="3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Default"/>
    <w:next w:val="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Blockquote"/>
    <w:basedOn w:val="1"/>
    <w:qFormat/>
    <w:uiPriority w:val="0"/>
    <w:pPr>
      <w:widowControl w:val="0"/>
      <w:autoSpaceDE w:val="0"/>
      <w:autoSpaceDN w:val="0"/>
      <w:adjustRightInd w:val="0"/>
      <w:spacing w:before="100" w:after="100"/>
      <w:ind w:left="360" w:right="360"/>
    </w:pPr>
    <w:rPr>
      <w:sz w:val="24"/>
      <w:szCs w:val="24"/>
    </w:rPr>
  </w:style>
  <w:style w:type="character" w:customStyle="1" w:styleId="23">
    <w:name w:val="font101"/>
    <w:qFormat/>
    <w:uiPriority w:val="0"/>
    <w:rPr>
      <w:rFonts w:hint="eastAsia" w:ascii="微软雅黑" w:hAnsi="微软雅黑" w:eastAsia="微软雅黑" w:cs="微软雅黑"/>
      <w:color w:val="000000"/>
      <w:sz w:val="14"/>
      <w:szCs w:val="14"/>
      <w:u w:val="none"/>
    </w:rPr>
  </w:style>
  <w:style w:type="character" w:customStyle="1" w:styleId="24">
    <w:name w:val="font112"/>
    <w:qFormat/>
    <w:uiPriority w:val="0"/>
    <w:rPr>
      <w:rFonts w:hint="eastAsia" w:ascii="微软雅黑" w:hAnsi="微软雅黑" w:eastAsia="微软雅黑" w:cs="微软雅黑"/>
      <w:color w:val="FF0000"/>
      <w:sz w:val="14"/>
      <w:szCs w:val="14"/>
      <w:u w:val="none"/>
    </w:rPr>
  </w:style>
  <w:style w:type="character" w:customStyle="1" w:styleId="25">
    <w:name w:val="font181"/>
    <w:qFormat/>
    <w:uiPriority w:val="0"/>
    <w:rPr>
      <w:rFonts w:hint="eastAsia" w:ascii="微软雅黑" w:hAnsi="微软雅黑" w:eastAsia="微软雅黑" w:cs="微软雅黑"/>
      <w:b/>
      <w:bCs/>
      <w:color w:val="000000"/>
      <w:sz w:val="14"/>
      <w:szCs w:val="14"/>
      <w:u w:val="none"/>
    </w:rPr>
  </w:style>
  <w:style w:type="character" w:customStyle="1" w:styleId="26">
    <w:name w:val="font131"/>
    <w:qFormat/>
    <w:uiPriority w:val="0"/>
    <w:rPr>
      <w:rFonts w:hint="eastAsia" w:ascii="微软雅黑" w:hAnsi="微软雅黑" w:eastAsia="微软雅黑" w:cs="微软雅黑"/>
      <w:color w:val="000000"/>
      <w:sz w:val="20"/>
      <w:szCs w:val="20"/>
      <w:u w:val="none"/>
    </w:rPr>
  </w:style>
  <w:style w:type="character" w:customStyle="1" w:styleId="27">
    <w:name w:val="font151"/>
    <w:qFormat/>
    <w:uiPriority w:val="0"/>
    <w:rPr>
      <w:rFonts w:hint="eastAsia" w:ascii="微软雅黑" w:hAnsi="微软雅黑" w:eastAsia="微软雅黑" w:cs="微软雅黑"/>
      <w:color w:val="FF0000"/>
      <w:sz w:val="20"/>
      <w:szCs w:val="20"/>
      <w:u w:val="none"/>
    </w:rPr>
  </w:style>
  <w:style w:type="character" w:customStyle="1" w:styleId="28">
    <w:name w:val="font121"/>
    <w:qFormat/>
    <w:uiPriority w:val="0"/>
    <w:rPr>
      <w:rFonts w:hint="eastAsia" w:ascii="微软雅黑" w:hAnsi="微软雅黑" w:eastAsia="微软雅黑" w:cs="微软雅黑"/>
      <w:color w:val="000000"/>
      <w:sz w:val="20"/>
      <w:szCs w:val="20"/>
      <w:u w:val="none"/>
    </w:rPr>
  </w:style>
  <w:style w:type="paragraph" w:customStyle="1" w:styleId="29">
    <w:name w:val="首行缩进"/>
    <w:basedOn w:val="1"/>
    <w:qFormat/>
    <w:uiPriority w:val="0"/>
    <w:pPr>
      <w:numPr>
        <w:ilvl w:val="0"/>
        <w:numId w:val="1"/>
      </w:numPr>
      <w:spacing w:line="360" w:lineRule="auto"/>
    </w:pPr>
    <w:rPr>
      <w:rFonts w:eastAsia="仿宋_GB2312"/>
    </w:rPr>
  </w:style>
  <w:style w:type="character" w:customStyle="1" w:styleId="30">
    <w:name w:val="NormalCharacter"/>
    <w:qFormat/>
    <w:uiPriority w:val="0"/>
  </w:style>
  <w:style w:type="paragraph" w:customStyle="1" w:styleId="31">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5"/>
      <w:szCs w:val="15"/>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1979</Words>
  <Characters>2466</Characters>
  <Lines>0</Lines>
  <Paragraphs>0</Paragraphs>
  <TotalTime>47</TotalTime>
  <ScaleCrop>false</ScaleCrop>
  <LinksUpToDate>false</LinksUpToDate>
  <CharactersWithSpaces>2519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2025-06-23T07:58:00Z</dcterms:created>
  <dc:creator>Feng</dc:creator>
  <cp:lastModifiedBy>Feng</cp:lastModifiedBy>
  <dcterms:modified xsi:type="dcterms:W3CDTF">2025-06-26T07:43:43Z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C4ECD0237BA94017A1BE70709A075782_11</vt:lpwstr>
  </property>
  <property fmtid="{D5CDD505-2E9C-101B-9397-08002B2CF9AE}" pid="4" name="KSOTemplateDocerSaveRecord">
    <vt:lpwstr>eyJoZGlkIjoiYzFkMTRhNmQwZjQyMzA4MWViYjA0OTBlZWI1YjE2ODEiLCJ1c2VySWQiOiIyNjkxMzk3MjUifQ==</vt:lpwstr>
  </property>
</Properties>
</file>