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256F2">
      <w:pPr>
        <w:spacing w:line="360" w:lineRule="auto"/>
        <w:jc w:val="center"/>
        <w:rPr>
          <w:rFonts w:hint="default" w:ascii="宋体" w:hAnsi="宋体" w:eastAsia="宋体" w:cs="宋体"/>
          <w:b/>
          <w:bCs/>
          <w:color w:val="auto"/>
          <w:kern w:val="0"/>
          <w:sz w:val="52"/>
          <w:szCs w:val="52"/>
          <w:highlight w:val="none"/>
          <w:lang w:val="en-US" w:eastAsia="zh-CN"/>
        </w:rPr>
      </w:pPr>
      <w:bookmarkStart w:id="0" w:name="_Hlk64874400"/>
      <w:bookmarkEnd w:id="0"/>
      <w:bookmarkStart w:id="1" w:name="_Toc246996898"/>
      <w:bookmarkStart w:id="2" w:name="_Toc247085669"/>
      <w:bookmarkStart w:id="3" w:name="_Toc296602400"/>
      <w:r>
        <w:rPr>
          <w:rFonts w:hint="eastAsia" w:ascii="宋体" w:hAnsi="宋体" w:cs="宋体"/>
          <w:b/>
          <w:bCs/>
          <w:color w:val="auto"/>
          <w:kern w:val="0"/>
          <w:sz w:val="56"/>
          <w:szCs w:val="56"/>
          <w:highlight w:val="none"/>
          <w:lang w:val="en-US" w:eastAsia="zh-CN"/>
        </w:rPr>
        <w:t>农机装备数据采集平台购置</w:t>
      </w:r>
    </w:p>
    <w:p w14:paraId="2826A270">
      <w:pPr>
        <w:pStyle w:val="24"/>
        <w:autoSpaceDN w:val="0"/>
        <w:spacing w:line="360" w:lineRule="auto"/>
        <w:jc w:val="center"/>
        <w:rPr>
          <w:rFonts w:hint="eastAsia" w:ascii="宋体" w:hAnsi="宋体" w:eastAsia="宋体" w:cs="宋体"/>
          <w:color w:val="auto"/>
          <w:highlight w:val="none"/>
        </w:rPr>
      </w:pPr>
    </w:p>
    <w:p w14:paraId="1A24A4A6">
      <w:pPr>
        <w:jc w:val="center"/>
        <w:rPr>
          <w:rFonts w:hint="eastAsia" w:ascii="宋体" w:hAnsi="宋体" w:eastAsia="宋体" w:cs="宋体"/>
          <w:b/>
          <w:bCs/>
          <w:color w:val="auto"/>
          <w:kern w:val="0"/>
          <w:sz w:val="96"/>
          <w:szCs w:val="96"/>
          <w:highlight w:val="none"/>
          <w:lang w:val="en-US" w:eastAsia="zh-CN"/>
        </w:rPr>
      </w:pPr>
    </w:p>
    <w:p w14:paraId="515BDD25">
      <w:pPr>
        <w:jc w:val="center"/>
        <w:rPr>
          <w:rFonts w:hint="eastAsia" w:ascii="宋体" w:hAnsi="宋体" w:eastAsia="宋体" w:cs="宋体"/>
          <w:b/>
          <w:bCs/>
          <w:color w:val="auto"/>
          <w:kern w:val="0"/>
          <w:sz w:val="96"/>
          <w:szCs w:val="96"/>
          <w:highlight w:val="none"/>
          <w:lang w:val="en-US" w:eastAsia="zh-CN"/>
        </w:rPr>
      </w:pPr>
    </w:p>
    <w:p w14:paraId="3964AD0E">
      <w:pPr>
        <w:jc w:val="center"/>
        <w:rPr>
          <w:rFonts w:hint="eastAsia" w:ascii="宋体" w:hAnsi="宋体" w:eastAsia="宋体" w:cs="宋体"/>
          <w:b/>
          <w:bCs/>
          <w:color w:val="auto"/>
          <w:kern w:val="0"/>
          <w:sz w:val="96"/>
          <w:szCs w:val="96"/>
          <w:highlight w:val="none"/>
          <w:lang w:val="en-US" w:eastAsia="zh-CN"/>
        </w:rPr>
      </w:pPr>
    </w:p>
    <w:p w14:paraId="6DFC7B31">
      <w:pPr>
        <w:jc w:val="center"/>
        <w:rPr>
          <w:rFonts w:hint="eastAsia" w:ascii="宋体" w:hAnsi="宋体" w:eastAsia="宋体" w:cs="宋体"/>
          <w:b/>
          <w:bCs/>
          <w:color w:val="auto"/>
          <w:kern w:val="0"/>
          <w:sz w:val="96"/>
          <w:szCs w:val="96"/>
          <w:highlight w:val="none"/>
          <w:lang w:val="en-US" w:eastAsia="zh-CN"/>
        </w:rPr>
      </w:pPr>
      <w:r>
        <w:rPr>
          <w:rFonts w:hint="eastAsia" w:ascii="宋体" w:hAnsi="宋体" w:cs="宋体"/>
          <w:b/>
          <w:bCs/>
          <w:color w:val="auto"/>
          <w:kern w:val="0"/>
          <w:sz w:val="96"/>
          <w:szCs w:val="96"/>
          <w:highlight w:val="none"/>
          <w:lang w:val="en-US" w:eastAsia="zh-CN"/>
        </w:rPr>
        <w:t>采 购</w:t>
      </w:r>
      <w:r>
        <w:rPr>
          <w:rFonts w:hint="eastAsia" w:ascii="宋体" w:hAnsi="宋体" w:eastAsia="宋体" w:cs="宋体"/>
          <w:b/>
          <w:bCs/>
          <w:color w:val="auto"/>
          <w:kern w:val="0"/>
          <w:sz w:val="96"/>
          <w:szCs w:val="96"/>
          <w:highlight w:val="none"/>
          <w:lang w:val="en-US" w:eastAsia="zh-CN"/>
        </w:rPr>
        <w:t xml:space="preserve"> 文 件</w:t>
      </w:r>
    </w:p>
    <w:p w14:paraId="3863220B">
      <w:pPr>
        <w:jc w:val="center"/>
        <w:rPr>
          <w:rFonts w:hint="eastAsia" w:ascii="宋体" w:hAnsi="宋体" w:eastAsia="宋体" w:cs="宋体"/>
          <w:b/>
          <w:bCs/>
          <w:color w:val="FF0000"/>
          <w:kern w:val="0"/>
          <w:sz w:val="32"/>
          <w:szCs w:val="32"/>
          <w:highlight w:val="none"/>
        </w:rPr>
      </w:pPr>
    </w:p>
    <w:p w14:paraId="14EC51F9">
      <w:pPr>
        <w:autoSpaceDN w:val="0"/>
        <w:spacing w:line="360" w:lineRule="auto"/>
        <w:jc w:val="center"/>
        <w:rPr>
          <w:rFonts w:hint="default" w:ascii="宋体" w:hAnsi="宋体" w:eastAsia="宋体" w:cs="宋体"/>
          <w:b/>
          <w:bCs/>
          <w:color w:val="auto"/>
          <w:kern w:val="0"/>
          <w:sz w:val="28"/>
          <w:szCs w:val="28"/>
          <w:highlight w:val="none"/>
          <w:lang w:val="en-US" w:eastAsia="zh-CN"/>
        </w:rPr>
      </w:pPr>
      <w:r>
        <w:rPr>
          <w:rFonts w:hint="eastAsia" w:ascii="宋体" w:hAnsi="宋体" w:cs="宋体"/>
          <w:b/>
          <w:bCs/>
          <w:color w:val="auto"/>
          <w:kern w:val="0"/>
          <w:sz w:val="28"/>
          <w:szCs w:val="28"/>
          <w:highlight w:val="none"/>
          <w:lang w:val="en-US" w:eastAsia="zh-CN"/>
        </w:rPr>
        <w:t>项目编号：ZWZB20250623-025</w:t>
      </w:r>
    </w:p>
    <w:p w14:paraId="203B834D">
      <w:pPr>
        <w:autoSpaceDN w:val="0"/>
        <w:spacing w:line="360" w:lineRule="auto"/>
        <w:jc w:val="center"/>
        <w:rPr>
          <w:rFonts w:hint="default" w:ascii="宋体" w:hAnsi="宋体" w:eastAsia="宋体" w:cs="宋体"/>
          <w:b/>
          <w:bCs/>
          <w:color w:val="FF0000"/>
          <w:kern w:val="0"/>
          <w:sz w:val="32"/>
          <w:szCs w:val="32"/>
          <w:highlight w:val="none"/>
          <w:lang w:val="en-US" w:eastAsia="zh-CN"/>
        </w:rPr>
      </w:pPr>
      <w:r>
        <w:rPr>
          <w:rFonts w:hint="eastAsia" w:ascii="宋体" w:hAnsi="宋体" w:eastAsia="宋体" w:cs="宋体"/>
          <w:b/>
          <w:bCs/>
          <w:color w:val="auto"/>
          <w:kern w:val="0"/>
          <w:sz w:val="28"/>
          <w:szCs w:val="28"/>
          <w:highlight w:val="none"/>
          <w:lang w:val="en-US" w:eastAsia="zh-CN"/>
        </w:rPr>
        <w:t>采购</w:t>
      </w:r>
      <w:r>
        <w:rPr>
          <w:rFonts w:hint="eastAsia" w:ascii="宋体" w:hAnsi="宋体" w:cs="宋体"/>
          <w:b/>
          <w:bCs/>
          <w:color w:val="auto"/>
          <w:kern w:val="0"/>
          <w:sz w:val="28"/>
          <w:szCs w:val="28"/>
          <w:highlight w:val="none"/>
          <w:lang w:val="en-US" w:eastAsia="zh-CN"/>
        </w:rPr>
        <w:t>计划</w:t>
      </w:r>
      <w:r>
        <w:rPr>
          <w:rFonts w:hint="eastAsia" w:ascii="宋体" w:hAnsi="宋体" w:eastAsia="宋体" w:cs="宋体"/>
          <w:b/>
          <w:bCs/>
          <w:color w:val="auto"/>
          <w:kern w:val="0"/>
          <w:sz w:val="28"/>
          <w:szCs w:val="28"/>
          <w:highlight w:val="none"/>
        </w:rPr>
        <w:t>编号：</w:t>
      </w:r>
      <w:bookmarkStart w:id="4" w:name="_Hlk64874388"/>
      <w:bookmarkEnd w:id="4"/>
      <w:r>
        <w:rPr>
          <w:rFonts w:hint="eastAsia" w:ascii="宋体" w:hAnsi="宋体" w:eastAsia="宋体" w:cs="宋体"/>
          <w:b/>
          <w:bCs/>
          <w:color w:val="auto"/>
          <w:kern w:val="0"/>
          <w:sz w:val="28"/>
          <w:szCs w:val="28"/>
          <w:highlight w:val="none"/>
          <w:lang w:val="en-US" w:eastAsia="zh-CN"/>
        </w:rPr>
        <w:fldChar w:fldCharType="begin"/>
      </w:r>
      <w:r>
        <w:rPr>
          <w:rFonts w:hint="eastAsia" w:ascii="宋体" w:hAnsi="宋体" w:eastAsia="宋体" w:cs="宋体"/>
          <w:b/>
          <w:bCs/>
          <w:color w:val="auto"/>
          <w:kern w:val="0"/>
          <w:sz w:val="28"/>
          <w:szCs w:val="28"/>
          <w:highlight w:val="none"/>
          <w:lang w:val="en-US" w:eastAsia="zh-CN"/>
        </w:rPr>
        <w:instrText xml:space="preserve"> HYPERLINK "https://pay.zcygov.cn/purchaseplan_front/" \l "/plan/list/view?id=1000000000015485626&amp;_app_=zcy.procurement" \t "https://www.zcygov.cn/delegation-order/_procurement_/order/_blank" </w:instrText>
      </w:r>
      <w:r>
        <w:rPr>
          <w:rFonts w:hint="eastAsia" w:ascii="宋体" w:hAnsi="宋体" w:eastAsia="宋体" w:cs="宋体"/>
          <w:b/>
          <w:bCs/>
          <w:color w:val="auto"/>
          <w:kern w:val="0"/>
          <w:sz w:val="28"/>
          <w:szCs w:val="28"/>
          <w:highlight w:val="none"/>
          <w:lang w:val="en-US" w:eastAsia="zh-CN"/>
        </w:rPr>
        <w:fldChar w:fldCharType="separate"/>
      </w:r>
      <w:r>
        <w:rPr>
          <w:rFonts w:hint="eastAsia" w:ascii="宋体" w:hAnsi="宋体" w:eastAsia="宋体" w:cs="宋体"/>
          <w:b/>
          <w:bCs/>
          <w:color w:val="auto"/>
          <w:kern w:val="0"/>
          <w:sz w:val="28"/>
          <w:szCs w:val="28"/>
          <w:highlight w:val="none"/>
          <w:lang w:val="en-US" w:eastAsia="zh-CN"/>
        </w:rPr>
        <w:t>采购计划-[2025]-02252号</w:t>
      </w:r>
      <w:r>
        <w:rPr>
          <w:rFonts w:hint="eastAsia" w:ascii="宋体" w:hAnsi="宋体" w:eastAsia="宋体" w:cs="宋体"/>
          <w:b/>
          <w:bCs/>
          <w:color w:val="auto"/>
          <w:kern w:val="0"/>
          <w:sz w:val="28"/>
          <w:szCs w:val="28"/>
          <w:highlight w:val="none"/>
          <w:lang w:val="en-US" w:eastAsia="zh-CN"/>
        </w:rPr>
        <w:fldChar w:fldCharType="end"/>
      </w:r>
    </w:p>
    <w:p w14:paraId="114D4CD2">
      <w:pPr>
        <w:autoSpaceDN w:val="0"/>
        <w:spacing w:line="360" w:lineRule="auto"/>
        <w:jc w:val="center"/>
        <w:rPr>
          <w:rFonts w:hint="eastAsia" w:ascii="宋体" w:hAnsi="宋体" w:eastAsia="宋体" w:cs="宋体"/>
          <w:color w:val="auto"/>
          <w:sz w:val="18"/>
          <w:szCs w:val="18"/>
          <w:highlight w:val="none"/>
        </w:rPr>
      </w:pPr>
    </w:p>
    <w:p w14:paraId="6602041A">
      <w:pPr>
        <w:autoSpaceDN w:val="0"/>
        <w:spacing w:line="360" w:lineRule="auto"/>
        <w:jc w:val="center"/>
        <w:rPr>
          <w:rFonts w:hint="eastAsia" w:ascii="宋体" w:hAnsi="宋体" w:eastAsia="宋体" w:cs="宋体"/>
          <w:color w:val="auto"/>
          <w:sz w:val="18"/>
          <w:szCs w:val="18"/>
          <w:highlight w:val="none"/>
        </w:rPr>
      </w:pPr>
    </w:p>
    <w:p w14:paraId="798217A8">
      <w:pPr>
        <w:pStyle w:val="24"/>
        <w:spacing w:line="360" w:lineRule="auto"/>
        <w:jc w:val="center"/>
        <w:rPr>
          <w:rFonts w:hint="eastAsia" w:ascii="宋体" w:hAnsi="宋体" w:eastAsia="宋体" w:cs="宋体"/>
          <w:color w:val="auto"/>
          <w:highlight w:val="none"/>
        </w:rPr>
      </w:pPr>
    </w:p>
    <w:p w14:paraId="2CE011AA">
      <w:pPr>
        <w:spacing w:line="600" w:lineRule="auto"/>
        <w:ind w:firstLine="964" w:firstLineChars="300"/>
        <w:jc w:val="both"/>
        <w:rPr>
          <w:rFonts w:hint="eastAsia" w:ascii="宋体" w:hAnsi="宋体" w:eastAsia="宋体" w:cs="宋体"/>
          <w:b/>
          <w:bCs/>
          <w:color w:val="auto"/>
          <w:kern w:val="0"/>
          <w:sz w:val="32"/>
          <w:szCs w:val="32"/>
          <w:highlight w:val="none"/>
          <w:lang w:val="en-US" w:eastAsia="zh-CN"/>
        </w:rPr>
      </w:pPr>
    </w:p>
    <w:p w14:paraId="03B539E4">
      <w:pPr>
        <w:spacing w:line="600" w:lineRule="auto"/>
        <w:ind w:firstLine="964" w:firstLineChars="300"/>
        <w:jc w:val="both"/>
        <w:rPr>
          <w:rFonts w:hint="eastAsia" w:ascii="宋体" w:hAnsi="宋体" w:eastAsia="宋体" w:cs="宋体"/>
          <w:b/>
          <w:bCs/>
          <w:color w:val="auto"/>
          <w:kern w:val="0"/>
          <w:sz w:val="32"/>
          <w:szCs w:val="32"/>
          <w:highlight w:val="none"/>
          <w:lang w:val="en-US" w:eastAsia="zh-CN"/>
        </w:rPr>
      </w:pPr>
    </w:p>
    <w:p w14:paraId="66B128FC">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lang w:val="en-US" w:eastAsia="zh-CN"/>
        </w:rPr>
        <w:t>采购人：</w:t>
      </w:r>
      <w:r>
        <w:rPr>
          <w:rFonts w:hint="eastAsia" w:ascii="宋体" w:hAnsi="宋体" w:cs="宋体"/>
          <w:b/>
          <w:bCs/>
          <w:color w:val="auto"/>
          <w:kern w:val="0"/>
          <w:sz w:val="32"/>
          <w:szCs w:val="32"/>
          <w:highlight w:val="none"/>
          <w:lang w:val="en-US" w:eastAsia="zh-CN"/>
        </w:rPr>
        <w:t>吉林省农业机械研究院</w:t>
      </w:r>
    </w:p>
    <w:p w14:paraId="30C8DEA5">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lang w:val="en-US" w:eastAsia="zh-CN"/>
        </w:rPr>
        <w:t>采购代理机构：</w:t>
      </w:r>
      <w:r>
        <w:rPr>
          <w:rFonts w:hint="eastAsia" w:ascii="宋体" w:hAnsi="宋体" w:cs="宋体"/>
          <w:b/>
          <w:bCs/>
          <w:color w:val="auto"/>
          <w:sz w:val="32"/>
          <w:szCs w:val="32"/>
          <w:highlight w:val="none"/>
          <w:u w:val="none"/>
          <w:lang w:eastAsia="zh-CN"/>
        </w:rPr>
        <w:t>吉林省中维项目管理咨询有限公司</w:t>
      </w:r>
    </w:p>
    <w:p w14:paraId="13BE1B9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lang w:val="en-US" w:eastAsia="zh-CN"/>
        </w:rPr>
        <w:t>日期：</w:t>
      </w:r>
      <w:bookmarkStart w:id="5" w:name="receiveDate"/>
      <w:r>
        <w:rPr>
          <w:rFonts w:hint="eastAsia" w:ascii="宋体" w:hAnsi="宋体" w:eastAsia="宋体" w:cs="宋体"/>
          <w:b/>
          <w:bCs/>
          <w:color w:val="auto"/>
          <w:kern w:val="0"/>
          <w:sz w:val="32"/>
          <w:szCs w:val="32"/>
          <w:highlight w:val="none"/>
          <w:lang w:val="en-US" w:eastAsia="zh-CN"/>
        </w:rPr>
        <w:t>202</w:t>
      </w:r>
      <w:r>
        <w:rPr>
          <w:rFonts w:hint="eastAsia" w:ascii="宋体" w:hAnsi="宋体" w:cs="宋体"/>
          <w:b/>
          <w:bCs/>
          <w:color w:val="auto"/>
          <w:kern w:val="0"/>
          <w:sz w:val="32"/>
          <w:szCs w:val="32"/>
          <w:highlight w:val="none"/>
          <w:lang w:val="en-US" w:eastAsia="zh-CN"/>
        </w:rPr>
        <w:t>5</w:t>
      </w:r>
      <w:r>
        <w:rPr>
          <w:rFonts w:hint="eastAsia" w:ascii="宋体" w:hAnsi="宋体" w:eastAsia="宋体" w:cs="宋体"/>
          <w:b/>
          <w:bCs/>
          <w:color w:val="auto"/>
          <w:kern w:val="0"/>
          <w:sz w:val="32"/>
          <w:szCs w:val="32"/>
          <w:highlight w:val="none"/>
          <w:lang w:val="en-US" w:eastAsia="zh-CN"/>
        </w:rPr>
        <w:t>年</w:t>
      </w:r>
      <w:r>
        <w:rPr>
          <w:rFonts w:hint="eastAsia" w:ascii="宋体" w:hAnsi="宋体" w:cs="宋体"/>
          <w:b/>
          <w:bCs/>
          <w:color w:val="auto"/>
          <w:kern w:val="0"/>
          <w:sz w:val="32"/>
          <w:szCs w:val="32"/>
          <w:highlight w:val="none"/>
          <w:lang w:val="en-US" w:eastAsia="zh-CN"/>
        </w:rPr>
        <w:t>5</w:t>
      </w:r>
      <w:r>
        <w:rPr>
          <w:rFonts w:hint="eastAsia" w:ascii="宋体" w:hAnsi="宋体" w:eastAsia="宋体" w:cs="宋体"/>
          <w:b/>
          <w:bCs/>
          <w:color w:val="auto"/>
          <w:kern w:val="0"/>
          <w:sz w:val="32"/>
          <w:szCs w:val="32"/>
          <w:highlight w:val="none"/>
          <w:lang w:val="en-US" w:eastAsia="zh-CN"/>
        </w:rPr>
        <w:t>月</w:t>
      </w:r>
      <w:bookmarkEnd w:id="5"/>
    </w:p>
    <w:p w14:paraId="5292C537">
      <w:pPr>
        <w:tabs>
          <w:tab w:val="left" w:pos="9379"/>
        </w:tabs>
        <w:autoSpaceDN w:val="0"/>
        <w:spacing w:line="360" w:lineRule="auto"/>
        <w:jc w:val="center"/>
        <w:rPr>
          <w:rFonts w:hint="eastAsia" w:ascii="宋体" w:hAnsi="宋体" w:eastAsia="宋体" w:cs="宋体"/>
          <w:b/>
          <w:bCs/>
          <w:color w:val="auto"/>
          <w:sz w:val="36"/>
          <w:szCs w:val="36"/>
          <w:highlight w:val="none"/>
        </w:rPr>
      </w:pPr>
      <w:bookmarkStart w:id="6" w:name="_Toc98580389"/>
      <w:r>
        <w:rPr>
          <w:rFonts w:hint="eastAsia" w:ascii="宋体" w:hAnsi="宋体" w:eastAsia="宋体" w:cs="宋体"/>
          <w:b/>
          <w:bCs/>
          <w:color w:val="auto"/>
          <w:sz w:val="36"/>
          <w:szCs w:val="36"/>
          <w:highlight w:val="none"/>
        </w:rPr>
        <w:t>目　　录</w:t>
      </w:r>
    </w:p>
    <w:p w14:paraId="62EADB4B">
      <w:pPr>
        <w:pStyle w:val="17"/>
        <w:keepNext w:val="0"/>
        <w:keepLines w:val="0"/>
        <w:pageBreakBefore w:val="0"/>
        <w:widowControl w:val="0"/>
        <w:tabs>
          <w:tab w:val="right" w:leader="dot" w:pos="8787"/>
        </w:tabs>
        <w:kinsoku/>
        <w:wordWrap/>
        <w:overflowPunct/>
        <w:topLinePunct w:val="0"/>
        <w:autoSpaceDE/>
        <w:autoSpaceDN/>
        <w:bidi w:val="0"/>
        <w:adjustRightInd/>
        <w:snapToGrid/>
        <w:spacing w:before="0" w:after="0" w:line="480" w:lineRule="auto"/>
        <w:textAlignment w:val="auto"/>
        <w:rPr>
          <w:rFonts w:hint="eastAsia" w:ascii="宋体" w:hAnsi="宋体" w:eastAsia="宋体" w:cs="宋体"/>
          <w:sz w:val="28"/>
          <w:szCs w:val="28"/>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"1-3"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_Toc7925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第一部分  招标公告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_Toc7925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14:paraId="61B8731E">
      <w:pPr>
        <w:pStyle w:val="17"/>
        <w:keepNext w:val="0"/>
        <w:keepLines w:val="0"/>
        <w:pageBreakBefore w:val="0"/>
        <w:widowControl w:val="0"/>
        <w:tabs>
          <w:tab w:val="right" w:leader="dot" w:pos="8787"/>
        </w:tabs>
        <w:kinsoku/>
        <w:wordWrap/>
        <w:overflowPunct/>
        <w:topLinePunct w:val="0"/>
        <w:autoSpaceDE/>
        <w:autoSpaceDN/>
        <w:bidi w:val="0"/>
        <w:adjustRightInd/>
        <w:snapToGrid/>
        <w:spacing w:before="0" w:after="0" w:line="480" w:lineRule="auto"/>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_Toc11796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xml:space="preserve">第二部分  </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_Toc11796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14:paraId="5B478261">
      <w:pPr>
        <w:pStyle w:val="17"/>
        <w:keepNext w:val="0"/>
        <w:keepLines w:val="0"/>
        <w:pageBreakBefore w:val="0"/>
        <w:widowControl w:val="0"/>
        <w:tabs>
          <w:tab w:val="right" w:leader="dot" w:pos="8787"/>
        </w:tabs>
        <w:kinsoku/>
        <w:wordWrap/>
        <w:overflowPunct/>
        <w:topLinePunct w:val="0"/>
        <w:autoSpaceDE/>
        <w:autoSpaceDN/>
        <w:bidi w:val="0"/>
        <w:adjustRightInd/>
        <w:snapToGrid/>
        <w:spacing w:before="0" w:after="0" w:line="480" w:lineRule="auto"/>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_Toc24973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第三部分  评标办法</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综合评分法</w:t>
      </w:r>
      <w:r>
        <w:rPr>
          <w:rFonts w:hint="eastAsia" w:ascii="宋体" w:hAnsi="宋体" w:eastAsia="宋体" w:cs="宋体"/>
          <w:sz w:val="28"/>
          <w:szCs w:val="28"/>
          <w:highlight w:val="none"/>
          <w:lang w:eastAsia="zh-CN"/>
        </w:rPr>
        <w:t>）</w:t>
      </w:r>
      <w:bookmarkStart w:id="200" w:name="_GoBack"/>
      <w:bookmarkEnd w:id="200"/>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_Toc24973 \h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14:paraId="4D51D22B">
      <w:pPr>
        <w:pStyle w:val="17"/>
        <w:keepNext w:val="0"/>
        <w:keepLines w:val="0"/>
        <w:pageBreakBefore w:val="0"/>
        <w:widowControl w:val="0"/>
        <w:tabs>
          <w:tab w:val="right" w:leader="dot" w:pos="8787"/>
        </w:tabs>
        <w:kinsoku/>
        <w:wordWrap/>
        <w:overflowPunct/>
        <w:topLinePunct w:val="0"/>
        <w:autoSpaceDE/>
        <w:autoSpaceDN/>
        <w:bidi w:val="0"/>
        <w:adjustRightInd/>
        <w:snapToGrid/>
        <w:spacing w:before="0" w:after="0" w:line="480" w:lineRule="auto"/>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_Toc23027 </w:instrText>
      </w:r>
      <w:r>
        <w:rPr>
          <w:rFonts w:hint="eastAsia" w:ascii="宋体" w:hAnsi="宋体" w:eastAsia="宋体" w:cs="宋体"/>
          <w:sz w:val="28"/>
          <w:szCs w:val="28"/>
          <w:highlight w:val="none"/>
        </w:rPr>
        <w:fldChar w:fldCharType="separate"/>
      </w:r>
      <w:r>
        <w:rPr>
          <w:rFonts w:hint="eastAsia" w:ascii="宋体" w:hAnsi="宋体" w:eastAsia="宋体" w:cs="宋体"/>
          <w:bCs/>
          <w:kern w:val="44"/>
          <w:sz w:val="28"/>
          <w:szCs w:val="28"/>
          <w:lang w:val="en-US" w:eastAsia="zh-CN" w:bidi="ar-SA"/>
        </w:rPr>
        <w:t xml:space="preserve">第四部分  </w:t>
      </w:r>
      <w:r>
        <w:rPr>
          <w:rFonts w:hint="eastAsia" w:ascii="宋体" w:hAnsi="宋体" w:eastAsia="宋体" w:cs="宋体"/>
          <w:sz w:val="28"/>
          <w:szCs w:val="28"/>
          <w:highlight w:val="none"/>
        </w:rPr>
        <w:t>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_Toc23027 \h </w:instrText>
      </w:r>
      <w:r>
        <w:rPr>
          <w:rFonts w:hint="eastAsia" w:ascii="宋体" w:hAnsi="宋体" w:eastAsia="宋体" w:cs="宋体"/>
          <w:sz w:val="28"/>
          <w:szCs w:val="28"/>
        </w:rPr>
        <w:fldChar w:fldCharType="separate"/>
      </w:r>
      <w:r>
        <w:rPr>
          <w:rFonts w:hint="eastAsia"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14:paraId="3EDDC11B">
      <w:pPr>
        <w:pStyle w:val="17"/>
        <w:keepNext w:val="0"/>
        <w:keepLines w:val="0"/>
        <w:pageBreakBefore w:val="0"/>
        <w:widowControl w:val="0"/>
        <w:tabs>
          <w:tab w:val="right" w:leader="dot" w:pos="8787"/>
        </w:tabs>
        <w:kinsoku/>
        <w:wordWrap/>
        <w:overflowPunct/>
        <w:topLinePunct w:val="0"/>
        <w:autoSpaceDE/>
        <w:autoSpaceDN/>
        <w:bidi w:val="0"/>
        <w:adjustRightInd/>
        <w:snapToGrid/>
        <w:spacing w:before="0" w:after="0" w:line="480" w:lineRule="auto"/>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_Toc22732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lang w:eastAsia="zh-CN"/>
        </w:rPr>
        <w:t>第五部分</w:t>
      </w:r>
      <w:r>
        <w:rPr>
          <w:rFonts w:hint="eastAsia" w:ascii="宋体" w:hAnsi="宋体" w:eastAsia="宋体" w:cs="宋体"/>
          <w:sz w:val="28"/>
          <w:szCs w:val="28"/>
          <w:lang w:val="en-US" w:eastAsia="zh-CN"/>
        </w:rPr>
        <w:t xml:space="preserve">  </w:t>
      </w:r>
      <w:r>
        <w:rPr>
          <w:rFonts w:hint="eastAsia" w:ascii="宋体" w:hAnsi="宋体" w:eastAsia="宋体" w:cs="宋体"/>
          <w:sz w:val="28"/>
          <w:szCs w:val="28"/>
          <w:highlight w:val="none"/>
          <w:lang w:val="en-US" w:eastAsia="zh-CN"/>
        </w:rPr>
        <w:t>合同条款及格式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_Toc22732 \h </w:instrText>
      </w:r>
      <w:r>
        <w:rPr>
          <w:rFonts w:hint="eastAsia" w:ascii="宋体" w:hAnsi="宋体" w:eastAsia="宋体" w:cs="宋体"/>
          <w:sz w:val="28"/>
          <w:szCs w:val="28"/>
        </w:rPr>
        <w:fldChar w:fldCharType="separate"/>
      </w:r>
      <w:r>
        <w:rPr>
          <w:rFonts w:hint="eastAsia" w:ascii="宋体" w:hAnsi="宋体" w:eastAsia="宋体" w:cs="宋体"/>
          <w:sz w:val="28"/>
          <w:szCs w:val="28"/>
        </w:rPr>
        <w:t>34</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14:paraId="7DCE34A2">
      <w:pPr>
        <w:pStyle w:val="17"/>
        <w:keepNext w:val="0"/>
        <w:keepLines w:val="0"/>
        <w:pageBreakBefore w:val="0"/>
        <w:widowControl w:val="0"/>
        <w:tabs>
          <w:tab w:val="right" w:leader="dot" w:pos="8787"/>
        </w:tabs>
        <w:kinsoku/>
        <w:wordWrap/>
        <w:overflowPunct/>
        <w:topLinePunct w:val="0"/>
        <w:autoSpaceDE/>
        <w:autoSpaceDN/>
        <w:bidi w:val="0"/>
        <w:adjustRightInd/>
        <w:snapToGrid/>
        <w:spacing w:before="0" w:after="0" w:line="480" w:lineRule="auto"/>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_Toc28773 </w:instrText>
      </w:r>
      <w:r>
        <w:rPr>
          <w:rFonts w:hint="eastAsia" w:ascii="宋体" w:hAnsi="宋体" w:eastAsia="宋体" w:cs="宋体"/>
          <w:sz w:val="28"/>
          <w:szCs w:val="28"/>
          <w:highlight w:val="none"/>
        </w:rPr>
        <w:fldChar w:fldCharType="separate"/>
      </w:r>
      <w:r>
        <w:rPr>
          <w:rFonts w:hint="eastAsia" w:ascii="宋体" w:hAnsi="宋体" w:eastAsia="宋体" w:cs="宋体"/>
          <w:bCs/>
          <w:kern w:val="44"/>
          <w:sz w:val="28"/>
          <w:szCs w:val="28"/>
          <w:highlight w:val="none"/>
        </w:rPr>
        <w:t xml:space="preserve">第六部分  </w:t>
      </w:r>
      <w:r>
        <w:rPr>
          <w:rFonts w:hint="eastAsia" w:ascii="宋体" w:hAnsi="宋体" w:eastAsia="宋体" w:cs="宋体"/>
          <w:bCs/>
          <w:kern w:val="44"/>
          <w:sz w:val="28"/>
          <w:szCs w:val="28"/>
          <w:highlight w:val="none"/>
          <w:lang w:eastAsia="zh-CN"/>
        </w:rPr>
        <w:t>响应文件</w:t>
      </w:r>
      <w:r>
        <w:rPr>
          <w:rFonts w:hint="eastAsia" w:ascii="宋体" w:hAnsi="宋体" w:eastAsia="宋体" w:cs="宋体"/>
          <w:bCs/>
          <w:kern w:val="44"/>
          <w:sz w:val="28"/>
          <w:szCs w:val="28"/>
          <w:highlight w:val="none"/>
        </w:rPr>
        <w:t>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_Toc28773 \h </w:instrText>
      </w:r>
      <w:r>
        <w:rPr>
          <w:rFonts w:hint="eastAsia" w:ascii="宋体" w:hAnsi="宋体" w:eastAsia="宋体" w:cs="宋体"/>
          <w:sz w:val="28"/>
          <w:szCs w:val="28"/>
        </w:rPr>
        <w:fldChar w:fldCharType="separate"/>
      </w:r>
      <w:r>
        <w:rPr>
          <w:rFonts w:hint="eastAsia" w:ascii="宋体" w:hAnsi="宋体" w:eastAsia="宋体" w:cs="宋体"/>
          <w:sz w:val="28"/>
          <w:szCs w:val="28"/>
        </w:rPr>
        <w:t>35</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14:paraId="13433AE9">
      <w:pPr>
        <w:pStyle w:val="19"/>
        <w:tabs>
          <w:tab w:val="right" w:leader="dot" w:pos="8787"/>
        </w:tabs>
      </w:pPr>
    </w:p>
    <w:p w14:paraId="797B03CA">
      <w:pPr>
        <w:pStyle w:val="17"/>
        <w:tabs>
          <w:tab w:val="right" w:leader="dot" w:pos="8504"/>
        </w:tabs>
        <w:autoSpaceDN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w:fldChar w:fldCharType="end"/>
      </w:r>
    </w:p>
    <w:bookmarkEnd w:id="6"/>
    <w:p w14:paraId="6D001D14">
      <w:pPr>
        <w:autoSpaceDN w:val="0"/>
        <w:spacing w:line="360" w:lineRule="auto"/>
        <w:ind w:left="420" w:leftChars="200" w:right="420" w:rightChars="200"/>
        <w:rPr>
          <w:rFonts w:hint="eastAsia" w:ascii="宋体" w:hAnsi="宋体" w:eastAsia="宋体" w:cs="宋体"/>
          <w:color w:val="auto"/>
          <w:sz w:val="28"/>
          <w:szCs w:val="28"/>
          <w:highlight w:val="none"/>
        </w:rPr>
      </w:pPr>
    </w:p>
    <w:p w14:paraId="5A5B7381">
      <w:pPr>
        <w:pStyle w:val="2"/>
        <w:autoSpaceDN w:val="0"/>
        <w:spacing w:before="0" w:after="0" w:line="360" w:lineRule="auto"/>
        <w:jc w:val="center"/>
        <w:rPr>
          <w:rFonts w:hint="eastAsia" w:ascii="宋体" w:hAnsi="宋体" w:eastAsia="宋体" w:cs="宋体"/>
          <w:color w:val="auto"/>
          <w:highlight w:val="none"/>
        </w:rPr>
        <w:sectPr>
          <w:pgSz w:w="11906" w:h="16838"/>
          <w:pgMar w:top="1418" w:right="1418" w:bottom="1418" w:left="1701" w:header="851" w:footer="851" w:gutter="0"/>
          <w:pgNumType w:start="1"/>
          <w:cols w:space="720" w:num="1"/>
          <w:docGrid w:linePitch="312" w:charSpace="0"/>
        </w:sectPr>
      </w:pPr>
    </w:p>
    <w:p w14:paraId="6C7FFA9A">
      <w:pPr>
        <w:pStyle w:val="2"/>
        <w:autoSpaceDN w:val="0"/>
        <w:spacing w:before="0" w:after="0" w:line="360" w:lineRule="auto"/>
        <w:jc w:val="center"/>
        <w:rPr>
          <w:rFonts w:hint="eastAsia" w:ascii="宋体" w:hAnsi="宋体" w:eastAsia="宋体" w:cs="宋体"/>
          <w:color w:val="auto"/>
          <w:highlight w:val="none"/>
        </w:rPr>
      </w:pPr>
      <w:bookmarkStart w:id="7" w:name="_Toc15421"/>
      <w:bookmarkStart w:id="8" w:name="_Toc7925"/>
      <w:r>
        <w:rPr>
          <w:rFonts w:hint="eastAsia" w:ascii="宋体" w:hAnsi="宋体" w:eastAsia="宋体" w:cs="宋体"/>
          <w:color w:val="auto"/>
          <w:highlight w:val="none"/>
        </w:rPr>
        <w:t>第一部分  招标公告</w:t>
      </w:r>
      <w:bookmarkEnd w:id="7"/>
      <w:bookmarkEnd w:id="8"/>
    </w:p>
    <w:p w14:paraId="6AA2B590">
      <w:pPr>
        <w:pStyle w:val="16"/>
        <w:pBdr>
          <w:bottom w:val="none" w:color="auto" w:sz="0" w:space="0"/>
        </w:pBdr>
        <w:spacing w:line="360" w:lineRule="auto"/>
        <w:jc w:val="both"/>
        <w:rPr>
          <w:rFonts w:hint="eastAsia" w:ascii="宋体" w:hAnsi="宋体" w:eastAsia="宋体" w:cs="Times New Roman"/>
          <w:b/>
          <w:bCs/>
          <w:sz w:val="24"/>
          <w:szCs w:val="24"/>
          <w:highlight w:val="none"/>
        </w:rPr>
      </w:pPr>
      <w:bookmarkStart w:id="9" w:name="_Toc12303"/>
      <w:r>
        <w:rPr>
          <w:rFonts w:hint="eastAsia" w:ascii="宋体" w:hAnsi="宋体" w:eastAsia="宋体" w:cs="Times New Roman"/>
          <w:b/>
          <w:bCs/>
          <w:sz w:val="24"/>
          <w:szCs w:val="24"/>
          <w:highlight w:val="none"/>
        </w:rPr>
        <w:t>项目概况</w:t>
      </w:r>
    </w:p>
    <w:p w14:paraId="14C8EB53">
      <w:pPr>
        <w:pStyle w:val="16"/>
        <w:pBdr>
          <w:bottom w:val="none" w:color="auto" w:sz="0" w:space="0"/>
        </w:pBdr>
        <w:spacing w:line="360" w:lineRule="auto"/>
        <w:ind w:firstLine="482" w:firstLineChars="200"/>
        <w:jc w:val="both"/>
        <w:rPr>
          <w:rFonts w:hint="eastAsia" w:ascii="宋体" w:hAnsi="宋体" w:eastAsia="宋体" w:cs="Times New Roman"/>
          <w:color w:val="auto"/>
          <w:sz w:val="24"/>
          <w:szCs w:val="24"/>
          <w:highlight w:val="none"/>
          <w:lang w:val="en-US" w:eastAsia="zh-CN"/>
        </w:rPr>
      </w:pPr>
      <w:r>
        <w:rPr>
          <w:rFonts w:hint="eastAsia" w:ascii="宋体" w:hAnsi="宋体" w:cs="Times New Roman"/>
          <w:b/>
          <w:bCs/>
          <w:sz w:val="24"/>
          <w:szCs w:val="24"/>
          <w:highlight w:val="none"/>
          <w:lang w:val="en-US" w:eastAsia="zh-CN"/>
        </w:rPr>
        <w:t>农机装备数据采集平台购置</w:t>
      </w:r>
      <w:r>
        <w:rPr>
          <w:rFonts w:hint="eastAsia" w:ascii="宋体" w:hAnsi="宋体" w:eastAsia="宋体" w:cs="Times New Roman"/>
          <w:sz w:val="24"/>
          <w:szCs w:val="24"/>
          <w:highlight w:val="none"/>
          <w:lang w:val="en-US" w:eastAsia="zh-CN"/>
        </w:rPr>
        <w:t>的潜在</w:t>
      </w:r>
      <w:r>
        <w:rPr>
          <w:rFonts w:hint="eastAsia" w:ascii="宋体" w:hAnsi="宋体" w:cs="Times New Roman"/>
          <w:sz w:val="24"/>
          <w:szCs w:val="24"/>
          <w:highlight w:val="none"/>
          <w:lang w:val="en-US" w:eastAsia="zh-CN"/>
        </w:rPr>
        <w:t>供应商</w:t>
      </w:r>
      <w:r>
        <w:rPr>
          <w:rFonts w:hint="eastAsia" w:ascii="宋体" w:hAnsi="宋体" w:eastAsia="宋体" w:cs="Times New Roman"/>
          <w:sz w:val="24"/>
          <w:szCs w:val="24"/>
          <w:highlight w:val="none"/>
          <w:lang w:val="en-US" w:eastAsia="zh-CN"/>
        </w:rPr>
        <w:t>应在“政采云”平台（www.zcygov.cn）获取招标文件,并</w:t>
      </w:r>
      <w:r>
        <w:rPr>
          <w:rFonts w:hint="eastAsia" w:ascii="宋体" w:hAnsi="宋体" w:eastAsia="宋体" w:cs="Times New Roman"/>
          <w:color w:val="auto"/>
          <w:sz w:val="24"/>
          <w:szCs w:val="24"/>
          <w:highlight w:val="none"/>
          <w:lang w:val="en-US" w:eastAsia="zh-CN"/>
        </w:rPr>
        <w:t>于</w:t>
      </w:r>
      <w:r>
        <w:rPr>
          <w:rFonts w:hint="eastAsia" w:ascii="宋体" w:hAnsi="宋体" w:cs="Times New Roman"/>
          <w:color w:val="auto"/>
          <w:sz w:val="24"/>
          <w:szCs w:val="24"/>
          <w:highlight w:val="none"/>
          <w:lang w:val="en-US" w:eastAsia="zh-CN"/>
        </w:rPr>
        <w:t>2025年7月15日13时30分</w:t>
      </w:r>
      <w:r>
        <w:rPr>
          <w:rFonts w:hint="eastAsia" w:ascii="宋体" w:hAnsi="宋体" w:eastAsia="宋体" w:cs="Times New Roman"/>
          <w:color w:val="auto"/>
          <w:sz w:val="24"/>
          <w:szCs w:val="24"/>
          <w:highlight w:val="none"/>
          <w:lang w:val="en-US" w:eastAsia="zh-CN"/>
        </w:rPr>
        <w:t>（北京时间）前递交响应文件。</w:t>
      </w:r>
    </w:p>
    <w:p w14:paraId="206367AE">
      <w:pPr>
        <w:pStyle w:val="16"/>
        <w:pBdr>
          <w:bottom w:val="none" w:color="auto" w:sz="0" w:space="0"/>
        </w:pBdr>
        <w:spacing w:line="36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一、项目基本情况</w:t>
      </w:r>
    </w:p>
    <w:p w14:paraId="0B8A0E8D">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1.项目编号：ZWZB20250623-025</w:t>
      </w:r>
    </w:p>
    <w:p w14:paraId="569FD5F5">
      <w:pPr>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采购计划编号：</w:t>
      </w:r>
      <w:r>
        <w:rPr>
          <w:rFonts w:hint="eastAsia" w:ascii="宋体" w:hAnsi="宋体" w:cs="宋体"/>
          <w:color w:val="auto"/>
          <w:sz w:val="24"/>
          <w:szCs w:val="24"/>
          <w:highlight w:val="none"/>
          <w:lang w:val="en-US" w:eastAsia="zh-CN"/>
        </w:rPr>
        <w:fldChar w:fldCharType="begin"/>
      </w:r>
      <w:r>
        <w:rPr>
          <w:rFonts w:hint="eastAsia" w:ascii="宋体" w:hAnsi="宋体" w:cs="宋体"/>
          <w:color w:val="auto"/>
          <w:sz w:val="24"/>
          <w:szCs w:val="24"/>
          <w:highlight w:val="none"/>
          <w:lang w:val="en-US" w:eastAsia="zh-CN"/>
        </w:rPr>
        <w:instrText xml:space="preserve"> HYPERLINK "https://pay.zcygov.cn/purchaseplan_front/" \l "/plan/list/view?id=1000000000015485626&amp;_app_=zcy.procurement" \t "https://www.zcygov.cn/delegation-order/_procurement_/order/_blank" </w:instrText>
      </w:r>
      <w:r>
        <w:rPr>
          <w:rFonts w:hint="eastAsia" w:ascii="宋体" w:hAnsi="宋体" w:cs="宋体"/>
          <w:color w:val="auto"/>
          <w:sz w:val="24"/>
          <w:szCs w:val="24"/>
          <w:highlight w:val="none"/>
          <w:lang w:val="en-US" w:eastAsia="zh-CN"/>
        </w:rPr>
        <w:fldChar w:fldCharType="separate"/>
      </w:r>
      <w:r>
        <w:rPr>
          <w:rFonts w:hint="eastAsia" w:ascii="宋体" w:hAnsi="宋体" w:cs="宋体"/>
          <w:color w:val="auto"/>
          <w:sz w:val="24"/>
          <w:szCs w:val="24"/>
          <w:highlight w:val="none"/>
          <w:lang w:val="en-US" w:eastAsia="zh-CN"/>
        </w:rPr>
        <w:t>采购计划-[2025]-02252号</w:t>
      </w:r>
      <w:r>
        <w:rPr>
          <w:rFonts w:hint="eastAsia" w:ascii="宋体" w:hAnsi="宋体" w:cs="宋体"/>
          <w:color w:val="auto"/>
          <w:sz w:val="24"/>
          <w:szCs w:val="24"/>
          <w:highlight w:val="none"/>
          <w:lang w:val="en-US" w:eastAsia="zh-CN"/>
        </w:rPr>
        <w:fldChar w:fldCharType="end"/>
      </w:r>
    </w:p>
    <w:p w14:paraId="6FA6411F">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项目名称：</w:t>
      </w:r>
      <w:r>
        <w:rPr>
          <w:rFonts w:hint="eastAsia" w:ascii="宋体" w:hAnsi="宋体" w:cs="Times New Roman"/>
          <w:sz w:val="24"/>
          <w:szCs w:val="24"/>
          <w:highlight w:val="none"/>
          <w:lang w:val="en-US" w:eastAsia="zh-CN"/>
        </w:rPr>
        <w:t>农机装备数据采集平台购置</w:t>
      </w:r>
    </w:p>
    <w:p w14:paraId="5449E08E">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vertAlign w:val="baseline"/>
          <w:lang w:val="en-US" w:eastAsia="zh-CN"/>
        </w:rPr>
        <w:t>预算金额</w:t>
      </w:r>
      <w:r>
        <w:rPr>
          <w:rFonts w:hint="eastAsia" w:ascii="宋体" w:hAnsi="宋体" w:cs="宋体"/>
          <w:color w:val="auto"/>
          <w:sz w:val="24"/>
          <w:szCs w:val="24"/>
          <w:highlight w:val="none"/>
          <w:vertAlign w:val="baseline"/>
          <w:lang w:val="en-US" w:eastAsia="zh-CN"/>
        </w:rPr>
        <w:t>：</w:t>
      </w:r>
      <w:r>
        <w:rPr>
          <w:rFonts w:hint="eastAsia" w:ascii="宋体" w:hAnsi="宋体" w:cs="宋体"/>
          <w:sz w:val="24"/>
          <w:highlight w:val="none"/>
          <w:lang w:val="en-US" w:eastAsia="zh-CN"/>
        </w:rPr>
        <w:t>80</w:t>
      </w:r>
      <w:r>
        <w:rPr>
          <w:rFonts w:hint="eastAsia" w:ascii="宋体" w:hAnsi="宋体" w:cs="宋体"/>
          <w:sz w:val="24"/>
          <w:highlight w:val="none"/>
        </w:rPr>
        <w:t>0,000.00</w:t>
      </w:r>
      <w:r>
        <w:rPr>
          <w:rFonts w:hint="eastAsia" w:ascii="宋体" w:hAnsi="宋体" w:cs="宋体"/>
          <w:sz w:val="24"/>
          <w:highlight w:val="none"/>
          <w:lang w:val="en-US" w:eastAsia="zh-CN"/>
        </w:rPr>
        <w:t>元</w:t>
      </w:r>
    </w:p>
    <w:p w14:paraId="75D62D39">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4.最高限价：</w:t>
      </w:r>
      <w:r>
        <w:rPr>
          <w:rFonts w:hint="eastAsia" w:ascii="宋体" w:hAnsi="宋体" w:cs="宋体"/>
          <w:sz w:val="24"/>
          <w:highlight w:val="none"/>
          <w:lang w:val="en-US" w:eastAsia="zh-CN"/>
        </w:rPr>
        <w:t>80</w:t>
      </w:r>
      <w:r>
        <w:rPr>
          <w:rFonts w:hint="eastAsia" w:ascii="宋体" w:hAnsi="宋体" w:cs="宋体"/>
          <w:sz w:val="24"/>
          <w:highlight w:val="none"/>
        </w:rPr>
        <w:t>0,000.00</w:t>
      </w:r>
      <w:r>
        <w:rPr>
          <w:rFonts w:hint="eastAsia" w:ascii="宋体" w:hAnsi="宋体" w:cs="宋体"/>
          <w:sz w:val="24"/>
          <w:highlight w:val="none"/>
          <w:lang w:val="en-US" w:eastAsia="zh-CN"/>
        </w:rPr>
        <w:t>元</w:t>
      </w:r>
    </w:p>
    <w:p w14:paraId="5C891002">
      <w:pPr>
        <w:spacing w:line="360" w:lineRule="auto"/>
        <w:ind w:firstLine="480" w:firstLineChars="200"/>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5.</w:t>
      </w:r>
      <w:r>
        <w:rPr>
          <w:rFonts w:hint="eastAsia" w:ascii="宋体" w:hAnsi="宋体" w:eastAsia="宋体" w:cs="宋体"/>
          <w:color w:val="auto"/>
          <w:sz w:val="24"/>
          <w:szCs w:val="24"/>
          <w:highlight w:val="none"/>
          <w:vertAlign w:val="baseline"/>
          <w:lang w:val="en-US" w:eastAsia="zh-CN"/>
        </w:rPr>
        <w:t>采购需求：科技条件保障—农机装备数据采集平台购置</w:t>
      </w:r>
    </w:p>
    <w:p w14:paraId="0E34912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zh-CN" w:eastAsia="zh-CN"/>
        </w:rPr>
        <w:t>交货时间：</w:t>
      </w:r>
      <w:r>
        <w:rPr>
          <w:rFonts w:hint="eastAsia" w:ascii="宋体" w:hAnsi="宋体" w:cs="宋体"/>
          <w:color w:val="auto"/>
          <w:sz w:val="24"/>
          <w:szCs w:val="24"/>
          <w:highlight w:val="none"/>
          <w:lang w:val="zh-CN" w:eastAsia="zh-CN"/>
        </w:rPr>
        <w:t>合同签订后120个日历日内</w:t>
      </w:r>
    </w:p>
    <w:p w14:paraId="263D2083">
      <w:pPr>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zh-CN" w:eastAsia="zh-CN"/>
        </w:rPr>
        <w:t>交货地点：</w:t>
      </w:r>
      <w:r>
        <w:rPr>
          <w:rFonts w:hint="eastAsia" w:ascii="宋体" w:hAnsi="宋体" w:cs="宋体"/>
          <w:color w:val="auto"/>
          <w:sz w:val="24"/>
          <w:szCs w:val="24"/>
          <w:highlight w:val="none"/>
          <w:lang w:val="zh-CN" w:eastAsia="zh-CN"/>
        </w:rPr>
        <w:t>采购人指定地点</w:t>
      </w:r>
    </w:p>
    <w:p w14:paraId="0ADE3FD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.本项目不接受联合体投标。</w:t>
      </w:r>
    </w:p>
    <w:p w14:paraId="24BBFE3E">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二、申请人的资格要求 </w:t>
      </w:r>
    </w:p>
    <w:p w14:paraId="0BF5BD08">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1.满足《中华人民共和国政府采购法》第二十二条规定；</w:t>
      </w:r>
    </w:p>
    <w:p w14:paraId="39609A0B">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2.落实政府采购政策需满足的资格要求：本项目专门面向中小企业采购。</w:t>
      </w:r>
    </w:p>
    <w:p w14:paraId="370BB77A">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2.1《政府采购促进中小企业发展管理办法》（财库[2020]46号）；</w:t>
      </w:r>
    </w:p>
    <w:p w14:paraId="5F30122F">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2.2《财政部、司法部关于政府采购支持监狱企业发展有关问题的通知》（财库[2014]68号）；</w:t>
      </w:r>
    </w:p>
    <w:p w14:paraId="39E09652">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2.3《关于促进残疾人就业政府采购政策的通知》（财库〔2017〕141号）；</w:t>
      </w:r>
    </w:p>
    <w:p w14:paraId="4E792C2B">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2.4《关于调整优化节能产品、环境标志产品政府采购执行机制的通知》(财库[2019]9号)；</w:t>
      </w:r>
    </w:p>
    <w:p w14:paraId="574A526A">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2.5《财政部关于进一步加大政府采购支持中小企业力度的通知》财库〔2022〕19号等国家最新政策。</w:t>
      </w:r>
    </w:p>
    <w:p w14:paraId="6E4B6D59">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3.本项目的特定资格要求：</w:t>
      </w:r>
    </w:p>
    <w:p w14:paraId="2E45904E">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3.1供应商须是在中华人民共和国境内注册的具有独立承担民事责任能力的法人、自然人或具备国家认可经营资格的其他组织，并在人员、设备、资金等方面具有生产或经营本次采购货物和履行合同的能力；</w:t>
      </w:r>
    </w:p>
    <w:p w14:paraId="33F26B9A">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3.2财务要求：供应商近一年（202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年度）财务状况良好，具有经会计师事务所或审计机构出具的财务审计报告。</w:t>
      </w:r>
    </w:p>
    <w:p w14:paraId="3A10C82A">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3.3依法缴纳税收证明：供应商202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年0</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月至投标截止时间前任意一个月具有依法缴纳税收的良好记录；</w:t>
      </w:r>
    </w:p>
    <w:p w14:paraId="568CA1F1">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3.4依法缴纳社会保障资金证明：供应商2024年0</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月至投标截止时间前任意一个月具有依法缴纳社会保障资金的良好记录；</w:t>
      </w:r>
    </w:p>
    <w:p w14:paraId="6623456B">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3.5信誉要求：（1）参加政府采购活动前三年内，在经营活动中没有重大违法记录；（2）拒绝列入政府取消投标资格记录期间的企业或个人投标；（3）对在“信用中国”网站(www.creditchina.gov.cn)存在失信被执行人、重大税收违法失信主体、政府采购严重违法失信行为记录名单，被中国政府采购网(www.ccgp.gov.cn)列入政府采购严重违法失信行为记录名单（详见财库[2016]125号文件），被工商行政管理机关在国家企业信用信息公示系统（http://www.gsxt.gov.cn/index.html）中列入经营异常名录或严重违法失信企业名单及其他不符合《中华人民共和国政府采购法》第二十二条规定条件的供应商，不得参与政府采购活动（查询截止时点：本项目招标公告发布之日起到</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lang w:eastAsia="zh-CN"/>
        </w:rPr>
        <w:t>提交截止时间期间）；</w:t>
      </w:r>
    </w:p>
    <w:p w14:paraId="216ED759">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3.6其他要求：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071C70D2">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招投标过程中，</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所提供的所有证件均需在有效期内且注册单位名称与</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的名称一致，如企业名称发生变更，需提供主管部门出具的变更证明材料，否则不接受其供应商参与本次招标项目的投标。</w:t>
      </w:r>
    </w:p>
    <w:p w14:paraId="746710C8">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三、获取招标文件</w:t>
      </w:r>
    </w:p>
    <w:p w14:paraId="74AAC705">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06</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lang w:eastAsia="zh-CN"/>
        </w:rPr>
        <w:t>日至202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06</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eastAsia="zh-CN"/>
        </w:rPr>
        <w:t>日，08时30分至</w:t>
      </w:r>
      <w:r>
        <w:rPr>
          <w:rFonts w:hint="eastAsia" w:ascii="宋体" w:hAnsi="宋体" w:eastAsia="宋体" w:cs="宋体"/>
          <w:color w:val="auto"/>
          <w:sz w:val="24"/>
          <w:szCs w:val="24"/>
          <w:highlight w:val="none"/>
          <w:lang w:eastAsia="zh-CN"/>
        </w:rPr>
        <w:t>16时00分（北京时间，法定节假日除外）</w:t>
      </w:r>
    </w:p>
    <w:p w14:paraId="2B1FF5F8">
      <w:pPr>
        <w:spacing w:line="360" w:lineRule="auto"/>
        <w:ind w:firstLine="480" w:firstLineChars="200"/>
        <w:rPr>
          <w:rFonts w:hint="eastAsia" w:ascii="宋体" w:hAnsi="宋体" w:eastAsia="宋体" w:cs="宋体"/>
          <w:color w:val="auto"/>
          <w:sz w:val="24"/>
          <w:szCs w:val="24"/>
          <w:highlight w:val="none"/>
          <w:lang w:eastAsia="zh-CN"/>
        </w:rPr>
      </w:pPr>
      <w:bookmarkStart w:id="10" w:name="_Toc28359005"/>
      <w:bookmarkStart w:id="11" w:name="_Toc28359082"/>
      <w:bookmarkStart w:id="12" w:name="_Toc35393624"/>
      <w:bookmarkStart w:id="13" w:name="_Toc35393793"/>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方式：网上免费获取（潜在</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自行登录政府采购云平台（网址：http:// www.zcygov.cn）网上注册（https://middle.zcygov.cn/v-settle-front/registry）并下载招标文件，其他途径获取的招标文件开标时一律按无效投标处理）。</w:t>
      </w:r>
    </w:p>
    <w:p w14:paraId="21AD3292">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四、提交</w:t>
      </w:r>
      <w:bookmarkEnd w:id="10"/>
      <w:bookmarkEnd w:id="11"/>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lang w:eastAsia="zh-CN"/>
        </w:rPr>
        <w:t>截止时间、开标时间和地点</w:t>
      </w:r>
      <w:bookmarkEnd w:id="12"/>
      <w:bookmarkEnd w:id="13"/>
    </w:p>
    <w:p w14:paraId="0A5B7FB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1.时间：</w:t>
      </w:r>
      <w:r>
        <w:rPr>
          <w:rFonts w:hint="eastAsia" w:ascii="宋体" w:hAnsi="宋体" w:cs="宋体"/>
          <w:color w:val="auto"/>
          <w:sz w:val="24"/>
          <w:szCs w:val="24"/>
          <w:highlight w:val="none"/>
          <w:lang w:val="en-US" w:eastAsia="zh-CN"/>
        </w:rPr>
        <w:t>2025年7月15日13时30分</w:t>
      </w:r>
      <w:r>
        <w:rPr>
          <w:rFonts w:hint="eastAsia" w:ascii="宋体" w:hAnsi="宋体" w:eastAsia="宋体" w:cs="宋体"/>
          <w:color w:val="auto"/>
          <w:sz w:val="24"/>
          <w:szCs w:val="24"/>
          <w:highlight w:val="none"/>
          <w:lang w:val="en-US" w:eastAsia="zh-CN"/>
        </w:rPr>
        <w:t>（北京时间）。</w:t>
      </w:r>
    </w:p>
    <w:p w14:paraId="092DEFA1">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2.地点：</w:t>
      </w:r>
      <w:r>
        <w:rPr>
          <w:rFonts w:hint="eastAsia" w:ascii="宋体" w:hAnsi="宋体" w:eastAsia="宋体" w:cs="宋体"/>
          <w:color w:val="auto"/>
          <w:sz w:val="24"/>
          <w:szCs w:val="24"/>
          <w:highlight w:val="none"/>
          <w:lang w:eastAsia="zh-CN"/>
        </w:rPr>
        <w:t>长春市二道区洋浦大街凯利中心AB栋101</w:t>
      </w:r>
      <w:r>
        <w:rPr>
          <w:rFonts w:hint="eastAsia" w:ascii="宋体" w:hAnsi="宋体" w:cs="宋体"/>
          <w:color w:val="auto"/>
          <w:sz w:val="24"/>
          <w:szCs w:val="24"/>
          <w:highlight w:val="none"/>
          <w:lang w:eastAsia="zh-CN"/>
        </w:rPr>
        <w:t>开标一室</w:t>
      </w:r>
      <w:r>
        <w:rPr>
          <w:rFonts w:hint="eastAsia" w:ascii="宋体" w:hAnsi="宋体" w:eastAsia="宋体" w:cs="宋体"/>
          <w:color w:val="auto"/>
          <w:sz w:val="24"/>
          <w:szCs w:val="24"/>
          <w:highlight w:val="none"/>
          <w:lang w:eastAsia="zh-CN"/>
        </w:rPr>
        <w:t>。</w:t>
      </w:r>
    </w:p>
    <w:p w14:paraId="2AB909A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3.本项目执行电子化招投标，须通过政府采购云平台（网址：http：//www.zcygov.cn）递交电子版响应文件。</w:t>
      </w:r>
    </w:p>
    <w:p w14:paraId="635056E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4.投标操作流程：供应商在政府采购云平台网注册入库成为正式供应商后，在平台上按《政府采购项目电子交易管理操作指南-供应商》进行投标操作。</w:t>
      </w:r>
    </w:p>
    <w:p w14:paraId="4F62E94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5.数字证书办理及投标技术咨询：供应商须办理数字证书方可参加投标。</w:t>
      </w:r>
    </w:p>
    <w:p w14:paraId="71930777">
      <w:pPr>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6.办理联系方式：拨打政采云服务热线95763。</w:t>
      </w:r>
    </w:p>
    <w:p w14:paraId="292EB0B7">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五、公告期限</w:t>
      </w:r>
    </w:p>
    <w:p w14:paraId="5B4E2BA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自本公告发布之日起5个工作日。</w:t>
      </w:r>
    </w:p>
    <w:p w14:paraId="072CF732">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六、其他补充事宜</w:t>
      </w:r>
    </w:p>
    <w:p w14:paraId="0193471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本次招标公告在“政采云”平台(http:// www.zcygov.cn)上发布，同步推送到吉林省政府采购网，并同时在中国政府采购网上发布。</w:t>
      </w:r>
    </w:p>
    <w:p w14:paraId="0DBA07B8">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七、对本次招标提出询问，请按以下方式联系</w:t>
      </w:r>
    </w:p>
    <w:p w14:paraId="007CF128">
      <w:pPr>
        <w:spacing w:line="360" w:lineRule="auto"/>
        <w:ind w:firstLine="480" w:firstLineChars="200"/>
        <w:rPr>
          <w:rFonts w:hint="eastAsia" w:ascii="宋体" w:hAnsi="宋体" w:eastAsia="宋体" w:cs="宋体"/>
          <w:color w:val="auto"/>
          <w:sz w:val="24"/>
          <w:szCs w:val="24"/>
          <w:highlight w:val="none"/>
          <w:lang w:val="zh-CN" w:eastAsia="zh-CN"/>
        </w:rPr>
      </w:pPr>
      <w:bookmarkStart w:id="14" w:name="_Toc35393652"/>
      <w:bookmarkStart w:id="15" w:name="_Toc35393821"/>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采购人信息</w:t>
      </w:r>
    </w:p>
    <w:p w14:paraId="0021E1CD">
      <w:pPr>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名称：</w:t>
      </w:r>
      <w:r>
        <w:rPr>
          <w:rFonts w:hint="eastAsia" w:ascii="宋体" w:hAnsi="宋体" w:cs="宋体"/>
          <w:color w:val="auto"/>
          <w:sz w:val="24"/>
          <w:szCs w:val="24"/>
          <w:highlight w:val="none"/>
          <w:lang w:val="zh-CN" w:eastAsia="zh-CN"/>
        </w:rPr>
        <w:t>吉林省农业机械研究院</w:t>
      </w:r>
    </w:p>
    <w:p w14:paraId="1B3AD6A9">
      <w:pPr>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地址：</w:t>
      </w:r>
      <w:r>
        <w:rPr>
          <w:rFonts w:hint="eastAsia" w:ascii="宋体" w:hAnsi="宋体" w:cs="宋体"/>
          <w:color w:val="auto"/>
          <w:sz w:val="24"/>
          <w:szCs w:val="24"/>
          <w:highlight w:val="none"/>
          <w:lang w:val="zh-CN" w:eastAsia="zh-CN"/>
        </w:rPr>
        <w:t>长春市南关区人民大街8016号</w:t>
      </w:r>
    </w:p>
    <w:p w14:paraId="58D617C8">
      <w:pPr>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联系人：</w:t>
      </w:r>
      <w:r>
        <w:rPr>
          <w:rFonts w:hint="eastAsia" w:ascii="宋体" w:hAnsi="宋体" w:cs="宋体"/>
          <w:color w:val="auto"/>
          <w:sz w:val="24"/>
          <w:szCs w:val="24"/>
          <w:highlight w:val="none"/>
          <w:lang w:val="zh-CN" w:eastAsia="zh-CN"/>
        </w:rPr>
        <w:t>李爱芹</w:t>
      </w:r>
    </w:p>
    <w:p w14:paraId="0B1485AF">
      <w:pPr>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联系方式：</w:t>
      </w:r>
      <w:r>
        <w:rPr>
          <w:rFonts w:hint="eastAsia" w:ascii="宋体" w:hAnsi="宋体" w:cs="宋体"/>
          <w:color w:val="auto"/>
          <w:sz w:val="24"/>
          <w:szCs w:val="24"/>
          <w:highlight w:val="none"/>
          <w:lang w:val="zh-CN" w:eastAsia="zh-CN"/>
        </w:rPr>
        <w:t>0431-85379329</w:t>
      </w:r>
    </w:p>
    <w:p w14:paraId="38B45F94">
      <w:pPr>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采购代理机构信息</w:t>
      </w:r>
    </w:p>
    <w:p w14:paraId="49320988">
      <w:pPr>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名称：吉林省中维项目管理咨询有限公司</w:t>
      </w:r>
    </w:p>
    <w:p w14:paraId="4CFF5AA7">
      <w:pPr>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地址：长春市净月区生态大街华荣泰时代8栋21楼</w:t>
      </w:r>
    </w:p>
    <w:p w14:paraId="00C1B4F2">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项目联系人：</w:t>
      </w:r>
      <w:r>
        <w:rPr>
          <w:rFonts w:hint="eastAsia" w:ascii="宋体" w:hAnsi="宋体" w:eastAsia="宋体" w:cs="宋体"/>
          <w:color w:val="auto"/>
          <w:sz w:val="24"/>
          <w:szCs w:val="24"/>
          <w:highlight w:val="none"/>
          <w:lang w:val="en-US" w:eastAsia="zh-CN"/>
        </w:rPr>
        <w:t>王春环</w:t>
      </w:r>
      <w:r>
        <w:rPr>
          <w:rFonts w:hint="eastAsia" w:ascii="宋体" w:hAnsi="宋体" w:cs="宋体"/>
          <w:color w:val="auto"/>
          <w:sz w:val="24"/>
          <w:szCs w:val="24"/>
          <w:highlight w:val="none"/>
          <w:lang w:val="en-US" w:eastAsia="zh-CN"/>
        </w:rPr>
        <w:t>、张宁</w:t>
      </w:r>
    </w:p>
    <w:p w14:paraId="31347450">
      <w:pPr>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联系方式：0431-88008885</w:t>
      </w:r>
    </w:p>
    <w:p w14:paraId="0BC2A23A">
      <w:pPr>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3.项目联系方式</w:t>
      </w:r>
    </w:p>
    <w:p w14:paraId="0328ED9A">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项目联系人：</w:t>
      </w:r>
      <w:r>
        <w:rPr>
          <w:rFonts w:hint="eastAsia" w:ascii="宋体" w:hAnsi="宋体" w:eastAsia="宋体" w:cs="宋体"/>
          <w:color w:val="auto"/>
          <w:sz w:val="24"/>
          <w:szCs w:val="24"/>
          <w:highlight w:val="none"/>
          <w:lang w:val="en-US" w:eastAsia="zh-CN"/>
        </w:rPr>
        <w:t>王春环</w:t>
      </w:r>
      <w:r>
        <w:rPr>
          <w:rFonts w:hint="eastAsia" w:ascii="宋体" w:hAnsi="宋体" w:cs="宋体"/>
          <w:color w:val="auto"/>
          <w:sz w:val="24"/>
          <w:szCs w:val="24"/>
          <w:highlight w:val="none"/>
          <w:lang w:val="en-US" w:eastAsia="zh-CN"/>
        </w:rPr>
        <w:t>、张宁</w:t>
      </w:r>
    </w:p>
    <w:p w14:paraId="06F9A5CF">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eastAsia="zh-CN"/>
        </w:rPr>
        <w:t>电话：0431-88008885</w:t>
      </w:r>
      <w:bookmarkEnd w:id="14"/>
      <w:bookmarkEnd w:id="15"/>
    </w:p>
    <w:p w14:paraId="54E71620">
      <w:pPr>
        <w:spacing w:line="360" w:lineRule="auto"/>
        <w:ind w:firstLine="480" w:firstLineChars="200"/>
        <w:rPr>
          <w:rFonts w:hint="eastAsia" w:ascii="宋体" w:hAnsi="宋体" w:eastAsia="宋体" w:cs="宋体"/>
          <w:color w:val="auto"/>
          <w:sz w:val="24"/>
          <w:szCs w:val="24"/>
          <w:highlight w:val="none"/>
          <w:lang w:eastAsia="zh-CN"/>
        </w:rPr>
      </w:pPr>
    </w:p>
    <w:p w14:paraId="19C5A904">
      <w:pPr>
        <w:spacing w:line="360" w:lineRule="auto"/>
        <w:ind w:firstLine="420" w:firstLineChars="200"/>
        <w:jc w:val="righ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7E7D236">
      <w:pPr>
        <w:pStyle w:val="2"/>
        <w:autoSpaceDN w:val="0"/>
        <w:spacing w:before="0" w:after="0" w:line="360" w:lineRule="auto"/>
        <w:jc w:val="center"/>
        <w:rPr>
          <w:rFonts w:hint="eastAsia" w:ascii="宋体" w:hAnsi="宋体" w:eastAsia="宋体" w:cs="宋体"/>
          <w:color w:val="auto"/>
          <w:highlight w:val="none"/>
        </w:rPr>
      </w:pPr>
      <w:bookmarkStart w:id="16" w:name="_Toc11796"/>
      <w:r>
        <w:rPr>
          <w:rFonts w:hint="eastAsia" w:ascii="宋体" w:hAnsi="宋体" w:eastAsia="宋体" w:cs="宋体"/>
          <w:color w:val="auto"/>
          <w:highlight w:val="none"/>
        </w:rPr>
        <w:t xml:space="preserve">第二部分  </w:t>
      </w:r>
      <w:r>
        <w:rPr>
          <w:rFonts w:hint="eastAsia" w:ascii="宋体" w:hAnsi="宋体" w:cs="宋体"/>
          <w:color w:val="auto"/>
          <w:highlight w:val="none"/>
          <w:lang w:eastAsia="zh-CN"/>
        </w:rPr>
        <w:t>供应商</w:t>
      </w:r>
      <w:r>
        <w:rPr>
          <w:rFonts w:hint="eastAsia" w:ascii="宋体" w:hAnsi="宋体" w:eastAsia="宋体" w:cs="宋体"/>
          <w:color w:val="auto"/>
          <w:highlight w:val="none"/>
        </w:rPr>
        <w:t>须知</w:t>
      </w:r>
      <w:bookmarkEnd w:id="9"/>
      <w:bookmarkEnd w:id="16"/>
    </w:p>
    <w:p w14:paraId="605E982D">
      <w:pPr>
        <w:pStyle w:val="3"/>
        <w:keepNext/>
        <w:keepLines/>
        <w:pageBreakBefore w:val="0"/>
        <w:widowControl w:val="0"/>
        <w:tabs>
          <w:tab w:val="left" w:pos="360"/>
        </w:tabs>
        <w:kinsoku/>
        <w:wordWrap/>
        <w:overflowPunct/>
        <w:topLinePunct w:val="0"/>
        <w:autoSpaceDE/>
        <w:autoSpaceDN w:val="0"/>
        <w:bidi w:val="0"/>
        <w:adjustRightInd/>
        <w:snapToGrid/>
        <w:spacing w:before="20" w:after="140" w:line="240" w:lineRule="auto"/>
        <w:jc w:val="center"/>
        <w:textAlignment w:val="auto"/>
        <w:rPr>
          <w:rFonts w:hint="eastAsia" w:ascii="宋体" w:hAnsi="宋体" w:eastAsia="宋体" w:cs="宋体"/>
          <w:color w:val="auto"/>
          <w:sz w:val="32"/>
          <w:szCs w:val="32"/>
          <w:highlight w:val="none"/>
        </w:rPr>
      </w:pPr>
      <w:bookmarkStart w:id="17" w:name="_Toc7249"/>
      <w:bookmarkStart w:id="18" w:name="_Toc13865"/>
      <w:r>
        <w:rPr>
          <w:rFonts w:hint="eastAsia" w:ascii="宋体" w:hAnsi="宋体" w:eastAsia="宋体" w:cs="宋体"/>
          <w:color w:val="auto"/>
          <w:sz w:val="32"/>
          <w:szCs w:val="32"/>
          <w:highlight w:val="none"/>
        </w:rPr>
        <w:t>一、</w:t>
      </w:r>
      <w:r>
        <w:rPr>
          <w:rFonts w:hint="eastAsia" w:ascii="宋体" w:hAnsi="宋体" w:eastAsia="宋体" w:cs="宋体"/>
          <w:color w:val="auto"/>
          <w:sz w:val="32"/>
          <w:szCs w:val="32"/>
          <w:highlight w:val="none"/>
          <w:lang w:eastAsia="zh-CN"/>
        </w:rPr>
        <w:t>供应商</w:t>
      </w:r>
      <w:r>
        <w:rPr>
          <w:rFonts w:hint="eastAsia" w:ascii="宋体" w:hAnsi="宋体" w:eastAsia="宋体" w:cs="宋体"/>
          <w:color w:val="auto"/>
          <w:sz w:val="32"/>
          <w:szCs w:val="32"/>
          <w:highlight w:val="none"/>
        </w:rPr>
        <w:t>须知前附表</w:t>
      </w:r>
      <w:bookmarkEnd w:id="17"/>
      <w:bookmarkEnd w:id="18"/>
    </w:p>
    <w:tbl>
      <w:tblPr>
        <w:tblStyle w:val="26"/>
        <w:tblW w:w="96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3"/>
        <w:gridCol w:w="2070"/>
        <w:gridCol w:w="6597"/>
      </w:tblGrid>
      <w:tr w14:paraId="17A5B4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noWrap/>
            <w:vAlign w:val="center"/>
          </w:tcPr>
          <w:p w14:paraId="48CC39F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条款号</w:t>
            </w:r>
          </w:p>
        </w:tc>
        <w:tc>
          <w:tcPr>
            <w:tcW w:w="2070" w:type="dxa"/>
            <w:tcBorders>
              <w:top w:val="single" w:color="auto" w:sz="4" w:space="0"/>
              <w:left w:val="single" w:color="auto" w:sz="4" w:space="0"/>
              <w:bottom w:val="single" w:color="auto" w:sz="4" w:space="0"/>
              <w:right w:val="single" w:color="auto" w:sz="4" w:space="0"/>
            </w:tcBorders>
            <w:noWrap/>
            <w:vAlign w:val="center"/>
          </w:tcPr>
          <w:p w14:paraId="595ADF78">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c>
          <w:tcPr>
            <w:tcW w:w="6597" w:type="dxa"/>
            <w:tcBorders>
              <w:top w:val="single" w:color="auto" w:sz="4" w:space="0"/>
              <w:left w:val="single" w:color="auto" w:sz="4" w:space="0"/>
              <w:bottom w:val="single" w:color="auto" w:sz="4" w:space="0"/>
              <w:right w:val="single" w:color="auto" w:sz="4" w:space="0"/>
            </w:tcBorders>
            <w:noWrap/>
            <w:vAlign w:val="center"/>
          </w:tcPr>
          <w:p w14:paraId="38FD45F8">
            <w:pPr>
              <w:keepNext w:val="0"/>
              <w:keepLines w:val="0"/>
              <w:pageBreakBefore w:val="0"/>
              <w:tabs>
                <w:tab w:val="left" w:pos="1180"/>
              </w:tabs>
              <w:kinsoku/>
              <w:wordWrap/>
              <w:overflowPunct/>
              <w:autoSpaceDN w:val="0"/>
              <w:bidi w:val="0"/>
              <w:adjustRightInd w:val="0"/>
              <w:snapToGrid w:val="0"/>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说明与要求</w:t>
            </w:r>
          </w:p>
        </w:tc>
      </w:tr>
      <w:tr w14:paraId="05032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noWrap/>
            <w:vAlign w:val="center"/>
          </w:tcPr>
          <w:p w14:paraId="4042EAF2">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1</w:t>
            </w:r>
          </w:p>
        </w:tc>
        <w:tc>
          <w:tcPr>
            <w:tcW w:w="2070" w:type="dxa"/>
            <w:tcBorders>
              <w:top w:val="single" w:color="auto" w:sz="4" w:space="0"/>
              <w:left w:val="single" w:color="auto" w:sz="4" w:space="0"/>
              <w:bottom w:val="single" w:color="auto" w:sz="4" w:space="0"/>
              <w:right w:val="single" w:color="auto" w:sz="4" w:space="0"/>
            </w:tcBorders>
            <w:noWrap/>
            <w:vAlign w:val="center"/>
          </w:tcPr>
          <w:p w14:paraId="6DFA64F1">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6597" w:type="dxa"/>
            <w:tcBorders>
              <w:top w:val="single" w:color="auto" w:sz="4" w:space="0"/>
              <w:left w:val="single" w:color="auto" w:sz="4" w:space="0"/>
              <w:bottom w:val="single" w:color="auto" w:sz="4" w:space="0"/>
              <w:right w:val="single" w:color="auto" w:sz="4" w:space="0"/>
            </w:tcBorders>
            <w:noWrap/>
            <w:vAlign w:val="center"/>
          </w:tcPr>
          <w:p w14:paraId="50EA5CA8">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名称：吉林省农业机械研究院</w:t>
            </w:r>
          </w:p>
          <w:p w14:paraId="0441CA6C">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地址：长春市南关区人民大街8016号</w:t>
            </w:r>
          </w:p>
          <w:p w14:paraId="5296FEF5">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联系人：李爱芹</w:t>
            </w:r>
          </w:p>
          <w:p w14:paraId="614ADBF0">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联系方式：0431-85379329</w:t>
            </w:r>
          </w:p>
        </w:tc>
      </w:tr>
      <w:tr w14:paraId="1A218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noWrap/>
            <w:vAlign w:val="center"/>
          </w:tcPr>
          <w:p w14:paraId="07B7C0F2">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070" w:type="dxa"/>
            <w:tcBorders>
              <w:top w:val="single" w:color="auto" w:sz="4" w:space="0"/>
              <w:left w:val="single" w:color="auto" w:sz="4" w:space="0"/>
              <w:bottom w:val="single" w:color="auto" w:sz="4" w:space="0"/>
              <w:right w:val="single" w:color="auto" w:sz="4" w:space="0"/>
            </w:tcBorders>
            <w:noWrap/>
            <w:vAlign w:val="center"/>
          </w:tcPr>
          <w:p w14:paraId="266FEB69">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tc>
        <w:tc>
          <w:tcPr>
            <w:tcW w:w="6597" w:type="dxa"/>
            <w:tcBorders>
              <w:top w:val="single" w:color="auto" w:sz="4" w:space="0"/>
              <w:left w:val="single" w:color="auto" w:sz="4" w:space="0"/>
              <w:bottom w:val="single" w:color="auto" w:sz="4" w:space="0"/>
              <w:right w:val="single" w:color="auto" w:sz="4" w:space="0"/>
            </w:tcBorders>
            <w:noWrap/>
            <w:vAlign w:val="center"/>
          </w:tcPr>
          <w:p w14:paraId="4334C01E">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名称：吉林省中维项目管理咨询有限公司</w:t>
            </w:r>
          </w:p>
          <w:p w14:paraId="642716FC">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地址：长春市净月区生态大街华荣泰时代8栋21楼</w:t>
            </w:r>
          </w:p>
          <w:p w14:paraId="7AF29ACA">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项目联系人：</w:t>
            </w:r>
            <w:r>
              <w:rPr>
                <w:rFonts w:hint="eastAsia" w:ascii="宋体" w:hAnsi="宋体" w:eastAsia="宋体" w:cs="宋体"/>
                <w:color w:val="auto"/>
                <w:sz w:val="24"/>
                <w:szCs w:val="24"/>
                <w:highlight w:val="none"/>
                <w:lang w:val="en-US" w:eastAsia="zh-CN"/>
              </w:rPr>
              <w:t>王春环、张宁</w:t>
            </w:r>
          </w:p>
          <w:p w14:paraId="013C255C">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zh-CN" w:eastAsia="zh-CN"/>
              </w:rPr>
              <w:t>联系方式：0431-88008885</w:t>
            </w:r>
          </w:p>
        </w:tc>
      </w:tr>
      <w:tr w14:paraId="560A0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noWrap/>
            <w:vAlign w:val="center"/>
          </w:tcPr>
          <w:p w14:paraId="50996E2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p>
        </w:tc>
        <w:tc>
          <w:tcPr>
            <w:tcW w:w="2070" w:type="dxa"/>
            <w:tcBorders>
              <w:top w:val="single" w:color="auto" w:sz="4" w:space="0"/>
              <w:left w:val="single" w:color="auto" w:sz="4" w:space="0"/>
              <w:bottom w:val="single" w:color="auto" w:sz="4" w:space="0"/>
              <w:right w:val="single" w:color="auto" w:sz="4" w:space="0"/>
            </w:tcBorders>
            <w:noWrap/>
            <w:vAlign w:val="center"/>
          </w:tcPr>
          <w:p w14:paraId="235C2E86">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名称</w:t>
            </w:r>
          </w:p>
        </w:tc>
        <w:tc>
          <w:tcPr>
            <w:tcW w:w="6597" w:type="dxa"/>
            <w:tcBorders>
              <w:top w:val="single" w:color="auto" w:sz="4" w:space="0"/>
              <w:left w:val="single" w:color="auto" w:sz="4" w:space="0"/>
              <w:bottom w:val="single" w:color="auto" w:sz="4" w:space="0"/>
              <w:right w:val="single" w:color="auto" w:sz="4" w:space="0"/>
            </w:tcBorders>
            <w:noWrap/>
            <w:vAlign w:val="center"/>
          </w:tcPr>
          <w:p w14:paraId="3A44BC64">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农机装备数据采集平台购置</w:t>
            </w:r>
          </w:p>
        </w:tc>
      </w:tr>
      <w:tr w14:paraId="384A4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noWrap/>
            <w:vAlign w:val="center"/>
          </w:tcPr>
          <w:p w14:paraId="11281D0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p>
        </w:tc>
        <w:tc>
          <w:tcPr>
            <w:tcW w:w="2070" w:type="dxa"/>
            <w:tcBorders>
              <w:top w:val="single" w:color="auto" w:sz="4" w:space="0"/>
              <w:left w:val="single" w:color="auto" w:sz="4" w:space="0"/>
              <w:bottom w:val="single" w:color="auto" w:sz="4" w:space="0"/>
              <w:right w:val="single" w:color="auto" w:sz="4" w:space="0"/>
            </w:tcBorders>
            <w:noWrap/>
            <w:vAlign w:val="center"/>
          </w:tcPr>
          <w:p w14:paraId="414E0375">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编号</w:t>
            </w:r>
          </w:p>
        </w:tc>
        <w:tc>
          <w:tcPr>
            <w:tcW w:w="6597" w:type="dxa"/>
            <w:tcBorders>
              <w:top w:val="single" w:color="auto" w:sz="4" w:space="0"/>
              <w:left w:val="single" w:color="auto" w:sz="4" w:space="0"/>
              <w:bottom w:val="single" w:color="auto" w:sz="4" w:space="0"/>
              <w:right w:val="single" w:color="auto" w:sz="4" w:space="0"/>
            </w:tcBorders>
            <w:noWrap/>
            <w:vAlign w:val="center"/>
          </w:tcPr>
          <w:p w14:paraId="44B4931B">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项目编号：</w:t>
            </w:r>
            <w:r>
              <w:rPr>
                <w:rFonts w:hint="eastAsia" w:ascii="宋体" w:hAnsi="宋体" w:cs="宋体"/>
                <w:color w:val="auto"/>
                <w:sz w:val="24"/>
                <w:szCs w:val="24"/>
                <w:highlight w:val="none"/>
                <w:lang w:val="en-US" w:eastAsia="zh-CN"/>
              </w:rPr>
              <w:t>ZWZB20250623-025</w:t>
            </w:r>
          </w:p>
          <w:p w14:paraId="359AED9F">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采购计划编号：采购计划-[2025]-02252号</w:t>
            </w:r>
          </w:p>
        </w:tc>
      </w:tr>
      <w:tr w14:paraId="5F0C01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noWrap/>
            <w:vAlign w:val="center"/>
          </w:tcPr>
          <w:p w14:paraId="05D3F25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070" w:type="dxa"/>
            <w:tcBorders>
              <w:top w:val="single" w:color="auto" w:sz="4" w:space="0"/>
              <w:left w:val="single" w:color="auto" w:sz="4" w:space="0"/>
              <w:bottom w:val="single" w:color="auto" w:sz="4" w:space="0"/>
              <w:right w:val="single" w:color="auto" w:sz="4" w:space="0"/>
            </w:tcBorders>
            <w:noWrap/>
            <w:vAlign w:val="center"/>
          </w:tcPr>
          <w:p w14:paraId="663E1C4F">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采购预算</w:t>
            </w:r>
          </w:p>
        </w:tc>
        <w:tc>
          <w:tcPr>
            <w:tcW w:w="6597" w:type="dxa"/>
            <w:tcBorders>
              <w:top w:val="single" w:color="auto" w:sz="4" w:space="0"/>
              <w:left w:val="single" w:color="auto" w:sz="4" w:space="0"/>
              <w:bottom w:val="single" w:color="auto" w:sz="4" w:space="0"/>
              <w:right w:val="single" w:color="auto" w:sz="4" w:space="0"/>
            </w:tcBorders>
            <w:noWrap/>
            <w:vAlign w:val="center"/>
          </w:tcPr>
          <w:p w14:paraId="7D200695">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800,000.00元</w:t>
            </w:r>
          </w:p>
        </w:tc>
      </w:tr>
      <w:tr w14:paraId="2FCB91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noWrap/>
            <w:vAlign w:val="center"/>
          </w:tcPr>
          <w:p w14:paraId="6F24C2C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070" w:type="dxa"/>
            <w:tcBorders>
              <w:top w:val="single" w:color="auto" w:sz="4" w:space="0"/>
              <w:left w:val="single" w:color="auto" w:sz="4" w:space="0"/>
              <w:bottom w:val="single" w:color="auto" w:sz="4" w:space="0"/>
              <w:right w:val="single" w:color="auto" w:sz="4" w:space="0"/>
            </w:tcBorders>
            <w:noWrap/>
            <w:vAlign w:val="center"/>
          </w:tcPr>
          <w:p w14:paraId="350AB24A">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kern w:val="15"/>
                <w:sz w:val="24"/>
                <w:szCs w:val="24"/>
                <w:highlight w:val="none"/>
                <w:lang w:val="en-US" w:eastAsia="zh-CN"/>
              </w:rPr>
              <w:t>交货</w:t>
            </w:r>
            <w:r>
              <w:rPr>
                <w:rFonts w:hint="eastAsia" w:ascii="宋体" w:hAnsi="宋体" w:eastAsia="宋体" w:cs="宋体"/>
                <w:bCs/>
                <w:color w:val="auto"/>
                <w:kern w:val="15"/>
                <w:sz w:val="24"/>
                <w:szCs w:val="24"/>
                <w:highlight w:val="none"/>
              </w:rPr>
              <w:t>地点</w:t>
            </w:r>
          </w:p>
        </w:tc>
        <w:tc>
          <w:tcPr>
            <w:tcW w:w="6597" w:type="dxa"/>
            <w:tcBorders>
              <w:top w:val="single" w:color="auto" w:sz="4" w:space="0"/>
              <w:left w:val="single" w:color="auto" w:sz="4" w:space="0"/>
              <w:bottom w:val="single" w:color="auto" w:sz="4" w:space="0"/>
              <w:right w:val="single" w:color="auto" w:sz="4" w:space="0"/>
            </w:tcBorders>
            <w:noWrap/>
            <w:vAlign w:val="center"/>
          </w:tcPr>
          <w:p w14:paraId="1CE80306">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采购人指定地点</w:t>
            </w:r>
            <w:r>
              <w:rPr>
                <w:rFonts w:hint="eastAsia" w:ascii="宋体" w:hAnsi="宋体" w:eastAsia="宋体" w:cs="宋体"/>
                <w:color w:val="auto"/>
                <w:sz w:val="24"/>
                <w:szCs w:val="24"/>
                <w:highlight w:val="none"/>
              </w:rPr>
              <w:t>。</w:t>
            </w:r>
          </w:p>
        </w:tc>
      </w:tr>
      <w:tr w14:paraId="1B47E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noWrap/>
            <w:vAlign w:val="center"/>
          </w:tcPr>
          <w:p w14:paraId="5D14290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070" w:type="dxa"/>
            <w:tcBorders>
              <w:top w:val="single" w:color="auto" w:sz="4" w:space="0"/>
              <w:left w:val="single" w:color="auto" w:sz="4" w:space="0"/>
              <w:bottom w:val="single" w:color="auto" w:sz="4" w:space="0"/>
              <w:right w:val="single" w:color="auto" w:sz="4" w:space="0"/>
            </w:tcBorders>
            <w:noWrap/>
            <w:vAlign w:val="center"/>
          </w:tcPr>
          <w:p w14:paraId="4BEDF787">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6597" w:type="dxa"/>
            <w:tcBorders>
              <w:top w:val="single" w:color="auto" w:sz="4" w:space="0"/>
              <w:left w:val="single" w:color="auto" w:sz="4" w:space="0"/>
              <w:bottom w:val="single" w:color="auto" w:sz="4" w:space="0"/>
              <w:right w:val="single" w:color="auto" w:sz="4" w:space="0"/>
            </w:tcBorders>
            <w:noWrap/>
            <w:vAlign w:val="center"/>
          </w:tcPr>
          <w:p w14:paraId="5BF941F1">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科技条件保障—农机装备数据采集平台购置</w:t>
            </w:r>
          </w:p>
        </w:tc>
      </w:tr>
      <w:tr w14:paraId="0C3DEE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noWrap/>
            <w:vAlign w:val="center"/>
          </w:tcPr>
          <w:p w14:paraId="09F3A09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070" w:type="dxa"/>
            <w:tcBorders>
              <w:top w:val="single" w:color="auto" w:sz="4" w:space="0"/>
              <w:left w:val="single" w:color="auto" w:sz="4" w:space="0"/>
              <w:bottom w:val="single" w:color="auto" w:sz="4" w:space="0"/>
              <w:right w:val="single" w:color="auto" w:sz="4" w:space="0"/>
            </w:tcBorders>
            <w:noWrap/>
            <w:vAlign w:val="center"/>
          </w:tcPr>
          <w:p w14:paraId="7A8A9773">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kern w:val="15"/>
                <w:sz w:val="24"/>
                <w:szCs w:val="24"/>
                <w:highlight w:val="none"/>
              </w:rPr>
              <w:t>质量要求</w:t>
            </w:r>
          </w:p>
        </w:tc>
        <w:tc>
          <w:tcPr>
            <w:tcW w:w="6597" w:type="dxa"/>
            <w:tcBorders>
              <w:top w:val="single" w:color="auto" w:sz="4" w:space="0"/>
              <w:left w:val="single" w:color="auto" w:sz="4" w:space="0"/>
              <w:bottom w:val="single" w:color="auto" w:sz="4" w:space="0"/>
              <w:right w:val="single" w:color="auto" w:sz="4" w:space="0"/>
            </w:tcBorders>
            <w:noWrap/>
            <w:vAlign w:val="center"/>
          </w:tcPr>
          <w:p w14:paraId="35C850A8">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kern w:val="0"/>
                <w:sz w:val="24"/>
                <w:szCs w:val="24"/>
                <w:highlight w:val="none"/>
              </w:rPr>
            </w:pPr>
            <w:r>
              <w:rPr>
                <w:rFonts w:hint="eastAsia" w:ascii="宋体" w:hAnsi="宋体" w:eastAsia="宋体" w:cs="宋体"/>
                <w:bCs/>
                <w:color w:val="auto"/>
                <w:kern w:val="15"/>
                <w:sz w:val="24"/>
                <w:szCs w:val="24"/>
                <w:highlight w:val="none"/>
              </w:rPr>
              <w:t>符合国家及行业相关合格标准</w:t>
            </w:r>
          </w:p>
        </w:tc>
      </w:tr>
      <w:tr w14:paraId="1A91E3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noWrap/>
            <w:vAlign w:val="center"/>
          </w:tcPr>
          <w:p w14:paraId="580648EE">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070" w:type="dxa"/>
            <w:tcBorders>
              <w:top w:val="single" w:color="auto" w:sz="4" w:space="0"/>
              <w:left w:val="single" w:color="auto" w:sz="4" w:space="0"/>
              <w:bottom w:val="single" w:color="auto" w:sz="4" w:space="0"/>
              <w:right w:val="single" w:color="auto" w:sz="4" w:space="0"/>
            </w:tcBorders>
            <w:noWrap/>
            <w:vAlign w:val="center"/>
          </w:tcPr>
          <w:p w14:paraId="29278A4D">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交货时间</w:t>
            </w:r>
          </w:p>
        </w:tc>
        <w:tc>
          <w:tcPr>
            <w:tcW w:w="6597" w:type="dxa"/>
            <w:tcBorders>
              <w:top w:val="single" w:color="auto" w:sz="4" w:space="0"/>
              <w:left w:val="single" w:color="auto" w:sz="4" w:space="0"/>
              <w:bottom w:val="single" w:color="auto" w:sz="4" w:space="0"/>
              <w:right w:val="single" w:color="auto" w:sz="4" w:space="0"/>
            </w:tcBorders>
            <w:noWrap/>
            <w:vAlign w:val="center"/>
          </w:tcPr>
          <w:p w14:paraId="328D13AA">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合同签订后120个日历日内</w:t>
            </w:r>
          </w:p>
        </w:tc>
      </w:tr>
      <w:tr w14:paraId="66E661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noWrap/>
            <w:vAlign w:val="center"/>
          </w:tcPr>
          <w:p w14:paraId="509A1CE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070" w:type="dxa"/>
            <w:tcBorders>
              <w:top w:val="single" w:color="auto" w:sz="4" w:space="0"/>
              <w:left w:val="single" w:color="auto" w:sz="4" w:space="0"/>
              <w:bottom w:val="single" w:color="auto" w:sz="4" w:space="0"/>
              <w:right w:val="single" w:color="auto" w:sz="4" w:space="0"/>
            </w:tcBorders>
            <w:noWrap/>
            <w:vAlign w:val="center"/>
          </w:tcPr>
          <w:p w14:paraId="507DE930">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6597" w:type="dxa"/>
            <w:tcBorders>
              <w:top w:val="single" w:color="auto" w:sz="4" w:space="0"/>
              <w:left w:val="single" w:color="auto" w:sz="4" w:space="0"/>
              <w:bottom w:val="single" w:color="auto" w:sz="4" w:space="0"/>
              <w:right w:val="single" w:color="auto" w:sz="4" w:space="0"/>
            </w:tcBorders>
            <w:noWrap/>
            <w:vAlign w:val="center"/>
          </w:tcPr>
          <w:p w14:paraId="06D7089B">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财政</w:t>
            </w:r>
            <w:r>
              <w:rPr>
                <w:rFonts w:hint="eastAsia" w:ascii="宋体" w:hAnsi="宋体" w:eastAsia="宋体" w:cs="宋体"/>
                <w:bCs/>
                <w:color w:val="auto"/>
                <w:sz w:val="24"/>
                <w:szCs w:val="24"/>
                <w:highlight w:val="none"/>
                <w:lang w:eastAsia="zh-CN"/>
              </w:rPr>
              <w:t>资金</w:t>
            </w:r>
          </w:p>
        </w:tc>
      </w:tr>
      <w:tr w14:paraId="4AA1A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nil"/>
              <w:right w:val="single" w:color="auto" w:sz="4" w:space="0"/>
            </w:tcBorders>
            <w:noWrap/>
            <w:vAlign w:val="center"/>
          </w:tcPr>
          <w:p w14:paraId="2129F2C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2070" w:type="dxa"/>
            <w:tcBorders>
              <w:top w:val="single" w:color="auto" w:sz="4" w:space="0"/>
              <w:left w:val="single" w:color="auto" w:sz="4" w:space="0"/>
              <w:bottom w:val="nil"/>
              <w:right w:val="single" w:color="auto" w:sz="4" w:space="0"/>
            </w:tcBorders>
            <w:noWrap/>
            <w:vAlign w:val="center"/>
          </w:tcPr>
          <w:p w14:paraId="53F7EBE7">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w:t>
            </w:r>
          </w:p>
          <w:p w14:paraId="52FE0098">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资格要求</w:t>
            </w:r>
          </w:p>
        </w:tc>
        <w:tc>
          <w:tcPr>
            <w:tcW w:w="6597" w:type="dxa"/>
            <w:tcBorders>
              <w:top w:val="single" w:color="auto" w:sz="4" w:space="0"/>
              <w:left w:val="single" w:color="auto" w:sz="4" w:space="0"/>
              <w:bottom w:val="nil"/>
              <w:right w:val="single" w:color="auto" w:sz="4" w:space="0"/>
            </w:tcBorders>
            <w:noWrap/>
            <w:vAlign w:val="center"/>
          </w:tcPr>
          <w:p w14:paraId="78D5802A">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1.满足《中华人民共和国政府采购法》第二十二条规定；</w:t>
            </w:r>
          </w:p>
          <w:p w14:paraId="68F652D2">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2.落实政府采购政策需满足的资格要求：本项目专门面向中小企业采购。</w:t>
            </w:r>
          </w:p>
          <w:p w14:paraId="794CEE82">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2.1《政府采购促进中小企业发展管理办法》（财库[2020]46号）；</w:t>
            </w:r>
          </w:p>
          <w:p w14:paraId="44555FB6">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2.2《财政部、司法部关于政府采购支持监狱企业发展有关问题的通知》（财库[2014]68号）；</w:t>
            </w:r>
          </w:p>
          <w:p w14:paraId="357521B8">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2.3《关于促进残疾人就业政府采购政策的通知》（财库〔2017〕141号）；</w:t>
            </w:r>
          </w:p>
          <w:p w14:paraId="11459825">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2.4《关于调整优化节能产品、环境标志产品政府采购执行机制的通知》(财库[2019]9号)；</w:t>
            </w:r>
          </w:p>
          <w:p w14:paraId="28D4050E">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2.5《财政部关于进一步加大政府采购支持中小企业力度的通知》财库〔2022〕19号等国家最新政策。</w:t>
            </w:r>
          </w:p>
          <w:p w14:paraId="1EB8FB23">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3.本项目的特定资格要求：</w:t>
            </w:r>
          </w:p>
          <w:p w14:paraId="47470957">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3.1供应商须是在中华人民共和国境内注册的具有独立承担民事责任能力的法人、自然人或具备国家认可经营资格的其他组织，并在人员、设备、资金等方面具有生产或经营本次采购货物和履行合同的能力；</w:t>
            </w:r>
          </w:p>
          <w:p w14:paraId="6B6CE312">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3.2财务要求：供应商近一年（2024年度）财务状况良好，具有经会计师事务所或审计机构出具的财务审计报告。</w:t>
            </w:r>
          </w:p>
          <w:p w14:paraId="44E0DFB3">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3.3依法缴纳税收证明：供应商2024年0</w:t>
            </w:r>
            <w:r>
              <w:rPr>
                <w:rFonts w:hint="eastAsia" w:ascii="宋体" w:hAnsi="宋体" w:cs="宋体"/>
                <w:color w:val="auto"/>
                <w:sz w:val="24"/>
                <w:szCs w:val="24"/>
                <w:highlight w:val="none"/>
                <w:shd w:val="clear" w:color="auto" w:fill="FFFFFF"/>
                <w:lang w:val="en-US" w:eastAsia="zh-CN"/>
              </w:rPr>
              <w:t>6</w:t>
            </w:r>
            <w:r>
              <w:rPr>
                <w:rFonts w:hint="eastAsia" w:ascii="宋体" w:hAnsi="宋体" w:eastAsia="宋体" w:cs="宋体"/>
                <w:color w:val="auto"/>
                <w:sz w:val="24"/>
                <w:szCs w:val="24"/>
                <w:highlight w:val="none"/>
                <w:shd w:val="clear" w:color="auto" w:fill="FFFFFF"/>
              </w:rPr>
              <w:t>月至投标截止时间前任意一个月具有依法缴纳税收的良好记录；</w:t>
            </w:r>
          </w:p>
          <w:p w14:paraId="794E5FF6">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3.4依法缴纳社会保障资金证明：供应商2024年0</w:t>
            </w:r>
            <w:r>
              <w:rPr>
                <w:rFonts w:hint="eastAsia" w:ascii="宋体" w:hAnsi="宋体" w:cs="宋体"/>
                <w:color w:val="auto"/>
                <w:sz w:val="24"/>
                <w:szCs w:val="24"/>
                <w:highlight w:val="none"/>
                <w:shd w:val="clear" w:color="auto" w:fill="FFFFFF"/>
                <w:lang w:val="en-US" w:eastAsia="zh-CN"/>
              </w:rPr>
              <w:t>6</w:t>
            </w:r>
            <w:r>
              <w:rPr>
                <w:rFonts w:hint="eastAsia" w:ascii="宋体" w:hAnsi="宋体" w:eastAsia="宋体" w:cs="宋体"/>
                <w:color w:val="auto"/>
                <w:sz w:val="24"/>
                <w:szCs w:val="24"/>
                <w:highlight w:val="none"/>
                <w:shd w:val="clear" w:color="auto" w:fill="FFFFFF"/>
              </w:rPr>
              <w:t>月至投标截止时间前任意一个月具有依法缴纳社会保障资金的良好记录；</w:t>
            </w:r>
          </w:p>
          <w:p w14:paraId="46F66E83">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3.5信誉要求：（1）参加政府采购活动前三年内，在经营活动中没有重大违法记录；（2）拒绝列入政府取消投标资格记录期间的企业或个人投标；（3）对在“信用中国”网站(www.creditchina.gov.cn)存在失信被执行人、重大税收违法失信主体、政府采购严重违法失信行为记录名单，被中国政府采购网(www.ccgp.gov.cn)列入政府采购严重违法失信行为记录名单（详见财库[2016]125号文件），被工商行政管理机关在国家企业信用信息公示系统（http://www.gsxt.gov.cn/index.html）中列入经营异常名录或严重违法失信企业名单及其他不符合《中华人民共和国政府采购法》第二十二条规定条件的供应商，不得参与政府采购活动（查询截止时点：本项目招标公告发布之日起到</w:t>
            </w:r>
            <w:r>
              <w:rPr>
                <w:rFonts w:hint="eastAsia" w:ascii="宋体" w:hAnsi="宋体" w:eastAsia="宋体" w:cs="宋体"/>
                <w:color w:val="auto"/>
                <w:sz w:val="24"/>
                <w:szCs w:val="24"/>
                <w:highlight w:val="none"/>
                <w:shd w:val="clear" w:color="auto" w:fill="FFFFFF"/>
                <w:lang w:eastAsia="zh-CN"/>
              </w:rPr>
              <w:t>响应文件</w:t>
            </w:r>
            <w:r>
              <w:rPr>
                <w:rFonts w:hint="eastAsia" w:ascii="宋体" w:hAnsi="宋体" w:eastAsia="宋体" w:cs="宋体"/>
                <w:color w:val="auto"/>
                <w:sz w:val="24"/>
                <w:szCs w:val="24"/>
                <w:highlight w:val="none"/>
                <w:shd w:val="clear" w:color="auto" w:fill="FFFFFF"/>
              </w:rPr>
              <w:t>提交截止时间期间）；</w:t>
            </w:r>
          </w:p>
          <w:p w14:paraId="245EF387">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3.6其他要求：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0BF2BBB0">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3.7招投标过程中，</w:t>
            </w:r>
            <w:r>
              <w:rPr>
                <w:rFonts w:hint="eastAsia" w:ascii="宋体" w:hAnsi="宋体" w:eastAsia="宋体" w:cs="宋体"/>
                <w:color w:val="auto"/>
                <w:sz w:val="24"/>
                <w:szCs w:val="24"/>
                <w:highlight w:val="none"/>
                <w:shd w:val="clear" w:color="auto" w:fill="FFFFFF"/>
                <w:lang w:eastAsia="zh-CN"/>
              </w:rPr>
              <w:t>供应商</w:t>
            </w:r>
            <w:r>
              <w:rPr>
                <w:rFonts w:hint="eastAsia" w:ascii="宋体" w:hAnsi="宋体" w:eastAsia="宋体" w:cs="宋体"/>
                <w:color w:val="auto"/>
                <w:sz w:val="24"/>
                <w:szCs w:val="24"/>
                <w:highlight w:val="none"/>
                <w:shd w:val="clear" w:color="auto" w:fill="FFFFFF"/>
              </w:rPr>
              <w:t>所提供的所有证件均需在有效期内且注册单位名称与</w:t>
            </w:r>
            <w:r>
              <w:rPr>
                <w:rFonts w:hint="eastAsia" w:ascii="宋体" w:hAnsi="宋体" w:eastAsia="宋体" w:cs="宋体"/>
                <w:color w:val="auto"/>
                <w:sz w:val="24"/>
                <w:szCs w:val="24"/>
                <w:highlight w:val="none"/>
                <w:shd w:val="clear" w:color="auto" w:fill="FFFFFF"/>
                <w:lang w:eastAsia="zh-CN"/>
              </w:rPr>
              <w:t>供应商</w:t>
            </w:r>
            <w:r>
              <w:rPr>
                <w:rFonts w:hint="eastAsia" w:ascii="宋体" w:hAnsi="宋体" w:eastAsia="宋体" w:cs="宋体"/>
                <w:color w:val="auto"/>
                <w:sz w:val="24"/>
                <w:szCs w:val="24"/>
                <w:highlight w:val="none"/>
                <w:shd w:val="clear" w:color="auto" w:fill="FFFFFF"/>
              </w:rPr>
              <w:t>的名称一致，如企业名称发生变更，需提供主管部门出具的变更证明材料，否则不接受其供应商参与本次招标项目的投标。</w:t>
            </w:r>
          </w:p>
        </w:tc>
      </w:tr>
      <w:tr w14:paraId="7D8604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noWrap/>
            <w:vAlign w:val="center"/>
          </w:tcPr>
          <w:p w14:paraId="6F19130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2070" w:type="dxa"/>
            <w:tcBorders>
              <w:top w:val="single" w:color="auto" w:sz="4" w:space="0"/>
              <w:left w:val="single" w:color="auto" w:sz="4" w:space="0"/>
              <w:bottom w:val="single" w:color="auto" w:sz="4" w:space="0"/>
              <w:right w:val="single" w:color="auto" w:sz="4" w:space="0"/>
            </w:tcBorders>
            <w:noWrap/>
            <w:vAlign w:val="center"/>
          </w:tcPr>
          <w:p w14:paraId="24472FF3">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是否接受联合体投标</w:t>
            </w:r>
          </w:p>
        </w:tc>
        <w:tc>
          <w:tcPr>
            <w:tcW w:w="6597" w:type="dxa"/>
            <w:tcBorders>
              <w:top w:val="single" w:color="auto" w:sz="4" w:space="0"/>
              <w:left w:val="single" w:color="auto" w:sz="4" w:space="0"/>
              <w:bottom w:val="single" w:color="auto" w:sz="4" w:space="0"/>
              <w:right w:val="single" w:color="auto" w:sz="4" w:space="0"/>
            </w:tcBorders>
            <w:noWrap/>
            <w:vAlign w:val="center"/>
          </w:tcPr>
          <w:p w14:paraId="5F868AC3">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□是，接受</w:t>
            </w:r>
          </w:p>
          <w:p w14:paraId="3D39B6A7">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√否，不接受</w:t>
            </w:r>
          </w:p>
        </w:tc>
      </w:tr>
      <w:tr w14:paraId="1E970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noWrap/>
            <w:vAlign w:val="center"/>
          </w:tcPr>
          <w:p w14:paraId="13EC738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2070" w:type="dxa"/>
            <w:tcBorders>
              <w:top w:val="single" w:color="auto" w:sz="4" w:space="0"/>
              <w:left w:val="single" w:color="auto" w:sz="4" w:space="0"/>
              <w:bottom w:val="single" w:color="auto" w:sz="4" w:space="0"/>
              <w:right w:val="single" w:color="auto" w:sz="4" w:space="0"/>
            </w:tcBorders>
            <w:noWrap/>
            <w:vAlign w:val="center"/>
          </w:tcPr>
          <w:p w14:paraId="54A4F4B8">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踏勘现场</w:t>
            </w:r>
          </w:p>
        </w:tc>
        <w:tc>
          <w:tcPr>
            <w:tcW w:w="6597" w:type="dxa"/>
            <w:tcBorders>
              <w:top w:val="single" w:color="auto" w:sz="4" w:space="0"/>
              <w:left w:val="single" w:color="auto" w:sz="4" w:space="0"/>
              <w:bottom w:val="single" w:color="auto" w:sz="4" w:space="0"/>
              <w:right w:val="single" w:color="auto" w:sz="4" w:space="0"/>
            </w:tcBorders>
            <w:noWrap/>
            <w:vAlign w:val="center"/>
          </w:tcPr>
          <w:p w14:paraId="2C3508E8">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w:t>
            </w:r>
            <w:r>
              <w:rPr>
                <w:rFonts w:hint="eastAsia" w:ascii="宋体" w:hAnsi="宋体" w:eastAsia="宋体" w:cs="宋体"/>
                <w:color w:val="auto"/>
                <w:sz w:val="24"/>
                <w:szCs w:val="24"/>
                <w:highlight w:val="none"/>
                <w:lang w:eastAsia="zh-CN"/>
              </w:rPr>
              <w:t>☑</w:t>
            </w:r>
          </w:p>
          <w:p w14:paraId="0DDA5D29">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w:t>
            </w:r>
          </w:p>
        </w:tc>
      </w:tr>
      <w:tr w14:paraId="42BB23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nil"/>
              <w:right w:val="single" w:color="auto" w:sz="4" w:space="0"/>
            </w:tcBorders>
            <w:noWrap/>
            <w:vAlign w:val="center"/>
          </w:tcPr>
          <w:p w14:paraId="5A183C3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2070" w:type="dxa"/>
            <w:tcBorders>
              <w:top w:val="single" w:color="auto" w:sz="4" w:space="0"/>
              <w:left w:val="single" w:color="auto" w:sz="4" w:space="0"/>
              <w:bottom w:val="nil"/>
              <w:right w:val="single" w:color="auto" w:sz="4" w:space="0"/>
            </w:tcBorders>
            <w:noWrap/>
            <w:vAlign w:val="center"/>
          </w:tcPr>
          <w:p w14:paraId="54FD9EF6">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答疑会</w:t>
            </w:r>
          </w:p>
          <w:p w14:paraId="776950C3">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时间及地点</w:t>
            </w:r>
          </w:p>
        </w:tc>
        <w:tc>
          <w:tcPr>
            <w:tcW w:w="6597" w:type="dxa"/>
            <w:tcBorders>
              <w:top w:val="single" w:color="auto" w:sz="4" w:space="0"/>
              <w:left w:val="single" w:color="auto" w:sz="4" w:space="0"/>
              <w:bottom w:val="nil"/>
              <w:right w:val="single" w:color="auto" w:sz="4" w:space="0"/>
            </w:tcBorders>
            <w:noWrap/>
            <w:vAlign w:val="center"/>
          </w:tcPr>
          <w:p w14:paraId="72F4C3AE">
            <w:pPr>
              <w:pStyle w:val="8"/>
              <w:keepNext w:val="0"/>
              <w:keepLines w:val="0"/>
              <w:pageBreakBefore w:val="0"/>
              <w:kinsoku/>
              <w:wordWrap/>
              <w:overflowPunct/>
              <w:topLinePunct/>
              <w:autoSpaceDN w:val="0"/>
              <w:bidi w:val="0"/>
              <w:adjustRightInd w:val="0"/>
              <w:snapToGrid w:val="0"/>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√不召开</w:t>
            </w:r>
          </w:p>
          <w:p w14:paraId="05A1A2FF">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□召开，召开时间：</w:t>
            </w:r>
          </w:p>
          <w:p w14:paraId="5F38BD70">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召开地点：</w:t>
            </w:r>
          </w:p>
        </w:tc>
      </w:tr>
      <w:tr w14:paraId="52080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noWrap/>
            <w:vAlign w:val="center"/>
          </w:tcPr>
          <w:p w14:paraId="5764939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2070" w:type="dxa"/>
            <w:tcBorders>
              <w:top w:val="single" w:color="auto" w:sz="4" w:space="0"/>
              <w:left w:val="single" w:color="auto" w:sz="4" w:space="0"/>
              <w:bottom w:val="single" w:color="auto" w:sz="4" w:space="0"/>
              <w:right w:val="single" w:color="auto" w:sz="4" w:space="0"/>
            </w:tcBorders>
            <w:noWrap/>
            <w:vAlign w:val="center"/>
          </w:tcPr>
          <w:p w14:paraId="0D626D55">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分包、转包</w:t>
            </w:r>
          </w:p>
        </w:tc>
        <w:tc>
          <w:tcPr>
            <w:tcW w:w="6597" w:type="dxa"/>
            <w:tcBorders>
              <w:top w:val="single" w:color="auto" w:sz="4" w:space="0"/>
              <w:left w:val="single" w:color="auto" w:sz="4" w:space="0"/>
              <w:bottom w:val="single" w:color="auto" w:sz="4" w:space="0"/>
              <w:right w:val="single" w:color="auto" w:sz="4" w:space="0"/>
            </w:tcBorders>
            <w:noWrap/>
            <w:vAlign w:val="center"/>
          </w:tcPr>
          <w:p w14:paraId="2490E634">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14:paraId="3999E5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noWrap/>
            <w:vAlign w:val="center"/>
          </w:tcPr>
          <w:p w14:paraId="0F683A0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2070" w:type="dxa"/>
            <w:tcBorders>
              <w:top w:val="single" w:color="auto" w:sz="4" w:space="0"/>
              <w:left w:val="single" w:color="auto" w:sz="4" w:space="0"/>
              <w:bottom w:val="single" w:color="auto" w:sz="4" w:space="0"/>
              <w:right w:val="single" w:color="auto" w:sz="4" w:space="0"/>
            </w:tcBorders>
            <w:noWrap/>
            <w:vAlign w:val="center"/>
          </w:tcPr>
          <w:p w14:paraId="79001B83">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6597" w:type="dxa"/>
            <w:tcBorders>
              <w:top w:val="single" w:color="auto" w:sz="4" w:space="0"/>
              <w:left w:val="single" w:color="auto" w:sz="4" w:space="0"/>
              <w:bottom w:val="single" w:color="auto" w:sz="4" w:space="0"/>
              <w:right w:val="single" w:color="auto" w:sz="4" w:space="0"/>
            </w:tcBorders>
            <w:noWrap/>
            <w:vAlign w:val="center"/>
          </w:tcPr>
          <w:p w14:paraId="7B9EBDFF">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kern w:val="15"/>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kern w:val="15"/>
                <w:sz w:val="24"/>
                <w:szCs w:val="24"/>
                <w:highlight w:val="none"/>
              </w:rPr>
              <w:t>允许正偏离</w:t>
            </w:r>
          </w:p>
          <w:p w14:paraId="4594E173">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kern w:val="15"/>
                <w:sz w:val="24"/>
                <w:szCs w:val="24"/>
                <w:highlight w:val="none"/>
              </w:rPr>
              <w:t>□不接受任何偏离</w:t>
            </w:r>
          </w:p>
        </w:tc>
      </w:tr>
      <w:tr w14:paraId="08233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noWrap/>
            <w:vAlign w:val="center"/>
          </w:tcPr>
          <w:p w14:paraId="0676E22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2070" w:type="dxa"/>
            <w:tcBorders>
              <w:top w:val="single" w:color="auto" w:sz="4" w:space="0"/>
              <w:left w:val="single" w:color="auto" w:sz="4" w:space="0"/>
              <w:bottom w:val="single" w:color="auto" w:sz="4" w:space="0"/>
              <w:right w:val="single" w:color="auto" w:sz="4" w:space="0"/>
            </w:tcBorders>
            <w:noWrap/>
            <w:vAlign w:val="center"/>
          </w:tcPr>
          <w:p w14:paraId="38895EF8">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构成</w:t>
            </w:r>
            <w:r>
              <w:rPr>
                <w:rFonts w:hint="eastAsia" w:ascii="宋体" w:hAnsi="宋体" w:eastAsia="宋体" w:cs="宋体"/>
                <w:color w:val="auto"/>
                <w:sz w:val="24"/>
                <w:szCs w:val="24"/>
                <w:highlight w:val="none"/>
                <w:lang w:eastAsia="zh-CN"/>
              </w:rPr>
              <w:t>响应文件</w:t>
            </w:r>
          </w:p>
          <w:p w14:paraId="2BD119C5">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的其他材料</w:t>
            </w:r>
          </w:p>
        </w:tc>
        <w:tc>
          <w:tcPr>
            <w:tcW w:w="6597" w:type="dxa"/>
            <w:tcBorders>
              <w:top w:val="single" w:color="auto" w:sz="4" w:space="0"/>
              <w:left w:val="single" w:color="auto" w:sz="4" w:space="0"/>
              <w:bottom w:val="single" w:color="auto" w:sz="4" w:space="0"/>
              <w:right w:val="single" w:color="auto" w:sz="4" w:space="0"/>
            </w:tcBorders>
            <w:noWrap/>
            <w:vAlign w:val="center"/>
          </w:tcPr>
          <w:p w14:paraId="6F72C289">
            <w:pPr>
              <w:pStyle w:val="59"/>
              <w:keepNext w:val="0"/>
              <w:keepLines w:val="0"/>
              <w:pageBreakBefore w:val="0"/>
              <w:kinsoku/>
              <w:wordWrap/>
              <w:overflowPunct/>
              <w:autoSpaceDN w:val="0"/>
              <w:bidi w:val="0"/>
              <w:snapToGrid w:val="0"/>
              <w:spacing w:line="400" w:lineRule="exact"/>
              <w:jc w:val="both"/>
              <w:rPr>
                <w:rFonts w:hint="eastAsia" w:ascii="宋体" w:hAnsi="宋体" w:eastAsia="宋体" w:cs="宋体"/>
                <w:bCs/>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rPr>
              <w:t>/</w:t>
            </w:r>
          </w:p>
        </w:tc>
      </w:tr>
      <w:tr w14:paraId="39D53B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noWrap/>
            <w:vAlign w:val="center"/>
          </w:tcPr>
          <w:p w14:paraId="0A4F94BB">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2070" w:type="dxa"/>
            <w:tcBorders>
              <w:top w:val="single" w:color="auto" w:sz="4" w:space="0"/>
              <w:left w:val="single" w:color="auto" w:sz="4" w:space="0"/>
              <w:bottom w:val="single" w:color="auto" w:sz="4" w:space="0"/>
              <w:right w:val="single" w:color="auto" w:sz="4" w:space="0"/>
            </w:tcBorders>
            <w:noWrap/>
            <w:vAlign w:val="center"/>
          </w:tcPr>
          <w:p w14:paraId="3B422B65">
            <w:pPr>
              <w:keepNext w:val="0"/>
              <w:keepLines w:val="0"/>
              <w:pageBreakBefore w:val="0"/>
              <w:kinsoku/>
              <w:wordWrap/>
              <w:overflowPunct/>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签字或盖章要求</w:t>
            </w:r>
          </w:p>
        </w:tc>
        <w:tc>
          <w:tcPr>
            <w:tcW w:w="6597" w:type="dxa"/>
            <w:tcBorders>
              <w:top w:val="single" w:color="auto" w:sz="4" w:space="0"/>
              <w:left w:val="single" w:color="auto" w:sz="4" w:space="0"/>
              <w:bottom w:val="single" w:color="auto" w:sz="4" w:space="0"/>
              <w:right w:val="single" w:color="auto" w:sz="4" w:space="0"/>
            </w:tcBorders>
            <w:noWrap/>
            <w:vAlign w:val="center"/>
          </w:tcPr>
          <w:p w14:paraId="485FB8BE">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（1）所有要求签字的地方都应用不褪色的墨水或签字笔由本人亲笔手写签字（包括姓和名），不得用盖章（如签名章、签字章等）代替，也不得由他人代签。</w:t>
            </w:r>
          </w:p>
          <w:p w14:paraId="18A38A59">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（2）所有要求盖章的地方都应按照招标文件的规定加盖与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名称全称相一致的标准公章，不得使用彩喷或者彩印的印章。 </w:t>
            </w:r>
          </w:p>
          <w:p w14:paraId="22D1D8BD">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格式中要求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“法定代表人或其委托代理人”签字的，如法定代表人亲自投标而不委托代理人投标，由法定代表人签字；如法定代表人授权委托代理人投标，由委托代理人签字，也可由法定代表人签字。</w:t>
            </w:r>
          </w:p>
        </w:tc>
      </w:tr>
      <w:tr w14:paraId="6A28B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noWrap/>
            <w:vAlign w:val="center"/>
          </w:tcPr>
          <w:p w14:paraId="658D4BAE">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2070" w:type="dxa"/>
            <w:tcBorders>
              <w:top w:val="single" w:color="auto" w:sz="4" w:space="0"/>
              <w:left w:val="single" w:color="auto" w:sz="4" w:space="0"/>
              <w:bottom w:val="single" w:color="auto" w:sz="4" w:space="0"/>
              <w:right w:val="single" w:color="auto" w:sz="4" w:space="0"/>
            </w:tcBorders>
            <w:noWrap/>
            <w:vAlign w:val="center"/>
          </w:tcPr>
          <w:p w14:paraId="706E1467">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597" w:type="dxa"/>
            <w:tcBorders>
              <w:top w:val="single" w:color="auto" w:sz="4" w:space="0"/>
              <w:left w:val="single" w:color="auto" w:sz="4" w:space="0"/>
              <w:bottom w:val="single" w:color="auto" w:sz="4" w:space="0"/>
              <w:right w:val="single" w:color="auto" w:sz="4" w:space="0"/>
            </w:tcBorders>
            <w:noWrap/>
            <w:vAlign w:val="center"/>
          </w:tcPr>
          <w:p w14:paraId="2768C7B3">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u w:val="single"/>
              </w:rPr>
              <w:t>90</w:t>
            </w:r>
            <w:r>
              <w:rPr>
                <w:rFonts w:hint="eastAsia" w:ascii="宋体" w:hAnsi="宋体" w:eastAsia="宋体" w:cs="宋体"/>
                <w:b w:val="0"/>
                <w:bCs w:val="0"/>
                <w:color w:val="auto"/>
                <w:sz w:val="24"/>
                <w:szCs w:val="24"/>
                <w:highlight w:val="none"/>
                <w:u w:val="single"/>
                <w:lang w:val="en-US" w:eastAsia="zh-CN"/>
              </w:rPr>
              <w:t>天</w:t>
            </w:r>
          </w:p>
        </w:tc>
      </w:tr>
      <w:tr w14:paraId="1EA76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noWrap/>
            <w:vAlign w:val="center"/>
          </w:tcPr>
          <w:p w14:paraId="4C685E3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2070" w:type="dxa"/>
            <w:tcBorders>
              <w:top w:val="single" w:color="auto" w:sz="4" w:space="0"/>
              <w:left w:val="single" w:color="auto" w:sz="4" w:space="0"/>
              <w:bottom w:val="single" w:color="auto" w:sz="4" w:space="0"/>
              <w:right w:val="single" w:color="auto" w:sz="4" w:space="0"/>
            </w:tcBorders>
            <w:noWrap/>
            <w:vAlign w:val="center"/>
          </w:tcPr>
          <w:p w14:paraId="4E548948">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6597" w:type="dxa"/>
            <w:tcBorders>
              <w:top w:val="single" w:color="auto" w:sz="4" w:space="0"/>
              <w:left w:val="single" w:color="auto" w:sz="4" w:space="0"/>
              <w:bottom w:val="single" w:color="auto" w:sz="4" w:space="0"/>
              <w:right w:val="single" w:color="auto" w:sz="4" w:space="0"/>
            </w:tcBorders>
            <w:noWrap/>
            <w:vAlign w:val="center"/>
          </w:tcPr>
          <w:p w14:paraId="21F48EFF">
            <w:pPr>
              <w:keepNext w:val="0"/>
              <w:keepLines w:val="0"/>
              <w:pageBreakBefore w:val="0"/>
              <w:kinsoku/>
              <w:wordWrap/>
              <w:overflowPunct/>
              <w:bidi w:val="0"/>
              <w:spacing w:line="400" w:lineRule="exact"/>
              <w:jc w:val="both"/>
              <w:rPr>
                <w:rFonts w:hint="eastAsia" w:ascii="宋体" w:hAnsi="宋体" w:eastAsia="宋体" w:cs="宋体"/>
                <w:kern w:val="0"/>
                <w:sz w:val="24"/>
                <w:szCs w:val="24"/>
                <w:highlight w:val="none"/>
                <w:shd w:val="clear" w:color="auto" w:fill="FFFFFF"/>
                <w:lang w:bidi="ar"/>
              </w:rPr>
            </w:pPr>
            <w:r>
              <w:rPr>
                <w:rFonts w:hint="eastAsia" w:ascii="宋体" w:hAnsi="宋体" w:eastAsia="宋体" w:cs="宋体"/>
                <w:kern w:val="0"/>
                <w:sz w:val="24"/>
                <w:szCs w:val="24"/>
                <w:highlight w:val="none"/>
                <w:shd w:val="clear" w:color="auto" w:fill="FFFFFF"/>
                <w:lang w:bidi="ar"/>
              </w:rPr>
              <w:t>1.投标保证金的形式：</w:t>
            </w:r>
          </w:p>
          <w:p w14:paraId="31EE3F7D">
            <w:pPr>
              <w:keepNext w:val="0"/>
              <w:keepLines w:val="0"/>
              <w:pageBreakBefore w:val="0"/>
              <w:kinsoku/>
              <w:wordWrap/>
              <w:overflowPunct/>
              <w:bidi w:val="0"/>
              <w:spacing w:line="400" w:lineRule="exact"/>
              <w:jc w:val="both"/>
              <w:rPr>
                <w:rFonts w:hint="eastAsia" w:ascii="宋体" w:hAnsi="宋体" w:eastAsia="宋体" w:cs="宋体"/>
                <w:kern w:val="0"/>
                <w:sz w:val="24"/>
                <w:szCs w:val="24"/>
                <w:highlight w:val="none"/>
                <w:shd w:val="clear" w:color="auto" w:fill="FFFFFF"/>
                <w:lang w:bidi="ar"/>
              </w:rPr>
            </w:pPr>
            <w:r>
              <w:rPr>
                <w:rFonts w:hint="eastAsia" w:ascii="宋体" w:hAnsi="宋体" w:eastAsia="宋体" w:cs="宋体"/>
                <w:kern w:val="0"/>
                <w:sz w:val="24"/>
                <w:szCs w:val="24"/>
                <w:highlight w:val="none"/>
                <w:shd w:val="clear" w:color="auto" w:fill="FFFFFF"/>
                <w:lang w:bidi="ar"/>
              </w:rPr>
              <w:t>现金、现金支票、保兑支票、银行汇票及银行、专业担保公司、保险公司出具的保函等合法形式，以现金或支票形式提交的投标保证金应从</w:t>
            </w:r>
            <w:r>
              <w:rPr>
                <w:rFonts w:hint="eastAsia" w:ascii="宋体" w:hAnsi="宋体" w:eastAsia="宋体" w:cs="宋体"/>
                <w:kern w:val="0"/>
                <w:sz w:val="24"/>
                <w:szCs w:val="24"/>
                <w:highlight w:val="none"/>
                <w:shd w:val="clear" w:color="auto" w:fill="FFFFFF"/>
                <w:lang w:eastAsia="zh-CN" w:bidi="ar"/>
              </w:rPr>
              <w:t>供应商</w:t>
            </w:r>
            <w:r>
              <w:rPr>
                <w:rFonts w:hint="eastAsia" w:ascii="宋体" w:hAnsi="宋体" w:eastAsia="宋体" w:cs="宋体"/>
                <w:kern w:val="0"/>
                <w:sz w:val="24"/>
                <w:szCs w:val="24"/>
                <w:highlight w:val="none"/>
                <w:shd w:val="clear" w:color="auto" w:fill="FFFFFF"/>
                <w:lang w:bidi="ar"/>
              </w:rPr>
              <w:t>的基本账户转出。</w:t>
            </w:r>
          </w:p>
          <w:p w14:paraId="057A1228">
            <w:pPr>
              <w:keepNext w:val="0"/>
              <w:keepLines w:val="0"/>
              <w:pageBreakBefore w:val="0"/>
              <w:kinsoku/>
              <w:wordWrap/>
              <w:overflowPunct/>
              <w:bidi w:val="0"/>
              <w:spacing w:line="400" w:lineRule="exact"/>
              <w:jc w:val="both"/>
              <w:rPr>
                <w:rFonts w:hint="eastAsia" w:ascii="宋体" w:hAnsi="宋体" w:eastAsia="宋体" w:cs="宋体"/>
                <w:kern w:val="0"/>
                <w:sz w:val="24"/>
                <w:szCs w:val="24"/>
                <w:highlight w:val="none"/>
                <w:shd w:val="clear" w:color="auto" w:fill="FFFFFF"/>
                <w:lang w:bidi="ar"/>
              </w:rPr>
            </w:pPr>
            <w:r>
              <w:rPr>
                <w:rFonts w:hint="eastAsia" w:ascii="宋体" w:hAnsi="宋体" w:eastAsia="宋体" w:cs="宋体"/>
                <w:kern w:val="0"/>
                <w:sz w:val="24"/>
                <w:szCs w:val="24"/>
                <w:highlight w:val="none"/>
                <w:shd w:val="clear" w:color="auto" w:fill="FFFFFF"/>
                <w:lang w:bidi="ar"/>
              </w:rPr>
              <w:t>2.投标保证金提交方式：</w:t>
            </w:r>
          </w:p>
          <w:p w14:paraId="7BD0B16B">
            <w:pPr>
              <w:keepNext w:val="0"/>
              <w:keepLines w:val="0"/>
              <w:pageBreakBefore w:val="0"/>
              <w:kinsoku/>
              <w:wordWrap/>
              <w:overflowPunct/>
              <w:bidi w:val="0"/>
              <w:spacing w:line="400" w:lineRule="exact"/>
              <w:jc w:val="both"/>
              <w:rPr>
                <w:rFonts w:hint="eastAsia" w:ascii="宋体" w:hAnsi="宋体" w:eastAsia="宋体" w:cs="宋体"/>
                <w:kern w:val="0"/>
                <w:sz w:val="24"/>
                <w:szCs w:val="24"/>
                <w:highlight w:val="none"/>
                <w:shd w:val="clear" w:color="auto" w:fill="FFFFFF"/>
                <w:lang w:bidi="ar"/>
              </w:rPr>
            </w:pPr>
            <w:r>
              <w:rPr>
                <w:rFonts w:hint="eastAsia" w:ascii="宋体" w:hAnsi="宋体" w:eastAsia="宋体" w:cs="宋体"/>
                <w:kern w:val="0"/>
                <w:sz w:val="24"/>
                <w:szCs w:val="24"/>
                <w:highlight w:val="none"/>
                <w:shd w:val="clear" w:color="auto" w:fill="FFFFFF"/>
                <w:lang w:bidi="ar"/>
              </w:rPr>
              <w:t>（1）投标保证金须在投标截止时间前将投标保证金存入指定账户，并在</w:t>
            </w:r>
            <w:r>
              <w:rPr>
                <w:rFonts w:hint="eastAsia" w:ascii="宋体" w:hAnsi="宋体" w:eastAsia="宋体" w:cs="宋体"/>
                <w:kern w:val="0"/>
                <w:sz w:val="24"/>
                <w:szCs w:val="24"/>
                <w:highlight w:val="none"/>
                <w:shd w:val="clear" w:color="auto" w:fill="FFFFFF"/>
                <w:lang w:eastAsia="zh-CN" w:bidi="ar"/>
              </w:rPr>
              <w:t>响应文件</w:t>
            </w:r>
            <w:r>
              <w:rPr>
                <w:rFonts w:hint="eastAsia" w:ascii="宋体" w:hAnsi="宋体" w:eastAsia="宋体" w:cs="宋体"/>
                <w:kern w:val="0"/>
                <w:sz w:val="24"/>
                <w:szCs w:val="24"/>
                <w:highlight w:val="none"/>
                <w:shd w:val="clear" w:color="auto" w:fill="FFFFFF"/>
                <w:lang w:bidi="ar"/>
              </w:rPr>
              <w:t>中附投标保证金存款凭证，过期不予受理，视为自动放弃投标资格。投标保证金的确认以最终到账日期为准。</w:t>
            </w:r>
          </w:p>
          <w:p w14:paraId="438B8B8A">
            <w:pPr>
              <w:keepNext w:val="0"/>
              <w:keepLines w:val="0"/>
              <w:pageBreakBefore w:val="0"/>
              <w:kinsoku/>
              <w:wordWrap/>
              <w:overflowPunct/>
              <w:bidi w:val="0"/>
              <w:spacing w:line="400" w:lineRule="exact"/>
              <w:jc w:val="both"/>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kern w:val="0"/>
                <w:sz w:val="24"/>
                <w:szCs w:val="24"/>
                <w:highlight w:val="none"/>
                <w:shd w:val="clear" w:color="auto" w:fill="FFFFFF"/>
                <w:lang w:bidi="ar"/>
              </w:rPr>
              <w:t>（2）</w:t>
            </w:r>
            <w:r>
              <w:rPr>
                <w:rFonts w:hint="eastAsia" w:ascii="宋体" w:hAnsi="宋体" w:eastAsia="宋体" w:cs="宋体"/>
                <w:kern w:val="0"/>
                <w:sz w:val="24"/>
                <w:szCs w:val="24"/>
                <w:highlight w:val="none"/>
                <w:shd w:val="clear" w:color="auto" w:fill="FFFFFF"/>
                <w:lang w:val="zh-CN" w:bidi="ar"/>
              </w:rPr>
              <w:t>供应商应在转账或电汇凭证上简写用途、投标项目名称、联系人及电话</w:t>
            </w:r>
            <w:r>
              <w:rPr>
                <w:rFonts w:hint="eastAsia" w:ascii="宋体" w:hAnsi="宋体" w:eastAsia="宋体" w:cs="宋体"/>
                <w:kern w:val="0"/>
                <w:sz w:val="24"/>
                <w:szCs w:val="24"/>
                <w:highlight w:val="none"/>
                <w:shd w:val="clear" w:color="auto" w:fill="FFFFFF"/>
                <w:lang w:bidi="ar"/>
              </w:rPr>
              <w:t>，</w:t>
            </w:r>
            <w:r>
              <w:rPr>
                <w:rFonts w:hint="eastAsia" w:ascii="宋体" w:hAnsi="宋体" w:eastAsia="宋体" w:cs="宋体"/>
                <w:kern w:val="0"/>
                <w:sz w:val="24"/>
                <w:szCs w:val="24"/>
                <w:highlight w:val="none"/>
                <w:shd w:val="clear" w:color="auto" w:fill="FFFFFF"/>
                <w:lang w:val="zh-CN" w:bidi="ar"/>
              </w:rPr>
              <w:t>以便核对查实</w:t>
            </w:r>
            <w:r>
              <w:rPr>
                <w:rFonts w:hint="eastAsia" w:ascii="宋体" w:hAnsi="宋体" w:eastAsia="宋体" w:cs="宋体"/>
                <w:kern w:val="0"/>
                <w:sz w:val="24"/>
                <w:szCs w:val="24"/>
                <w:highlight w:val="none"/>
                <w:shd w:val="clear" w:color="auto" w:fill="FFFFFF"/>
                <w:lang w:bidi="ar"/>
              </w:rPr>
              <w:t>；</w:t>
            </w:r>
            <w:r>
              <w:rPr>
                <w:rFonts w:hint="eastAsia" w:ascii="宋体" w:hAnsi="宋体" w:eastAsia="宋体" w:cs="宋体"/>
                <w:kern w:val="0"/>
                <w:sz w:val="24"/>
                <w:szCs w:val="24"/>
                <w:highlight w:val="none"/>
                <w:shd w:val="clear" w:color="auto" w:fill="FFFFFF"/>
                <w:lang w:val="zh-CN" w:bidi="ar"/>
              </w:rPr>
              <w:t>采用保函形式递交的</w:t>
            </w:r>
            <w:r>
              <w:rPr>
                <w:rFonts w:hint="eastAsia" w:ascii="宋体" w:hAnsi="宋体" w:eastAsia="宋体" w:cs="宋体"/>
                <w:kern w:val="0"/>
                <w:sz w:val="24"/>
                <w:szCs w:val="24"/>
                <w:highlight w:val="none"/>
                <w:shd w:val="clear" w:color="auto" w:fill="FFFFFF"/>
                <w:lang w:bidi="ar"/>
              </w:rPr>
              <w:t>，</w:t>
            </w:r>
            <w:r>
              <w:rPr>
                <w:rFonts w:hint="eastAsia" w:ascii="宋体" w:hAnsi="宋体" w:eastAsia="宋体" w:cs="宋体"/>
                <w:kern w:val="0"/>
                <w:sz w:val="24"/>
                <w:szCs w:val="24"/>
                <w:highlight w:val="none"/>
                <w:shd w:val="clear" w:color="auto" w:fill="FFFFFF"/>
                <w:lang w:val="zh-CN" w:bidi="ar"/>
              </w:rPr>
              <w:t>应该在开标截止</w:t>
            </w:r>
            <w:r>
              <w:rPr>
                <w:rFonts w:hint="eastAsia" w:ascii="宋体" w:hAnsi="宋体" w:eastAsia="宋体" w:cs="宋体"/>
                <w:color w:val="auto"/>
                <w:kern w:val="0"/>
                <w:sz w:val="24"/>
                <w:szCs w:val="24"/>
                <w:highlight w:val="none"/>
                <w:shd w:val="clear" w:color="auto" w:fill="FFFFFF"/>
                <w:lang w:val="zh-CN" w:bidi="ar"/>
              </w:rPr>
              <w:t>时间前将保函原件送至或邮寄至招标代理机构核验。</w:t>
            </w:r>
          </w:p>
          <w:p w14:paraId="57FA7D92">
            <w:pPr>
              <w:keepNext w:val="0"/>
              <w:keepLines w:val="0"/>
              <w:pageBreakBefore w:val="0"/>
              <w:kinsoku/>
              <w:wordWrap/>
              <w:overflowPunct/>
              <w:bidi w:val="0"/>
              <w:spacing w:line="400" w:lineRule="exact"/>
              <w:jc w:val="both"/>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（3）投标保证金的金额：</w:t>
            </w:r>
          </w:p>
          <w:p w14:paraId="74342E17">
            <w:pPr>
              <w:keepNext w:val="0"/>
              <w:keepLines w:val="0"/>
              <w:pageBreakBefore w:val="0"/>
              <w:kinsoku/>
              <w:wordWrap/>
              <w:overflowPunct/>
              <w:bidi w:val="0"/>
              <w:spacing w:line="400" w:lineRule="exact"/>
              <w:jc w:val="both"/>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kern w:val="0"/>
                <w:sz w:val="24"/>
                <w:szCs w:val="24"/>
                <w:highlight w:val="none"/>
                <w:shd w:val="clear" w:color="auto" w:fill="FFFFFF"/>
                <w:lang w:bidi="ar"/>
              </w:rPr>
              <w:t>（</w:t>
            </w:r>
            <w:r>
              <w:rPr>
                <w:rFonts w:hint="eastAsia" w:ascii="宋体" w:hAnsi="宋体" w:eastAsia="宋体" w:cs="宋体"/>
                <w:color w:val="auto"/>
                <w:kern w:val="0"/>
                <w:sz w:val="24"/>
                <w:szCs w:val="24"/>
                <w:highlight w:val="none"/>
                <w:shd w:val="clear" w:color="auto" w:fill="FFFFFF"/>
                <w:lang w:bidi="ar"/>
              </w:rPr>
              <w:t>大写）</w:t>
            </w:r>
            <w:r>
              <w:rPr>
                <w:rFonts w:hint="eastAsia" w:ascii="宋体" w:hAnsi="宋体" w:cs="宋体"/>
                <w:color w:val="auto"/>
                <w:kern w:val="0"/>
                <w:sz w:val="24"/>
                <w:szCs w:val="24"/>
                <w:highlight w:val="none"/>
                <w:shd w:val="clear" w:color="auto" w:fill="FFFFFF"/>
                <w:lang w:val="en-US" w:eastAsia="zh-CN" w:bidi="ar"/>
              </w:rPr>
              <w:t>捌</w:t>
            </w:r>
            <w:r>
              <w:rPr>
                <w:rFonts w:hint="eastAsia" w:ascii="宋体" w:hAnsi="宋体" w:eastAsia="宋体" w:cs="宋体"/>
                <w:color w:val="auto"/>
                <w:kern w:val="0"/>
                <w:sz w:val="24"/>
                <w:szCs w:val="24"/>
                <w:highlight w:val="none"/>
                <w:shd w:val="clear" w:color="auto" w:fill="FFFFFF"/>
                <w:lang w:val="en-US" w:eastAsia="zh-CN" w:bidi="ar"/>
              </w:rPr>
              <w:t>仟</w:t>
            </w:r>
            <w:r>
              <w:rPr>
                <w:rFonts w:hint="eastAsia" w:ascii="宋体" w:hAnsi="宋体" w:eastAsia="宋体" w:cs="宋体"/>
                <w:color w:val="auto"/>
                <w:kern w:val="0"/>
                <w:sz w:val="24"/>
                <w:szCs w:val="24"/>
                <w:highlight w:val="none"/>
                <w:shd w:val="clear" w:color="auto" w:fill="FFFFFF"/>
                <w:lang w:bidi="ar"/>
              </w:rPr>
              <w:t>元整</w:t>
            </w:r>
            <w:r>
              <w:rPr>
                <w:rFonts w:hint="eastAsia" w:ascii="宋体" w:hAnsi="宋体" w:eastAsia="宋体" w:cs="宋体"/>
                <w:color w:val="auto"/>
                <w:kern w:val="0"/>
                <w:sz w:val="24"/>
                <w:szCs w:val="24"/>
                <w:highlight w:val="none"/>
                <w:shd w:val="clear" w:color="auto" w:fill="FFFFFF"/>
                <w:lang w:eastAsia="zh-CN" w:bidi="ar"/>
              </w:rPr>
              <w:t>；</w:t>
            </w:r>
            <w:r>
              <w:rPr>
                <w:rFonts w:hint="eastAsia" w:ascii="宋体" w:hAnsi="宋体" w:eastAsia="宋体" w:cs="宋体"/>
                <w:color w:val="auto"/>
                <w:kern w:val="0"/>
                <w:sz w:val="24"/>
                <w:szCs w:val="24"/>
                <w:highlight w:val="none"/>
                <w:shd w:val="clear" w:color="auto" w:fill="FFFFFF"/>
                <w:lang w:bidi="ar"/>
              </w:rPr>
              <w:t>（小写）</w:t>
            </w:r>
            <w:r>
              <w:rPr>
                <w:rFonts w:hint="eastAsia" w:ascii="宋体" w:hAnsi="宋体" w:eastAsia="宋体" w:cs="宋体"/>
                <w:color w:val="auto"/>
                <w:kern w:val="0"/>
                <w:sz w:val="24"/>
                <w:szCs w:val="24"/>
                <w:highlight w:val="none"/>
                <w:shd w:val="clear" w:color="auto" w:fill="FFFFFF"/>
                <w:lang w:val="en-US" w:eastAsia="zh-CN" w:bidi="ar"/>
              </w:rPr>
              <w:t>8</w:t>
            </w:r>
            <w:r>
              <w:rPr>
                <w:rFonts w:hint="eastAsia" w:ascii="宋体" w:hAnsi="宋体" w:eastAsia="宋体" w:cs="宋体"/>
                <w:color w:val="auto"/>
                <w:kern w:val="0"/>
                <w:sz w:val="24"/>
                <w:szCs w:val="24"/>
                <w:highlight w:val="none"/>
                <w:shd w:val="clear" w:color="auto" w:fill="FFFFFF"/>
                <w:lang w:bidi="ar"/>
              </w:rPr>
              <w:t>,</w:t>
            </w:r>
            <w:r>
              <w:rPr>
                <w:rFonts w:hint="eastAsia" w:ascii="宋体" w:hAnsi="宋体" w:eastAsia="宋体" w:cs="宋体"/>
                <w:color w:val="auto"/>
                <w:kern w:val="0"/>
                <w:sz w:val="24"/>
                <w:szCs w:val="24"/>
                <w:highlight w:val="none"/>
                <w:shd w:val="clear" w:color="auto" w:fill="FFFFFF"/>
                <w:lang w:val="en-US" w:eastAsia="zh-CN" w:bidi="ar"/>
              </w:rPr>
              <w:t>0</w:t>
            </w:r>
            <w:r>
              <w:rPr>
                <w:rFonts w:hint="eastAsia" w:ascii="宋体" w:hAnsi="宋体" w:eastAsia="宋体" w:cs="宋体"/>
                <w:color w:val="auto"/>
                <w:kern w:val="0"/>
                <w:sz w:val="24"/>
                <w:szCs w:val="24"/>
                <w:highlight w:val="none"/>
                <w:shd w:val="clear" w:color="auto" w:fill="FFFFFF"/>
                <w:lang w:bidi="ar"/>
              </w:rPr>
              <w:t>00.00元；</w:t>
            </w:r>
          </w:p>
          <w:p w14:paraId="6ACB31C2">
            <w:pPr>
              <w:keepNext w:val="0"/>
              <w:keepLines w:val="0"/>
              <w:pageBreakBefore w:val="0"/>
              <w:kinsoku/>
              <w:wordWrap/>
              <w:overflowPunct/>
              <w:bidi w:val="0"/>
              <w:spacing w:line="400" w:lineRule="exact"/>
              <w:jc w:val="both"/>
              <w:rPr>
                <w:rFonts w:hint="eastAsia" w:ascii="宋体" w:hAnsi="宋体" w:eastAsia="宋体" w:cs="宋体"/>
                <w:kern w:val="0"/>
                <w:sz w:val="24"/>
                <w:szCs w:val="24"/>
                <w:highlight w:val="none"/>
                <w:shd w:val="clear" w:color="auto" w:fill="FFFFFF"/>
                <w:lang w:bidi="ar"/>
              </w:rPr>
            </w:pPr>
            <w:r>
              <w:rPr>
                <w:rFonts w:hint="eastAsia" w:ascii="宋体" w:hAnsi="宋体" w:eastAsia="宋体" w:cs="宋体"/>
                <w:kern w:val="0"/>
                <w:sz w:val="24"/>
                <w:szCs w:val="24"/>
                <w:highlight w:val="none"/>
                <w:shd w:val="clear" w:color="auto" w:fill="FFFFFF"/>
                <w:lang w:bidi="ar"/>
              </w:rPr>
              <w:t>开户银行：中信银行长春高新支行</w:t>
            </w:r>
          </w:p>
          <w:p w14:paraId="478DF343">
            <w:pPr>
              <w:keepNext w:val="0"/>
              <w:keepLines w:val="0"/>
              <w:pageBreakBefore w:val="0"/>
              <w:kinsoku/>
              <w:wordWrap/>
              <w:overflowPunct/>
              <w:bidi w:val="0"/>
              <w:spacing w:line="400" w:lineRule="exact"/>
              <w:jc w:val="both"/>
              <w:rPr>
                <w:rFonts w:hint="eastAsia" w:ascii="宋体" w:hAnsi="宋体" w:eastAsia="宋体" w:cs="宋体"/>
                <w:kern w:val="0"/>
                <w:sz w:val="24"/>
                <w:szCs w:val="24"/>
                <w:highlight w:val="none"/>
                <w:shd w:val="clear" w:color="auto" w:fill="FFFFFF"/>
                <w:lang w:bidi="ar"/>
              </w:rPr>
            </w:pPr>
            <w:r>
              <w:rPr>
                <w:rFonts w:hint="eastAsia" w:ascii="宋体" w:hAnsi="宋体" w:eastAsia="宋体" w:cs="宋体"/>
                <w:kern w:val="0"/>
                <w:sz w:val="24"/>
                <w:szCs w:val="24"/>
                <w:highlight w:val="none"/>
                <w:shd w:val="clear" w:color="auto" w:fill="FFFFFF"/>
                <w:lang w:bidi="ar"/>
              </w:rPr>
              <w:t>户名：吉林省中维项目管理咨询有限公司</w:t>
            </w:r>
          </w:p>
          <w:p w14:paraId="68C32B06">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rPr>
            </w:pPr>
            <w:r>
              <w:rPr>
                <w:rFonts w:hint="eastAsia" w:ascii="宋体" w:hAnsi="宋体" w:eastAsia="宋体" w:cs="宋体"/>
                <w:kern w:val="0"/>
                <w:sz w:val="24"/>
                <w:szCs w:val="24"/>
                <w:highlight w:val="none"/>
                <w:shd w:val="clear" w:color="auto" w:fill="FFFFFF"/>
                <w:lang w:bidi="ar"/>
              </w:rPr>
              <w:t>账号：8113601012100263496</w:t>
            </w:r>
          </w:p>
        </w:tc>
      </w:tr>
      <w:tr w14:paraId="4E7B2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noWrap/>
            <w:vAlign w:val="center"/>
          </w:tcPr>
          <w:p w14:paraId="763EA39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2070" w:type="dxa"/>
            <w:tcBorders>
              <w:top w:val="single" w:color="auto" w:sz="4" w:space="0"/>
              <w:left w:val="single" w:color="auto" w:sz="4" w:space="0"/>
              <w:bottom w:val="single" w:color="auto" w:sz="4" w:space="0"/>
              <w:right w:val="single" w:color="auto" w:sz="4" w:space="0"/>
            </w:tcBorders>
            <w:noWrap/>
            <w:vAlign w:val="center"/>
          </w:tcPr>
          <w:p w14:paraId="13B46A20">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递交响应文件地点</w:t>
            </w:r>
          </w:p>
        </w:tc>
        <w:tc>
          <w:tcPr>
            <w:tcW w:w="6597" w:type="dxa"/>
            <w:tcBorders>
              <w:top w:val="single" w:color="auto" w:sz="4" w:space="0"/>
              <w:left w:val="single" w:color="auto" w:sz="4" w:space="0"/>
              <w:bottom w:val="single" w:color="auto" w:sz="4" w:space="0"/>
              <w:right w:val="single" w:color="auto" w:sz="4" w:space="0"/>
            </w:tcBorders>
            <w:noWrap/>
            <w:vAlign w:val="center"/>
          </w:tcPr>
          <w:p w14:paraId="38D4847B">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本项目为全流程电子化招投标项目，供应商通过政府采购云平台（网址：http:// www.zcygov.cn）递交电子版响应文件。无须到开标现场递交响应文件。</w:t>
            </w:r>
          </w:p>
          <w:p w14:paraId="358BCB27">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备注：</w:t>
            </w:r>
          </w:p>
          <w:p w14:paraId="0439983A">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zh-CN" w:eastAsia="zh-CN"/>
              </w:rPr>
              <w:t>供应商开标时，需携带制作响应文件时用来加密的有效数字证书（CA认证）登录“政采云”平台电子开标大厅现场按规定时间对加密的响应文件进行远程解密。</w:t>
            </w:r>
          </w:p>
          <w:p w14:paraId="75234793">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eastAsia="zh-CN"/>
              </w:rPr>
              <w:t>2.响应文件提交方式：本项目为全流程电子化项目，通过“政采云”平台（http：//www.zcygov.cn）实行在线电子开标，供应商应先安装“政采云电子交易客户端”（请自行前往“政采云”平台进行下载），并按照本项目招标文件和“政采云”平台的要求编制、加密后在提交响应文件截止时间前通过网络上传至“政采云”平台，供应商在“政采云”平台提交电子版响应文件时，请填写参加开标活动经办人联系方式。</w:t>
            </w:r>
          </w:p>
        </w:tc>
      </w:tr>
      <w:tr w14:paraId="54C79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noWrap/>
            <w:vAlign w:val="center"/>
          </w:tcPr>
          <w:p w14:paraId="73DE24C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2070" w:type="dxa"/>
            <w:tcBorders>
              <w:top w:val="single" w:color="auto" w:sz="4" w:space="0"/>
              <w:left w:val="single" w:color="auto" w:sz="4" w:space="0"/>
              <w:bottom w:val="single" w:color="auto" w:sz="4" w:space="0"/>
              <w:right w:val="single" w:color="auto" w:sz="4" w:space="0"/>
            </w:tcBorders>
            <w:noWrap/>
            <w:vAlign w:val="center"/>
          </w:tcPr>
          <w:p w14:paraId="57490E86">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评标方法及标准</w:t>
            </w:r>
          </w:p>
        </w:tc>
        <w:tc>
          <w:tcPr>
            <w:tcW w:w="6597" w:type="dxa"/>
            <w:tcBorders>
              <w:top w:val="single" w:color="auto" w:sz="4" w:space="0"/>
              <w:left w:val="single" w:color="auto" w:sz="4" w:space="0"/>
              <w:bottom w:val="single" w:color="auto" w:sz="4" w:space="0"/>
              <w:right w:val="single" w:color="auto" w:sz="4" w:space="0"/>
            </w:tcBorders>
            <w:noWrap/>
            <w:vAlign w:val="center"/>
          </w:tcPr>
          <w:p w14:paraId="493A06E8">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rPr>
            </w:pPr>
            <w:bookmarkStart w:id="19" w:name="blank29"/>
            <w:r>
              <w:rPr>
                <w:rFonts w:hint="eastAsia" w:ascii="宋体" w:hAnsi="宋体" w:eastAsia="宋体" w:cs="宋体"/>
                <w:color w:val="auto"/>
                <w:kern w:val="0"/>
                <w:sz w:val="24"/>
                <w:szCs w:val="24"/>
                <w:highlight w:val="none"/>
              </w:rPr>
              <w:t>综合评分法</w:t>
            </w:r>
            <w:bookmarkEnd w:id="19"/>
          </w:p>
        </w:tc>
      </w:tr>
      <w:tr w14:paraId="3329F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noWrap/>
            <w:vAlign w:val="center"/>
          </w:tcPr>
          <w:p w14:paraId="72FFA282">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2070" w:type="dxa"/>
            <w:tcBorders>
              <w:top w:val="single" w:color="auto" w:sz="4" w:space="0"/>
              <w:left w:val="single" w:color="auto" w:sz="4" w:space="0"/>
              <w:bottom w:val="single" w:color="auto" w:sz="4" w:space="0"/>
              <w:right w:val="single" w:color="auto" w:sz="4" w:space="0"/>
            </w:tcBorders>
            <w:noWrap/>
            <w:vAlign w:val="center"/>
          </w:tcPr>
          <w:p w14:paraId="24F5AF66">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资格审查方式</w:t>
            </w:r>
          </w:p>
        </w:tc>
        <w:tc>
          <w:tcPr>
            <w:tcW w:w="6597" w:type="dxa"/>
            <w:tcBorders>
              <w:top w:val="single" w:color="auto" w:sz="4" w:space="0"/>
              <w:left w:val="single" w:color="auto" w:sz="4" w:space="0"/>
              <w:bottom w:val="single" w:color="auto" w:sz="4" w:space="0"/>
              <w:right w:val="single" w:color="auto" w:sz="4" w:space="0"/>
            </w:tcBorders>
            <w:noWrap/>
            <w:vAlign w:val="center"/>
          </w:tcPr>
          <w:p w14:paraId="31ABEEC9">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rPr>
            </w:pPr>
            <w:bookmarkStart w:id="20" w:name="blank24"/>
            <w:r>
              <w:rPr>
                <w:rFonts w:hint="eastAsia" w:ascii="宋体" w:hAnsi="宋体" w:eastAsia="宋体" w:cs="宋体"/>
                <w:color w:val="auto"/>
                <w:kern w:val="0"/>
                <w:sz w:val="24"/>
                <w:szCs w:val="24"/>
                <w:highlight w:val="none"/>
              </w:rPr>
              <w:t>资格后审</w:t>
            </w:r>
            <w:bookmarkEnd w:id="20"/>
          </w:p>
        </w:tc>
      </w:tr>
      <w:tr w14:paraId="3ADA6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noWrap/>
            <w:vAlign w:val="center"/>
          </w:tcPr>
          <w:p w14:paraId="7E3445C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2070" w:type="dxa"/>
            <w:tcBorders>
              <w:top w:val="single" w:color="auto" w:sz="4" w:space="0"/>
              <w:left w:val="single" w:color="auto" w:sz="4" w:space="0"/>
              <w:bottom w:val="single" w:color="auto" w:sz="4" w:space="0"/>
              <w:right w:val="single" w:color="auto" w:sz="4" w:space="0"/>
            </w:tcBorders>
            <w:noWrap/>
            <w:vAlign w:val="center"/>
          </w:tcPr>
          <w:p w14:paraId="422913D4">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评标委员会的组建</w:t>
            </w:r>
          </w:p>
        </w:tc>
        <w:tc>
          <w:tcPr>
            <w:tcW w:w="6597" w:type="dxa"/>
            <w:tcBorders>
              <w:top w:val="single" w:color="auto" w:sz="4" w:space="0"/>
              <w:left w:val="single" w:color="auto" w:sz="4" w:space="0"/>
              <w:bottom w:val="single" w:color="auto" w:sz="4" w:space="0"/>
              <w:right w:val="single" w:color="auto" w:sz="4" w:space="0"/>
            </w:tcBorders>
            <w:noWrap/>
            <w:vAlign w:val="center"/>
          </w:tcPr>
          <w:p w14:paraId="52D82E29">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评标委员会构成：评标委员会共有5人组成，其中采购人代表</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人，经济、技术专家</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人。</w:t>
            </w:r>
          </w:p>
          <w:p w14:paraId="56CDD67D">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评标委员会专家确定方式：</w:t>
            </w:r>
            <w:r>
              <w:rPr>
                <w:rFonts w:hint="eastAsia" w:ascii="宋体" w:hAnsi="宋体" w:eastAsia="宋体" w:cs="宋体"/>
                <w:color w:val="auto"/>
                <w:sz w:val="24"/>
                <w:szCs w:val="24"/>
                <w:highlight w:val="none"/>
                <w:lang w:val="en-US" w:eastAsia="zh-CN"/>
              </w:rPr>
              <w:t>从“政采云”评标专家库中随机抽取。</w:t>
            </w:r>
          </w:p>
        </w:tc>
      </w:tr>
      <w:tr w14:paraId="1F78E3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noWrap/>
            <w:vAlign w:val="center"/>
          </w:tcPr>
          <w:p w14:paraId="44CECCE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2070" w:type="dxa"/>
            <w:tcBorders>
              <w:top w:val="single" w:color="auto" w:sz="4" w:space="0"/>
              <w:left w:val="single" w:color="auto" w:sz="4" w:space="0"/>
              <w:bottom w:val="single" w:color="auto" w:sz="4" w:space="0"/>
              <w:right w:val="single" w:color="auto" w:sz="4" w:space="0"/>
            </w:tcBorders>
            <w:noWrap/>
            <w:vAlign w:val="center"/>
          </w:tcPr>
          <w:p w14:paraId="2C9B9E6A">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是否授权评标委员会确定中标人</w:t>
            </w:r>
          </w:p>
        </w:tc>
        <w:tc>
          <w:tcPr>
            <w:tcW w:w="6597" w:type="dxa"/>
            <w:tcBorders>
              <w:top w:val="single" w:color="auto" w:sz="4" w:space="0"/>
              <w:left w:val="single" w:color="auto" w:sz="4" w:space="0"/>
              <w:bottom w:val="single" w:color="auto" w:sz="4" w:space="0"/>
              <w:right w:val="single" w:color="auto" w:sz="4" w:space="0"/>
            </w:tcBorders>
            <w:noWrap/>
            <w:vAlign w:val="center"/>
          </w:tcPr>
          <w:p w14:paraId="4DF6812F">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r>
      <w:tr w14:paraId="75352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noWrap/>
            <w:vAlign w:val="center"/>
          </w:tcPr>
          <w:p w14:paraId="12BAB12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c>
          <w:tcPr>
            <w:tcW w:w="20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541BD1">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bCs/>
                <w:color w:val="auto"/>
                <w:kern w:val="15"/>
                <w:sz w:val="24"/>
                <w:szCs w:val="24"/>
                <w:highlight w:val="none"/>
                <w:lang w:val="en-US" w:eastAsia="zh-CN" w:bidi="ar-SA"/>
              </w:rPr>
            </w:pPr>
            <w:r>
              <w:rPr>
                <w:rFonts w:hint="eastAsia" w:ascii="宋体" w:hAnsi="宋体" w:eastAsia="宋体" w:cs="宋体"/>
                <w:bCs/>
                <w:color w:val="auto"/>
                <w:kern w:val="15"/>
                <w:sz w:val="24"/>
                <w:szCs w:val="24"/>
                <w:highlight w:val="none"/>
                <w:lang w:val="en-US" w:eastAsia="zh-CN"/>
              </w:rPr>
              <w:t>质保期</w:t>
            </w:r>
          </w:p>
        </w:tc>
        <w:tc>
          <w:tcPr>
            <w:tcW w:w="65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CE2B8E">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bCs/>
                <w:color w:val="auto"/>
                <w:kern w:val="15"/>
                <w:sz w:val="24"/>
                <w:szCs w:val="24"/>
                <w:highlight w:val="none"/>
                <w:lang w:val="en-US" w:eastAsia="zh-CN" w:bidi="ar-SA"/>
              </w:rPr>
            </w:pPr>
            <w:r>
              <w:rPr>
                <w:rFonts w:hint="eastAsia" w:ascii="宋体" w:hAnsi="宋体" w:eastAsia="宋体" w:cs="宋体"/>
                <w:bCs/>
                <w:color w:val="auto"/>
                <w:kern w:val="15"/>
                <w:sz w:val="24"/>
                <w:szCs w:val="24"/>
                <w:highlight w:val="none"/>
                <w:lang w:val="en-US" w:eastAsia="zh-CN" w:bidi="ar-SA"/>
              </w:rPr>
              <w:t>1年（项目验收合格后开始计算）</w:t>
            </w:r>
          </w:p>
        </w:tc>
      </w:tr>
      <w:tr w14:paraId="07A51F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noWrap/>
            <w:vAlign w:val="center"/>
          </w:tcPr>
          <w:p w14:paraId="40E62969">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w:t>
            </w:r>
          </w:p>
        </w:tc>
        <w:tc>
          <w:tcPr>
            <w:tcW w:w="20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8E70E">
            <w:pPr>
              <w:keepNext w:val="0"/>
              <w:keepLines w:val="0"/>
              <w:pageBreakBefore w:val="0"/>
              <w:kinsoku/>
              <w:wordWrap/>
              <w:overflowPunct/>
              <w:bidi w:val="0"/>
              <w:snapToGrid w:val="0"/>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最高限价</w:t>
            </w:r>
          </w:p>
        </w:tc>
        <w:tc>
          <w:tcPr>
            <w:tcW w:w="65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748502">
            <w:pPr>
              <w:keepNext w:val="0"/>
              <w:keepLines w:val="0"/>
              <w:pageBreakBefore w:val="0"/>
              <w:kinsoku/>
              <w:wordWrap/>
              <w:overflowPunct/>
              <w:bidi w:val="0"/>
              <w:snapToGrid w:val="0"/>
              <w:spacing w:line="400" w:lineRule="exact"/>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800,000.00元，</w:t>
            </w:r>
            <w:r>
              <w:rPr>
                <w:rFonts w:hint="eastAsia" w:ascii="宋体" w:hAnsi="宋体" w:eastAsia="宋体" w:cs="宋体"/>
                <w:bCs/>
                <w:color w:val="auto"/>
                <w:sz w:val="24"/>
                <w:szCs w:val="24"/>
                <w:highlight w:val="none"/>
                <w:lang w:val="zh-CN"/>
              </w:rPr>
              <w:t>超过最高</w:t>
            </w:r>
            <w:r>
              <w:rPr>
                <w:rFonts w:hint="eastAsia" w:ascii="宋体" w:hAnsi="宋体" w:eastAsia="宋体" w:cs="宋体"/>
                <w:bCs/>
                <w:color w:val="auto"/>
                <w:sz w:val="24"/>
                <w:szCs w:val="24"/>
                <w:highlight w:val="none"/>
                <w:lang w:val="en-US" w:eastAsia="zh-CN"/>
              </w:rPr>
              <w:t>限</w:t>
            </w:r>
            <w:r>
              <w:rPr>
                <w:rFonts w:hint="eastAsia" w:ascii="宋体" w:hAnsi="宋体" w:eastAsia="宋体" w:cs="宋体"/>
                <w:bCs/>
                <w:color w:val="auto"/>
                <w:sz w:val="24"/>
                <w:szCs w:val="24"/>
                <w:highlight w:val="none"/>
                <w:lang w:val="zh-CN"/>
              </w:rPr>
              <w:t>价按无效投标处理。</w:t>
            </w:r>
          </w:p>
        </w:tc>
      </w:tr>
      <w:tr w14:paraId="104F1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noWrap/>
            <w:vAlign w:val="center"/>
          </w:tcPr>
          <w:p w14:paraId="0D41EAC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w:t>
            </w:r>
          </w:p>
        </w:tc>
        <w:tc>
          <w:tcPr>
            <w:tcW w:w="20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0D30C">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bCs/>
                <w:color w:val="auto"/>
                <w:kern w:val="15"/>
                <w:sz w:val="24"/>
                <w:szCs w:val="24"/>
                <w:highlight w:val="none"/>
                <w:lang w:val="en-US" w:eastAsia="zh-CN" w:bidi="ar-SA"/>
              </w:rPr>
            </w:pPr>
            <w:r>
              <w:rPr>
                <w:rFonts w:hint="eastAsia" w:ascii="宋体" w:hAnsi="宋体" w:eastAsia="宋体" w:cs="宋体"/>
                <w:bCs/>
                <w:color w:val="auto"/>
                <w:kern w:val="15"/>
                <w:sz w:val="24"/>
                <w:szCs w:val="24"/>
                <w:highlight w:val="none"/>
              </w:rPr>
              <w:t>招标代理服务费</w:t>
            </w:r>
          </w:p>
        </w:tc>
        <w:tc>
          <w:tcPr>
            <w:tcW w:w="65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6D5940">
            <w:pPr>
              <w:keepNext w:val="0"/>
              <w:keepLines w:val="0"/>
              <w:pageBreakBefore w:val="0"/>
              <w:widowControl/>
              <w:kinsoku/>
              <w:wordWrap/>
              <w:overflowPunct/>
              <w:topLinePunct w:val="0"/>
              <w:autoSpaceDE/>
              <w:autoSpaceDN w:val="0"/>
              <w:bidi w:val="0"/>
              <w:adjustRightInd w:val="0"/>
              <w:snapToGrid w:val="0"/>
              <w:spacing w:line="400" w:lineRule="exact"/>
              <w:ind w:firstLine="0" w:firstLineChars="0"/>
              <w:jc w:val="both"/>
              <w:textAlignment w:val="auto"/>
              <w:rPr>
                <w:rFonts w:hint="eastAsia" w:ascii="宋体" w:hAnsi="宋体" w:eastAsia="宋体" w:cs="宋体"/>
                <w:color w:val="auto"/>
                <w:kern w:val="15"/>
                <w:sz w:val="24"/>
                <w:szCs w:val="24"/>
                <w:highlight w:val="none"/>
                <w:lang w:val="en-US" w:eastAsia="zh-CN" w:bidi="ar-SA"/>
              </w:rPr>
            </w:pPr>
            <w:r>
              <w:rPr>
                <w:rFonts w:hint="eastAsia" w:ascii="宋体" w:hAnsi="宋体" w:eastAsia="宋体" w:cs="宋体"/>
                <w:color w:val="auto"/>
                <w:sz w:val="24"/>
                <w:szCs w:val="24"/>
                <w:highlight w:val="none"/>
              </w:rPr>
              <w:t>执行国家发展改革委《关于进一步放开建设项目专业服务价格的通知》(发改价格〔2015〕299号)文件收取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由中标人支付</w:t>
            </w:r>
            <w:r>
              <w:rPr>
                <w:rFonts w:hint="eastAsia" w:ascii="宋体" w:hAnsi="宋体" w:eastAsia="宋体" w:cs="宋体"/>
                <w:color w:val="auto"/>
                <w:sz w:val="24"/>
                <w:szCs w:val="24"/>
                <w:highlight w:val="none"/>
              </w:rPr>
              <w:t>。</w:t>
            </w:r>
          </w:p>
        </w:tc>
      </w:tr>
      <w:tr w14:paraId="025760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13" w:type="dxa"/>
            <w:vMerge w:val="restart"/>
            <w:tcBorders>
              <w:top w:val="single" w:color="auto" w:sz="4" w:space="0"/>
              <w:left w:val="single" w:color="auto" w:sz="4" w:space="0"/>
              <w:right w:val="single" w:color="auto" w:sz="4" w:space="0"/>
            </w:tcBorders>
            <w:noWrap/>
            <w:vAlign w:val="center"/>
          </w:tcPr>
          <w:p w14:paraId="3944C35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p>
        </w:tc>
        <w:tc>
          <w:tcPr>
            <w:tcW w:w="2070" w:type="dxa"/>
            <w:vMerge w:val="restart"/>
            <w:tcBorders>
              <w:top w:val="single" w:color="auto" w:sz="4" w:space="0"/>
              <w:left w:val="single" w:color="auto" w:sz="4" w:space="0"/>
              <w:right w:val="single" w:color="auto" w:sz="4" w:space="0"/>
            </w:tcBorders>
            <w:noWrap/>
            <w:vAlign w:val="center"/>
          </w:tcPr>
          <w:p w14:paraId="7D5F387C">
            <w:pPr>
              <w:pStyle w:val="60"/>
              <w:keepNext w:val="0"/>
              <w:keepLines w:val="0"/>
              <w:pageBreakBefore w:val="0"/>
              <w:tabs>
                <w:tab w:val="left" w:pos="8295"/>
              </w:tabs>
              <w:kinsoku/>
              <w:wordWrap/>
              <w:overflowPunct/>
              <w:bidi w:val="0"/>
              <w:snapToGrid w:val="0"/>
              <w:spacing w:before="0" w:after="0" w:line="400" w:lineRule="exact"/>
              <w:ind w:left="0" w:right="0"/>
              <w:jc w:val="center"/>
              <w:rPr>
                <w:rFonts w:hint="eastAsia" w:ascii="宋体" w:hAnsi="宋体" w:eastAsia="宋体" w:cs="宋体"/>
                <w:bCs/>
                <w:color w:val="auto"/>
                <w:kern w:val="18"/>
                <w:sz w:val="24"/>
                <w:szCs w:val="24"/>
                <w:highlight w:val="none"/>
              </w:rPr>
            </w:pPr>
            <w:r>
              <w:rPr>
                <w:rFonts w:hint="eastAsia" w:ascii="宋体" w:hAnsi="宋体" w:eastAsia="宋体" w:cs="宋体"/>
                <w:bCs/>
                <w:color w:val="auto"/>
                <w:kern w:val="15"/>
                <w:sz w:val="24"/>
                <w:szCs w:val="24"/>
                <w:highlight w:val="none"/>
              </w:rPr>
              <w:t>其他要求</w:t>
            </w:r>
          </w:p>
        </w:tc>
        <w:tc>
          <w:tcPr>
            <w:tcW w:w="6597" w:type="dxa"/>
            <w:tcBorders>
              <w:top w:val="single" w:color="auto" w:sz="4" w:space="0"/>
              <w:left w:val="single" w:color="auto" w:sz="4" w:space="0"/>
              <w:bottom w:val="single" w:color="auto" w:sz="4" w:space="0"/>
              <w:right w:val="single" w:color="auto" w:sz="4" w:space="0"/>
            </w:tcBorders>
            <w:noWrap/>
            <w:vAlign w:val="center"/>
          </w:tcPr>
          <w:p w14:paraId="15332302">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bCs/>
                <w:color w:val="auto"/>
                <w:sz w:val="24"/>
                <w:szCs w:val="24"/>
                <w:highlight w:val="none"/>
              </w:rPr>
            </w:pPr>
            <w:r>
              <w:rPr>
                <w:rFonts w:hint="eastAsia" w:ascii="宋体" w:hAnsi="宋体" w:eastAsia="宋体" w:cs="宋体"/>
                <w:bCs/>
                <w:color w:val="auto"/>
                <w:kern w:val="15"/>
                <w:sz w:val="24"/>
                <w:szCs w:val="24"/>
                <w:highlight w:val="none"/>
                <w:lang w:eastAsia="zh-CN"/>
              </w:rPr>
              <w:t>供应商</w:t>
            </w:r>
            <w:r>
              <w:rPr>
                <w:rFonts w:hint="eastAsia" w:ascii="宋体" w:hAnsi="宋体" w:eastAsia="宋体" w:cs="宋体"/>
                <w:bCs/>
                <w:color w:val="auto"/>
                <w:kern w:val="15"/>
                <w:sz w:val="24"/>
                <w:szCs w:val="24"/>
                <w:highlight w:val="none"/>
              </w:rPr>
              <w:t>必须保证投标时所报资料真实有效，采购人保留对资料的核查权力，一旦发现资料有虚假现象将移交有关部门处理。</w:t>
            </w:r>
          </w:p>
        </w:tc>
      </w:tr>
      <w:tr w14:paraId="5FE4F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13" w:type="dxa"/>
            <w:vMerge w:val="continue"/>
            <w:tcBorders>
              <w:left w:val="single" w:color="auto" w:sz="4" w:space="0"/>
              <w:right w:val="single" w:color="auto" w:sz="4" w:space="0"/>
            </w:tcBorders>
            <w:vAlign w:val="center"/>
          </w:tcPr>
          <w:p w14:paraId="5C5D2821">
            <w:pPr>
              <w:keepNext w:val="0"/>
              <w:keepLines w:val="0"/>
              <w:pageBreakBefore w:val="0"/>
              <w:widowControl/>
              <w:kinsoku/>
              <w:wordWrap/>
              <w:overflowPunct/>
              <w:bidi w:val="0"/>
              <w:spacing w:line="400" w:lineRule="exact"/>
              <w:jc w:val="both"/>
              <w:rPr>
                <w:rFonts w:hint="eastAsia" w:ascii="宋体" w:hAnsi="宋体" w:eastAsia="宋体" w:cs="宋体"/>
                <w:color w:val="auto"/>
                <w:sz w:val="24"/>
                <w:szCs w:val="24"/>
                <w:highlight w:val="none"/>
              </w:rPr>
            </w:pPr>
          </w:p>
        </w:tc>
        <w:tc>
          <w:tcPr>
            <w:tcW w:w="2070" w:type="dxa"/>
            <w:vMerge w:val="continue"/>
            <w:tcBorders>
              <w:left w:val="single" w:color="auto" w:sz="4" w:space="0"/>
              <w:right w:val="single" w:color="auto" w:sz="4" w:space="0"/>
            </w:tcBorders>
            <w:vAlign w:val="center"/>
          </w:tcPr>
          <w:p w14:paraId="32BF76DD">
            <w:pPr>
              <w:keepNext w:val="0"/>
              <w:keepLines w:val="0"/>
              <w:pageBreakBefore w:val="0"/>
              <w:widowControl/>
              <w:kinsoku/>
              <w:wordWrap/>
              <w:overflowPunct/>
              <w:bidi w:val="0"/>
              <w:spacing w:line="400" w:lineRule="exact"/>
              <w:jc w:val="both"/>
              <w:rPr>
                <w:rFonts w:hint="eastAsia" w:ascii="宋体" w:hAnsi="宋体" w:eastAsia="宋体" w:cs="宋体"/>
                <w:bCs/>
                <w:color w:val="auto"/>
                <w:kern w:val="18"/>
                <w:sz w:val="24"/>
                <w:szCs w:val="24"/>
                <w:highlight w:val="none"/>
              </w:rPr>
            </w:pPr>
          </w:p>
        </w:tc>
        <w:tc>
          <w:tcPr>
            <w:tcW w:w="6597" w:type="dxa"/>
            <w:tcBorders>
              <w:top w:val="single" w:color="auto" w:sz="4" w:space="0"/>
              <w:left w:val="single" w:color="auto" w:sz="4" w:space="0"/>
              <w:bottom w:val="single" w:color="auto" w:sz="4" w:space="0"/>
              <w:right w:val="single" w:color="auto" w:sz="4" w:space="0"/>
            </w:tcBorders>
            <w:noWrap/>
            <w:vAlign w:val="center"/>
          </w:tcPr>
          <w:p w14:paraId="34E25FE7">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t>根据中华人民共和国财政部令第94号--政府采购质疑和投诉办法规定，</w:t>
            </w:r>
            <w:r>
              <w:rPr>
                <w:rFonts w:hint="eastAsia" w:ascii="宋体" w:hAnsi="宋体" w:eastAsia="宋体" w:cs="宋体"/>
                <w:bCs/>
                <w:color w:val="auto"/>
                <w:kern w:val="15"/>
                <w:sz w:val="24"/>
                <w:szCs w:val="24"/>
                <w:highlight w:val="none"/>
                <w:lang w:eastAsia="zh-CN"/>
              </w:rPr>
              <w:t>供应商</w:t>
            </w:r>
            <w:r>
              <w:rPr>
                <w:rFonts w:hint="eastAsia" w:ascii="宋体" w:hAnsi="宋体" w:eastAsia="宋体" w:cs="宋体"/>
                <w:bCs/>
                <w:color w:val="auto"/>
                <w:kern w:val="15"/>
                <w:sz w:val="24"/>
                <w:szCs w:val="24"/>
                <w:highlight w:val="none"/>
              </w:rPr>
              <w:t>在法定质疑期内应一次性提出针对同一采购程序环节的质疑，提出质疑时应当提交符合规定的质疑函和必要的证明材料。</w:t>
            </w:r>
          </w:p>
          <w:p w14:paraId="6817C6A3">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15"/>
                <w:sz w:val="24"/>
                <w:szCs w:val="24"/>
                <w:highlight w:val="none"/>
              </w:rPr>
              <w:t>只接受以书面形式向采购人、采购代理机构提出质疑，不接受以其他形式或提出的质疑。</w:t>
            </w:r>
          </w:p>
        </w:tc>
      </w:tr>
    </w:tbl>
    <w:p w14:paraId="4FACE47F">
      <w:pPr>
        <w:rPr>
          <w:rFonts w:hint="eastAsia" w:ascii="宋体" w:hAnsi="宋体" w:eastAsia="宋体" w:cs="宋体"/>
          <w:color w:val="auto"/>
          <w:highlight w:val="none"/>
        </w:rPr>
      </w:pPr>
      <w:bookmarkStart w:id="21" w:name="_Toc2218"/>
      <w:r>
        <w:rPr>
          <w:rFonts w:hint="eastAsia" w:ascii="宋体" w:hAnsi="宋体" w:eastAsia="宋体" w:cs="宋体"/>
          <w:color w:val="auto"/>
          <w:highlight w:val="none"/>
        </w:rPr>
        <w:br w:type="page"/>
      </w:r>
    </w:p>
    <w:p w14:paraId="44032BC0">
      <w:pPr>
        <w:pStyle w:val="3"/>
        <w:keepNext/>
        <w:keepLines/>
        <w:pageBreakBefore w:val="0"/>
        <w:widowControl w:val="0"/>
        <w:tabs>
          <w:tab w:val="left" w:pos="360"/>
        </w:tabs>
        <w:kinsoku/>
        <w:wordWrap/>
        <w:overflowPunct/>
        <w:topLinePunct w:val="0"/>
        <w:autoSpaceDE/>
        <w:autoSpaceDN w:val="0"/>
        <w:bidi w:val="0"/>
        <w:adjustRightInd/>
        <w:snapToGrid/>
        <w:spacing w:before="20" w:after="140" w:line="240" w:lineRule="auto"/>
        <w:jc w:val="center"/>
        <w:textAlignment w:val="auto"/>
        <w:rPr>
          <w:rFonts w:hint="eastAsia" w:ascii="宋体" w:hAnsi="宋体" w:eastAsia="宋体" w:cs="宋体"/>
          <w:color w:val="auto"/>
          <w:highlight w:val="none"/>
        </w:rPr>
      </w:pPr>
      <w:bookmarkStart w:id="22" w:name="_Toc18301"/>
      <w:r>
        <w:rPr>
          <w:rFonts w:hint="eastAsia" w:ascii="宋体" w:hAnsi="宋体" w:eastAsia="宋体" w:cs="宋体"/>
          <w:color w:val="auto"/>
          <w:highlight w:val="none"/>
        </w:rPr>
        <w:t>二</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w:t>
      </w:r>
      <w:bookmarkEnd w:id="21"/>
      <w:bookmarkEnd w:id="22"/>
    </w:p>
    <w:p w14:paraId="4F21AACA">
      <w:pPr>
        <w:widowControl w:val="0"/>
        <w:spacing w:line="360" w:lineRule="auto"/>
        <w:ind w:firstLine="480" w:firstLineChars="200"/>
        <w:rPr>
          <w:rFonts w:hint="eastAsia" w:ascii="宋体" w:hAnsi="宋体" w:eastAsia="宋体" w:cs="宋体"/>
          <w:color w:val="auto"/>
          <w:spacing w:val="0"/>
          <w:kern w:val="24"/>
          <w:sz w:val="24"/>
          <w:szCs w:val="24"/>
          <w:highlight w:val="none"/>
        </w:rPr>
      </w:pPr>
      <w:r>
        <w:rPr>
          <w:rFonts w:hint="eastAsia" w:ascii="宋体" w:hAnsi="宋体" w:eastAsia="宋体" w:cs="宋体"/>
          <w:spacing w:val="0"/>
          <w:kern w:val="24"/>
          <w:sz w:val="24"/>
          <w:szCs w:val="24"/>
          <w:highlight w:val="none"/>
        </w:rPr>
        <w:t>本项目招标依据为《中华人民共和国政府采购法》、《中华人民共和国政府采购法实施条例》、《政府采购货物和服务招标投标管理办法》国家发展计划委员会等七部委《评标委员会和评标方法暂行规定》等有关法律、法规及规定。</w:t>
      </w:r>
    </w:p>
    <w:p w14:paraId="49B830E0">
      <w:pPr>
        <w:pStyle w:val="4"/>
        <w:autoSpaceDN w:val="0"/>
        <w:adjustRightInd w:val="0"/>
        <w:snapToGrid w:val="0"/>
        <w:spacing w:before="0" w:after="0" w:line="360" w:lineRule="auto"/>
        <w:jc w:val="center"/>
        <w:rPr>
          <w:rFonts w:hint="eastAsia" w:ascii="宋体" w:hAnsi="宋体" w:eastAsia="宋体" w:cs="宋体"/>
          <w:color w:val="auto"/>
          <w:spacing w:val="0"/>
          <w:kern w:val="24"/>
          <w:sz w:val="24"/>
          <w:szCs w:val="24"/>
          <w:highlight w:val="none"/>
        </w:rPr>
      </w:pPr>
      <w:bookmarkStart w:id="23" w:name="_Toc19014"/>
      <w:bookmarkStart w:id="24" w:name="_Toc21001"/>
      <w:bookmarkStart w:id="25" w:name="_Toc98580391"/>
      <w:r>
        <w:rPr>
          <w:rFonts w:hint="eastAsia" w:ascii="宋体" w:hAnsi="宋体" w:eastAsia="宋体" w:cs="宋体"/>
          <w:color w:val="auto"/>
          <w:spacing w:val="0"/>
          <w:kern w:val="24"/>
          <w:sz w:val="24"/>
          <w:szCs w:val="24"/>
          <w:highlight w:val="none"/>
        </w:rPr>
        <w:t>A 说明</w:t>
      </w:r>
      <w:bookmarkEnd w:id="23"/>
      <w:bookmarkEnd w:id="24"/>
      <w:bookmarkEnd w:id="25"/>
    </w:p>
    <w:p w14:paraId="28B7C97C">
      <w:pPr>
        <w:pStyle w:val="5"/>
        <w:autoSpaceDN w:val="0"/>
        <w:adjustRightInd w:val="0"/>
        <w:snapToGrid w:val="0"/>
        <w:spacing w:before="0" w:after="0" w:line="360" w:lineRule="auto"/>
        <w:rPr>
          <w:rFonts w:hint="eastAsia" w:ascii="宋体" w:hAnsi="宋体" w:eastAsia="宋体" w:cs="宋体"/>
          <w:b w:val="0"/>
          <w:bCs w:val="0"/>
          <w:color w:val="auto"/>
          <w:spacing w:val="0"/>
          <w:kern w:val="24"/>
          <w:sz w:val="24"/>
          <w:szCs w:val="24"/>
          <w:highlight w:val="none"/>
        </w:rPr>
      </w:pPr>
      <w:bookmarkStart w:id="26" w:name="_Toc98580392"/>
      <w:r>
        <w:rPr>
          <w:rFonts w:hint="eastAsia" w:ascii="宋体" w:hAnsi="宋体" w:eastAsia="宋体" w:cs="宋体"/>
          <w:color w:val="auto"/>
          <w:spacing w:val="0"/>
          <w:kern w:val="24"/>
          <w:sz w:val="24"/>
          <w:szCs w:val="24"/>
          <w:highlight w:val="none"/>
        </w:rPr>
        <w:t>1.适用范围</w:t>
      </w:r>
      <w:bookmarkEnd w:id="26"/>
    </w:p>
    <w:p w14:paraId="2924511D">
      <w:pPr>
        <w:autoSpaceDN w:val="0"/>
        <w:adjustRightInd w:val="0"/>
        <w:snapToGrid w:val="0"/>
        <w:spacing w:line="360" w:lineRule="auto"/>
        <w:ind w:firstLine="567"/>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本文件是受采购人委托，对采购人委托</w:t>
      </w:r>
      <w:r>
        <w:rPr>
          <w:rFonts w:hint="eastAsia" w:ascii="宋体" w:hAnsi="宋体" w:eastAsia="宋体" w:cs="宋体"/>
          <w:bCs/>
          <w:color w:val="auto"/>
          <w:spacing w:val="0"/>
          <w:kern w:val="24"/>
          <w:sz w:val="24"/>
          <w:szCs w:val="24"/>
          <w:highlight w:val="none"/>
          <w:lang w:val="zh-CN"/>
        </w:rPr>
        <w:t>采购项目</w:t>
      </w:r>
      <w:r>
        <w:rPr>
          <w:rFonts w:hint="eastAsia" w:ascii="宋体" w:hAnsi="宋体" w:eastAsia="宋体" w:cs="宋体"/>
          <w:color w:val="auto"/>
          <w:spacing w:val="0"/>
          <w:kern w:val="24"/>
          <w:sz w:val="24"/>
          <w:szCs w:val="24"/>
          <w:highlight w:val="none"/>
        </w:rPr>
        <w:t>的规范性招标文件，适用于本项目招标公告所述的标的采购及服务，是</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编制</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的依据。</w:t>
      </w:r>
    </w:p>
    <w:p w14:paraId="7FF6D366">
      <w:pPr>
        <w:pStyle w:val="5"/>
        <w:autoSpaceDN w:val="0"/>
        <w:adjustRightInd w:val="0"/>
        <w:snapToGrid w:val="0"/>
        <w:spacing w:before="0" w:after="0" w:line="360" w:lineRule="auto"/>
        <w:rPr>
          <w:rFonts w:hint="eastAsia" w:ascii="宋体" w:hAnsi="宋体" w:eastAsia="宋体" w:cs="宋体"/>
          <w:color w:val="auto"/>
          <w:spacing w:val="0"/>
          <w:kern w:val="24"/>
          <w:sz w:val="24"/>
          <w:szCs w:val="24"/>
          <w:highlight w:val="none"/>
        </w:rPr>
      </w:pPr>
      <w:bookmarkStart w:id="27" w:name="_Toc98580393"/>
      <w:r>
        <w:rPr>
          <w:rFonts w:hint="eastAsia" w:ascii="宋体" w:hAnsi="宋体" w:eastAsia="宋体" w:cs="宋体"/>
          <w:color w:val="auto"/>
          <w:spacing w:val="0"/>
          <w:kern w:val="24"/>
          <w:sz w:val="24"/>
          <w:szCs w:val="24"/>
          <w:highlight w:val="none"/>
        </w:rPr>
        <w:t>2.法律适用</w:t>
      </w:r>
      <w:bookmarkEnd w:id="27"/>
    </w:p>
    <w:p w14:paraId="51E598DB">
      <w:pPr>
        <w:autoSpaceDN w:val="0"/>
        <w:adjustRightInd w:val="0"/>
        <w:snapToGrid w:val="0"/>
        <w:spacing w:line="360" w:lineRule="auto"/>
        <w:ind w:firstLine="567"/>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本招标文件及由本次招标产生的合同适用中华人民共和国法律。</w:t>
      </w:r>
    </w:p>
    <w:p w14:paraId="152F2A62">
      <w:pPr>
        <w:pStyle w:val="5"/>
        <w:autoSpaceDN w:val="0"/>
        <w:adjustRightInd w:val="0"/>
        <w:snapToGrid w:val="0"/>
        <w:spacing w:before="0" w:after="0" w:line="360" w:lineRule="auto"/>
        <w:rPr>
          <w:rFonts w:hint="eastAsia" w:ascii="宋体" w:hAnsi="宋体" w:eastAsia="宋体" w:cs="宋体"/>
          <w:color w:val="auto"/>
          <w:spacing w:val="0"/>
          <w:kern w:val="24"/>
          <w:sz w:val="24"/>
          <w:szCs w:val="24"/>
          <w:highlight w:val="none"/>
        </w:rPr>
      </w:pPr>
      <w:bookmarkStart w:id="28" w:name="_Toc98580394"/>
      <w:r>
        <w:rPr>
          <w:rFonts w:hint="eastAsia" w:ascii="宋体" w:hAnsi="宋体" w:eastAsia="宋体" w:cs="宋体"/>
          <w:color w:val="auto"/>
          <w:spacing w:val="0"/>
          <w:kern w:val="24"/>
          <w:sz w:val="24"/>
          <w:szCs w:val="24"/>
          <w:highlight w:val="none"/>
        </w:rPr>
        <w:t>3.定义</w:t>
      </w:r>
      <w:bookmarkEnd w:id="28"/>
    </w:p>
    <w:p w14:paraId="00CD55F8">
      <w:pPr>
        <w:autoSpaceDN w:val="0"/>
        <w:adjustRightInd w:val="0"/>
        <w:snapToGrid w:val="0"/>
        <w:spacing w:line="360" w:lineRule="auto"/>
        <w:ind w:firstLine="351"/>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“招标机构”系指组织本次招标的代理机构；</w:t>
      </w:r>
    </w:p>
    <w:p w14:paraId="5A0D3504">
      <w:pPr>
        <w:autoSpaceDN w:val="0"/>
        <w:adjustRightInd w:val="0"/>
        <w:snapToGrid w:val="0"/>
        <w:spacing w:line="360" w:lineRule="auto"/>
        <w:ind w:firstLine="351"/>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”系指向招标机构提交</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的投标商；</w:t>
      </w:r>
    </w:p>
    <w:p w14:paraId="19E57975">
      <w:pPr>
        <w:autoSpaceDN w:val="0"/>
        <w:adjustRightInd w:val="0"/>
        <w:snapToGrid w:val="0"/>
        <w:spacing w:line="360" w:lineRule="auto"/>
        <w:ind w:firstLine="351"/>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“买方”系指采购单位，合同一方当事人；</w:t>
      </w:r>
    </w:p>
    <w:p w14:paraId="5F0599FE">
      <w:pPr>
        <w:autoSpaceDN w:val="0"/>
        <w:adjustRightInd w:val="0"/>
        <w:snapToGrid w:val="0"/>
        <w:spacing w:line="360" w:lineRule="auto"/>
        <w:ind w:firstLine="351"/>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“服务”系指招标文件规定须完成的服务和其他的类似义务；</w:t>
      </w:r>
    </w:p>
    <w:p w14:paraId="72CE00F7">
      <w:pPr>
        <w:autoSpaceDN w:val="0"/>
        <w:adjustRightInd w:val="0"/>
        <w:snapToGrid w:val="0"/>
        <w:spacing w:line="360" w:lineRule="auto"/>
        <w:ind w:firstLine="351"/>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“日”、“天”系指日历日；</w:t>
      </w:r>
    </w:p>
    <w:p w14:paraId="30E6D0E0">
      <w:pPr>
        <w:pStyle w:val="61"/>
        <w:autoSpaceDN w:val="0"/>
        <w:adjustRightInd w:val="0"/>
        <w:snapToGrid w:val="0"/>
        <w:spacing w:before="0" w:beforeAutospacing="0" w:after="0" w:afterAutospacing="0" w:line="360" w:lineRule="auto"/>
        <w:ind w:firstLine="24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 xml:space="preserve"> “合同”是买方与中标人共同以招标文件、</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为依据，经过协商签订的具备法律效力的文件。招标文件、</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及其共同确定的补充文件是合同的有效组成部分，与合同具备同等的法律效力。</w:t>
      </w:r>
    </w:p>
    <w:p w14:paraId="6EFA4460">
      <w:pPr>
        <w:pStyle w:val="5"/>
        <w:autoSpaceDN w:val="0"/>
        <w:adjustRightInd w:val="0"/>
        <w:snapToGrid w:val="0"/>
        <w:spacing w:before="0" w:after="0" w:line="360" w:lineRule="auto"/>
        <w:rPr>
          <w:rFonts w:hint="eastAsia" w:ascii="宋体" w:hAnsi="宋体" w:eastAsia="宋体" w:cs="宋体"/>
          <w:color w:val="auto"/>
          <w:spacing w:val="0"/>
          <w:kern w:val="24"/>
          <w:sz w:val="24"/>
          <w:szCs w:val="24"/>
          <w:highlight w:val="none"/>
          <w:lang w:eastAsia="zh-CN"/>
        </w:rPr>
      </w:pPr>
      <w:bookmarkStart w:id="29" w:name="_Toc98580395"/>
      <w:r>
        <w:rPr>
          <w:rFonts w:hint="eastAsia" w:ascii="宋体" w:hAnsi="宋体" w:eastAsia="宋体" w:cs="宋体"/>
          <w:color w:val="auto"/>
          <w:spacing w:val="0"/>
          <w:kern w:val="24"/>
          <w:sz w:val="24"/>
          <w:szCs w:val="24"/>
          <w:highlight w:val="none"/>
        </w:rPr>
        <w:t>4.合格的</w:t>
      </w:r>
      <w:bookmarkEnd w:id="29"/>
      <w:r>
        <w:rPr>
          <w:rFonts w:hint="eastAsia" w:ascii="宋体" w:hAnsi="宋体" w:eastAsia="宋体" w:cs="宋体"/>
          <w:color w:val="auto"/>
          <w:spacing w:val="0"/>
          <w:kern w:val="24"/>
          <w:sz w:val="24"/>
          <w:szCs w:val="24"/>
          <w:highlight w:val="none"/>
          <w:lang w:eastAsia="zh-CN"/>
        </w:rPr>
        <w:t>供应商</w:t>
      </w:r>
    </w:p>
    <w:p w14:paraId="23304331">
      <w:pPr>
        <w:autoSpaceDN w:val="0"/>
        <w:adjustRightInd w:val="0"/>
        <w:snapToGrid w:val="0"/>
        <w:spacing w:line="360" w:lineRule="auto"/>
        <w:ind w:firstLine="480" w:firstLineChars="20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4.1合格</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必须符合</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须知前附表第1</w:t>
      </w:r>
      <w:r>
        <w:rPr>
          <w:rFonts w:hint="eastAsia" w:ascii="宋体" w:hAnsi="宋体" w:eastAsia="宋体" w:cs="宋体"/>
          <w:color w:val="auto"/>
          <w:spacing w:val="0"/>
          <w:kern w:val="24"/>
          <w:sz w:val="24"/>
          <w:szCs w:val="24"/>
          <w:highlight w:val="none"/>
          <w:lang w:val="en-US" w:eastAsia="zh-CN"/>
        </w:rPr>
        <w:t>1</w:t>
      </w:r>
      <w:r>
        <w:rPr>
          <w:rFonts w:hint="eastAsia" w:ascii="宋体" w:hAnsi="宋体" w:eastAsia="宋体" w:cs="宋体"/>
          <w:color w:val="auto"/>
          <w:spacing w:val="0"/>
          <w:kern w:val="24"/>
          <w:sz w:val="24"/>
          <w:szCs w:val="24"/>
          <w:highlight w:val="none"/>
        </w:rPr>
        <w:t>项下各项要求，并在投标时提供相应文件，若有遗漏或不符合要求均为资格审查不合格；</w:t>
      </w:r>
    </w:p>
    <w:p w14:paraId="6D855989">
      <w:pPr>
        <w:autoSpaceDN w:val="0"/>
        <w:adjustRightInd w:val="0"/>
        <w:snapToGrid w:val="0"/>
        <w:spacing w:line="360" w:lineRule="auto"/>
        <w:ind w:firstLine="480" w:firstLineChars="20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4.2</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应仔细阅读招标文件的所有内容，按招标文件的要求提供</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，并保证所提供的全部资料的真实性，使其投标对招标文件做出实质性响应，否则，其投标将被拒绝。招标机构保留进一步要求</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补充提供有关材料的权利，拒绝补充材料或提供材料不真实，将被视为自动放弃投标资格。</w:t>
      </w:r>
    </w:p>
    <w:p w14:paraId="27DE2F64">
      <w:pPr>
        <w:autoSpaceDN w:val="0"/>
        <w:adjustRightInd w:val="0"/>
        <w:snapToGrid w:val="0"/>
        <w:spacing w:line="360" w:lineRule="auto"/>
        <w:rPr>
          <w:rFonts w:hint="eastAsia" w:ascii="宋体" w:hAnsi="宋体" w:eastAsia="宋体" w:cs="宋体"/>
          <w:b/>
          <w:bCs/>
          <w:color w:val="auto"/>
          <w:spacing w:val="0"/>
          <w:kern w:val="24"/>
          <w:sz w:val="24"/>
          <w:szCs w:val="24"/>
          <w:highlight w:val="none"/>
        </w:rPr>
      </w:pPr>
      <w:bookmarkStart w:id="30" w:name="_Toc98580402"/>
      <w:r>
        <w:rPr>
          <w:rFonts w:hint="eastAsia" w:ascii="宋体" w:hAnsi="宋体" w:eastAsia="宋体" w:cs="宋体"/>
          <w:b/>
          <w:bCs/>
          <w:color w:val="auto"/>
          <w:spacing w:val="0"/>
          <w:kern w:val="24"/>
          <w:sz w:val="24"/>
          <w:szCs w:val="24"/>
          <w:highlight w:val="none"/>
        </w:rPr>
        <w:t>5．投标费用</w:t>
      </w:r>
    </w:p>
    <w:p w14:paraId="06A9FFE0">
      <w:pPr>
        <w:autoSpaceDN w:val="0"/>
        <w:adjustRightInd w:val="0"/>
        <w:snapToGrid w:val="0"/>
        <w:spacing w:line="360" w:lineRule="auto"/>
        <w:ind w:firstLine="480" w:firstLineChars="20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应承担其在投标准备、编制、递交</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和签订合同协议书的整个过程中发生的一切费用而不论其投标结果如何。</w:t>
      </w:r>
    </w:p>
    <w:p w14:paraId="23F687F9">
      <w:pPr>
        <w:pStyle w:val="4"/>
        <w:autoSpaceDN w:val="0"/>
        <w:adjustRightInd w:val="0"/>
        <w:snapToGrid w:val="0"/>
        <w:spacing w:before="0" w:after="0" w:line="360" w:lineRule="auto"/>
        <w:jc w:val="center"/>
        <w:rPr>
          <w:rFonts w:hint="eastAsia" w:ascii="宋体" w:hAnsi="宋体" w:eastAsia="宋体" w:cs="宋体"/>
          <w:color w:val="auto"/>
          <w:spacing w:val="0"/>
          <w:kern w:val="24"/>
          <w:sz w:val="24"/>
          <w:szCs w:val="24"/>
          <w:highlight w:val="none"/>
        </w:rPr>
      </w:pPr>
      <w:bookmarkStart w:id="31" w:name="_Toc9143"/>
      <w:bookmarkStart w:id="32" w:name="_Toc98580396"/>
      <w:bookmarkStart w:id="33" w:name="_Toc17201"/>
      <w:r>
        <w:rPr>
          <w:rFonts w:hint="eastAsia" w:ascii="宋体" w:hAnsi="宋体" w:eastAsia="宋体" w:cs="宋体"/>
          <w:color w:val="auto"/>
          <w:spacing w:val="0"/>
          <w:kern w:val="24"/>
          <w:sz w:val="24"/>
          <w:szCs w:val="24"/>
          <w:highlight w:val="none"/>
        </w:rPr>
        <w:t>B.招标文件说明</w:t>
      </w:r>
      <w:bookmarkEnd w:id="31"/>
      <w:bookmarkEnd w:id="32"/>
      <w:bookmarkEnd w:id="33"/>
    </w:p>
    <w:p w14:paraId="14EB13E0">
      <w:pPr>
        <w:pStyle w:val="5"/>
        <w:autoSpaceDN w:val="0"/>
        <w:adjustRightInd w:val="0"/>
        <w:snapToGrid w:val="0"/>
        <w:spacing w:before="0" w:after="0" w:line="360" w:lineRule="auto"/>
        <w:rPr>
          <w:rFonts w:hint="eastAsia" w:ascii="宋体" w:hAnsi="宋体" w:eastAsia="宋体" w:cs="宋体"/>
          <w:color w:val="auto"/>
          <w:spacing w:val="0"/>
          <w:kern w:val="24"/>
          <w:sz w:val="24"/>
          <w:szCs w:val="24"/>
          <w:highlight w:val="none"/>
        </w:rPr>
      </w:pPr>
      <w:bookmarkStart w:id="34" w:name="_Toc98580397"/>
      <w:r>
        <w:rPr>
          <w:rFonts w:hint="eastAsia" w:ascii="宋体" w:hAnsi="宋体" w:eastAsia="宋体" w:cs="宋体"/>
          <w:color w:val="auto"/>
          <w:spacing w:val="0"/>
          <w:kern w:val="24"/>
          <w:sz w:val="24"/>
          <w:szCs w:val="24"/>
          <w:highlight w:val="none"/>
        </w:rPr>
        <w:t>6.招标文件</w:t>
      </w:r>
      <w:bookmarkEnd w:id="34"/>
    </w:p>
    <w:p w14:paraId="202C1CE4">
      <w:pPr>
        <w:autoSpaceDN w:val="0"/>
        <w:adjustRightInd w:val="0"/>
        <w:snapToGrid w:val="0"/>
        <w:spacing w:line="360" w:lineRule="auto"/>
        <w:ind w:firstLine="480" w:firstLineChars="20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招标文件用以阐明所需货物及服务、招标投标程序和</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格式。招标文件由以下部分组成：</w:t>
      </w:r>
    </w:p>
    <w:p w14:paraId="57EC3249">
      <w:pPr>
        <w:autoSpaceDN w:val="0"/>
        <w:adjustRightInd w:val="0"/>
        <w:snapToGrid w:val="0"/>
        <w:spacing w:line="360" w:lineRule="auto"/>
        <w:ind w:firstLine="709"/>
        <w:rPr>
          <w:rFonts w:hint="eastAsia" w:ascii="宋体" w:hAnsi="宋体" w:eastAsia="宋体" w:cs="宋体"/>
          <w:color w:val="auto"/>
          <w:spacing w:val="0"/>
          <w:kern w:val="24"/>
          <w:sz w:val="24"/>
          <w:szCs w:val="24"/>
          <w:highlight w:val="none"/>
        </w:rPr>
      </w:pPr>
      <w:bookmarkStart w:id="35" w:name="_Toc98580398"/>
      <w:r>
        <w:rPr>
          <w:rFonts w:hint="eastAsia" w:ascii="宋体" w:hAnsi="宋体" w:eastAsia="宋体" w:cs="宋体"/>
          <w:color w:val="auto"/>
          <w:spacing w:val="0"/>
          <w:kern w:val="24"/>
          <w:sz w:val="24"/>
          <w:szCs w:val="24"/>
          <w:highlight w:val="none"/>
        </w:rPr>
        <w:t>第一部分   招标公告</w:t>
      </w:r>
    </w:p>
    <w:p w14:paraId="63353D77">
      <w:pPr>
        <w:autoSpaceDN w:val="0"/>
        <w:adjustRightInd w:val="0"/>
        <w:snapToGrid w:val="0"/>
        <w:spacing w:line="360" w:lineRule="auto"/>
        <w:ind w:firstLine="709"/>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 xml:space="preserve">第二部分   </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须知</w:t>
      </w:r>
    </w:p>
    <w:p w14:paraId="487DC821">
      <w:pPr>
        <w:autoSpaceDN w:val="0"/>
        <w:adjustRightInd w:val="0"/>
        <w:snapToGrid w:val="0"/>
        <w:spacing w:line="360" w:lineRule="auto"/>
        <w:ind w:firstLine="709"/>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第三部分   评标办法</w:t>
      </w:r>
    </w:p>
    <w:p w14:paraId="3D4F02B6">
      <w:pPr>
        <w:autoSpaceDN w:val="0"/>
        <w:adjustRightInd w:val="0"/>
        <w:snapToGrid w:val="0"/>
        <w:spacing w:line="360" w:lineRule="auto"/>
        <w:ind w:firstLine="709"/>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第四部分   采购需求</w:t>
      </w:r>
    </w:p>
    <w:p w14:paraId="14BF5037">
      <w:pPr>
        <w:autoSpaceDN w:val="0"/>
        <w:adjustRightInd w:val="0"/>
        <w:snapToGrid w:val="0"/>
        <w:spacing w:line="360" w:lineRule="auto"/>
        <w:ind w:firstLine="709"/>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第五部分   合同条款及格式</w:t>
      </w:r>
    </w:p>
    <w:p w14:paraId="397E2049">
      <w:pPr>
        <w:pStyle w:val="24"/>
        <w:ind w:firstLine="38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 xml:space="preserve">   第六</w:t>
      </w:r>
      <w:r>
        <w:rPr>
          <w:rFonts w:hint="eastAsia" w:ascii="宋体" w:hAnsi="宋体" w:eastAsia="宋体" w:cs="宋体"/>
          <w:color w:val="auto"/>
          <w:spacing w:val="0"/>
          <w:kern w:val="24"/>
          <w:sz w:val="24"/>
          <w:szCs w:val="24"/>
          <w:highlight w:val="none"/>
          <w:lang w:eastAsia="zh-CN"/>
        </w:rPr>
        <w:t>部分</w:t>
      </w:r>
      <w:r>
        <w:rPr>
          <w:rFonts w:hint="eastAsia" w:ascii="宋体" w:hAnsi="宋体" w:eastAsia="宋体" w:cs="宋体"/>
          <w:color w:val="auto"/>
          <w:spacing w:val="0"/>
          <w:kern w:val="24"/>
          <w:sz w:val="24"/>
          <w:szCs w:val="24"/>
          <w:highlight w:val="none"/>
        </w:rPr>
        <w:t xml:space="preserve"> </w:t>
      </w:r>
      <w:r>
        <w:rPr>
          <w:rFonts w:hint="eastAsia" w:ascii="宋体" w:hAnsi="宋体" w:eastAsia="宋体" w:cs="宋体"/>
          <w:color w:val="auto"/>
          <w:spacing w:val="0"/>
          <w:kern w:val="24"/>
          <w:sz w:val="24"/>
          <w:szCs w:val="24"/>
          <w:highlight w:val="none"/>
          <w:lang w:val="en-US" w:eastAsia="zh-CN"/>
        </w:rPr>
        <w:t xml:space="preserve"> </w:t>
      </w:r>
      <w:r>
        <w:rPr>
          <w:rFonts w:hint="eastAsia" w:ascii="宋体" w:hAnsi="宋体" w:eastAsia="宋体" w:cs="宋体"/>
          <w:color w:val="auto"/>
          <w:spacing w:val="0"/>
          <w:kern w:val="24"/>
          <w:sz w:val="24"/>
          <w:szCs w:val="24"/>
          <w:highlight w:val="none"/>
        </w:rPr>
        <w:t xml:space="preserve"> </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格式</w:t>
      </w:r>
    </w:p>
    <w:p w14:paraId="0DC6EFE3">
      <w:pPr>
        <w:pStyle w:val="5"/>
        <w:autoSpaceDN w:val="0"/>
        <w:adjustRightInd w:val="0"/>
        <w:snapToGrid w:val="0"/>
        <w:spacing w:before="0" w:after="0" w:line="360" w:lineRule="auto"/>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7.招标文件的澄清</w:t>
      </w:r>
      <w:bookmarkEnd w:id="35"/>
    </w:p>
    <w:p w14:paraId="6864CEC0">
      <w:pPr>
        <w:autoSpaceDN w:val="0"/>
        <w:adjustRightInd w:val="0"/>
        <w:snapToGrid w:val="0"/>
        <w:spacing w:line="360" w:lineRule="auto"/>
        <w:ind w:firstLine="567"/>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对本次招标文件的内容有疑问时，可要求澄清，但应在距投标截止日15日前，按</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须知注明的联系地址以书面形式（包括信函、传真，下同）通知到招标机构。招标机构将视情况确定采用其认为适当的方式予以澄清或以书面形式予以答复，并在其认为必要时，将不标明查询来源的书面答复发给所有购买招标文件的每一</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w:t>
      </w:r>
    </w:p>
    <w:p w14:paraId="7FB39B29">
      <w:pPr>
        <w:pStyle w:val="5"/>
        <w:autoSpaceDN w:val="0"/>
        <w:adjustRightInd w:val="0"/>
        <w:snapToGrid w:val="0"/>
        <w:spacing w:before="0" w:after="0" w:line="360" w:lineRule="auto"/>
        <w:rPr>
          <w:rFonts w:hint="eastAsia" w:ascii="宋体" w:hAnsi="宋体" w:eastAsia="宋体" w:cs="宋体"/>
          <w:color w:val="auto"/>
          <w:spacing w:val="0"/>
          <w:kern w:val="24"/>
          <w:sz w:val="24"/>
          <w:szCs w:val="24"/>
          <w:highlight w:val="none"/>
        </w:rPr>
      </w:pPr>
      <w:bookmarkStart w:id="36" w:name="_Toc98580399"/>
      <w:r>
        <w:rPr>
          <w:rFonts w:hint="eastAsia" w:ascii="宋体" w:hAnsi="宋体" w:eastAsia="宋体" w:cs="宋体"/>
          <w:color w:val="auto"/>
          <w:spacing w:val="0"/>
          <w:kern w:val="24"/>
          <w:sz w:val="24"/>
          <w:szCs w:val="24"/>
          <w:highlight w:val="none"/>
        </w:rPr>
        <w:t>8.招标文件的修改</w:t>
      </w:r>
      <w:bookmarkEnd w:id="36"/>
    </w:p>
    <w:p w14:paraId="33DAF1A4">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8.1在投标截止时间前，招标机构可根据需要和（或）依据</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要求澄清的问题而修改招标文件，并以书面形式通知所有购买招标文件的</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在收到该通知后应立即以传真的形式予以确认；</w:t>
      </w:r>
    </w:p>
    <w:p w14:paraId="556DCC6B">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8.2 招标文件的修改书将构成招标文件的一部分，对</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具有同样的约束力。</w:t>
      </w:r>
    </w:p>
    <w:p w14:paraId="33047983">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8.3为使</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有足够的时间按招标文件的修改要求考虑修正</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，招标机构可酌情推迟投标的截止时间和开标时间，并以书面形式通知已购买招标文件的每一</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w:t>
      </w:r>
    </w:p>
    <w:p w14:paraId="25E2F4B0">
      <w:pPr>
        <w:pStyle w:val="4"/>
        <w:autoSpaceDN w:val="0"/>
        <w:adjustRightInd w:val="0"/>
        <w:snapToGrid w:val="0"/>
        <w:spacing w:before="0" w:after="0" w:line="360" w:lineRule="auto"/>
        <w:jc w:val="center"/>
        <w:rPr>
          <w:rFonts w:hint="eastAsia" w:ascii="宋体" w:hAnsi="宋体" w:eastAsia="宋体" w:cs="宋体"/>
          <w:color w:val="auto"/>
          <w:spacing w:val="0"/>
          <w:kern w:val="24"/>
          <w:sz w:val="24"/>
          <w:szCs w:val="24"/>
          <w:highlight w:val="none"/>
        </w:rPr>
      </w:pPr>
      <w:bookmarkStart w:id="37" w:name="_Toc5113"/>
      <w:bookmarkStart w:id="38" w:name="_Toc98580400"/>
      <w:bookmarkStart w:id="39" w:name="_Toc27147"/>
      <w:r>
        <w:rPr>
          <w:rFonts w:hint="eastAsia" w:ascii="宋体" w:hAnsi="宋体" w:eastAsia="宋体" w:cs="宋体"/>
          <w:color w:val="auto"/>
          <w:spacing w:val="0"/>
          <w:kern w:val="24"/>
          <w:sz w:val="24"/>
          <w:szCs w:val="24"/>
          <w:highlight w:val="none"/>
        </w:rPr>
        <w:t>C</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的编写</w:t>
      </w:r>
      <w:bookmarkEnd w:id="37"/>
      <w:bookmarkEnd w:id="38"/>
      <w:bookmarkEnd w:id="39"/>
    </w:p>
    <w:p w14:paraId="3A10553A">
      <w:pPr>
        <w:pStyle w:val="5"/>
        <w:autoSpaceDN w:val="0"/>
        <w:adjustRightInd w:val="0"/>
        <w:snapToGrid w:val="0"/>
        <w:spacing w:before="0" w:after="0" w:line="360" w:lineRule="auto"/>
        <w:rPr>
          <w:rFonts w:hint="eastAsia" w:ascii="宋体" w:hAnsi="宋体" w:eastAsia="宋体" w:cs="宋体"/>
          <w:color w:val="auto"/>
          <w:spacing w:val="0"/>
          <w:kern w:val="24"/>
          <w:sz w:val="24"/>
          <w:szCs w:val="24"/>
          <w:highlight w:val="none"/>
        </w:rPr>
      </w:pPr>
      <w:bookmarkStart w:id="40" w:name="_Toc98580401"/>
      <w:r>
        <w:rPr>
          <w:rFonts w:hint="eastAsia" w:ascii="宋体" w:hAnsi="宋体" w:eastAsia="宋体" w:cs="宋体"/>
          <w:color w:val="auto"/>
          <w:spacing w:val="0"/>
          <w:kern w:val="24"/>
          <w:sz w:val="24"/>
          <w:szCs w:val="24"/>
          <w:highlight w:val="none"/>
        </w:rPr>
        <w:t>9.投标语言及计量单位</w:t>
      </w:r>
      <w:bookmarkEnd w:id="40"/>
    </w:p>
    <w:p w14:paraId="1A56DD2B">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9.1</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及</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和招标机构就投标交换的文件和来往信件，以中文书写（专有名词除外）；</w:t>
      </w:r>
    </w:p>
    <w:p w14:paraId="4A8FFB00">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9.2除在招标文件的“技术要求”中另有规定外， 计量单位应使用中华人民共和国法定计量单位（国际单位制和国家选定的其他计量单位）。</w:t>
      </w:r>
    </w:p>
    <w:p w14:paraId="0C35F672">
      <w:pPr>
        <w:pStyle w:val="5"/>
        <w:autoSpaceDN w:val="0"/>
        <w:adjustRightInd w:val="0"/>
        <w:snapToGrid w:val="0"/>
        <w:spacing w:before="0" w:after="0" w:line="360" w:lineRule="auto"/>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10．</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的组成</w:t>
      </w:r>
      <w:bookmarkEnd w:id="30"/>
    </w:p>
    <w:p w14:paraId="5FFBB66E">
      <w:pPr>
        <w:autoSpaceDN w:val="0"/>
        <w:adjustRightInd w:val="0"/>
        <w:snapToGrid w:val="0"/>
        <w:spacing w:line="360" w:lineRule="auto"/>
        <w:ind w:left="567"/>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详见第六部分：</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格式。</w:t>
      </w:r>
    </w:p>
    <w:p w14:paraId="5E0CA564">
      <w:pPr>
        <w:pStyle w:val="5"/>
        <w:autoSpaceDN w:val="0"/>
        <w:adjustRightInd w:val="0"/>
        <w:snapToGrid w:val="0"/>
        <w:spacing w:before="0" w:after="0" w:line="360" w:lineRule="auto"/>
        <w:rPr>
          <w:rFonts w:hint="eastAsia" w:ascii="宋体" w:hAnsi="宋体" w:eastAsia="宋体" w:cs="宋体"/>
          <w:color w:val="auto"/>
          <w:spacing w:val="0"/>
          <w:kern w:val="24"/>
          <w:sz w:val="24"/>
          <w:szCs w:val="24"/>
          <w:highlight w:val="none"/>
        </w:rPr>
      </w:pPr>
      <w:bookmarkStart w:id="41" w:name="_Toc98580403"/>
      <w:r>
        <w:rPr>
          <w:rFonts w:hint="eastAsia" w:ascii="宋体" w:hAnsi="宋体" w:eastAsia="宋体" w:cs="宋体"/>
          <w:color w:val="auto"/>
          <w:spacing w:val="0"/>
          <w:kern w:val="24"/>
          <w:sz w:val="24"/>
          <w:szCs w:val="24"/>
          <w:highlight w:val="none"/>
        </w:rPr>
        <w:t>11.</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内容填写说明</w:t>
      </w:r>
      <w:bookmarkEnd w:id="41"/>
    </w:p>
    <w:p w14:paraId="04430CDC">
      <w:pPr>
        <w:autoSpaceDN w:val="0"/>
        <w:adjustRightInd w:val="0"/>
        <w:snapToGrid w:val="0"/>
        <w:spacing w:line="360" w:lineRule="auto"/>
        <w:ind w:left="1" w:firstLine="419"/>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11.1</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应严格按招标文件要求的内容逐项填写编制</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，有规定格式的按规定格式填写，无规定格式的由</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自拟，并胶装成册。</w:t>
      </w:r>
    </w:p>
    <w:p w14:paraId="393A0767">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11.2开标一览表为在开标仪式上唱标的内容，要求按格式填写、统一规范，不得自行增减内容。</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不得漏项或虚报，否则将可能导致其投标被拒绝。</w:t>
      </w:r>
    </w:p>
    <w:p w14:paraId="22C2DEB4">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 xml:space="preserve">11.3 </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应保证其所提供文件的真实性，并应对招标文件的实质性要求作出完全响应，否则其投标可能被拒绝。</w:t>
      </w:r>
    </w:p>
    <w:p w14:paraId="29FB3892">
      <w:pPr>
        <w:autoSpaceDN w:val="0"/>
        <w:adjustRightInd w:val="0"/>
        <w:snapToGrid w:val="0"/>
        <w:spacing w:line="360" w:lineRule="auto"/>
        <w:ind w:left="1" w:firstLine="419"/>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11.4</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视需要自行编制技术文件的补充附件。规格幅面应与正文一致，附于正文之后，与正文页码统一编目编码装订。</w:t>
      </w:r>
    </w:p>
    <w:p w14:paraId="2CA9894C">
      <w:pPr>
        <w:pStyle w:val="5"/>
        <w:autoSpaceDN w:val="0"/>
        <w:adjustRightInd w:val="0"/>
        <w:snapToGrid w:val="0"/>
        <w:spacing w:before="0" w:after="0" w:line="360" w:lineRule="auto"/>
        <w:rPr>
          <w:rFonts w:hint="eastAsia" w:ascii="宋体" w:hAnsi="宋体" w:eastAsia="宋体" w:cs="宋体"/>
          <w:color w:val="auto"/>
          <w:spacing w:val="0"/>
          <w:kern w:val="24"/>
          <w:sz w:val="24"/>
          <w:szCs w:val="24"/>
          <w:highlight w:val="none"/>
        </w:rPr>
      </w:pPr>
      <w:bookmarkStart w:id="42" w:name="_Toc98580404"/>
      <w:r>
        <w:rPr>
          <w:rFonts w:hint="eastAsia" w:ascii="宋体" w:hAnsi="宋体" w:eastAsia="宋体" w:cs="宋体"/>
          <w:color w:val="auto"/>
          <w:spacing w:val="0"/>
          <w:kern w:val="24"/>
          <w:sz w:val="24"/>
          <w:szCs w:val="24"/>
          <w:highlight w:val="none"/>
        </w:rPr>
        <w:t>12.投标报价</w:t>
      </w:r>
      <w:bookmarkEnd w:id="42"/>
    </w:p>
    <w:p w14:paraId="0FF5236E">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12.1所有投标均以人民币报价；</w:t>
      </w:r>
    </w:p>
    <w:p w14:paraId="07666C3F">
      <w:pPr>
        <w:autoSpaceDN w:val="0"/>
        <w:adjustRightInd w:val="0"/>
        <w:snapToGrid w:val="0"/>
        <w:spacing w:line="360" w:lineRule="auto"/>
        <w:ind w:left="1" w:firstLine="419"/>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12.2</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应在填写分项报价表时注明各项单价、总价。如果单价与总价有出入，以单价为准。招标机构不接受有任何选择的报价；报价须有法人代表或授权代表签署。</w:t>
      </w:r>
    </w:p>
    <w:p w14:paraId="69B75028">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12.3</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应按上述12.1-12.3条款要求填写投标报价，以供评标委员会比较评价。</w:t>
      </w:r>
    </w:p>
    <w:p w14:paraId="46DD87A0">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12.4</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因承包本项目需支付的一切费用，并包含在所报的单价或总额价内。</w:t>
      </w:r>
    </w:p>
    <w:p w14:paraId="12368D8C">
      <w:pPr>
        <w:autoSpaceDN w:val="0"/>
        <w:adjustRightInd w:val="0"/>
        <w:snapToGrid w:val="0"/>
        <w:spacing w:line="360" w:lineRule="auto"/>
        <w:rPr>
          <w:rFonts w:hint="eastAsia" w:ascii="宋体" w:hAnsi="宋体" w:eastAsia="宋体" w:cs="宋体"/>
          <w:b/>
          <w:bCs/>
          <w:color w:val="auto"/>
          <w:spacing w:val="0"/>
          <w:kern w:val="24"/>
          <w:sz w:val="24"/>
          <w:szCs w:val="24"/>
          <w:highlight w:val="none"/>
        </w:rPr>
      </w:pPr>
      <w:bookmarkStart w:id="43" w:name="_Toc98580405"/>
      <w:r>
        <w:rPr>
          <w:rFonts w:hint="eastAsia" w:ascii="宋体" w:hAnsi="宋体" w:eastAsia="宋体" w:cs="宋体"/>
          <w:b/>
          <w:bCs/>
          <w:color w:val="auto"/>
          <w:spacing w:val="0"/>
          <w:kern w:val="24"/>
          <w:sz w:val="24"/>
          <w:szCs w:val="24"/>
          <w:highlight w:val="none"/>
        </w:rPr>
        <w:t>13.投标保证金</w:t>
      </w:r>
      <w:bookmarkEnd w:id="43"/>
      <w:r>
        <w:rPr>
          <w:rFonts w:hint="eastAsia" w:ascii="宋体" w:hAnsi="宋体" w:eastAsia="宋体" w:cs="宋体"/>
          <w:b/>
          <w:bCs/>
          <w:color w:val="auto"/>
          <w:spacing w:val="0"/>
          <w:kern w:val="24"/>
          <w:sz w:val="24"/>
          <w:szCs w:val="24"/>
          <w:highlight w:val="none"/>
        </w:rPr>
        <w:t>（如有）</w:t>
      </w:r>
    </w:p>
    <w:p w14:paraId="1B88E11A">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13.1投标保证金的形式：现金或现金支票、保兑支票、银行汇票及银行、专业担保公司、保险公司出具的保函等形式，以现金或支票形式提交的投标保证金应当从</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的基本账户转出。</w:t>
      </w:r>
    </w:p>
    <w:p w14:paraId="3B1C350B">
      <w:pPr>
        <w:autoSpaceDN w:val="0"/>
        <w:adjustRightInd w:val="0"/>
        <w:snapToGrid w:val="0"/>
        <w:spacing w:line="360" w:lineRule="auto"/>
        <w:ind w:firstLine="420"/>
        <w:rPr>
          <w:rFonts w:hint="eastAsia" w:ascii="宋体" w:hAnsi="宋体" w:eastAsia="宋体" w:cs="宋体"/>
          <w:bCs/>
          <w:color w:val="auto"/>
          <w:spacing w:val="0"/>
          <w:kern w:val="24"/>
          <w:sz w:val="24"/>
          <w:szCs w:val="24"/>
          <w:highlight w:val="none"/>
        </w:rPr>
      </w:pPr>
      <w:r>
        <w:rPr>
          <w:rFonts w:hint="eastAsia" w:ascii="宋体" w:hAnsi="宋体" w:eastAsia="宋体" w:cs="宋体"/>
          <w:bCs/>
          <w:color w:val="auto"/>
          <w:spacing w:val="0"/>
          <w:kern w:val="24"/>
          <w:sz w:val="24"/>
          <w:szCs w:val="24"/>
          <w:highlight w:val="none"/>
        </w:rPr>
        <w:t>13.2投标保证金的金额：见</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须知前附表第20项</w:t>
      </w:r>
      <w:r>
        <w:rPr>
          <w:rFonts w:hint="eastAsia" w:ascii="宋体" w:hAnsi="宋体" w:eastAsia="宋体" w:cs="宋体"/>
          <w:bCs/>
          <w:color w:val="auto"/>
          <w:spacing w:val="0"/>
          <w:kern w:val="24"/>
          <w:sz w:val="24"/>
          <w:szCs w:val="24"/>
          <w:highlight w:val="none"/>
        </w:rPr>
        <w:t xml:space="preserve">； </w:t>
      </w:r>
    </w:p>
    <w:p w14:paraId="49D43726">
      <w:pPr>
        <w:autoSpaceDN w:val="0"/>
        <w:adjustRightInd w:val="0"/>
        <w:snapToGrid w:val="0"/>
        <w:spacing w:line="360" w:lineRule="auto"/>
        <w:ind w:firstLine="420"/>
        <w:rPr>
          <w:rFonts w:hint="eastAsia" w:ascii="宋体" w:hAnsi="宋体" w:eastAsia="宋体" w:cs="宋体"/>
          <w:bCs/>
          <w:color w:val="auto"/>
          <w:spacing w:val="0"/>
          <w:kern w:val="24"/>
          <w:sz w:val="24"/>
          <w:szCs w:val="24"/>
          <w:highlight w:val="none"/>
        </w:rPr>
      </w:pPr>
      <w:r>
        <w:rPr>
          <w:rFonts w:hint="eastAsia" w:ascii="宋体" w:hAnsi="宋体" w:eastAsia="宋体" w:cs="宋体"/>
          <w:bCs/>
          <w:color w:val="auto"/>
          <w:spacing w:val="0"/>
          <w:kern w:val="24"/>
          <w:sz w:val="24"/>
          <w:szCs w:val="24"/>
          <w:highlight w:val="none"/>
        </w:rPr>
        <w:t>13.3递交方式：见</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须知前附表第20项</w:t>
      </w:r>
      <w:r>
        <w:rPr>
          <w:rFonts w:hint="eastAsia" w:ascii="宋体" w:hAnsi="宋体" w:eastAsia="宋体" w:cs="宋体"/>
          <w:bCs/>
          <w:color w:val="auto"/>
          <w:spacing w:val="0"/>
          <w:kern w:val="24"/>
          <w:sz w:val="24"/>
          <w:szCs w:val="24"/>
          <w:highlight w:val="none"/>
        </w:rPr>
        <w:t>；</w:t>
      </w:r>
    </w:p>
    <w:p w14:paraId="7AFF4A7F">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13.4投标保证金用于保护本次招标免受因</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不履行投标承诺及合同等行为而引起的风险；</w:t>
      </w:r>
    </w:p>
    <w:p w14:paraId="4C331DD3">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13.5未按13.1和13.2条款要求提交投标保证金的投标将被视为投标无效；</w:t>
      </w:r>
    </w:p>
    <w:p w14:paraId="5A1357CC">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13.6未中标</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的投标保证金将按25.2条规定予以无息退还；</w:t>
      </w:r>
    </w:p>
    <w:p w14:paraId="65E3E921">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13.7中标人的投标保证金，在中标人交纳中标服务费后予以无息退还；</w:t>
      </w:r>
    </w:p>
    <w:p w14:paraId="14F4D2D9">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13.8 发生下列情况之一，投标保证金将被没收：</w:t>
      </w:r>
    </w:p>
    <w:p w14:paraId="44770BC4">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（1）</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在提交响应文件截止时间后撤回响应文件的;</w:t>
      </w:r>
    </w:p>
    <w:p w14:paraId="38189E1C">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（2）</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在响应文件中提供虚假材料的;</w:t>
      </w:r>
    </w:p>
    <w:p w14:paraId="26B108A2">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（3）除因不可抗力或谈判文件、询价通知书认可的情形以外，成交</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不与采购人签订合同的;</w:t>
      </w:r>
    </w:p>
    <w:p w14:paraId="3F8C29AB">
      <w:pPr>
        <w:autoSpaceDN w:val="0"/>
        <w:adjustRightInd w:val="0"/>
        <w:snapToGrid w:val="0"/>
        <w:spacing w:line="360" w:lineRule="auto"/>
        <w:ind w:left="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（4）</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与采购人、其他</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或者采购代理机构恶意串通的;</w:t>
      </w:r>
    </w:p>
    <w:p w14:paraId="448B0270">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（5）采购文件规定的其他情形。</w:t>
      </w:r>
    </w:p>
    <w:p w14:paraId="1C78116B">
      <w:pPr>
        <w:pStyle w:val="5"/>
        <w:autoSpaceDN w:val="0"/>
        <w:adjustRightInd w:val="0"/>
        <w:snapToGrid w:val="0"/>
        <w:spacing w:before="0" w:after="0" w:line="360" w:lineRule="auto"/>
        <w:rPr>
          <w:rFonts w:hint="eastAsia" w:ascii="宋体" w:hAnsi="宋体" w:eastAsia="宋体" w:cs="宋体"/>
          <w:color w:val="auto"/>
          <w:spacing w:val="0"/>
          <w:kern w:val="24"/>
          <w:sz w:val="24"/>
          <w:szCs w:val="24"/>
          <w:highlight w:val="none"/>
        </w:rPr>
      </w:pPr>
      <w:bookmarkStart w:id="44" w:name="_Toc98580406"/>
      <w:r>
        <w:rPr>
          <w:rFonts w:hint="eastAsia" w:ascii="宋体" w:hAnsi="宋体" w:eastAsia="宋体" w:cs="宋体"/>
          <w:color w:val="auto"/>
          <w:spacing w:val="0"/>
          <w:kern w:val="24"/>
          <w:sz w:val="24"/>
          <w:szCs w:val="24"/>
          <w:highlight w:val="none"/>
        </w:rPr>
        <w:t>14.投标有效期</w:t>
      </w:r>
      <w:bookmarkEnd w:id="44"/>
    </w:p>
    <w:p w14:paraId="6231B453">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14.1从开标之日起，投标有效期为90天。不能满足投标有效期的投标，将被拒绝；</w:t>
      </w:r>
    </w:p>
    <w:p w14:paraId="2BED63E6">
      <w:pPr>
        <w:autoSpaceDN w:val="0"/>
        <w:adjustRightInd w:val="0"/>
        <w:snapToGrid w:val="0"/>
        <w:spacing w:line="360" w:lineRule="auto"/>
        <w:ind w:firstLine="420"/>
        <w:rPr>
          <w:rFonts w:hint="eastAsia" w:ascii="宋体" w:hAnsi="宋体" w:eastAsia="宋体" w:cs="宋体"/>
          <w:color w:val="FF0000"/>
          <w:spacing w:val="0"/>
          <w:kern w:val="24"/>
          <w:sz w:val="24"/>
          <w:szCs w:val="24"/>
          <w:highlight w:val="none"/>
        </w:rPr>
      </w:pPr>
      <w:r>
        <w:rPr>
          <w:rFonts w:hint="eastAsia" w:ascii="宋体" w:hAnsi="宋体" w:eastAsia="宋体" w:cs="宋体"/>
          <w:color w:val="auto"/>
          <w:spacing w:val="0"/>
          <w:kern w:val="24"/>
          <w:sz w:val="24"/>
          <w:szCs w:val="24"/>
          <w:highlight w:val="none"/>
        </w:rPr>
        <w:t>14.2特殊情况下，</w:t>
      </w:r>
      <w:r>
        <w:rPr>
          <w:rFonts w:hint="eastAsia" w:ascii="宋体" w:hAnsi="宋体" w:eastAsia="宋体" w:cs="宋体"/>
          <w:color w:val="auto"/>
          <w:spacing w:val="0"/>
          <w:kern w:val="24"/>
          <w:sz w:val="24"/>
          <w:szCs w:val="24"/>
          <w:highlight w:val="none"/>
          <w:lang w:eastAsia="zh-CN"/>
        </w:rPr>
        <w:t>采购代理机构</w:t>
      </w:r>
      <w:r>
        <w:rPr>
          <w:rFonts w:hint="eastAsia" w:ascii="宋体" w:hAnsi="宋体" w:eastAsia="宋体" w:cs="宋体"/>
          <w:color w:val="auto"/>
          <w:spacing w:val="0"/>
          <w:kern w:val="24"/>
          <w:sz w:val="24"/>
          <w:szCs w:val="24"/>
          <w:highlight w:val="none"/>
        </w:rPr>
        <w:t>可于投标有效期满之前要求</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延长投标有效期，这种要求和答复都应以书面、传真的形式进行。</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可以拒绝接受延期要求。同意延长有效期的</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不能修改</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w:t>
      </w:r>
    </w:p>
    <w:p w14:paraId="510C03B3">
      <w:pPr>
        <w:pStyle w:val="5"/>
        <w:autoSpaceDN w:val="0"/>
        <w:adjustRightInd w:val="0"/>
        <w:snapToGrid w:val="0"/>
        <w:spacing w:before="0" w:after="0" w:line="360" w:lineRule="auto"/>
        <w:rPr>
          <w:rFonts w:hint="eastAsia" w:ascii="宋体" w:hAnsi="宋体" w:eastAsia="宋体" w:cs="宋体"/>
          <w:color w:val="auto"/>
          <w:spacing w:val="0"/>
          <w:kern w:val="24"/>
          <w:sz w:val="24"/>
          <w:szCs w:val="24"/>
          <w:highlight w:val="none"/>
        </w:rPr>
      </w:pPr>
      <w:bookmarkStart w:id="45" w:name="_Toc98580407"/>
      <w:r>
        <w:rPr>
          <w:rFonts w:hint="eastAsia" w:ascii="宋体" w:hAnsi="宋体" w:eastAsia="宋体" w:cs="宋体"/>
          <w:color w:val="auto"/>
          <w:spacing w:val="0"/>
          <w:kern w:val="24"/>
          <w:sz w:val="24"/>
          <w:szCs w:val="24"/>
          <w:highlight w:val="none"/>
        </w:rPr>
        <w:t>15.</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的签署及规定</w:t>
      </w:r>
      <w:bookmarkEnd w:id="45"/>
    </w:p>
    <w:p w14:paraId="7AF7DBF9">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15.1 组成</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的各项资料均应遵守本须知第</w:t>
      </w:r>
      <w:r>
        <w:rPr>
          <w:rFonts w:hint="eastAsia" w:ascii="宋体" w:hAnsi="宋体" w:eastAsia="宋体" w:cs="宋体"/>
          <w:color w:val="auto"/>
          <w:spacing w:val="0"/>
          <w:kern w:val="24"/>
          <w:sz w:val="24"/>
          <w:szCs w:val="24"/>
          <w:highlight w:val="none"/>
          <w:lang w:val="en-US" w:eastAsia="zh-CN"/>
        </w:rPr>
        <w:t>10</w:t>
      </w:r>
      <w:r>
        <w:rPr>
          <w:rFonts w:hint="eastAsia" w:ascii="宋体" w:hAnsi="宋体" w:eastAsia="宋体" w:cs="宋体"/>
          <w:color w:val="auto"/>
          <w:spacing w:val="0"/>
          <w:kern w:val="24"/>
          <w:sz w:val="24"/>
          <w:szCs w:val="24"/>
          <w:highlight w:val="none"/>
        </w:rPr>
        <w:t>条中所规定的内容。</w:t>
      </w:r>
    </w:p>
    <w:p w14:paraId="2D4630E4">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 xml:space="preserve">15.2 </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应填写单位全称，同时加盖印章。</w:t>
      </w:r>
    </w:p>
    <w:p w14:paraId="53471D97">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 xml:space="preserve">15.3 </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必须由法人代表或法人授权代表签署。</w:t>
      </w:r>
    </w:p>
    <w:p w14:paraId="08494597">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 xml:space="preserve">15.4 </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正本一份和副本四份，如果正本与副本不符，以正本为准，电子版二份（U盘形式），政采云系统上传1份。</w:t>
      </w:r>
    </w:p>
    <w:p w14:paraId="1D7D173A">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 xml:space="preserve">15.5 </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的正本必须用不褪色的墨水填写或打印，注明“正本”字样。</w:t>
      </w:r>
    </w:p>
    <w:p w14:paraId="7BA816C0">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 xml:space="preserve">15.6 </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不得涂改和增删，如有修改错漏处，必须由同一签署人签字或盖章。</w:t>
      </w:r>
    </w:p>
    <w:p w14:paraId="3F195DDC">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 xml:space="preserve">15.7 </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因字迹潦草或表达不清所引起的后果由</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负责。</w:t>
      </w:r>
    </w:p>
    <w:p w14:paraId="72C4AA34">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15.8</w:t>
      </w:r>
      <w:r>
        <w:rPr>
          <w:rFonts w:hint="eastAsia" w:ascii="宋体" w:hAnsi="宋体" w:eastAsia="宋体" w:cs="宋体"/>
          <w:color w:val="auto"/>
          <w:spacing w:val="0"/>
          <w:kern w:val="24"/>
          <w:sz w:val="24"/>
          <w:szCs w:val="24"/>
          <w:highlight w:val="none"/>
          <w:lang w:val="en-US" w:eastAsia="zh-CN"/>
        </w:rPr>
        <w:t xml:space="preserve"> </w:t>
      </w:r>
      <w:r>
        <w:rPr>
          <w:rFonts w:hint="eastAsia" w:ascii="宋体" w:hAnsi="宋体" w:eastAsia="宋体" w:cs="宋体"/>
          <w:color w:val="auto"/>
          <w:spacing w:val="0"/>
          <w:kern w:val="24"/>
          <w:sz w:val="24"/>
          <w:szCs w:val="24"/>
          <w:highlight w:val="none"/>
        </w:rPr>
        <w:t>招标机构概不接受以电话、传真形式的投标。</w:t>
      </w:r>
    </w:p>
    <w:p w14:paraId="150180BF">
      <w:pPr>
        <w:spacing w:line="360" w:lineRule="auto"/>
        <w:ind w:left="420"/>
        <w:jc w:val="both"/>
        <w:rPr>
          <w:rFonts w:hint="eastAsia" w:ascii="宋体" w:hAnsi="宋体" w:eastAsia="宋体" w:cs="宋体"/>
          <w:spacing w:val="0"/>
          <w:kern w:val="24"/>
          <w:sz w:val="24"/>
          <w:szCs w:val="24"/>
          <w:highlight w:val="none"/>
        </w:rPr>
      </w:pPr>
      <w:r>
        <w:rPr>
          <w:rFonts w:hint="eastAsia" w:ascii="宋体" w:hAnsi="宋体" w:eastAsia="宋体" w:cs="宋体"/>
          <w:spacing w:val="0"/>
          <w:kern w:val="24"/>
          <w:sz w:val="24"/>
          <w:szCs w:val="24"/>
          <w:highlight w:val="none"/>
          <w:lang w:eastAsia="zh-CN"/>
        </w:rPr>
        <w:t>响应文件</w:t>
      </w:r>
      <w:r>
        <w:rPr>
          <w:rFonts w:hint="eastAsia" w:ascii="宋体" w:hAnsi="宋体" w:eastAsia="宋体" w:cs="宋体"/>
          <w:spacing w:val="0"/>
          <w:kern w:val="24"/>
          <w:sz w:val="24"/>
          <w:szCs w:val="24"/>
          <w:highlight w:val="none"/>
        </w:rPr>
        <w:t>以“政采云”平台上传的电子版</w:t>
      </w:r>
      <w:r>
        <w:rPr>
          <w:rFonts w:hint="eastAsia" w:ascii="宋体" w:hAnsi="宋体" w:eastAsia="宋体" w:cs="宋体"/>
          <w:spacing w:val="0"/>
          <w:kern w:val="24"/>
          <w:sz w:val="24"/>
          <w:szCs w:val="24"/>
          <w:highlight w:val="none"/>
          <w:lang w:eastAsia="zh-CN"/>
        </w:rPr>
        <w:t>响应文件</w:t>
      </w:r>
      <w:r>
        <w:rPr>
          <w:rFonts w:hint="eastAsia" w:ascii="宋体" w:hAnsi="宋体" w:eastAsia="宋体" w:cs="宋体"/>
          <w:spacing w:val="0"/>
          <w:kern w:val="24"/>
          <w:sz w:val="24"/>
          <w:szCs w:val="24"/>
          <w:highlight w:val="none"/>
        </w:rPr>
        <w:t>为准。</w:t>
      </w:r>
    </w:p>
    <w:p w14:paraId="13A5DFFF">
      <w:pPr>
        <w:pStyle w:val="4"/>
        <w:autoSpaceDN w:val="0"/>
        <w:adjustRightInd w:val="0"/>
        <w:snapToGrid w:val="0"/>
        <w:spacing w:before="0" w:after="0" w:line="360" w:lineRule="auto"/>
        <w:jc w:val="center"/>
        <w:rPr>
          <w:rFonts w:hint="eastAsia" w:ascii="宋体" w:hAnsi="宋体" w:eastAsia="宋体" w:cs="宋体"/>
          <w:color w:val="auto"/>
          <w:spacing w:val="0"/>
          <w:kern w:val="24"/>
          <w:sz w:val="24"/>
          <w:szCs w:val="24"/>
          <w:highlight w:val="none"/>
        </w:rPr>
      </w:pPr>
      <w:bookmarkStart w:id="46" w:name="_Toc1854"/>
      <w:bookmarkStart w:id="47" w:name="_Toc16473"/>
      <w:bookmarkStart w:id="48" w:name="_Toc98580408"/>
      <w:r>
        <w:rPr>
          <w:rFonts w:hint="eastAsia" w:ascii="宋体" w:hAnsi="宋体" w:eastAsia="宋体" w:cs="宋体"/>
          <w:color w:val="auto"/>
          <w:spacing w:val="0"/>
          <w:kern w:val="24"/>
          <w:sz w:val="24"/>
          <w:szCs w:val="24"/>
          <w:highlight w:val="none"/>
        </w:rPr>
        <w:t>D</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的递交</w:t>
      </w:r>
      <w:bookmarkEnd w:id="46"/>
      <w:bookmarkEnd w:id="47"/>
      <w:bookmarkEnd w:id="48"/>
    </w:p>
    <w:p w14:paraId="7EE36FBC">
      <w:pPr>
        <w:pStyle w:val="5"/>
        <w:autoSpaceDN w:val="0"/>
        <w:adjustRightInd w:val="0"/>
        <w:snapToGrid w:val="0"/>
        <w:spacing w:before="0" w:after="0" w:line="360" w:lineRule="auto"/>
        <w:rPr>
          <w:rFonts w:hint="eastAsia" w:ascii="宋体" w:hAnsi="宋体" w:eastAsia="宋体" w:cs="宋体"/>
          <w:color w:val="auto"/>
          <w:spacing w:val="0"/>
          <w:kern w:val="24"/>
          <w:sz w:val="24"/>
          <w:szCs w:val="24"/>
          <w:highlight w:val="none"/>
        </w:rPr>
      </w:pPr>
      <w:bookmarkStart w:id="49" w:name="_Toc98580409"/>
      <w:r>
        <w:rPr>
          <w:rFonts w:hint="eastAsia" w:ascii="宋体" w:hAnsi="宋体" w:eastAsia="宋体" w:cs="宋体"/>
          <w:color w:val="auto"/>
          <w:spacing w:val="0"/>
          <w:kern w:val="24"/>
          <w:sz w:val="24"/>
          <w:szCs w:val="24"/>
          <w:highlight w:val="none"/>
        </w:rPr>
        <w:t>16.</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的密封和标记</w:t>
      </w:r>
      <w:bookmarkEnd w:id="49"/>
    </w:p>
    <w:p w14:paraId="5A6FFC73">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16.1</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应在</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递交截止时间前通过登录政府采购云平台，网上注册（https://middle.zcygov.cn/v-settle-front/registry）并下载招标文件上传加密电子</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w:t>
      </w:r>
    </w:p>
    <w:p w14:paraId="09F1E6A6">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16.2 未在招标文件规定的截止时间前上传</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的，采购人不予受理。</w:t>
      </w:r>
    </w:p>
    <w:p w14:paraId="107FE19F">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lang w:val="en-US" w:eastAsia="zh-CN"/>
        </w:rPr>
        <w:t xml:space="preserve">16.3 </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应将</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正本和副本分别密封，并标明招标编号、投标项目名称、</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名称及正本或副本等。封口骑缝处应加盖</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印章；</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电子版应单独密封。</w:t>
      </w:r>
    </w:p>
    <w:p w14:paraId="02A69BD3">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16.</w:t>
      </w:r>
      <w:r>
        <w:rPr>
          <w:rFonts w:hint="eastAsia" w:ascii="宋体" w:hAnsi="宋体" w:eastAsia="宋体" w:cs="宋体"/>
          <w:color w:val="auto"/>
          <w:spacing w:val="0"/>
          <w:kern w:val="24"/>
          <w:sz w:val="24"/>
          <w:szCs w:val="24"/>
          <w:highlight w:val="none"/>
          <w:lang w:val="en-US" w:eastAsia="zh-CN"/>
        </w:rPr>
        <w:t>4</w:t>
      </w:r>
      <w:r>
        <w:rPr>
          <w:rFonts w:hint="eastAsia" w:ascii="宋体" w:hAnsi="宋体" w:eastAsia="宋体" w:cs="宋体"/>
          <w:color w:val="auto"/>
          <w:spacing w:val="0"/>
          <w:kern w:val="24"/>
          <w:sz w:val="24"/>
          <w:szCs w:val="24"/>
          <w:highlight w:val="none"/>
        </w:rPr>
        <w:t>每一密封信封上注明“</w:t>
      </w:r>
      <w:r>
        <w:rPr>
          <w:rFonts w:hint="eastAsia" w:ascii="宋体" w:hAnsi="宋体" w:eastAsia="宋体" w:cs="宋体"/>
          <w:color w:val="auto"/>
          <w:spacing w:val="0"/>
          <w:kern w:val="24"/>
          <w:sz w:val="24"/>
          <w:szCs w:val="24"/>
          <w:highlight w:val="none"/>
          <w:u w:val="single"/>
        </w:rPr>
        <w:t>于   年   月  日   时之前不准启封</w:t>
      </w:r>
      <w:r>
        <w:rPr>
          <w:rFonts w:hint="eastAsia" w:ascii="宋体" w:hAnsi="宋体" w:eastAsia="宋体" w:cs="宋体"/>
          <w:color w:val="auto"/>
          <w:spacing w:val="0"/>
          <w:kern w:val="24"/>
          <w:sz w:val="24"/>
          <w:szCs w:val="24"/>
          <w:highlight w:val="none"/>
        </w:rPr>
        <w:t>”的字样；</w:t>
      </w:r>
    </w:p>
    <w:p w14:paraId="2330B11C">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16.4</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由专人送交，</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应将</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按16.1-16.3中的规定进行密封和标记后，按</w:t>
      </w:r>
      <w:r>
        <w:rPr>
          <w:rFonts w:hint="eastAsia" w:ascii="宋体" w:hAnsi="宋体" w:eastAsia="宋体" w:cs="宋体"/>
          <w:color w:val="auto"/>
          <w:spacing w:val="0"/>
          <w:kern w:val="24"/>
          <w:sz w:val="24"/>
          <w:szCs w:val="24"/>
          <w:highlight w:val="none"/>
          <w:lang w:eastAsia="zh-CN"/>
        </w:rPr>
        <w:t>招标文件注明</w:t>
      </w:r>
      <w:r>
        <w:rPr>
          <w:rFonts w:hint="eastAsia" w:ascii="宋体" w:hAnsi="宋体" w:eastAsia="宋体" w:cs="宋体"/>
          <w:color w:val="auto"/>
          <w:spacing w:val="0"/>
          <w:kern w:val="24"/>
          <w:sz w:val="24"/>
          <w:szCs w:val="24"/>
          <w:highlight w:val="none"/>
        </w:rPr>
        <w:t>的投标地址送至</w:t>
      </w:r>
      <w:r>
        <w:rPr>
          <w:rFonts w:hint="eastAsia" w:ascii="宋体" w:hAnsi="宋体" w:eastAsia="宋体" w:cs="宋体"/>
          <w:color w:val="auto"/>
          <w:spacing w:val="0"/>
          <w:kern w:val="24"/>
          <w:sz w:val="24"/>
          <w:szCs w:val="24"/>
          <w:highlight w:val="none"/>
          <w:lang w:eastAsia="zh-CN"/>
        </w:rPr>
        <w:t>采购代理</w:t>
      </w:r>
      <w:r>
        <w:rPr>
          <w:rFonts w:hint="eastAsia" w:ascii="宋体" w:hAnsi="宋体" w:eastAsia="宋体" w:cs="宋体"/>
          <w:color w:val="auto"/>
          <w:spacing w:val="0"/>
          <w:kern w:val="24"/>
          <w:sz w:val="24"/>
          <w:szCs w:val="24"/>
          <w:highlight w:val="none"/>
        </w:rPr>
        <w:t>机构；</w:t>
      </w:r>
    </w:p>
    <w:p w14:paraId="23555BAC">
      <w:pPr>
        <w:autoSpaceDN w:val="0"/>
        <w:adjustRightInd w:val="0"/>
        <w:snapToGrid w:val="0"/>
        <w:spacing w:line="360" w:lineRule="auto"/>
        <w:ind w:firstLine="480" w:firstLineChars="20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16.5</w:t>
      </w:r>
      <w:r>
        <w:rPr>
          <w:rFonts w:hint="eastAsia" w:ascii="宋体" w:hAnsi="宋体" w:eastAsia="宋体" w:cs="宋体"/>
          <w:color w:val="auto"/>
          <w:spacing w:val="0"/>
          <w:kern w:val="24"/>
          <w:sz w:val="24"/>
          <w:szCs w:val="24"/>
          <w:highlight w:val="none"/>
          <w:lang w:eastAsia="zh-CN"/>
        </w:rPr>
        <w:t>采购代理机构</w:t>
      </w:r>
      <w:r>
        <w:rPr>
          <w:rFonts w:hint="eastAsia" w:ascii="宋体" w:hAnsi="宋体" w:eastAsia="宋体" w:cs="宋体"/>
          <w:color w:val="auto"/>
          <w:spacing w:val="0"/>
          <w:kern w:val="24"/>
          <w:sz w:val="24"/>
          <w:szCs w:val="24"/>
          <w:highlight w:val="none"/>
        </w:rPr>
        <w:t>对</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的误投或未投标前提前拆封概不负责。</w:t>
      </w:r>
    </w:p>
    <w:p w14:paraId="69B04261">
      <w:pPr>
        <w:pStyle w:val="5"/>
        <w:autoSpaceDN w:val="0"/>
        <w:adjustRightInd w:val="0"/>
        <w:snapToGrid w:val="0"/>
        <w:spacing w:before="0" w:after="0" w:line="360" w:lineRule="auto"/>
        <w:rPr>
          <w:rFonts w:hint="eastAsia" w:ascii="宋体" w:hAnsi="宋体" w:eastAsia="宋体" w:cs="宋体"/>
          <w:color w:val="auto"/>
          <w:spacing w:val="0"/>
          <w:kern w:val="24"/>
          <w:sz w:val="24"/>
          <w:szCs w:val="24"/>
          <w:highlight w:val="none"/>
        </w:rPr>
      </w:pPr>
      <w:bookmarkStart w:id="50" w:name="_Toc98580410"/>
      <w:r>
        <w:rPr>
          <w:rFonts w:hint="eastAsia" w:ascii="宋体" w:hAnsi="宋体" w:eastAsia="宋体" w:cs="宋体"/>
          <w:color w:val="auto"/>
          <w:spacing w:val="0"/>
          <w:kern w:val="24"/>
          <w:sz w:val="24"/>
          <w:szCs w:val="24"/>
          <w:highlight w:val="none"/>
        </w:rPr>
        <w:t>17.递交</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的截止时间</w:t>
      </w:r>
      <w:bookmarkEnd w:id="50"/>
    </w:p>
    <w:p w14:paraId="05ABDE3F">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17.1所有</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都必须按照</w:t>
      </w:r>
      <w:r>
        <w:rPr>
          <w:rFonts w:hint="eastAsia" w:ascii="宋体" w:hAnsi="宋体" w:eastAsia="宋体" w:cs="宋体"/>
          <w:color w:val="auto"/>
          <w:spacing w:val="0"/>
          <w:kern w:val="24"/>
          <w:sz w:val="24"/>
          <w:szCs w:val="24"/>
          <w:highlight w:val="none"/>
          <w:lang w:eastAsia="zh-CN"/>
        </w:rPr>
        <w:t>采购代理</w:t>
      </w:r>
      <w:r>
        <w:rPr>
          <w:rFonts w:hint="eastAsia" w:ascii="宋体" w:hAnsi="宋体" w:eastAsia="宋体" w:cs="宋体"/>
          <w:color w:val="auto"/>
          <w:spacing w:val="0"/>
          <w:kern w:val="24"/>
          <w:sz w:val="24"/>
          <w:szCs w:val="24"/>
          <w:highlight w:val="none"/>
        </w:rPr>
        <w:t>招标机构在</w:t>
      </w:r>
      <w:r>
        <w:rPr>
          <w:rFonts w:hint="eastAsia" w:ascii="宋体" w:hAnsi="宋体" w:eastAsia="宋体" w:cs="宋体"/>
          <w:color w:val="auto"/>
          <w:spacing w:val="0"/>
          <w:kern w:val="24"/>
          <w:sz w:val="24"/>
          <w:szCs w:val="24"/>
          <w:highlight w:val="none"/>
          <w:lang w:eastAsia="zh-CN"/>
        </w:rPr>
        <w:t>招标文件</w:t>
      </w:r>
      <w:r>
        <w:rPr>
          <w:rFonts w:hint="eastAsia" w:ascii="宋体" w:hAnsi="宋体" w:eastAsia="宋体" w:cs="宋体"/>
          <w:color w:val="auto"/>
          <w:spacing w:val="0"/>
          <w:kern w:val="24"/>
          <w:sz w:val="24"/>
          <w:szCs w:val="24"/>
          <w:highlight w:val="none"/>
        </w:rPr>
        <w:t>中规定的投标截止时间之前送至投标地点。</w:t>
      </w:r>
    </w:p>
    <w:p w14:paraId="2F042DBA">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 xml:space="preserve">17.2 </w:t>
      </w:r>
      <w:r>
        <w:rPr>
          <w:rFonts w:hint="eastAsia" w:ascii="宋体" w:hAnsi="宋体" w:eastAsia="宋体" w:cs="宋体"/>
          <w:color w:val="auto"/>
          <w:spacing w:val="0"/>
          <w:kern w:val="24"/>
          <w:sz w:val="24"/>
          <w:szCs w:val="24"/>
          <w:highlight w:val="none"/>
          <w:lang w:eastAsia="zh-CN"/>
        </w:rPr>
        <w:t>采购代理</w:t>
      </w:r>
      <w:r>
        <w:rPr>
          <w:rFonts w:hint="eastAsia" w:ascii="宋体" w:hAnsi="宋体" w:eastAsia="宋体" w:cs="宋体"/>
          <w:color w:val="auto"/>
          <w:spacing w:val="0"/>
          <w:kern w:val="24"/>
          <w:sz w:val="24"/>
          <w:szCs w:val="24"/>
          <w:highlight w:val="none"/>
        </w:rPr>
        <w:t>招标推迟投标截止时间时，应以书面(或传真)的形式，通知所有</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。在这种情况下，</w:t>
      </w:r>
      <w:r>
        <w:rPr>
          <w:rFonts w:hint="eastAsia" w:ascii="宋体" w:hAnsi="宋体" w:eastAsia="宋体" w:cs="宋体"/>
          <w:color w:val="auto"/>
          <w:spacing w:val="0"/>
          <w:kern w:val="24"/>
          <w:sz w:val="24"/>
          <w:szCs w:val="24"/>
          <w:highlight w:val="none"/>
          <w:lang w:eastAsia="zh-CN"/>
        </w:rPr>
        <w:t>采购代理</w:t>
      </w:r>
      <w:r>
        <w:rPr>
          <w:rFonts w:hint="eastAsia" w:ascii="宋体" w:hAnsi="宋体" w:eastAsia="宋体" w:cs="宋体"/>
          <w:color w:val="auto"/>
          <w:spacing w:val="0"/>
          <w:kern w:val="24"/>
          <w:sz w:val="24"/>
          <w:szCs w:val="24"/>
          <w:highlight w:val="none"/>
        </w:rPr>
        <w:t>招标和</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的权利和义务将受到新的截止期的约束。</w:t>
      </w:r>
    </w:p>
    <w:p w14:paraId="07C5F327">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17.3 在投标截止时间以后送达的</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w:t>
      </w:r>
      <w:r>
        <w:rPr>
          <w:rFonts w:hint="eastAsia" w:ascii="宋体" w:hAnsi="宋体" w:eastAsia="宋体" w:cs="宋体"/>
          <w:color w:val="auto"/>
          <w:spacing w:val="0"/>
          <w:kern w:val="24"/>
          <w:sz w:val="24"/>
          <w:szCs w:val="24"/>
          <w:highlight w:val="none"/>
          <w:lang w:eastAsia="zh-CN"/>
        </w:rPr>
        <w:t>采购代理</w:t>
      </w:r>
      <w:r>
        <w:rPr>
          <w:rFonts w:hint="eastAsia" w:ascii="宋体" w:hAnsi="宋体" w:eastAsia="宋体" w:cs="宋体"/>
          <w:color w:val="auto"/>
          <w:spacing w:val="0"/>
          <w:kern w:val="24"/>
          <w:sz w:val="24"/>
          <w:szCs w:val="24"/>
          <w:highlight w:val="none"/>
        </w:rPr>
        <w:t>招标拒绝接收。</w:t>
      </w:r>
    </w:p>
    <w:p w14:paraId="262387A9">
      <w:pPr>
        <w:pStyle w:val="5"/>
        <w:autoSpaceDN w:val="0"/>
        <w:adjustRightInd w:val="0"/>
        <w:snapToGrid w:val="0"/>
        <w:spacing w:before="0" w:after="0" w:line="360" w:lineRule="auto"/>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18.</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修改和撤销</w:t>
      </w:r>
    </w:p>
    <w:p w14:paraId="0A9E6224">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18.1 投标以后，如果</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提出书面修改和撤标要求，在投标截止时间前送达招标机构者，招标机构可以予以接受。但不退还</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w:t>
      </w:r>
    </w:p>
    <w:p w14:paraId="12C29143">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 xml:space="preserve">18.2 </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修改</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的书面材料，须密封送达招标机构，同时应在封套上标明“修改</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(并注明招标编号)”和“开标时启封”字样。</w:t>
      </w:r>
    </w:p>
    <w:p w14:paraId="3ED29C84">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18.3 撤销投标应以书面(或传真)的形式通知招标机构。如采取传真形式撤回投标，随后必须补充有法人代表或授权代表签署的要求撤销投标的正式文件。撤销投标的时间以送达招标机构或邮电到达日戳为准。</w:t>
      </w:r>
    </w:p>
    <w:p w14:paraId="05C109D9">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18.4投标截止时间以后不得修改</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w:t>
      </w:r>
    </w:p>
    <w:p w14:paraId="70306DA5">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18.5开标后</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不得撤回投标。</w:t>
      </w:r>
    </w:p>
    <w:p w14:paraId="6C9ADBFD">
      <w:pPr>
        <w:spacing w:line="360" w:lineRule="auto"/>
        <w:ind w:left="420"/>
        <w:jc w:val="both"/>
        <w:rPr>
          <w:rFonts w:hint="eastAsia" w:ascii="宋体" w:hAnsi="宋体" w:eastAsia="宋体" w:cs="宋体"/>
          <w:spacing w:val="0"/>
          <w:kern w:val="24"/>
          <w:sz w:val="24"/>
          <w:szCs w:val="24"/>
          <w:highlight w:val="none"/>
        </w:rPr>
      </w:pPr>
      <w:r>
        <w:rPr>
          <w:rFonts w:hint="eastAsia" w:ascii="宋体" w:hAnsi="宋体" w:eastAsia="宋体" w:cs="宋体"/>
          <w:spacing w:val="0"/>
          <w:kern w:val="24"/>
          <w:sz w:val="24"/>
          <w:szCs w:val="24"/>
          <w:highlight w:val="none"/>
          <w:lang w:eastAsia="zh-CN"/>
        </w:rPr>
        <w:t>响应文件</w:t>
      </w:r>
      <w:r>
        <w:rPr>
          <w:rFonts w:hint="eastAsia" w:ascii="宋体" w:hAnsi="宋体" w:eastAsia="宋体" w:cs="宋体"/>
          <w:spacing w:val="0"/>
          <w:kern w:val="24"/>
          <w:sz w:val="24"/>
          <w:szCs w:val="24"/>
          <w:highlight w:val="none"/>
        </w:rPr>
        <w:t>以“政采云”平台上传的电子版</w:t>
      </w:r>
      <w:r>
        <w:rPr>
          <w:rFonts w:hint="eastAsia" w:ascii="宋体" w:hAnsi="宋体" w:eastAsia="宋体" w:cs="宋体"/>
          <w:spacing w:val="0"/>
          <w:kern w:val="24"/>
          <w:sz w:val="24"/>
          <w:szCs w:val="24"/>
          <w:highlight w:val="none"/>
          <w:lang w:eastAsia="zh-CN"/>
        </w:rPr>
        <w:t>响应文件</w:t>
      </w:r>
      <w:r>
        <w:rPr>
          <w:rFonts w:hint="eastAsia" w:ascii="宋体" w:hAnsi="宋体" w:eastAsia="宋体" w:cs="宋体"/>
          <w:spacing w:val="0"/>
          <w:kern w:val="24"/>
          <w:sz w:val="24"/>
          <w:szCs w:val="24"/>
          <w:highlight w:val="none"/>
        </w:rPr>
        <w:t>为准。</w:t>
      </w:r>
    </w:p>
    <w:p w14:paraId="3D8FAC0E">
      <w:pPr>
        <w:pStyle w:val="4"/>
        <w:autoSpaceDN w:val="0"/>
        <w:adjustRightInd w:val="0"/>
        <w:snapToGrid w:val="0"/>
        <w:spacing w:before="0" w:after="0" w:line="360" w:lineRule="auto"/>
        <w:jc w:val="center"/>
        <w:rPr>
          <w:rFonts w:hint="eastAsia" w:ascii="宋体" w:hAnsi="宋体" w:eastAsia="宋体" w:cs="宋体"/>
          <w:color w:val="auto"/>
          <w:spacing w:val="0"/>
          <w:kern w:val="24"/>
          <w:sz w:val="24"/>
          <w:szCs w:val="24"/>
          <w:highlight w:val="none"/>
        </w:rPr>
      </w:pPr>
      <w:bookmarkStart w:id="51" w:name="_Toc7628"/>
      <w:bookmarkStart w:id="52" w:name="_Toc17789"/>
      <w:bookmarkStart w:id="53" w:name="_Toc98580411"/>
      <w:r>
        <w:rPr>
          <w:rFonts w:hint="eastAsia" w:ascii="宋体" w:hAnsi="宋体" w:eastAsia="宋体" w:cs="宋体"/>
          <w:color w:val="auto"/>
          <w:spacing w:val="0"/>
          <w:kern w:val="24"/>
          <w:sz w:val="24"/>
          <w:szCs w:val="24"/>
          <w:highlight w:val="none"/>
        </w:rPr>
        <w:t>E开标及评标</w:t>
      </w:r>
      <w:bookmarkEnd w:id="51"/>
      <w:bookmarkEnd w:id="52"/>
      <w:bookmarkEnd w:id="53"/>
    </w:p>
    <w:p w14:paraId="0F5BFA40">
      <w:pPr>
        <w:pStyle w:val="5"/>
        <w:numPr>
          <w:ilvl w:val="0"/>
          <w:numId w:val="2"/>
        </w:numPr>
        <w:autoSpaceDN w:val="0"/>
        <w:adjustRightInd w:val="0"/>
        <w:snapToGrid w:val="0"/>
        <w:spacing w:before="0" w:after="0" w:line="360" w:lineRule="auto"/>
        <w:rPr>
          <w:rFonts w:hint="eastAsia" w:ascii="宋体" w:hAnsi="宋体" w:eastAsia="宋体" w:cs="宋体"/>
          <w:color w:val="auto"/>
          <w:spacing w:val="0"/>
          <w:kern w:val="24"/>
          <w:sz w:val="24"/>
          <w:szCs w:val="24"/>
          <w:highlight w:val="none"/>
        </w:rPr>
      </w:pPr>
      <w:bookmarkStart w:id="54" w:name="_Toc98580412"/>
      <w:r>
        <w:rPr>
          <w:rFonts w:hint="eastAsia" w:ascii="宋体" w:hAnsi="宋体" w:eastAsia="宋体" w:cs="宋体"/>
          <w:color w:val="auto"/>
          <w:spacing w:val="0"/>
          <w:kern w:val="24"/>
          <w:sz w:val="24"/>
          <w:szCs w:val="24"/>
          <w:highlight w:val="none"/>
        </w:rPr>
        <w:t>开标</w:t>
      </w:r>
      <w:bookmarkEnd w:id="54"/>
    </w:p>
    <w:p w14:paraId="693FB4AA">
      <w:pPr>
        <w:pStyle w:val="6"/>
        <w:autoSpaceDN w:val="0"/>
        <w:adjustRightInd w:val="0"/>
        <w:snapToGrid w:val="0"/>
        <w:spacing w:line="360" w:lineRule="auto"/>
        <w:ind w:firstLine="420" w:firstLineChars="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19.1</w:t>
      </w:r>
      <w:r>
        <w:rPr>
          <w:rFonts w:hint="eastAsia" w:ascii="宋体" w:hAnsi="宋体" w:eastAsia="宋体" w:cs="宋体"/>
          <w:color w:val="auto"/>
          <w:spacing w:val="0"/>
          <w:kern w:val="24"/>
          <w:sz w:val="24"/>
          <w:szCs w:val="24"/>
          <w:highlight w:val="none"/>
          <w:lang w:val="zh-CN"/>
        </w:rPr>
        <w:t>采购代理机构将在招标文件规定的时间和地点公开开标。供应商法定代表人或其授权代理人应参加并签名报到以证明其出席，并携带有效身份证件以备审查。</w:t>
      </w:r>
    </w:p>
    <w:p w14:paraId="760818B9">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19.2采购代理机构按招标文件规定的时间、地点主持公开开标。开标仪式由采购代理机构主持，采购人代表及有关工作人员参加。</w:t>
      </w:r>
    </w:p>
    <w:p w14:paraId="7B4DA8F2">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19.3开标时由</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查验</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密封情况，确认无误后解密唱标。</w:t>
      </w:r>
    </w:p>
    <w:p w14:paraId="3E5A5952">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19.4采购代理机构在开标仪式上，将公开唱出所有</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的“开标一览表”内容及投标声明，以及采购机构认为合适的其它内容并记录。</w:t>
      </w:r>
    </w:p>
    <w:p w14:paraId="1A1B0449">
      <w:pPr>
        <w:pStyle w:val="6"/>
        <w:autoSpaceDN w:val="0"/>
        <w:adjustRightInd w:val="0"/>
        <w:snapToGrid w:val="0"/>
        <w:spacing w:line="360" w:lineRule="auto"/>
        <w:ind w:firstLine="420"/>
        <w:rPr>
          <w:rFonts w:hint="eastAsia" w:ascii="宋体" w:hAnsi="宋体" w:eastAsia="宋体" w:cs="宋体"/>
          <w:color w:val="auto"/>
          <w:spacing w:val="0"/>
          <w:kern w:val="24"/>
          <w:sz w:val="24"/>
          <w:szCs w:val="24"/>
          <w:highlight w:val="none"/>
          <w:lang w:val="zh-CN"/>
        </w:rPr>
      </w:pPr>
      <w:bookmarkStart w:id="55" w:name="_Toc98580413"/>
      <w:r>
        <w:rPr>
          <w:rFonts w:hint="eastAsia" w:ascii="宋体" w:hAnsi="宋体" w:eastAsia="宋体" w:cs="宋体"/>
          <w:color w:val="auto"/>
          <w:spacing w:val="0"/>
          <w:kern w:val="24"/>
          <w:sz w:val="24"/>
          <w:szCs w:val="24"/>
          <w:highlight w:val="none"/>
          <w:lang w:val="zh-CN"/>
        </w:rPr>
        <w:t>1</w:t>
      </w:r>
      <w:r>
        <w:rPr>
          <w:rFonts w:hint="eastAsia" w:ascii="宋体" w:hAnsi="宋体" w:eastAsia="宋体" w:cs="宋体"/>
          <w:color w:val="auto"/>
          <w:spacing w:val="0"/>
          <w:kern w:val="24"/>
          <w:sz w:val="24"/>
          <w:szCs w:val="24"/>
          <w:highlight w:val="none"/>
        </w:rPr>
        <w:t>9.5</w:t>
      </w:r>
      <w:r>
        <w:rPr>
          <w:rFonts w:hint="eastAsia" w:ascii="宋体" w:hAnsi="宋体" w:eastAsia="宋体" w:cs="宋体"/>
          <w:color w:val="auto"/>
          <w:spacing w:val="0"/>
          <w:kern w:val="24"/>
          <w:sz w:val="24"/>
          <w:szCs w:val="24"/>
          <w:highlight w:val="none"/>
          <w:lang w:val="zh-CN"/>
        </w:rPr>
        <w:t xml:space="preserve"> 开标时有下列情形之一的为无效投标：</w:t>
      </w:r>
    </w:p>
    <w:p w14:paraId="26ADD7B2">
      <w:pPr>
        <w:pStyle w:val="6"/>
        <w:autoSpaceDN w:val="0"/>
        <w:adjustRightInd w:val="0"/>
        <w:snapToGrid w:val="0"/>
        <w:spacing w:line="360" w:lineRule="auto"/>
        <w:ind w:firstLine="420"/>
        <w:rPr>
          <w:rFonts w:hint="eastAsia" w:ascii="宋体" w:hAnsi="宋体" w:eastAsia="宋体" w:cs="宋体"/>
          <w:color w:val="auto"/>
          <w:spacing w:val="0"/>
          <w:kern w:val="24"/>
          <w:sz w:val="24"/>
          <w:szCs w:val="24"/>
          <w:highlight w:val="none"/>
          <w:lang w:val="zh-CN"/>
        </w:rPr>
      </w:pPr>
      <w:r>
        <w:rPr>
          <w:rFonts w:hint="eastAsia" w:ascii="宋体" w:hAnsi="宋体" w:eastAsia="宋体" w:cs="宋体"/>
          <w:color w:val="auto"/>
          <w:spacing w:val="0"/>
          <w:kern w:val="24"/>
          <w:sz w:val="24"/>
          <w:szCs w:val="24"/>
          <w:highlight w:val="none"/>
          <w:lang w:val="zh-CN"/>
        </w:rPr>
        <w:t>（1）响应文件在规定的投标截止时间以后送达的；</w:t>
      </w:r>
    </w:p>
    <w:p w14:paraId="5BABF0BC">
      <w:pPr>
        <w:pStyle w:val="6"/>
        <w:autoSpaceDN w:val="0"/>
        <w:adjustRightInd w:val="0"/>
        <w:snapToGrid w:val="0"/>
        <w:spacing w:line="360" w:lineRule="auto"/>
        <w:ind w:firstLine="420"/>
        <w:rPr>
          <w:rFonts w:hint="eastAsia" w:ascii="宋体" w:hAnsi="宋体" w:eastAsia="宋体" w:cs="宋体"/>
          <w:color w:val="auto"/>
          <w:spacing w:val="0"/>
          <w:kern w:val="24"/>
          <w:sz w:val="24"/>
          <w:szCs w:val="24"/>
          <w:highlight w:val="none"/>
          <w:lang w:val="zh-CN"/>
        </w:rPr>
      </w:pPr>
      <w:r>
        <w:rPr>
          <w:rFonts w:hint="eastAsia" w:ascii="宋体" w:hAnsi="宋体" w:eastAsia="宋体" w:cs="宋体"/>
          <w:color w:val="auto"/>
          <w:spacing w:val="0"/>
          <w:kern w:val="24"/>
          <w:sz w:val="24"/>
          <w:szCs w:val="24"/>
          <w:highlight w:val="none"/>
          <w:lang w:val="zh-CN"/>
        </w:rPr>
        <w:t>（2）未按招标文件规定提交投标保证金的；</w:t>
      </w:r>
    </w:p>
    <w:p w14:paraId="7A1BA4D4">
      <w:pPr>
        <w:pStyle w:val="6"/>
        <w:autoSpaceDN w:val="0"/>
        <w:adjustRightInd w:val="0"/>
        <w:snapToGrid w:val="0"/>
        <w:spacing w:line="360" w:lineRule="auto"/>
        <w:ind w:firstLine="420"/>
        <w:rPr>
          <w:rFonts w:hint="eastAsia" w:ascii="宋体" w:hAnsi="宋体" w:eastAsia="宋体" w:cs="宋体"/>
          <w:color w:val="auto"/>
          <w:spacing w:val="0"/>
          <w:kern w:val="24"/>
          <w:sz w:val="24"/>
          <w:szCs w:val="24"/>
          <w:highlight w:val="none"/>
          <w:lang w:val="zh-CN"/>
        </w:rPr>
      </w:pPr>
      <w:r>
        <w:rPr>
          <w:rFonts w:hint="eastAsia" w:ascii="宋体" w:hAnsi="宋体" w:eastAsia="宋体" w:cs="宋体"/>
          <w:color w:val="auto"/>
          <w:spacing w:val="0"/>
          <w:kern w:val="24"/>
          <w:sz w:val="24"/>
          <w:szCs w:val="24"/>
          <w:highlight w:val="none"/>
          <w:lang w:val="zh-CN"/>
        </w:rPr>
        <w:t>（3）响应文件未按招标文件规定密封的；</w:t>
      </w:r>
    </w:p>
    <w:p w14:paraId="5435C7E7">
      <w:pPr>
        <w:pStyle w:val="6"/>
        <w:autoSpaceDN w:val="0"/>
        <w:adjustRightInd w:val="0"/>
        <w:snapToGrid w:val="0"/>
        <w:spacing w:line="360" w:lineRule="auto"/>
        <w:ind w:firstLine="420"/>
        <w:rPr>
          <w:rFonts w:hint="eastAsia" w:ascii="宋体" w:hAnsi="宋体" w:eastAsia="宋体" w:cs="宋体"/>
          <w:color w:val="auto"/>
          <w:spacing w:val="0"/>
          <w:kern w:val="24"/>
          <w:sz w:val="24"/>
          <w:szCs w:val="24"/>
          <w:highlight w:val="none"/>
          <w:lang w:val="zh-CN"/>
        </w:rPr>
      </w:pPr>
      <w:r>
        <w:rPr>
          <w:rFonts w:hint="eastAsia" w:ascii="宋体" w:hAnsi="宋体" w:eastAsia="宋体" w:cs="宋体"/>
          <w:color w:val="auto"/>
          <w:spacing w:val="0"/>
          <w:kern w:val="24"/>
          <w:sz w:val="24"/>
          <w:szCs w:val="24"/>
          <w:highlight w:val="none"/>
          <w:lang w:val="zh-CN"/>
        </w:rPr>
        <w:t>（4）未提交单独密封的开标一览表或者开标一览表未按规定加盖公章和有效签署的；</w:t>
      </w:r>
    </w:p>
    <w:p w14:paraId="15AB5441">
      <w:pPr>
        <w:pStyle w:val="6"/>
        <w:autoSpaceDN w:val="0"/>
        <w:adjustRightInd w:val="0"/>
        <w:snapToGrid w:val="0"/>
        <w:spacing w:line="360" w:lineRule="auto"/>
        <w:ind w:firstLine="420"/>
        <w:rPr>
          <w:rFonts w:hint="eastAsia" w:ascii="宋体" w:hAnsi="宋体" w:eastAsia="宋体" w:cs="宋体"/>
          <w:color w:val="auto"/>
          <w:spacing w:val="0"/>
          <w:kern w:val="24"/>
          <w:sz w:val="24"/>
          <w:szCs w:val="24"/>
          <w:highlight w:val="none"/>
          <w:lang w:val="zh-CN"/>
        </w:rPr>
      </w:pPr>
      <w:r>
        <w:rPr>
          <w:rFonts w:hint="eastAsia" w:ascii="宋体" w:hAnsi="宋体" w:eastAsia="宋体" w:cs="宋体"/>
          <w:color w:val="auto"/>
          <w:spacing w:val="0"/>
          <w:kern w:val="24"/>
          <w:sz w:val="24"/>
          <w:szCs w:val="24"/>
          <w:highlight w:val="none"/>
          <w:lang w:val="zh-CN"/>
        </w:rPr>
        <w:t>（5）招标文件规定开标时属于无效投标的其他情形。</w:t>
      </w:r>
    </w:p>
    <w:p w14:paraId="06E9385E">
      <w:pPr>
        <w:pStyle w:val="6"/>
        <w:autoSpaceDN w:val="0"/>
        <w:adjustRightInd w:val="0"/>
        <w:snapToGrid w:val="0"/>
        <w:spacing w:line="360" w:lineRule="auto"/>
        <w:ind w:firstLine="420"/>
        <w:rPr>
          <w:rFonts w:hint="eastAsia" w:ascii="宋体" w:hAnsi="宋体" w:eastAsia="宋体" w:cs="宋体"/>
          <w:color w:val="auto"/>
          <w:spacing w:val="0"/>
          <w:kern w:val="24"/>
          <w:sz w:val="24"/>
          <w:szCs w:val="24"/>
          <w:highlight w:val="none"/>
          <w:lang w:val="zh-CN"/>
        </w:rPr>
      </w:pPr>
      <w:r>
        <w:rPr>
          <w:rFonts w:hint="eastAsia" w:ascii="宋体" w:hAnsi="宋体" w:eastAsia="宋体" w:cs="宋体"/>
          <w:color w:val="auto"/>
          <w:spacing w:val="0"/>
          <w:kern w:val="24"/>
          <w:sz w:val="24"/>
          <w:szCs w:val="24"/>
          <w:highlight w:val="none"/>
          <w:lang w:val="zh-CN"/>
        </w:rPr>
        <w:t>1</w:t>
      </w:r>
      <w:r>
        <w:rPr>
          <w:rFonts w:hint="eastAsia" w:ascii="宋体" w:hAnsi="宋体" w:eastAsia="宋体" w:cs="宋体"/>
          <w:color w:val="auto"/>
          <w:spacing w:val="0"/>
          <w:kern w:val="24"/>
          <w:sz w:val="24"/>
          <w:szCs w:val="24"/>
          <w:highlight w:val="none"/>
        </w:rPr>
        <w:t>9.6</w:t>
      </w:r>
      <w:r>
        <w:rPr>
          <w:rFonts w:hint="eastAsia" w:ascii="宋体" w:hAnsi="宋体" w:eastAsia="宋体" w:cs="宋体"/>
          <w:color w:val="auto"/>
          <w:spacing w:val="0"/>
          <w:kern w:val="24"/>
          <w:sz w:val="24"/>
          <w:szCs w:val="24"/>
          <w:highlight w:val="none"/>
          <w:lang w:val="zh-CN"/>
        </w:rPr>
        <w:t xml:space="preserve"> 开标时有下列情形之一的，采购代理机构有权宣布本项目招标失败：</w:t>
      </w:r>
    </w:p>
    <w:p w14:paraId="5109AE67">
      <w:pPr>
        <w:pStyle w:val="6"/>
        <w:autoSpaceDN w:val="0"/>
        <w:adjustRightInd w:val="0"/>
        <w:snapToGrid w:val="0"/>
        <w:spacing w:line="360" w:lineRule="auto"/>
        <w:ind w:firstLine="420"/>
        <w:rPr>
          <w:rFonts w:hint="eastAsia" w:ascii="宋体" w:hAnsi="宋体" w:eastAsia="宋体" w:cs="宋体"/>
          <w:color w:val="auto"/>
          <w:spacing w:val="0"/>
          <w:kern w:val="24"/>
          <w:sz w:val="24"/>
          <w:szCs w:val="24"/>
          <w:highlight w:val="none"/>
          <w:lang w:val="zh-CN"/>
        </w:rPr>
      </w:pPr>
      <w:r>
        <w:rPr>
          <w:rFonts w:hint="eastAsia" w:ascii="宋体" w:hAnsi="宋体" w:eastAsia="宋体" w:cs="宋体"/>
          <w:color w:val="auto"/>
          <w:spacing w:val="0"/>
          <w:kern w:val="24"/>
          <w:sz w:val="24"/>
          <w:szCs w:val="24"/>
          <w:highlight w:val="none"/>
          <w:lang w:val="zh-CN"/>
        </w:rPr>
        <w:t>（1）交货时间符合招标文件要求的供应商不足三家的；</w:t>
      </w:r>
    </w:p>
    <w:p w14:paraId="20AB3DCE">
      <w:pPr>
        <w:pStyle w:val="6"/>
        <w:autoSpaceDN w:val="0"/>
        <w:adjustRightInd w:val="0"/>
        <w:snapToGrid w:val="0"/>
        <w:spacing w:line="360" w:lineRule="auto"/>
        <w:ind w:firstLine="420"/>
        <w:rPr>
          <w:rFonts w:hint="eastAsia" w:ascii="宋体" w:hAnsi="宋体" w:eastAsia="宋体" w:cs="宋体"/>
          <w:color w:val="auto"/>
          <w:spacing w:val="0"/>
          <w:kern w:val="24"/>
          <w:sz w:val="24"/>
          <w:szCs w:val="24"/>
          <w:highlight w:val="none"/>
          <w:lang w:val="zh-CN"/>
        </w:rPr>
      </w:pPr>
      <w:r>
        <w:rPr>
          <w:rFonts w:hint="eastAsia" w:ascii="宋体" w:hAnsi="宋体" w:eastAsia="宋体" w:cs="宋体"/>
          <w:color w:val="auto"/>
          <w:spacing w:val="0"/>
          <w:kern w:val="24"/>
          <w:sz w:val="24"/>
          <w:szCs w:val="24"/>
          <w:highlight w:val="none"/>
          <w:lang w:val="zh-CN"/>
        </w:rPr>
        <w:t>（2）所有供应商的报价均超过采购项目预算，采购单位不能支付的。</w:t>
      </w:r>
    </w:p>
    <w:p w14:paraId="750C1E3E">
      <w:pPr>
        <w:pStyle w:val="5"/>
        <w:autoSpaceDN w:val="0"/>
        <w:adjustRightInd w:val="0"/>
        <w:snapToGrid w:val="0"/>
        <w:spacing w:before="0" w:after="0" w:line="360" w:lineRule="auto"/>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20.对</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的初审</w:t>
      </w:r>
      <w:bookmarkEnd w:id="55"/>
    </w:p>
    <w:p w14:paraId="3C9D8356">
      <w:pPr>
        <w:autoSpaceDN w:val="0"/>
        <w:adjustRightInd w:val="0"/>
        <w:snapToGrid w:val="0"/>
        <w:spacing w:line="360" w:lineRule="auto"/>
        <w:ind w:left="1" w:firstLine="419"/>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20.1 采购人根据招标项目特点组建评标委员会，由采购人从</w:t>
      </w:r>
      <w:r>
        <w:rPr>
          <w:rFonts w:hint="eastAsia" w:ascii="宋体" w:hAnsi="宋体" w:eastAsia="宋体" w:cs="宋体"/>
          <w:color w:val="auto"/>
          <w:spacing w:val="0"/>
          <w:kern w:val="24"/>
          <w:sz w:val="24"/>
          <w:szCs w:val="24"/>
          <w:highlight w:val="none"/>
          <w:lang w:eastAsia="zh-CN"/>
        </w:rPr>
        <w:t>政采云</w:t>
      </w:r>
      <w:r>
        <w:rPr>
          <w:rFonts w:hint="eastAsia" w:ascii="宋体" w:hAnsi="宋体" w:eastAsia="宋体" w:cs="宋体"/>
          <w:color w:val="auto"/>
          <w:spacing w:val="0"/>
          <w:kern w:val="24"/>
          <w:sz w:val="24"/>
          <w:szCs w:val="24"/>
          <w:highlight w:val="none"/>
        </w:rPr>
        <w:t xml:space="preserve">专家库中抽取的专家组成。 </w:t>
      </w:r>
    </w:p>
    <w:p w14:paraId="190DB81B">
      <w:pPr>
        <w:autoSpaceDN w:val="0"/>
        <w:adjustRightInd w:val="0"/>
        <w:snapToGrid w:val="0"/>
        <w:spacing w:line="360" w:lineRule="auto"/>
        <w:ind w:firstLine="480" w:firstLineChars="20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评标委员会对</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进行初审，初审内容为</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是否符合招标文件的要求、内容是否完整、价格构成有无计算错误、文件签署是否齐全及验证保证金以及</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是否具有实质响应性。</w:t>
      </w:r>
    </w:p>
    <w:p w14:paraId="61ABAB9B">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20.2 初审中，对价格的计算错误按下述原则修正：</w:t>
      </w:r>
    </w:p>
    <w:p w14:paraId="14F0A042">
      <w:pPr>
        <w:autoSpaceDN w:val="0"/>
        <w:adjustRightInd w:val="0"/>
        <w:snapToGrid w:val="0"/>
        <w:spacing w:line="360" w:lineRule="auto"/>
        <w:ind w:firstLine="480" w:firstLineChars="200"/>
        <w:textAlignment w:val="baseline"/>
        <w:rPr>
          <w:rFonts w:hint="eastAsia" w:ascii="宋体" w:hAnsi="宋体" w:eastAsia="宋体" w:cs="宋体"/>
          <w:color w:val="auto"/>
          <w:spacing w:val="0"/>
          <w:kern w:val="24"/>
          <w:sz w:val="24"/>
          <w:szCs w:val="24"/>
          <w:highlight w:val="none"/>
          <w:lang w:val="zh-CN"/>
        </w:rPr>
      </w:pPr>
      <w:r>
        <w:rPr>
          <w:rFonts w:hint="eastAsia" w:ascii="宋体" w:hAnsi="宋体" w:eastAsia="宋体" w:cs="宋体"/>
          <w:color w:val="auto"/>
          <w:spacing w:val="0"/>
          <w:kern w:val="24"/>
          <w:sz w:val="24"/>
          <w:szCs w:val="24"/>
          <w:highlight w:val="none"/>
          <w:lang w:val="zh-CN"/>
        </w:rPr>
        <w:t>（</w:t>
      </w:r>
      <w:r>
        <w:rPr>
          <w:rFonts w:hint="eastAsia" w:ascii="宋体" w:hAnsi="宋体" w:eastAsia="宋体" w:cs="宋体"/>
          <w:color w:val="auto"/>
          <w:spacing w:val="0"/>
          <w:kern w:val="24"/>
          <w:sz w:val="24"/>
          <w:szCs w:val="24"/>
          <w:highlight w:val="none"/>
        </w:rPr>
        <w:t>1</w:t>
      </w:r>
      <w:r>
        <w:rPr>
          <w:rFonts w:hint="eastAsia" w:ascii="宋体" w:hAnsi="宋体" w:eastAsia="宋体" w:cs="宋体"/>
          <w:color w:val="auto"/>
          <w:spacing w:val="0"/>
          <w:kern w:val="24"/>
          <w:sz w:val="24"/>
          <w:szCs w:val="24"/>
          <w:highlight w:val="none"/>
          <w:lang w:val="zh-CN"/>
        </w:rPr>
        <w:t>）响应文件中开标一览表内容与响应文件中相应内容不一致的，以《开标一览表》的报价为准；</w:t>
      </w:r>
    </w:p>
    <w:p w14:paraId="068655B6">
      <w:pPr>
        <w:autoSpaceDN w:val="0"/>
        <w:adjustRightInd w:val="0"/>
        <w:snapToGrid w:val="0"/>
        <w:spacing w:line="360" w:lineRule="auto"/>
        <w:ind w:firstLine="480" w:firstLineChars="200"/>
        <w:textAlignment w:val="baseline"/>
        <w:rPr>
          <w:rFonts w:hint="eastAsia" w:ascii="宋体" w:hAnsi="宋体" w:eastAsia="宋体" w:cs="宋体"/>
          <w:color w:val="auto"/>
          <w:spacing w:val="0"/>
          <w:kern w:val="24"/>
          <w:sz w:val="24"/>
          <w:szCs w:val="24"/>
          <w:highlight w:val="none"/>
          <w:lang w:val="zh-CN"/>
        </w:rPr>
      </w:pPr>
      <w:r>
        <w:rPr>
          <w:rFonts w:hint="eastAsia" w:ascii="宋体" w:hAnsi="宋体" w:eastAsia="宋体" w:cs="宋体"/>
          <w:color w:val="auto"/>
          <w:spacing w:val="0"/>
          <w:kern w:val="24"/>
          <w:sz w:val="24"/>
          <w:szCs w:val="24"/>
          <w:highlight w:val="none"/>
          <w:lang w:val="zh-CN"/>
        </w:rPr>
        <w:t>（</w:t>
      </w:r>
      <w:r>
        <w:rPr>
          <w:rFonts w:hint="eastAsia" w:ascii="宋体" w:hAnsi="宋体" w:eastAsia="宋体" w:cs="宋体"/>
          <w:color w:val="auto"/>
          <w:spacing w:val="0"/>
          <w:kern w:val="24"/>
          <w:sz w:val="24"/>
          <w:szCs w:val="24"/>
          <w:highlight w:val="none"/>
        </w:rPr>
        <w:t>2</w:t>
      </w:r>
      <w:r>
        <w:rPr>
          <w:rFonts w:hint="eastAsia" w:ascii="宋体" w:hAnsi="宋体" w:eastAsia="宋体" w:cs="宋体"/>
          <w:color w:val="auto"/>
          <w:spacing w:val="0"/>
          <w:kern w:val="24"/>
          <w:sz w:val="24"/>
          <w:szCs w:val="24"/>
          <w:highlight w:val="none"/>
          <w:lang w:val="zh-CN"/>
        </w:rPr>
        <w:t>）开标一览表内如果小写金额与大写金额不一致时，以大写金额为准；</w:t>
      </w:r>
    </w:p>
    <w:p w14:paraId="609F0906">
      <w:pPr>
        <w:autoSpaceDN w:val="0"/>
        <w:adjustRightInd w:val="0"/>
        <w:snapToGrid w:val="0"/>
        <w:spacing w:line="360" w:lineRule="auto"/>
        <w:ind w:firstLine="480" w:firstLineChars="200"/>
        <w:textAlignment w:val="baseline"/>
        <w:rPr>
          <w:rFonts w:hint="eastAsia" w:ascii="宋体" w:hAnsi="宋体" w:eastAsia="宋体" w:cs="宋体"/>
          <w:color w:val="auto"/>
          <w:spacing w:val="0"/>
          <w:kern w:val="24"/>
          <w:sz w:val="24"/>
          <w:szCs w:val="24"/>
          <w:highlight w:val="none"/>
          <w:lang w:val="zh-CN"/>
        </w:rPr>
      </w:pPr>
      <w:r>
        <w:rPr>
          <w:rFonts w:hint="eastAsia" w:ascii="宋体" w:hAnsi="宋体" w:eastAsia="宋体" w:cs="宋体"/>
          <w:color w:val="auto"/>
          <w:spacing w:val="0"/>
          <w:kern w:val="24"/>
          <w:sz w:val="24"/>
          <w:szCs w:val="24"/>
          <w:highlight w:val="none"/>
          <w:lang w:val="zh-CN"/>
        </w:rPr>
        <w:t>（</w:t>
      </w:r>
      <w:r>
        <w:rPr>
          <w:rFonts w:hint="eastAsia" w:ascii="宋体" w:hAnsi="宋体" w:eastAsia="宋体" w:cs="宋体"/>
          <w:color w:val="auto"/>
          <w:spacing w:val="0"/>
          <w:kern w:val="24"/>
          <w:sz w:val="24"/>
          <w:szCs w:val="24"/>
          <w:highlight w:val="none"/>
        </w:rPr>
        <w:t>3</w:t>
      </w:r>
      <w:r>
        <w:rPr>
          <w:rFonts w:hint="eastAsia" w:ascii="宋体" w:hAnsi="宋体" w:eastAsia="宋体" w:cs="宋体"/>
          <w:color w:val="auto"/>
          <w:spacing w:val="0"/>
          <w:kern w:val="24"/>
          <w:sz w:val="24"/>
          <w:szCs w:val="24"/>
          <w:highlight w:val="none"/>
          <w:lang w:val="zh-CN"/>
        </w:rPr>
        <w:t>）如果总价金额与单价金额不一致，以单价金额为准。</w:t>
      </w:r>
    </w:p>
    <w:p w14:paraId="3737DD00">
      <w:pPr>
        <w:autoSpaceDN w:val="0"/>
        <w:adjustRightInd w:val="0"/>
        <w:snapToGrid w:val="0"/>
        <w:spacing w:line="360" w:lineRule="auto"/>
        <w:ind w:firstLine="480" w:firstLineChars="200"/>
        <w:textAlignment w:val="baseline"/>
        <w:rPr>
          <w:rFonts w:hint="eastAsia" w:ascii="宋体" w:hAnsi="宋体" w:eastAsia="宋体" w:cs="宋体"/>
          <w:color w:val="auto"/>
          <w:spacing w:val="0"/>
          <w:kern w:val="24"/>
          <w:sz w:val="24"/>
          <w:szCs w:val="24"/>
          <w:highlight w:val="none"/>
          <w:lang w:val="zh-CN"/>
        </w:rPr>
      </w:pPr>
      <w:r>
        <w:rPr>
          <w:rFonts w:hint="eastAsia" w:ascii="宋体" w:hAnsi="宋体" w:eastAsia="宋体" w:cs="宋体"/>
          <w:color w:val="auto"/>
          <w:spacing w:val="0"/>
          <w:kern w:val="24"/>
          <w:sz w:val="24"/>
          <w:szCs w:val="24"/>
          <w:highlight w:val="none"/>
          <w:lang w:val="zh-CN"/>
        </w:rPr>
        <w:t>（</w:t>
      </w:r>
      <w:r>
        <w:rPr>
          <w:rFonts w:hint="eastAsia" w:ascii="宋体" w:hAnsi="宋体" w:eastAsia="宋体" w:cs="宋体"/>
          <w:color w:val="auto"/>
          <w:spacing w:val="0"/>
          <w:kern w:val="24"/>
          <w:sz w:val="24"/>
          <w:szCs w:val="24"/>
          <w:highlight w:val="none"/>
        </w:rPr>
        <w:t>4</w:t>
      </w:r>
      <w:r>
        <w:rPr>
          <w:rFonts w:hint="eastAsia" w:ascii="宋体" w:hAnsi="宋体" w:eastAsia="宋体" w:cs="宋体"/>
          <w:color w:val="auto"/>
          <w:spacing w:val="0"/>
          <w:kern w:val="24"/>
          <w:sz w:val="24"/>
          <w:szCs w:val="24"/>
          <w:highlight w:val="none"/>
          <w:lang w:val="zh-CN"/>
        </w:rPr>
        <w:t>）除非单价有明显的小数点错位，此时应以该行标出的总额为准，并修改单价。</w:t>
      </w:r>
    </w:p>
    <w:p w14:paraId="0C59BED6">
      <w:pPr>
        <w:autoSpaceDN w:val="0"/>
        <w:adjustRightInd w:val="0"/>
        <w:snapToGrid w:val="0"/>
        <w:spacing w:line="360" w:lineRule="auto"/>
        <w:ind w:left="1" w:firstLine="480" w:firstLineChars="200"/>
        <w:rPr>
          <w:rFonts w:hint="eastAsia" w:ascii="宋体" w:hAnsi="宋体" w:eastAsia="宋体" w:cs="宋体"/>
          <w:color w:val="auto"/>
          <w:spacing w:val="0"/>
          <w:kern w:val="24"/>
          <w:sz w:val="24"/>
          <w:szCs w:val="24"/>
          <w:highlight w:val="none"/>
          <w:lang w:val="zh-CN"/>
        </w:rPr>
      </w:pPr>
      <w:r>
        <w:rPr>
          <w:rFonts w:hint="eastAsia" w:ascii="宋体" w:hAnsi="宋体" w:eastAsia="宋体" w:cs="宋体"/>
          <w:color w:val="auto"/>
          <w:spacing w:val="0"/>
          <w:kern w:val="24"/>
          <w:sz w:val="24"/>
          <w:szCs w:val="24"/>
          <w:highlight w:val="none"/>
          <w:lang w:val="zh-CN"/>
        </w:rPr>
        <w:t>按上述原则调整后的价格为评标价，经供应商法定代表人或授权代理人签字确认后对供应商具有约束力。如果供应商不按照上述原则修正其投标报价及分项报价，则其投标将被拒绝。</w:t>
      </w:r>
    </w:p>
    <w:p w14:paraId="55518B0F">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20.3 与招标文件有重大偏离的</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将被视为具有非实质响应性的</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而被拒绝。</w:t>
      </w:r>
    </w:p>
    <w:p w14:paraId="21D06E09">
      <w:pPr>
        <w:autoSpaceDN w:val="0"/>
        <w:adjustRightInd w:val="0"/>
        <w:snapToGrid w:val="0"/>
        <w:spacing w:line="360" w:lineRule="auto"/>
        <w:ind w:firstLine="420"/>
        <w:rPr>
          <w:rFonts w:hint="eastAsia" w:ascii="宋体" w:hAnsi="宋体" w:eastAsia="宋体" w:cs="宋体"/>
          <w:b/>
          <w:bCs/>
          <w:color w:val="auto"/>
          <w:spacing w:val="0"/>
          <w:kern w:val="24"/>
          <w:sz w:val="24"/>
          <w:szCs w:val="24"/>
          <w:highlight w:val="none"/>
        </w:rPr>
      </w:pPr>
      <w:r>
        <w:rPr>
          <w:rFonts w:hint="eastAsia" w:ascii="宋体" w:hAnsi="宋体" w:eastAsia="宋体" w:cs="宋体"/>
          <w:color w:val="auto"/>
          <w:spacing w:val="0"/>
          <w:kern w:val="24"/>
          <w:sz w:val="24"/>
          <w:szCs w:val="24"/>
          <w:highlight w:val="none"/>
        </w:rPr>
        <w:t>20.4 投标有下列情况之一者，</w:t>
      </w:r>
      <w:r>
        <w:rPr>
          <w:rFonts w:hint="eastAsia" w:ascii="宋体" w:hAnsi="宋体" w:eastAsia="宋体" w:cs="宋体"/>
          <w:bCs/>
          <w:color w:val="auto"/>
          <w:spacing w:val="0"/>
          <w:kern w:val="24"/>
          <w:sz w:val="24"/>
          <w:szCs w:val="24"/>
          <w:highlight w:val="none"/>
        </w:rPr>
        <w:t>将被视为非实质性响应的投标而被拒绝：</w:t>
      </w:r>
    </w:p>
    <w:p w14:paraId="4F8EE443">
      <w:pPr>
        <w:numPr>
          <w:ilvl w:val="0"/>
          <w:numId w:val="3"/>
        </w:numPr>
        <w:tabs>
          <w:tab w:val="left" w:pos="686"/>
        </w:tabs>
        <w:autoSpaceDN w:val="0"/>
        <w:adjustRightInd w:val="0"/>
        <w:snapToGrid w:val="0"/>
        <w:spacing w:line="360" w:lineRule="auto"/>
        <w:ind w:left="420" w:hanging="480" w:hangingChars="20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资格条件及证明文件不符合招标文件要求的；</w:t>
      </w:r>
    </w:p>
    <w:p w14:paraId="6C6544AB">
      <w:pPr>
        <w:numPr>
          <w:ilvl w:val="0"/>
          <w:numId w:val="3"/>
        </w:numPr>
        <w:tabs>
          <w:tab w:val="left" w:pos="686"/>
        </w:tabs>
        <w:autoSpaceDN w:val="0"/>
        <w:adjustRightInd w:val="0"/>
        <w:snapToGrid w:val="0"/>
        <w:spacing w:line="360" w:lineRule="auto"/>
        <w:ind w:left="0" w:firstLine="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无公章或无法定代表人签字，或签字人无法定代表人有效授权书的，或未按要求签字、盖公章的；</w:t>
      </w:r>
    </w:p>
    <w:p w14:paraId="642F1469">
      <w:pPr>
        <w:numPr>
          <w:ilvl w:val="0"/>
          <w:numId w:val="3"/>
        </w:numPr>
        <w:tabs>
          <w:tab w:val="left" w:pos="700"/>
        </w:tabs>
        <w:autoSpaceDN w:val="0"/>
        <w:adjustRightInd w:val="0"/>
        <w:snapToGrid w:val="0"/>
        <w:spacing w:line="360" w:lineRule="auto"/>
        <w:ind w:left="420" w:hanging="480" w:hangingChars="20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不能满足投标有效期的；</w:t>
      </w:r>
    </w:p>
    <w:p w14:paraId="4B560254">
      <w:pPr>
        <w:numPr>
          <w:ilvl w:val="0"/>
          <w:numId w:val="3"/>
        </w:numPr>
        <w:tabs>
          <w:tab w:val="left" w:pos="700"/>
        </w:tabs>
        <w:autoSpaceDN w:val="0"/>
        <w:adjustRightInd w:val="0"/>
        <w:snapToGrid w:val="0"/>
        <w:spacing w:line="360" w:lineRule="auto"/>
        <w:ind w:left="420" w:hanging="480" w:hangingChars="20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投标明显不符合技术规格、技术标准的要求；</w:t>
      </w:r>
    </w:p>
    <w:p w14:paraId="39F044B2">
      <w:pPr>
        <w:numPr>
          <w:ilvl w:val="0"/>
          <w:numId w:val="3"/>
        </w:numPr>
        <w:tabs>
          <w:tab w:val="left" w:pos="714"/>
        </w:tabs>
        <w:autoSpaceDN w:val="0"/>
        <w:adjustRightInd w:val="0"/>
        <w:snapToGrid w:val="0"/>
        <w:spacing w:line="360" w:lineRule="auto"/>
        <w:ind w:left="420" w:hanging="480" w:hangingChars="20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附有买方不能接受的条件；</w:t>
      </w:r>
    </w:p>
    <w:p w14:paraId="789E2F8A">
      <w:pPr>
        <w:numPr>
          <w:ilvl w:val="0"/>
          <w:numId w:val="3"/>
        </w:numPr>
        <w:tabs>
          <w:tab w:val="left" w:pos="714"/>
        </w:tabs>
        <w:autoSpaceDN w:val="0"/>
        <w:adjustRightInd w:val="0"/>
        <w:snapToGrid w:val="0"/>
        <w:spacing w:line="360" w:lineRule="auto"/>
        <w:ind w:left="420" w:hanging="480" w:hangingChars="20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投标报价超过采购预算的；</w:t>
      </w:r>
    </w:p>
    <w:p w14:paraId="67F1E27B">
      <w:pPr>
        <w:numPr>
          <w:ilvl w:val="0"/>
          <w:numId w:val="3"/>
        </w:numPr>
        <w:tabs>
          <w:tab w:val="left" w:pos="714"/>
        </w:tabs>
        <w:autoSpaceDN w:val="0"/>
        <w:adjustRightInd w:val="0"/>
        <w:snapToGrid w:val="0"/>
        <w:spacing w:line="360" w:lineRule="auto"/>
        <w:ind w:left="420" w:hanging="480" w:hangingChars="20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未响应招标文件规定的其它实质性条款。</w:t>
      </w:r>
    </w:p>
    <w:p w14:paraId="06ED17CD">
      <w:pPr>
        <w:pStyle w:val="5"/>
        <w:autoSpaceDN w:val="0"/>
        <w:adjustRightInd w:val="0"/>
        <w:snapToGrid w:val="0"/>
        <w:spacing w:before="0" w:after="0" w:line="360" w:lineRule="auto"/>
        <w:rPr>
          <w:rFonts w:hint="eastAsia" w:ascii="宋体" w:hAnsi="宋体" w:eastAsia="宋体" w:cs="宋体"/>
          <w:color w:val="auto"/>
          <w:spacing w:val="0"/>
          <w:kern w:val="24"/>
          <w:sz w:val="24"/>
          <w:szCs w:val="24"/>
          <w:highlight w:val="none"/>
        </w:rPr>
      </w:pPr>
      <w:bookmarkStart w:id="56" w:name="_Toc98580414"/>
      <w:r>
        <w:rPr>
          <w:rFonts w:hint="eastAsia" w:ascii="宋体" w:hAnsi="宋体" w:eastAsia="宋体" w:cs="宋体"/>
          <w:color w:val="auto"/>
          <w:spacing w:val="0"/>
          <w:kern w:val="24"/>
          <w:sz w:val="24"/>
          <w:szCs w:val="24"/>
          <w:highlight w:val="none"/>
        </w:rPr>
        <w:t>21.投标的澄清</w:t>
      </w:r>
      <w:bookmarkEnd w:id="56"/>
    </w:p>
    <w:p w14:paraId="44574681">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21.1 招标机构有权就</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中含混之处向</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提出询问或澄清要求，或要求其补充某些材料。</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必须按照招标机构通知的时间、地点派技术和商务人员进行答疑和澄清。</w:t>
      </w:r>
    </w:p>
    <w:p w14:paraId="330F01C6">
      <w:pPr>
        <w:autoSpaceDN w:val="0"/>
        <w:adjustRightInd w:val="0"/>
        <w:snapToGrid w:val="0"/>
        <w:spacing w:line="360" w:lineRule="auto"/>
        <w:ind w:firstLine="420"/>
        <w:textAlignment w:val="baseline"/>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 xml:space="preserve">21.2 </w:t>
      </w:r>
      <w:r>
        <w:rPr>
          <w:rFonts w:hint="eastAsia" w:ascii="宋体" w:hAnsi="宋体" w:eastAsia="宋体" w:cs="宋体"/>
          <w:color w:val="auto"/>
          <w:spacing w:val="0"/>
          <w:kern w:val="24"/>
          <w:sz w:val="24"/>
          <w:szCs w:val="24"/>
          <w:highlight w:val="none"/>
          <w:lang w:val="zh-CN"/>
        </w:rPr>
        <w:t>供应商的澄清、说明或者补正应当采用书面形式，由供应商法定代表人或其授权代理人签字（须提交签字人身份证件并与响应文件签字人一致），并不得超出响应文件的范围或者改变响应文件的实质性内容。供应商拒不进行澄清、说明、补正的，或者不能在规定时间内作出书面澄清、说明、补正的，评标委员会将拒绝其投标。</w:t>
      </w:r>
    </w:p>
    <w:p w14:paraId="7D999CA8">
      <w:pPr>
        <w:pStyle w:val="5"/>
        <w:autoSpaceDN w:val="0"/>
        <w:adjustRightInd w:val="0"/>
        <w:snapToGrid w:val="0"/>
        <w:spacing w:before="0" w:after="0" w:line="360" w:lineRule="auto"/>
        <w:rPr>
          <w:rFonts w:hint="eastAsia" w:ascii="宋体" w:hAnsi="宋体" w:eastAsia="宋体" w:cs="宋体"/>
          <w:color w:val="auto"/>
          <w:spacing w:val="0"/>
          <w:kern w:val="24"/>
          <w:sz w:val="24"/>
          <w:szCs w:val="24"/>
          <w:highlight w:val="none"/>
        </w:rPr>
      </w:pPr>
      <w:bookmarkStart w:id="57" w:name="_Toc98580415"/>
      <w:bookmarkStart w:id="58" w:name="_Toc98580416"/>
      <w:r>
        <w:rPr>
          <w:rFonts w:hint="eastAsia" w:ascii="宋体" w:hAnsi="宋体" w:eastAsia="宋体" w:cs="宋体"/>
          <w:color w:val="auto"/>
          <w:spacing w:val="0"/>
          <w:kern w:val="24"/>
          <w:sz w:val="24"/>
          <w:szCs w:val="24"/>
          <w:highlight w:val="none"/>
        </w:rPr>
        <w:t>22.评标</w:t>
      </w:r>
      <w:bookmarkEnd w:id="57"/>
    </w:p>
    <w:p w14:paraId="5313152B">
      <w:pPr>
        <w:autoSpaceDN w:val="0"/>
        <w:adjustRightInd w:val="0"/>
        <w:snapToGrid w:val="0"/>
        <w:spacing w:line="360" w:lineRule="auto"/>
        <w:ind w:firstLine="420"/>
        <w:textAlignment w:val="baseline"/>
        <w:rPr>
          <w:rFonts w:hint="eastAsia" w:ascii="宋体" w:hAnsi="宋体" w:eastAsia="宋体" w:cs="宋体"/>
          <w:color w:val="auto"/>
          <w:spacing w:val="0"/>
          <w:kern w:val="24"/>
          <w:sz w:val="24"/>
          <w:szCs w:val="24"/>
          <w:highlight w:val="none"/>
          <w:lang w:val="zh-CN"/>
        </w:rPr>
      </w:pPr>
      <w:r>
        <w:rPr>
          <w:rFonts w:hint="eastAsia" w:ascii="宋体" w:hAnsi="宋体" w:eastAsia="宋体" w:cs="宋体"/>
          <w:color w:val="auto"/>
          <w:spacing w:val="0"/>
          <w:kern w:val="24"/>
          <w:sz w:val="24"/>
          <w:szCs w:val="24"/>
          <w:highlight w:val="none"/>
          <w:lang w:val="zh-CN"/>
        </w:rPr>
        <w:t>22.1 原则：对所有</w:t>
      </w:r>
      <w:r>
        <w:rPr>
          <w:rFonts w:hint="eastAsia" w:ascii="宋体" w:hAnsi="宋体" w:eastAsia="宋体" w:cs="宋体"/>
          <w:color w:val="auto"/>
          <w:spacing w:val="0"/>
          <w:kern w:val="24"/>
          <w:sz w:val="24"/>
          <w:szCs w:val="24"/>
          <w:highlight w:val="none"/>
          <w:lang w:val="zh-CN" w:eastAsia="zh-CN"/>
        </w:rPr>
        <w:t>供应商</w:t>
      </w:r>
      <w:r>
        <w:rPr>
          <w:rFonts w:hint="eastAsia" w:ascii="宋体" w:hAnsi="宋体" w:eastAsia="宋体" w:cs="宋体"/>
          <w:color w:val="auto"/>
          <w:spacing w:val="0"/>
          <w:kern w:val="24"/>
          <w:sz w:val="24"/>
          <w:szCs w:val="24"/>
          <w:highlight w:val="none"/>
          <w:lang w:val="zh-CN"/>
        </w:rPr>
        <w:t>的投标评估，都采用相同的程序和标准。</w:t>
      </w:r>
    </w:p>
    <w:p w14:paraId="2080381D">
      <w:pPr>
        <w:autoSpaceDN w:val="0"/>
        <w:adjustRightInd w:val="0"/>
        <w:snapToGrid w:val="0"/>
        <w:spacing w:line="360" w:lineRule="auto"/>
        <w:ind w:firstLine="420"/>
        <w:textAlignment w:val="baseline"/>
        <w:rPr>
          <w:rFonts w:hint="eastAsia" w:ascii="宋体" w:hAnsi="宋体" w:eastAsia="宋体" w:cs="宋体"/>
          <w:color w:val="auto"/>
          <w:spacing w:val="0"/>
          <w:kern w:val="24"/>
          <w:sz w:val="24"/>
          <w:szCs w:val="24"/>
          <w:highlight w:val="none"/>
          <w:lang w:val="zh-CN"/>
        </w:rPr>
      </w:pPr>
      <w:r>
        <w:rPr>
          <w:rFonts w:hint="eastAsia" w:ascii="宋体" w:hAnsi="宋体" w:eastAsia="宋体" w:cs="宋体"/>
          <w:color w:val="auto"/>
          <w:spacing w:val="0"/>
          <w:kern w:val="24"/>
          <w:sz w:val="24"/>
          <w:szCs w:val="24"/>
          <w:highlight w:val="none"/>
          <w:lang w:val="zh-CN"/>
        </w:rPr>
        <w:t>22.2 标准：评标严格按照招标文件的要求和条件进行。</w:t>
      </w:r>
    </w:p>
    <w:p w14:paraId="0B6B3671">
      <w:pPr>
        <w:autoSpaceDN w:val="0"/>
        <w:adjustRightInd w:val="0"/>
        <w:snapToGrid w:val="0"/>
        <w:spacing w:line="360" w:lineRule="auto"/>
        <w:ind w:firstLine="420"/>
        <w:textAlignment w:val="baseline"/>
        <w:rPr>
          <w:rFonts w:hint="eastAsia" w:ascii="宋体" w:hAnsi="宋体" w:eastAsia="宋体" w:cs="宋体"/>
          <w:color w:val="auto"/>
          <w:spacing w:val="0"/>
          <w:kern w:val="24"/>
          <w:sz w:val="24"/>
          <w:szCs w:val="24"/>
          <w:highlight w:val="none"/>
          <w:lang w:val="zh-CN"/>
        </w:rPr>
      </w:pPr>
      <w:r>
        <w:rPr>
          <w:rFonts w:hint="eastAsia" w:ascii="宋体" w:hAnsi="宋体" w:eastAsia="宋体" w:cs="宋体"/>
          <w:color w:val="auto"/>
          <w:spacing w:val="0"/>
          <w:kern w:val="24"/>
          <w:sz w:val="24"/>
          <w:szCs w:val="24"/>
          <w:highlight w:val="none"/>
          <w:lang w:val="zh-CN"/>
        </w:rPr>
        <w:t>22.3本项目采用</w:t>
      </w:r>
      <w:bookmarkStart w:id="59" w:name="blank29_copy_1619578097000"/>
      <w:r>
        <w:rPr>
          <w:rFonts w:hint="eastAsia" w:ascii="宋体" w:hAnsi="宋体" w:eastAsia="宋体" w:cs="宋体"/>
          <w:color w:val="auto"/>
          <w:spacing w:val="0"/>
          <w:kern w:val="24"/>
          <w:sz w:val="24"/>
          <w:szCs w:val="24"/>
          <w:highlight w:val="none"/>
          <w:lang w:val="zh-CN"/>
        </w:rPr>
        <w:t>综合评分法</w:t>
      </w:r>
      <w:bookmarkEnd w:id="59"/>
      <w:r>
        <w:rPr>
          <w:rFonts w:hint="eastAsia" w:ascii="宋体" w:hAnsi="宋体" w:eastAsia="宋体" w:cs="宋体"/>
          <w:color w:val="auto"/>
          <w:spacing w:val="0"/>
          <w:kern w:val="24"/>
          <w:sz w:val="24"/>
          <w:szCs w:val="24"/>
          <w:highlight w:val="none"/>
          <w:lang w:val="zh-CN"/>
        </w:rPr>
        <w:t>：</w:t>
      </w:r>
    </w:p>
    <w:p w14:paraId="65CE42B7">
      <w:pPr>
        <w:autoSpaceDN w:val="0"/>
        <w:adjustRightInd w:val="0"/>
        <w:snapToGrid w:val="0"/>
        <w:spacing w:line="360" w:lineRule="auto"/>
        <w:ind w:firstLine="420"/>
        <w:textAlignment w:val="baseline"/>
        <w:rPr>
          <w:rFonts w:hint="eastAsia" w:ascii="宋体" w:hAnsi="宋体" w:eastAsia="宋体" w:cs="宋体"/>
          <w:color w:val="auto"/>
          <w:spacing w:val="0"/>
          <w:kern w:val="24"/>
          <w:sz w:val="24"/>
          <w:szCs w:val="24"/>
          <w:highlight w:val="none"/>
          <w:lang w:val="zh-CN"/>
        </w:rPr>
      </w:pPr>
      <w:r>
        <w:rPr>
          <w:rFonts w:hint="eastAsia" w:ascii="宋体" w:hAnsi="宋体" w:eastAsia="宋体" w:cs="宋体"/>
          <w:color w:val="auto"/>
          <w:spacing w:val="0"/>
          <w:kern w:val="24"/>
          <w:sz w:val="24"/>
          <w:szCs w:val="24"/>
          <w:highlight w:val="none"/>
          <w:lang w:val="zh-CN"/>
        </w:rPr>
        <w:t>评标委员会将按第三章规定的评审因素和标准，按评审后</w:t>
      </w:r>
      <w:r>
        <w:rPr>
          <w:rFonts w:hint="eastAsia" w:ascii="宋体" w:hAnsi="宋体" w:eastAsia="宋体" w:cs="宋体"/>
          <w:color w:val="auto"/>
          <w:spacing w:val="0"/>
          <w:kern w:val="24"/>
          <w:sz w:val="24"/>
          <w:szCs w:val="24"/>
          <w:highlight w:val="none"/>
          <w:lang w:val="zh-CN" w:eastAsia="zh-CN"/>
        </w:rPr>
        <w:t>供应商</w:t>
      </w:r>
      <w:r>
        <w:rPr>
          <w:rFonts w:hint="eastAsia" w:ascii="宋体" w:hAnsi="宋体" w:eastAsia="宋体" w:cs="宋体"/>
          <w:color w:val="auto"/>
          <w:spacing w:val="0"/>
          <w:kern w:val="24"/>
          <w:sz w:val="24"/>
          <w:szCs w:val="24"/>
          <w:highlight w:val="none"/>
          <w:lang w:val="zh-CN"/>
        </w:rPr>
        <w:t xml:space="preserve">综合得分由高到低的顺序推荐中标候选人排序。 </w:t>
      </w:r>
    </w:p>
    <w:p w14:paraId="168F6991">
      <w:pPr>
        <w:pStyle w:val="5"/>
        <w:autoSpaceDN w:val="0"/>
        <w:adjustRightInd w:val="0"/>
        <w:snapToGrid w:val="0"/>
        <w:spacing w:before="0" w:after="0" w:line="360" w:lineRule="auto"/>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23.评标过程保密</w:t>
      </w:r>
      <w:bookmarkEnd w:id="58"/>
    </w:p>
    <w:p w14:paraId="66C17111">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23.1有关</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的审查、澄清、评估和比较以及有关授予合同意向的一切情况均不得透露给任一</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或与上述评标工作无关的人员；</w:t>
      </w:r>
    </w:p>
    <w:p w14:paraId="7E6007AE">
      <w:pPr>
        <w:autoSpaceDN w:val="0"/>
        <w:adjustRightInd w:val="0"/>
        <w:snapToGrid w:val="0"/>
        <w:spacing w:line="360" w:lineRule="auto"/>
        <w:ind w:firstLine="420"/>
        <w:rPr>
          <w:rFonts w:hint="eastAsia" w:ascii="宋体" w:hAnsi="宋体" w:eastAsia="宋体" w:cs="宋体"/>
          <w:b/>
          <w:bCs/>
          <w:color w:val="auto"/>
          <w:spacing w:val="0"/>
          <w:kern w:val="24"/>
          <w:sz w:val="24"/>
          <w:szCs w:val="24"/>
          <w:highlight w:val="none"/>
        </w:rPr>
      </w:pPr>
      <w:r>
        <w:rPr>
          <w:rFonts w:hint="eastAsia" w:ascii="宋体" w:hAnsi="宋体" w:eastAsia="宋体" w:cs="宋体"/>
          <w:color w:val="auto"/>
          <w:spacing w:val="0"/>
          <w:kern w:val="24"/>
          <w:sz w:val="24"/>
          <w:szCs w:val="24"/>
          <w:highlight w:val="none"/>
        </w:rPr>
        <w:t>23.2在评标期间，</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企图影响招标方的任何活动，将导致投标被拒绝，并承担相应的法律责任。</w:t>
      </w:r>
    </w:p>
    <w:p w14:paraId="7F6C492E">
      <w:pPr>
        <w:autoSpaceDN w:val="0"/>
        <w:adjustRightInd w:val="0"/>
        <w:snapToGrid w:val="0"/>
        <w:spacing w:line="360" w:lineRule="auto"/>
        <w:jc w:val="center"/>
        <w:rPr>
          <w:rFonts w:hint="eastAsia" w:ascii="宋体" w:hAnsi="宋体" w:eastAsia="宋体" w:cs="宋体"/>
          <w:b/>
          <w:bCs/>
          <w:color w:val="auto"/>
          <w:spacing w:val="0"/>
          <w:kern w:val="24"/>
          <w:sz w:val="24"/>
          <w:szCs w:val="24"/>
          <w:highlight w:val="none"/>
        </w:rPr>
      </w:pPr>
      <w:r>
        <w:rPr>
          <w:rFonts w:hint="eastAsia" w:ascii="宋体" w:hAnsi="宋体" w:eastAsia="宋体" w:cs="宋体"/>
          <w:b/>
          <w:bCs/>
          <w:color w:val="auto"/>
          <w:spacing w:val="0"/>
          <w:kern w:val="24"/>
          <w:sz w:val="24"/>
          <w:szCs w:val="24"/>
          <w:highlight w:val="none"/>
        </w:rPr>
        <w:t>F 确定中标</w:t>
      </w:r>
    </w:p>
    <w:p w14:paraId="6F3924AE">
      <w:pPr>
        <w:pStyle w:val="5"/>
        <w:autoSpaceDN w:val="0"/>
        <w:adjustRightInd w:val="0"/>
        <w:snapToGrid w:val="0"/>
        <w:spacing w:before="0" w:after="0" w:line="360" w:lineRule="auto"/>
        <w:rPr>
          <w:rFonts w:hint="eastAsia" w:ascii="宋体" w:hAnsi="宋体" w:eastAsia="宋体" w:cs="宋体"/>
          <w:color w:val="auto"/>
          <w:spacing w:val="0"/>
          <w:kern w:val="24"/>
          <w:sz w:val="24"/>
          <w:szCs w:val="24"/>
          <w:highlight w:val="none"/>
        </w:rPr>
      </w:pPr>
      <w:bookmarkStart w:id="60" w:name="_Toc98580417"/>
      <w:r>
        <w:rPr>
          <w:rFonts w:hint="eastAsia" w:ascii="宋体" w:hAnsi="宋体" w:eastAsia="宋体" w:cs="宋体"/>
          <w:color w:val="auto"/>
          <w:spacing w:val="0"/>
          <w:kern w:val="24"/>
          <w:sz w:val="24"/>
          <w:szCs w:val="24"/>
          <w:highlight w:val="none"/>
        </w:rPr>
        <w:t>24.最终审查</w:t>
      </w:r>
      <w:bookmarkEnd w:id="60"/>
    </w:p>
    <w:p w14:paraId="19D7A6B4">
      <w:pPr>
        <w:autoSpaceDN w:val="0"/>
        <w:adjustRightInd w:val="0"/>
        <w:snapToGrid w:val="0"/>
        <w:spacing w:line="360" w:lineRule="auto"/>
        <w:ind w:left="29" w:leftChars="14" w:firstLine="417"/>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24.1评标委员会按照招标文件确定的评标标准和方法，对</w:t>
      </w:r>
      <w:r>
        <w:rPr>
          <w:rFonts w:hint="eastAsia" w:ascii="宋体" w:hAnsi="宋体" w:eastAsia="宋体" w:cs="宋体"/>
          <w:color w:val="auto"/>
          <w:spacing w:val="0"/>
          <w:kern w:val="24"/>
          <w:sz w:val="24"/>
          <w:szCs w:val="24"/>
          <w:highlight w:val="none"/>
          <w:lang w:eastAsia="zh-CN"/>
        </w:rPr>
        <w:t>响应文件</w:t>
      </w:r>
      <w:r>
        <w:rPr>
          <w:rFonts w:hint="eastAsia" w:ascii="宋体" w:hAnsi="宋体" w:eastAsia="宋体" w:cs="宋体"/>
          <w:color w:val="auto"/>
          <w:spacing w:val="0"/>
          <w:kern w:val="24"/>
          <w:sz w:val="24"/>
          <w:szCs w:val="24"/>
          <w:highlight w:val="none"/>
        </w:rPr>
        <w:t>进行评审，并提出书面评标报告，确定中标人。最终审查的对象是招标项目的合格的</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 xml:space="preserve">。 </w:t>
      </w:r>
    </w:p>
    <w:p w14:paraId="24E90904">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24.2最终审查的内容是对合格的</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 xml:space="preserve">的财务状况、资格、信誉以及采购人认为有必要了解的其他问题作进一步的审查。  </w:t>
      </w:r>
    </w:p>
    <w:p w14:paraId="33F9B3B6">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24.3 接受最终审查的合格的</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，必须如实回答和受理采购人的询问或考查，并提供所需的有关资料。</w:t>
      </w:r>
    </w:p>
    <w:p w14:paraId="74ADFB5F">
      <w:pPr>
        <w:autoSpaceDN w:val="0"/>
        <w:adjustRightInd w:val="0"/>
        <w:snapToGrid w:val="0"/>
        <w:spacing w:line="360" w:lineRule="auto"/>
        <w:ind w:firstLine="42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24.4评标委员会从合格的</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中评出中标人，并写出完整的评标报告。</w:t>
      </w:r>
    </w:p>
    <w:p w14:paraId="12A68373">
      <w:pPr>
        <w:pStyle w:val="5"/>
        <w:autoSpaceDN w:val="0"/>
        <w:adjustRightInd w:val="0"/>
        <w:snapToGrid w:val="0"/>
        <w:spacing w:before="0" w:after="0" w:line="360" w:lineRule="auto"/>
        <w:rPr>
          <w:rFonts w:hint="eastAsia" w:ascii="宋体" w:hAnsi="宋体" w:eastAsia="宋体" w:cs="宋体"/>
          <w:color w:val="auto"/>
          <w:spacing w:val="0"/>
          <w:kern w:val="24"/>
          <w:sz w:val="24"/>
          <w:szCs w:val="24"/>
          <w:highlight w:val="none"/>
        </w:rPr>
      </w:pPr>
      <w:bookmarkStart w:id="61" w:name="_Toc98580418"/>
      <w:r>
        <w:rPr>
          <w:rFonts w:hint="eastAsia" w:ascii="宋体" w:hAnsi="宋体" w:eastAsia="宋体" w:cs="宋体"/>
          <w:color w:val="auto"/>
          <w:spacing w:val="0"/>
          <w:kern w:val="24"/>
          <w:sz w:val="24"/>
          <w:szCs w:val="24"/>
          <w:highlight w:val="none"/>
        </w:rPr>
        <w:t>25.中标通知</w:t>
      </w:r>
      <w:bookmarkEnd w:id="61"/>
    </w:p>
    <w:p w14:paraId="0237BD11">
      <w:pPr>
        <w:pStyle w:val="6"/>
        <w:autoSpaceDN w:val="0"/>
        <w:adjustRightInd w:val="0"/>
        <w:snapToGrid w:val="0"/>
        <w:spacing w:line="360" w:lineRule="auto"/>
        <w:ind w:firstLine="420" w:firstLineChars="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25.1在投标有效期内，</w:t>
      </w:r>
      <w:r>
        <w:rPr>
          <w:rFonts w:hint="eastAsia" w:ascii="宋体" w:hAnsi="宋体" w:eastAsia="宋体" w:cs="宋体"/>
          <w:color w:val="auto"/>
          <w:spacing w:val="0"/>
          <w:kern w:val="24"/>
          <w:sz w:val="24"/>
          <w:szCs w:val="24"/>
          <w:highlight w:val="none"/>
          <w:lang w:eastAsia="zh-CN"/>
        </w:rPr>
        <w:t>采购代理机构</w:t>
      </w:r>
      <w:r>
        <w:rPr>
          <w:rFonts w:hint="eastAsia" w:ascii="宋体" w:hAnsi="宋体" w:eastAsia="宋体" w:cs="宋体"/>
          <w:color w:val="auto"/>
          <w:spacing w:val="0"/>
          <w:kern w:val="24"/>
          <w:sz w:val="24"/>
          <w:szCs w:val="24"/>
          <w:highlight w:val="none"/>
        </w:rPr>
        <w:t>以书面形式通知所选定的中标人。通知也可以以传真的形式发出，但需要随以书面形式最终确认。</w:t>
      </w:r>
    </w:p>
    <w:p w14:paraId="0EE2480C">
      <w:pPr>
        <w:pStyle w:val="6"/>
        <w:autoSpaceDN w:val="0"/>
        <w:adjustRightInd w:val="0"/>
        <w:snapToGrid w:val="0"/>
        <w:spacing w:line="360" w:lineRule="auto"/>
        <w:ind w:firstLine="420" w:firstLineChars="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25.2</w:t>
      </w:r>
      <w:r>
        <w:rPr>
          <w:rFonts w:hint="eastAsia" w:ascii="宋体" w:hAnsi="宋体" w:eastAsia="宋体" w:cs="宋体"/>
          <w:color w:val="auto"/>
          <w:spacing w:val="0"/>
          <w:kern w:val="24"/>
          <w:sz w:val="24"/>
          <w:szCs w:val="24"/>
          <w:highlight w:val="none"/>
          <w:lang w:val="zh-CN"/>
        </w:rPr>
        <w:t>采购代理机构将自中标通知书发出之日起5个工作日内退还未中标供应商的投标保证金，自政府采购合同签订之日起5个工作日内退还中标供应商的投标保证金。</w:t>
      </w:r>
    </w:p>
    <w:p w14:paraId="0C93B7B9">
      <w:pPr>
        <w:pStyle w:val="5"/>
        <w:autoSpaceDN w:val="0"/>
        <w:adjustRightInd w:val="0"/>
        <w:snapToGrid w:val="0"/>
        <w:spacing w:before="0" w:after="0" w:line="360" w:lineRule="auto"/>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26.签定合同</w:t>
      </w:r>
    </w:p>
    <w:p w14:paraId="3CCEBF80">
      <w:pPr>
        <w:pStyle w:val="6"/>
        <w:autoSpaceDN w:val="0"/>
        <w:adjustRightInd w:val="0"/>
        <w:snapToGrid w:val="0"/>
        <w:spacing w:line="360" w:lineRule="auto"/>
        <w:ind w:firstLine="420"/>
        <w:rPr>
          <w:rFonts w:hint="eastAsia" w:ascii="宋体" w:hAnsi="宋体" w:eastAsia="宋体" w:cs="宋体"/>
          <w:color w:val="auto"/>
          <w:spacing w:val="0"/>
          <w:kern w:val="24"/>
          <w:sz w:val="24"/>
          <w:szCs w:val="24"/>
          <w:highlight w:val="none"/>
          <w:lang w:val="zh-CN"/>
        </w:rPr>
      </w:pPr>
      <w:r>
        <w:rPr>
          <w:rFonts w:hint="eastAsia" w:ascii="宋体" w:hAnsi="宋体" w:eastAsia="宋体" w:cs="宋体"/>
          <w:color w:val="auto"/>
          <w:spacing w:val="0"/>
          <w:kern w:val="24"/>
          <w:sz w:val="24"/>
          <w:szCs w:val="24"/>
          <w:highlight w:val="none"/>
          <w:lang w:val="zh-CN"/>
        </w:rPr>
        <w:t>2</w:t>
      </w:r>
      <w:r>
        <w:rPr>
          <w:rFonts w:hint="eastAsia" w:ascii="宋体" w:hAnsi="宋体" w:eastAsia="宋体" w:cs="宋体"/>
          <w:color w:val="auto"/>
          <w:spacing w:val="0"/>
          <w:kern w:val="24"/>
          <w:sz w:val="24"/>
          <w:szCs w:val="24"/>
          <w:highlight w:val="none"/>
        </w:rPr>
        <w:t>6</w:t>
      </w:r>
      <w:r>
        <w:rPr>
          <w:rFonts w:hint="eastAsia" w:ascii="宋体" w:hAnsi="宋体" w:eastAsia="宋体" w:cs="宋体"/>
          <w:color w:val="auto"/>
          <w:spacing w:val="0"/>
          <w:kern w:val="24"/>
          <w:sz w:val="24"/>
          <w:szCs w:val="24"/>
          <w:highlight w:val="none"/>
          <w:lang w:val="zh-CN"/>
        </w:rPr>
        <w:t>.1中标通知书发出后，采购单位改变中标结果的，或者中标人放弃中标项目的，应当依法承担法律责任。</w:t>
      </w:r>
      <w:r>
        <w:rPr>
          <w:rFonts w:hint="eastAsia" w:ascii="宋体" w:hAnsi="宋体" w:eastAsia="宋体" w:cs="宋体"/>
          <w:b w:val="0"/>
          <w:bCs w:val="0"/>
          <w:color w:val="auto"/>
          <w:spacing w:val="0"/>
          <w:kern w:val="24"/>
          <w:sz w:val="24"/>
          <w:szCs w:val="24"/>
          <w:highlight w:val="none"/>
          <w:lang w:val="zh-CN"/>
        </w:rPr>
        <w:t>供应商需在响应文件中附合同承诺书，承诺在与采购人签订合同时绝不推诿，应承担相应责任，对完全响应合同作出承诺，并加盖公章及法定代表人签字盖章，格式自拟。</w:t>
      </w:r>
    </w:p>
    <w:p w14:paraId="3E66A82E">
      <w:pPr>
        <w:pStyle w:val="6"/>
        <w:autoSpaceDN w:val="0"/>
        <w:adjustRightInd w:val="0"/>
        <w:snapToGrid w:val="0"/>
        <w:spacing w:line="360" w:lineRule="auto"/>
        <w:ind w:firstLine="420" w:firstLineChars="0"/>
        <w:rPr>
          <w:rFonts w:hint="eastAsia" w:ascii="宋体" w:hAnsi="宋体" w:eastAsia="宋体" w:cs="宋体"/>
          <w:color w:val="auto"/>
          <w:spacing w:val="0"/>
          <w:kern w:val="24"/>
          <w:sz w:val="24"/>
          <w:szCs w:val="24"/>
          <w:highlight w:val="none"/>
          <w:lang w:val="zh-CN"/>
        </w:rPr>
      </w:pPr>
      <w:r>
        <w:rPr>
          <w:rFonts w:hint="eastAsia" w:ascii="宋体" w:hAnsi="宋体" w:eastAsia="宋体" w:cs="宋体"/>
          <w:color w:val="auto"/>
          <w:spacing w:val="0"/>
          <w:kern w:val="24"/>
          <w:sz w:val="24"/>
          <w:szCs w:val="24"/>
          <w:highlight w:val="none"/>
        </w:rPr>
        <w:t>26</w:t>
      </w:r>
      <w:r>
        <w:rPr>
          <w:rFonts w:hint="eastAsia" w:ascii="宋体" w:hAnsi="宋体" w:eastAsia="宋体" w:cs="宋体"/>
          <w:color w:val="auto"/>
          <w:spacing w:val="0"/>
          <w:kern w:val="24"/>
          <w:sz w:val="24"/>
          <w:szCs w:val="24"/>
          <w:highlight w:val="none"/>
          <w:lang w:val="zh-CN"/>
        </w:rPr>
        <w:t>.2中标人应按中标通知书规定的时间与采购单位签订合同。如果中标人不在规定的时间内签署合同，视为自动放弃中标资格，其提交的投标保证金不予退还，列入不良行为记录名单，在一至三年内禁止参加政府采购活动并予以公告。供应商在被评标委员会评定为预中标人（中标人）之后、中标通知书发出之前放弃中标的，按本条规定处理。</w:t>
      </w:r>
    </w:p>
    <w:p w14:paraId="3A998A26">
      <w:pPr>
        <w:pStyle w:val="6"/>
        <w:autoSpaceDN w:val="0"/>
        <w:adjustRightInd w:val="0"/>
        <w:snapToGrid w:val="0"/>
        <w:spacing w:line="360" w:lineRule="auto"/>
        <w:ind w:left="464" w:hanging="44" w:firstLineChars="0"/>
        <w:rPr>
          <w:rFonts w:hint="eastAsia" w:ascii="宋体" w:hAnsi="宋体" w:eastAsia="宋体" w:cs="宋体"/>
          <w:color w:val="auto"/>
          <w:spacing w:val="0"/>
          <w:kern w:val="24"/>
          <w:sz w:val="24"/>
          <w:szCs w:val="24"/>
          <w:highlight w:val="none"/>
          <w:lang w:val="zh-CN"/>
        </w:rPr>
      </w:pPr>
      <w:r>
        <w:rPr>
          <w:rFonts w:hint="eastAsia" w:ascii="宋体" w:hAnsi="宋体" w:eastAsia="宋体" w:cs="宋体"/>
          <w:color w:val="auto"/>
          <w:spacing w:val="0"/>
          <w:kern w:val="24"/>
          <w:sz w:val="24"/>
          <w:szCs w:val="24"/>
          <w:highlight w:val="none"/>
          <w:lang w:val="zh-CN"/>
        </w:rPr>
        <w:t>2</w:t>
      </w:r>
      <w:r>
        <w:rPr>
          <w:rFonts w:hint="eastAsia" w:ascii="宋体" w:hAnsi="宋体" w:eastAsia="宋体" w:cs="宋体"/>
          <w:color w:val="auto"/>
          <w:spacing w:val="0"/>
          <w:kern w:val="24"/>
          <w:sz w:val="24"/>
          <w:szCs w:val="24"/>
          <w:highlight w:val="none"/>
        </w:rPr>
        <w:t>6</w:t>
      </w:r>
      <w:r>
        <w:rPr>
          <w:rFonts w:hint="eastAsia" w:ascii="宋体" w:hAnsi="宋体" w:eastAsia="宋体" w:cs="宋体"/>
          <w:color w:val="auto"/>
          <w:spacing w:val="0"/>
          <w:kern w:val="24"/>
          <w:sz w:val="24"/>
          <w:szCs w:val="24"/>
          <w:highlight w:val="none"/>
          <w:lang w:val="zh-CN"/>
        </w:rPr>
        <w:t>.3中标结果将在发布招标公告的同步网络媒介上公告，不再以书面方式通知未中标人。</w:t>
      </w:r>
    </w:p>
    <w:p w14:paraId="6F0B73F3">
      <w:pPr>
        <w:pStyle w:val="5"/>
        <w:autoSpaceDN w:val="0"/>
        <w:adjustRightInd w:val="0"/>
        <w:snapToGrid w:val="0"/>
        <w:spacing w:before="0" w:after="0" w:line="360" w:lineRule="auto"/>
        <w:rPr>
          <w:rFonts w:hint="eastAsia" w:ascii="宋体" w:hAnsi="宋体" w:eastAsia="宋体" w:cs="宋体"/>
          <w:color w:val="auto"/>
          <w:spacing w:val="0"/>
          <w:kern w:val="24"/>
          <w:sz w:val="24"/>
          <w:szCs w:val="24"/>
          <w:highlight w:val="none"/>
          <w:lang w:val="zh-CN"/>
        </w:rPr>
      </w:pPr>
      <w:r>
        <w:rPr>
          <w:rFonts w:hint="eastAsia" w:ascii="宋体" w:hAnsi="宋体" w:eastAsia="宋体" w:cs="宋体"/>
          <w:color w:val="auto"/>
          <w:spacing w:val="0"/>
          <w:kern w:val="24"/>
          <w:sz w:val="24"/>
          <w:szCs w:val="24"/>
          <w:highlight w:val="none"/>
        </w:rPr>
        <w:t>27.</w:t>
      </w:r>
      <w:r>
        <w:rPr>
          <w:rFonts w:hint="eastAsia" w:ascii="宋体" w:hAnsi="宋体" w:eastAsia="宋体" w:cs="宋体"/>
          <w:color w:val="auto"/>
          <w:spacing w:val="0"/>
          <w:kern w:val="24"/>
          <w:sz w:val="24"/>
          <w:szCs w:val="24"/>
          <w:highlight w:val="none"/>
          <w:lang w:val="zh-CN"/>
        </w:rPr>
        <w:t>履约保证金</w:t>
      </w:r>
    </w:p>
    <w:p w14:paraId="1A2199D0">
      <w:pPr>
        <w:pStyle w:val="5"/>
        <w:autoSpaceDN w:val="0"/>
        <w:adjustRightInd w:val="0"/>
        <w:snapToGrid w:val="0"/>
        <w:spacing w:before="0" w:after="0" w:line="360" w:lineRule="auto"/>
        <w:ind w:firstLine="480" w:firstLineChars="200"/>
        <w:rPr>
          <w:rFonts w:hint="eastAsia" w:ascii="宋体" w:hAnsi="宋体" w:eastAsia="宋体" w:cs="宋体"/>
          <w:b w:val="0"/>
          <w:bCs w:val="0"/>
          <w:color w:val="auto"/>
          <w:spacing w:val="0"/>
          <w:kern w:val="24"/>
          <w:sz w:val="24"/>
          <w:szCs w:val="24"/>
          <w:highlight w:val="none"/>
          <w:lang w:val="en-US" w:eastAsia="zh-CN"/>
        </w:rPr>
      </w:pPr>
      <w:r>
        <w:rPr>
          <w:rFonts w:hint="eastAsia" w:ascii="宋体" w:hAnsi="宋体" w:eastAsia="宋体" w:cs="宋体"/>
          <w:b w:val="0"/>
          <w:bCs w:val="0"/>
          <w:color w:val="auto"/>
          <w:spacing w:val="0"/>
          <w:kern w:val="24"/>
          <w:sz w:val="24"/>
          <w:szCs w:val="24"/>
          <w:highlight w:val="none"/>
          <w:lang w:val="en-US" w:eastAsia="zh-CN"/>
        </w:rPr>
        <w:t>本项目不需要</w:t>
      </w:r>
    </w:p>
    <w:p w14:paraId="28585389">
      <w:pPr>
        <w:pStyle w:val="5"/>
        <w:autoSpaceDN w:val="0"/>
        <w:adjustRightInd w:val="0"/>
        <w:snapToGrid w:val="0"/>
        <w:spacing w:before="0" w:after="0" w:line="360" w:lineRule="auto"/>
        <w:rPr>
          <w:rFonts w:hint="eastAsia" w:ascii="宋体" w:hAnsi="宋体" w:eastAsia="宋体" w:cs="宋体"/>
          <w:color w:val="auto"/>
          <w:spacing w:val="0"/>
          <w:kern w:val="24"/>
          <w:sz w:val="24"/>
          <w:szCs w:val="24"/>
          <w:highlight w:val="none"/>
          <w:lang w:val="zh-CN"/>
        </w:rPr>
      </w:pPr>
      <w:r>
        <w:rPr>
          <w:rFonts w:hint="eastAsia" w:ascii="宋体" w:hAnsi="宋体" w:eastAsia="宋体" w:cs="宋体"/>
          <w:color w:val="auto"/>
          <w:spacing w:val="0"/>
          <w:kern w:val="24"/>
          <w:sz w:val="24"/>
          <w:szCs w:val="24"/>
          <w:highlight w:val="none"/>
          <w:lang w:val="zh-CN"/>
        </w:rPr>
        <w:t>2</w:t>
      </w:r>
      <w:r>
        <w:rPr>
          <w:rFonts w:hint="eastAsia" w:ascii="宋体" w:hAnsi="宋体" w:eastAsia="宋体" w:cs="宋体"/>
          <w:color w:val="auto"/>
          <w:spacing w:val="0"/>
          <w:kern w:val="24"/>
          <w:sz w:val="24"/>
          <w:szCs w:val="24"/>
          <w:highlight w:val="none"/>
        </w:rPr>
        <w:t>8</w:t>
      </w:r>
      <w:r>
        <w:rPr>
          <w:rFonts w:hint="eastAsia" w:ascii="宋体" w:hAnsi="宋体" w:eastAsia="宋体" w:cs="宋体"/>
          <w:color w:val="auto"/>
          <w:spacing w:val="0"/>
          <w:kern w:val="24"/>
          <w:sz w:val="24"/>
          <w:szCs w:val="24"/>
          <w:highlight w:val="none"/>
          <w:lang w:val="zh-CN"/>
        </w:rPr>
        <w:t>.保密和披露</w:t>
      </w:r>
    </w:p>
    <w:p w14:paraId="3FADB8BC">
      <w:pPr>
        <w:pStyle w:val="6"/>
        <w:autoSpaceDN w:val="0"/>
        <w:adjustRightInd w:val="0"/>
        <w:snapToGrid w:val="0"/>
        <w:spacing w:line="360" w:lineRule="auto"/>
        <w:ind w:firstLine="420" w:firstLineChars="0"/>
        <w:rPr>
          <w:rFonts w:hint="eastAsia" w:ascii="宋体" w:hAnsi="宋体" w:eastAsia="宋体" w:cs="宋体"/>
          <w:color w:val="auto"/>
          <w:spacing w:val="0"/>
          <w:kern w:val="24"/>
          <w:sz w:val="24"/>
          <w:szCs w:val="24"/>
          <w:highlight w:val="none"/>
          <w:lang w:val="zh-CN"/>
        </w:rPr>
      </w:pPr>
      <w:r>
        <w:rPr>
          <w:rFonts w:hint="eastAsia" w:ascii="宋体" w:hAnsi="宋体" w:eastAsia="宋体" w:cs="宋体"/>
          <w:color w:val="auto"/>
          <w:spacing w:val="0"/>
          <w:kern w:val="24"/>
          <w:sz w:val="24"/>
          <w:szCs w:val="24"/>
          <w:highlight w:val="none"/>
          <w:lang w:val="zh-CN"/>
        </w:rPr>
        <w:t>2</w:t>
      </w:r>
      <w:r>
        <w:rPr>
          <w:rFonts w:hint="eastAsia" w:ascii="宋体" w:hAnsi="宋体" w:eastAsia="宋体" w:cs="宋体"/>
          <w:color w:val="auto"/>
          <w:spacing w:val="0"/>
          <w:kern w:val="24"/>
          <w:sz w:val="24"/>
          <w:szCs w:val="24"/>
          <w:highlight w:val="none"/>
        </w:rPr>
        <w:t>8</w:t>
      </w:r>
      <w:r>
        <w:rPr>
          <w:rFonts w:hint="eastAsia" w:ascii="宋体" w:hAnsi="宋体" w:eastAsia="宋体" w:cs="宋体"/>
          <w:color w:val="auto"/>
          <w:spacing w:val="0"/>
          <w:kern w:val="24"/>
          <w:sz w:val="24"/>
          <w:szCs w:val="24"/>
          <w:highlight w:val="none"/>
          <w:lang w:val="zh-CN"/>
        </w:rPr>
        <w:t>.1采购代理机构有权将供应商提供的所有资料向其他政府部门或有关的非政府机构负责评审标书的人员或与评标有关的人员披露。</w:t>
      </w:r>
    </w:p>
    <w:p w14:paraId="536A6834">
      <w:pPr>
        <w:pStyle w:val="6"/>
        <w:autoSpaceDN w:val="0"/>
        <w:adjustRightInd w:val="0"/>
        <w:snapToGrid w:val="0"/>
        <w:spacing w:line="360" w:lineRule="auto"/>
        <w:ind w:firstLine="420" w:firstLineChars="0"/>
        <w:rPr>
          <w:rFonts w:hint="eastAsia" w:ascii="宋体" w:hAnsi="宋体" w:eastAsia="宋体" w:cs="宋体"/>
          <w:color w:val="auto"/>
          <w:spacing w:val="0"/>
          <w:kern w:val="24"/>
          <w:sz w:val="24"/>
          <w:szCs w:val="24"/>
          <w:highlight w:val="none"/>
          <w:lang w:val="zh-CN"/>
        </w:rPr>
      </w:pPr>
      <w:r>
        <w:rPr>
          <w:rFonts w:hint="eastAsia" w:ascii="宋体" w:hAnsi="宋体" w:eastAsia="宋体" w:cs="宋体"/>
          <w:color w:val="auto"/>
          <w:spacing w:val="0"/>
          <w:kern w:val="24"/>
          <w:sz w:val="24"/>
          <w:szCs w:val="24"/>
          <w:highlight w:val="none"/>
        </w:rPr>
        <w:t>28</w:t>
      </w:r>
      <w:r>
        <w:rPr>
          <w:rFonts w:hint="eastAsia" w:ascii="宋体" w:hAnsi="宋体" w:eastAsia="宋体" w:cs="宋体"/>
          <w:color w:val="auto"/>
          <w:spacing w:val="0"/>
          <w:kern w:val="24"/>
          <w:sz w:val="24"/>
          <w:szCs w:val="24"/>
          <w:highlight w:val="none"/>
          <w:lang w:val="zh-CN"/>
        </w:rPr>
        <w:t>.2在下列情形下：当发布中标公告和其它公告时，当国家机关调查、审查、审计时，以及在其他符合法律规定的情形下，采购代理机构无须事先征求供应商/中标人同意而可以披露关于采购过程、响应文件、合同文本、合同签署情况的资料、供应商/中标人的名称及地址、采购内容的有关信息以及补充条款等，并且对任何已经公布过的内容或与之内容相同的资料无须再承担保密责任。</w:t>
      </w:r>
    </w:p>
    <w:p w14:paraId="034F3FC8">
      <w:pPr>
        <w:pStyle w:val="5"/>
        <w:autoSpaceDN w:val="0"/>
        <w:adjustRightInd w:val="0"/>
        <w:snapToGrid w:val="0"/>
        <w:spacing w:before="0" w:after="0" w:line="360" w:lineRule="auto"/>
        <w:rPr>
          <w:rFonts w:hint="eastAsia" w:ascii="宋体" w:hAnsi="宋体" w:eastAsia="宋体" w:cs="宋体"/>
          <w:color w:val="auto"/>
          <w:spacing w:val="0"/>
          <w:kern w:val="24"/>
          <w:sz w:val="24"/>
          <w:szCs w:val="24"/>
          <w:highlight w:val="none"/>
          <w:lang w:val="zh-CN"/>
        </w:rPr>
      </w:pPr>
      <w:r>
        <w:rPr>
          <w:rFonts w:hint="eastAsia" w:ascii="宋体" w:hAnsi="宋体" w:eastAsia="宋体" w:cs="宋体"/>
          <w:color w:val="auto"/>
          <w:spacing w:val="0"/>
          <w:kern w:val="24"/>
          <w:sz w:val="24"/>
          <w:szCs w:val="24"/>
          <w:highlight w:val="none"/>
          <w:lang w:val="zh-CN"/>
        </w:rPr>
        <w:t>29、质疑和投诉</w:t>
      </w:r>
    </w:p>
    <w:p w14:paraId="4BBC761F">
      <w:pPr>
        <w:autoSpaceDN w:val="0"/>
        <w:adjustRightInd w:val="0"/>
        <w:snapToGrid w:val="0"/>
        <w:spacing w:line="360" w:lineRule="auto"/>
        <w:ind w:firstLine="480" w:firstLineChars="200"/>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29.1</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认为招标文件、招标过程和中标结果使自己的合法权益受到损害的，应当在知道或者应知其权益受到损害之日起七个工作日内，向招标方提出质疑。</w:t>
      </w:r>
      <w:r>
        <w:rPr>
          <w:rFonts w:hint="eastAsia" w:ascii="宋体" w:hAnsi="宋体" w:eastAsia="宋体" w:cs="宋体"/>
          <w:color w:val="auto"/>
          <w:spacing w:val="0"/>
          <w:kern w:val="24"/>
          <w:sz w:val="24"/>
          <w:szCs w:val="24"/>
          <w:highlight w:val="none"/>
          <w:lang w:eastAsia="zh-CN"/>
        </w:rPr>
        <w:t>供应商</w:t>
      </w:r>
      <w:r>
        <w:rPr>
          <w:rFonts w:hint="eastAsia" w:ascii="宋体" w:hAnsi="宋体" w:eastAsia="宋体" w:cs="宋体"/>
          <w:color w:val="auto"/>
          <w:spacing w:val="0"/>
          <w:kern w:val="24"/>
          <w:sz w:val="24"/>
          <w:szCs w:val="24"/>
          <w:highlight w:val="none"/>
        </w:rPr>
        <w:t>对</w:t>
      </w:r>
      <w:r>
        <w:rPr>
          <w:rFonts w:hint="eastAsia" w:ascii="宋体" w:hAnsi="宋体" w:eastAsia="宋体" w:cs="宋体"/>
          <w:color w:val="auto"/>
          <w:spacing w:val="0"/>
          <w:kern w:val="24"/>
          <w:sz w:val="24"/>
          <w:szCs w:val="24"/>
          <w:highlight w:val="none"/>
          <w:lang w:eastAsia="zh-CN"/>
        </w:rPr>
        <w:t>采购代理机构</w:t>
      </w:r>
      <w:r>
        <w:rPr>
          <w:rFonts w:hint="eastAsia" w:ascii="宋体" w:hAnsi="宋体" w:eastAsia="宋体" w:cs="宋体"/>
          <w:color w:val="auto"/>
          <w:spacing w:val="0"/>
          <w:kern w:val="24"/>
          <w:sz w:val="24"/>
          <w:szCs w:val="24"/>
          <w:highlight w:val="none"/>
        </w:rPr>
        <w:t>的质疑答复不满意或者</w:t>
      </w:r>
      <w:r>
        <w:rPr>
          <w:rFonts w:hint="eastAsia" w:ascii="宋体" w:hAnsi="宋体" w:eastAsia="宋体" w:cs="宋体"/>
          <w:color w:val="auto"/>
          <w:spacing w:val="0"/>
          <w:kern w:val="24"/>
          <w:sz w:val="24"/>
          <w:szCs w:val="24"/>
          <w:highlight w:val="none"/>
          <w:lang w:eastAsia="zh-CN"/>
        </w:rPr>
        <w:t>采购代理机构</w:t>
      </w:r>
      <w:r>
        <w:rPr>
          <w:rFonts w:hint="eastAsia" w:ascii="宋体" w:hAnsi="宋体" w:eastAsia="宋体" w:cs="宋体"/>
          <w:color w:val="auto"/>
          <w:spacing w:val="0"/>
          <w:kern w:val="24"/>
          <w:sz w:val="24"/>
          <w:szCs w:val="24"/>
          <w:highlight w:val="none"/>
        </w:rPr>
        <w:t>未在规定时间内作出答复的，可以在答复期满后十五个工作日内向同级采购监管部门投诉。</w:t>
      </w:r>
    </w:p>
    <w:p w14:paraId="628E17DF">
      <w:pPr>
        <w:autoSpaceDN w:val="0"/>
        <w:adjustRightInd w:val="0"/>
        <w:snapToGrid w:val="0"/>
        <w:spacing w:line="360" w:lineRule="auto"/>
        <w:ind w:firstLine="480" w:firstLineChars="200"/>
        <w:rPr>
          <w:rFonts w:hint="eastAsia" w:ascii="宋体" w:hAnsi="宋体" w:eastAsia="宋体" w:cs="宋体"/>
          <w:color w:val="auto"/>
          <w:spacing w:val="0"/>
          <w:kern w:val="24"/>
          <w:highlight w:val="none"/>
        </w:rPr>
      </w:pPr>
      <w:r>
        <w:rPr>
          <w:rFonts w:hint="eastAsia" w:ascii="宋体" w:hAnsi="宋体" w:eastAsia="宋体" w:cs="宋体"/>
          <w:color w:val="auto"/>
          <w:spacing w:val="0"/>
          <w:kern w:val="24"/>
          <w:sz w:val="24"/>
          <w:szCs w:val="24"/>
          <w:highlight w:val="none"/>
        </w:rPr>
        <w:t>29.2质疑书、投诉书均应明确阐述招标文件、招标过程和中标结果中使自己合法权益受到损害的实质性内容，提供相关事实、依据和证据及其来源或线索，便于有关单位调查、答复和处理。</w:t>
      </w:r>
      <w:bookmarkStart w:id="62" w:name="_Toc48760973"/>
      <w:bookmarkStart w:id="63" w:name="_Toc22071"/>
      <w:r>
        <w:rPr>
          <w:rFonts w:hint="eastAsia" w:ascii="宋体" w:hAnsi="宋体" w:eastAsia="宋体" w:cs="宋体"/>
          <w:color w:val="auto"/>
          <w:spacing w:val="0"/>
          <w:kern w:val="24"/>
          <w:highlight w:val="none"/>
          <w:lang w:val="en-US" w:eastAsia="zh-CN"/>
        </w:rPr>
        <w:br w:type="page"/>
      </w:r>
    </w:p>
    <w:p w14:paraId="6D7029AC">
      <w:pPr>
        <w:pStyle w:val="2"/>
        <w:autoSpaceDN w:val="0"/>
        <w:adjustRightInd w:val="0"/>
        <w:snapToGrid w:val="0"/>
        <w:spacing w:before="0" w:after="0" w:line="360" w:lineRule="auto"/>
        <w:ind w:firstLine="1767" w:firstLineChars="400"/>
        <w:jc w:val="both"/>
        <w:rPr>
          <w:rFonts w:hint="eastAsia" w:ascii="宋体" w:hAnsi="宋体" w:eastAsia="宋体" w:cs="宋体"/>
          <w:color w:val="auto"/>
          <w:spacing w:val="0"/>
          <w:kern w:val="24"/>
          <w:highlight w:val="none"/>
          <w:lang w:eastAsia="zh-CN"/>
        </w:rPr>
      </w:pPr>
      <w:bookmarkStart w:id="64" w:name="_Toc24973"/>
      <w:r>
        <w:rPr>
          <w:rFonts w:hint="eastAsia" w:ascii="宋体" w:hAnsi="宋体" w:eastAsia="宋体" w:cs="宋体"/>
          <w:color w:val="auto"/>
          <w:spacing w:val="0"/>
          <w:kern w:val="24"/>
          <w:highlight w:val="none"/>
        </w:rPr>
        <w:t>第三部分  评标办法</w:t>
      </w:r>
      <w:bookmarkEnd w:id="62"/>
      <w:bookmarkEnd w:id="63"/>
      <w:r>
        <w:rPr>
          <w:rFonts w:hint="eastAsia" w:ascii="宋体" w:hAnsi="宋体" w:eastAsia="宋体" w:cs="宋体"/>
          <w:color w:val="auto"/>
          <w:spacing w:val="0"/>
          <w:kern w:val="24"/>
          <w:highlight w:val="none"/>
          <w:lang w:eastAsia="zh-CN"/>
        </w:rPr>
        <w:t>（</w:t>
      </w:r>
      <w:r>
        <w:rPr>
          <w:rFonts w:hint="eastAsia" w:ascii="宋体" w:hAnsi="宋体" w:eastAsia="宋体" w:cs="宋体"/>
          <w:color w:val="auto"/>
          <w:spacing w:val="0"/>
          <w:kern w:val="24"/>
          <w:highlight w:val="none"/>
        </w:rPr>
        <w:t>综合评分法</w:t>
      </w:r>
      <w:r>
        <w:rPr>
          <w:rFonts w:hint="eastAsia" w:ascii="宋体" w:hAnsi="宋体" w:eastAsia="宋体" w:cs="宋体"/>
          <w:color w:val="auto"/>
          <w:spacing w:val="0"/>
          <w:kern w:val="24"/>
          <w:highlight w:val="none"/>
          <w:lang w:eastAsia="zh-CN"/>
        </w:rPr>
        <w:t>）</w:t>
      </w:r>
      <w:bookmarkEnd w:id="64"/>
    </w:p>
    <w:p w14:paraId="39897793">
      <w:pPr>
        <w:pageBreakBefore w:val="0"/>
        <w:widowControl w:val="0"/>
        <w:kinsoku/>
        <w:wordWrap/>
        <w:overflowPunct/>
        <w:topLinePunct w:val="0"/>
        <w:autoSpaceDE/>
        <w:autoSpaceDN w:val="0"/>
        <w:bidi w:val="0"/>
        <w:adjustRightInd w:val="0"/>
        <w:snapToGrid w:val="0"/>
        <w:spacing w:line="400" w:lineRule="exact"/>
        <w:ind w:firstLine="482" w:firstLineChars="200"/>
        <w:jc w:val="both"/>
        <w:textAlignment w:val="auto"/>
        <w:outlineLvl w:val="9"/>
        <w:rPr>
          <w:rFonts w:hint="eastAsia" w:ascii="宋体" w:hAnsi="宋体" w:eastAsia="宋体" w:cs="宋体"/>
          <w:b/>
          <w:bCs/>
          <w:color w:val="auto"/>
          <w:spacing w:val="0"/>
          <w:kern w:val="24"/>
          <w:sz w:val="24"/>
          <w:szCs w:val="24"/>
          <w:highlight w:val="none"/>
        </w:rPr>
      </w:pPr>
      <w:r>
        <w:rPr>
          <w:rFonts w:hint="eastAsia" w:ascii="宋体" w:hAnsi="宋体" w:eastAsia="宋体" w:cs="宋体"/>
          <w:b/>
          <w:bCs/>
          <w:color w:val="auto"/>
          <w:spacing w:val="0"/>
          <w:kern w:val="24"/>
          <w:sz w:val="24"/>
          <w:szCs w:val="24"/>
          <w:highlight w:val="none"/>
        </w:rPr>
        <w:t>评标办法</w:t>
      </w:r>
    </w:p>
    <w:p w14:paraId="3F2DD5AD">
      <w:pPr>
        <w:pageBreakBefore w:val="0"/>
        <w:widowControl w:val="0"/>
        <w:kinsoku/>
        <w:wordWrap/>
        <w:overflowPunct/>
        <w:topLinePunct w:val="0"/>
        <w:autoSpaceDE/>
        <w:autoSpaceDN w:val="0"/>
        <w:bidi w:val="0"/>
        <w:adjustRightInd w:val="0"/>
        <w:snapToGrid w:val="0"/>
        <w:spacing w:line="400" w:lineRule="exact"/>
        <w:ind w:firstLine="480" w:firstLineChars="200"/>
        <w:jc w:val="both"/>
        <w:textAlignment w:val="auto"/>
        <w:outlineLvl w:val="9"/>
        <w:rPr>
          <w:rFonts w:hint="eastAsia" w:ascii="宋体" w:hAnsi="宋体" w:eastAsia="宋体" w:cs="宋体"/>
          <w:color w:val="auto"/>
          <w:spacing w:val="0"/>
          <w:kern w:val="24"/>
          <w:sz w:val="24"/>
          <w:szCs w:val="24"/>
          <w:highlight w:val="none"/>
        </w:rPr>
      </w:pPr>
      <w:r>
        <w:rPr>
          <w:rFonts w:hint="eastAsia" w:ascii="宋体" w:hAnsi="宋体" w:eastAsia="宋体" w:cs="宋体"/>
          <w:color w:val="auto"/>
          <w:spacing w:val="0"/>
          <w:kern w:val="24"/>
          <w:sz w:val="24"/>
          <w:szCs w:val="24"/>
          <w:highlight w:val="none"/>
        </w:rPr>
        <w:t>按照国家相关部门的规定，遵循公开、公平、公正和诚实信用的原则，结合本招标项目的实际情况，制定本招标项目评标办法。</w:t>
      </w:r>
    </w:p>
    <w:p w14:paraId="5558BE33">
      <w:pPr>
        <w:pageBreakBefore w:val="0"/>
        <w:widowControl w:val="0"/>
        <w:kinsoku/>
        <w:wordWrap/>
        <w:overflowPunct/>
        <w:topLinePunct w:val="0"/>
        <w:autoSpaceDE/>
        <w:autoSpaceDN w:val="0"/>
        <w:bidi w:val="0"/>
        <w:adjustRightInd w:val="0"/>
        <w:snapToGrid w:val="0"/>
        <w:spacing w:line="400" w:lineRule="exact"/>
        <w:jc w:val="both"/>
        <w:textAlignment w:val="auto"/>
        <w:outlineLvl w:val="9"/>
        <w:rPr>
          <w:rFonts w:hint="eastAsia" w:ascii="宋体" w:hAnsi="宋体" w:eastAsia="宋体" w:cs="宋体"/>
          <w:b/>
          <w:bCs/>
          <w:color w:val="auto"/>
          <w:spacing w:val="0"/>
          <w:kern w:val="24"/>
          <w:sz w:val="24"/>
          <w:szCs w:val="24"/>
          <w:highlight w:val="none"/>
        </w:rPr>
      </w:pPr>
      <w:bookmarkStart w:id="65" w:name="_Toc18506"/>
      <w:r>
        <w:rPr>
          <w:rFonts w:hint="eastAsia" w:ascii="宋体" w:hAnsi="宋体" w:eastAsia="宋体" w:cs="宋体"/>
          <w:b/>
          <w:bCs/>
          <w:color w:val="auto"/>
          <w:spacing w:val="0"/>
          <w:kern w:val="24"/>
          <w:sz w:val="24"/>
          <w:szCs w:val="24"/>
          <w:highlight w:val="none"/>
        </w:rPr>
        <w:t>一、评标程序</w:t>
      </w:r>
      <w:bookmarkEnd w:id="65"/>
    </w:p>
    <w:p w14:paraId="3B3139E6">
      <w:pPr>
        <w:pageBreakBefore w:val="0"/>
        <w:widowControl w:val="0"/>
        <w:kinsoku/>
        <w:wordWrap/>
        <w:overflowPunct/>
        <w:topLinePunct w:val="0"/>
        <w:autoSpaceDE/>
        <w:autoSpaceDN w:val="0"/>
        <w:bidi w:val="0"/>
        <w:adjustRightInd w:val="0"/>
        <w:snapToGrid w:val="0"/>
        <w:spacing w:line="400" w:lineRule="exact"/>
        <w:jc w:val="both"/>
        <w:textAlignment w:val="auto"/>
        <w:outlineLvl w:val="9"/>
        <w:rPr>
          <w:rFonts w:hint="eastAsia" w:ascii="宋体" w:hAnsi="宋体" w:eastAsia="宋体" w:cs="宋体"/>
          <w:b/>
          <w:bCs/>
          <w:color w:val="auto"/>
          <w:spacing w:val="0"/>
          <w:kern w:val="24"/>
          <w:sz w:val="24"/>
          <w:szCs w:val="24"/>
          <w:highlight w:val="none"/>
        </w:rPr>
      </w:pPr>
      <w:r>
        <w:rPr>
          <w:rFonts w:hint="eastAsia" w:ascii="宋体" w:hAnsi="宋体" w:eastAsia="宋体" w:cs="宋体"/>
          <w:b/>
          <w:bCs/>
          <w:color w:val="auto"/>
          <w:spacing w:val="0"/>
          <w:kern w:val="24"/>
          <w:sz w:val="24"/>
          <w:szCs w:val="24"/>
          <w:highlight w:val="none"/>
        </w:rPr>
        <w:t>（一）组成评标委员会</w:t>
      </w:r>
    </w:p>
    <w:p w14:paraId="2D713F03">
      <w:pPr>
        <w:pageBreakBefore w:val="0"/>
        <w:widowControl w:val="0"/>
        <w:kinsoku/>
        <w:wordWrap/>
        <w:overflowPunct/>
        <w:topLinePunct w:val="0"/>
        <w:autoSpaceDE/>
        <w:autoSpaceDN w:val="0"/>
        <w:bidi w:val="0"/>
        <w:adjustRightInd w:val="0"/>
        <w:snapToGrid w:val="0"/>
        <w:spacing w:line="400" w:lineRule="exact"/>
        <w:ind w:firstLine="480" w:firstLineChars="200"/>
        <w:jc w:val="both"/>
        <w:textAlignment w:val="auto"/>
        <w:outlineLvl w:val="9"/>
        <w:rPr>
          <w:rFonts w:hint="eastAsia" w:ascii="宋体" w:hAnsi="宋体" w:eastAsia="宋体" w:cs="宋体"/>
          <w:bCs/>
          <w:color w:val="auto"/>
          <w:spacing w:val="0"/>
          <w:kern w:val="24"/>
          <w:sz w:val="24"/>
          <w:szCs w:val="24"/>
          <w:highlight w:val="none"/>
        </w:rPr>
      </w:pPr>
      <w:r>
        <w:rPr>
          <w:rFonts w:hint="eastAsia" w:ascii="宋体" w:hAnsi="宋体" w:eastAsia="宋体" w:cs="宋体"/>
          <w:bCs/>
          <w:color w:val="auto"/>
          <w:spacing w:val="0"/>
          <w:kern w:val="24"/>
          <w:sz w:val="24"/>
          <w:szCs w:val="24"/>
          <w:highlight w:val="none"/>
        </w:rPr>
        <w:t>按照国家有关部委的相关规定，本项目由技术、经济等方面的专家组成评标委员会（以下简称“评委会”）。评标委员会共有5人组成，其中采购人代表</w:t>
      </w:r>
      <w:r>
        <w:rPr>
          <w:rFonts w:hint="eastAsia" w:ascii="宋体" w:hAnsi="宋体" w:eastAsia="宋体" w:cs="宋体"/>
          <w:bCs/>
          <w:color w:val="auto"/>
          <w:spacing w:val="0"/>
          <w:kern w:val="24"/>
          <w:sz w:val="24"/>
          <w:szCs w:val="24"/>
          <w:highlight w:val="none"/>
          <w:lang w:val="en-US" w:eastAsia="zh-CN"/>
        </w:rPr>
        <w:t>0</w:t>
      </w:r>
      <w:r>
        <w:rPr>
          <w:rFonts w:hint="eastAsia" w:ascii="宋体" w:hAnsi="宋体" w:eastAsia="宋体" w:cs="宋体"/>
          <w:bCs/>
          <w:color w:val="auto"/>
          <w:spacing w:val="0"/>
          <w:kern w:val="24"/>
          <w:sz w:val="24"/>
          <w:szCs w:val="24"/>
          <w:highlight w:val="none"/>
        </w:rPr>
        <w:t>人，经济、技术专家</w:t>
      </w:r>
      <w:r>
        <w:rPr>
          <w:rFonts w:hint="eastAsia" w:ascii="宋体" w:hAnsi="宋体" w:eastAsia="宋体" w:cs="宋体"/>
          <w:bCs/>
          <w:color w:val="auto"/>
          <w:spacing w:val="0"/>
          <w:kern w:val="24"/>
          <w:sz w:val="24"/>
          <w:szCs w:val="24"/>
          <w:highlight w:val="none"/>
          <w:lang w:val="en-US" w:eastAsia="zh-CN"/>
        </w:rPr>
        <w:t>5</w:t>
      </w:r>
      <w:r>
        <w:rPr>
          <w:rFonts w:hint="eastAsia" w:ascii="宋体" w:hAnsi="宋体" w:eastAsia="宋体" w:cs="宋体"/>
          <w:bCs/>
          <w:color w:val="auto"/>
          <w:spacing w:val="0"/>
          <w:kern w:val="24"/>
          <w:sz w:val="24"/>
          <w:szCs w:val="24"/>
          <w:highlight w:val="none"/>
        </w:rPr>
        <w:t>人。</w:t>
      </w:r>
    </w:p>
    <w:p w14:paraId="03EC2F49">
      <w:pPr>
        <w:keepNext/>
        <w:keepLines/>
        <w:pageBreakBefore w:val="0"/>
        <w:widowControl w:val="0"/>
        <w:kinsoku/>
        <w:wordWrap/>
        <w:overflowPunct/>
        <w:topLinePunct w:val="0"/>
        <w:autoSpaceDE/>
        <w:autoSpaceDN w:val="0"/>
        <w:bidi w:val="0"/>
        <w:adjustRightInd w:val="0"/>
        <w:snapToGrid w:val="0"/>
        <w:spacing w:line="400" w:lineRule="exact"/>
        <w:jc w:val="both"/>
        <w:textAlignment w:val="auto"/>
        <w:outlineLvl w:val="9"/>
        <w:rPr>
          <w:rFonts w:hint="eastAsia" w:ascii="宋体" w:hAnsi="宋体" w:eastAsia="宋体" w:cs="宋体"/>
          <w:b/>
          <w:bCs/>
          <w:color w:val="auto"/>
          <w:spacing w:val="0"/>
          <w:kern w:val="24"/>
          <w:sz w:val="24"/>
          <w:szCs w:val="24"/>
          <w:highlight w:val="none"/>
        </w:rPr>
      </w:pPr>
      <w:r>
        <w:rPr>
          <w:rFonts w:hint="eastAsia" w:ascii="宋体" w:hAnsi="宋体" w:eastAsia="宋体" w:cs="宋体"/>
          <w:b/>
          <w:bCs/>
          <w:color w:val="auto"/>
          <w:spacing w:val="0"/>
          <w:kern w:val="24"/>
          <w:sz w:val="24"/>
          <w:szCs w:val="24"/>
          <w:highlight w:val="none"/>
        </w:rPr>
        <w:t>（二）评标工作</w:t>
      </w:r>
    </w:p>
    <w:p w14:paraId="145DD461">
      <w:pPr>
        <w:pageBreakBefore w:val="0"/>
        <w:widowControl w:val="0"/>
        <w:kinsoku/>
        <w:wordWrap/>
        <w:overflowPunct/>
        <w:topLinePunct w:val="0"/>
        <w:autoSpaceDE/>
        <w:autoSpaceDN w:val="0"/>
        <w:bidi w:val="0"/>
        <w:adjustRightInd w:val="0"/>
        <w:snapToGrid w:val="0"/>
        <w:spacing w:line="400" w:lineRule="exact"/>
        <w:ind w:firstLine="480" w:firstLineChars="200"/>
        <w:jc w:val="both"/>
        <w:textAlignment w:val="auto"/>
        <w:outlineLvl w:val="9"/>
        <w:rPr>
          <w:rFonts w:hint="eastAsia" w:ascii="宋体" w:hAnsi="宋体" w:eastAsia="宋体" w:cs="宋体"/>
          <w:bCs/>
          <w:color w:val="auto"/>
          <w:spacing w:val="0"/>
          <w:kern w:val="24"/>
          <w:sz w:val="24"/>
          <w:szCs w:val="24"/>
          <w:highlight w:val="none"/>
        </w:rPr>
      </w:pPr>
      <w:r>
        <w:rPr>
          <w:rFonts w:hint="eastAsia" w:ascii="宋体" w:hAnsi="宋体" w:eastAsia="宋体" w:cs="宋体"/>
          <w:bCs/>
          <w:color w:val="auto"/>
          <w:spacing w:val="0"/>
          <w:kern w:val="24"/>
          <w:sz w:val="24"/>
          <w:szCs w:val="24"/>
          <w:highlight w:val="none"/>
        </w:rPr>
        <w:t>评标本着客观公正、公平竞争、择优推荐、规范合法的原则进行。评标工作分为资格审查、</w:t>
      </w:r>
      <w:r>
        <w:rPr>
          <w:rFonts w:hint="eastAsia" w:ascii="宋体" w:hAnsi="宋体" w:eastAsia="宋体" w:cs="宋体"/>
          <w:bCs/>
          <w:color w:val="auto"/>
          <w:spacing w:val="0"/>
          <w:kern w:val="24"/>
          <w:sz w:val="24"/>
          <w:szCs w:val="24"/>
          <w:highlight w:val="none"/>
          <w:lang w:val="en-US" w:eastAsia="zh-CN"/>
        </w:rPr>
        <w:t>符合性审查</w:t>
      </w:r>
      <w:r>
        <w:rPr>
          <w:rFonts w:hint="eastAsia" w:ascii="宋体" w:hAnsi="宋体" w:eastAsia="宋体" w:cs="宋体"/>
          <w:bCs/>
          <w:color w:val="auto"/>
          <w:spacing w:val="0"/>
          <w:kern w:val="24"/>
          <w:sz w:val="24"/>
          <w:szCs w:val="24"/>
          <w:highlight w:val="none"/>
        </w:rPr>
        <w:t>和详细评审三个步骤。</w:t>
      </w:r>
    </w:p>
    <w:p w14:paraId="7FA8AFEE">
      <w:pPr>
        <w:pageBreakBefore w:val="0"/>
        <w:widowControl w:val="0"/>
        <w:kinsoku/>
        <w:wordWrap/>
        <w:overflowPunct/>
        <w:topLinePunct w:val="0"/>
        <w:autoSpaceDE/>
        <w:autoSpaceDN w:val="0"/>
        <w:bidi w:val="0"/>
        <w:adjustRightInd w:val="0"/>
        <w:snapToGrid w:val="0"/>
        <w:spacing w:line="400" w:lineRule="exact"/>
        <w:ind w:firstLine="480" w:firstLineChars="200"/>
        <w:jc w:val="both"/>
        <w:textAlignment w:val="auto"/>
        <w:outlineLvl w:val="9"/>
        <w:rPr>
          <w:rFonts w:hint="eastAsia" w:ascii="宋体" w:hAnsi="宋体" w:eastAsia="宋体" w:cs="宋体"/>
          <w:bCs/>
          <w:color w:val="auto"/>
          <w:spacing w:val="0"/>
          <w:kern w:val="24"/>
          <w:sz w:val="24"/>
          <w:szCs w:val="24"/>
          <w:highlight w:val="none"/>
        </w:rPr>
      </w:pPr>
      <w:r>
        <w:rPr>
          <w:rFonts w:hint="eastAsia" w:ascii="宋体" w:hAnsi="宋体" w:eastAsia="宋体" w:cs="宋体"/>
          <w:bCs/>
          <w:color w:val="auto"/>
          <w:spacing w:val="0"/>
          <w:kern w:val="24"/>
          <w:sz w:val="24"/>
          <w:szCs w:val="24"/>
          <w:highlight w:val="none"/>
        </w:rPr>
        <w:t>1.资格审查。采购人或代理机构对各</w:t>
      </w:r>
      <w:r>
        <w:rPr>
          <w:rFonts w:hint="eastAsia" w:ascii="宋体" w:hAnsi="宋体" w:eastAsia="宋体" w:cs="宋体"/>
          <w:bCs/>
          <w:color w:val="auto"/>
          <w:spacing w:val="0"/>
          <w:kern w:val="24"/>
          <w:sz w:val="24"/>
          <w:szCs w:val="24"/>
          <w:highlight w:val="none"/>
          <w:lang w:eastAsia="zh-CN"/>
        </w:rPr>
        <w:t>供应商</w:t>
      </w:r>
      <w:r>
        <w:rPr>
          <w:rFonts w:hint="eastAsia" w:ascii="宋体" w:hAnsi="宋体" w:eastAsia="宋体" w:cs="宋体"/>
          <w:bCs/>
          <w:color w:val="auto"/>
          <w:spacing w:val="0"/>
          <w:kern w:val="24"/>
          <w:sz w:val="24"/>
          <w:szCs w:val="24"/>
          <w:highlight w:val="none"/>
        </w:rPr>
        <w:t>的资格（包括资格审查表中信用查询部分）进行审查。资格审查合格的</w:t>
      </w:r>
      <w:r>
        <w:rPr>
          <w:rFonts w:hint="eastAsia" w:ascii="宋体" w:hAnsi="宋体" w:eastAsia="宋体" w:cs="宋体"/>
          <w:bCs/>
          <w:color w:val="auto"/>
          <w:spacing w:val="0"/>
          <w:kern w:val="24"/>
          <w:sz w:val="24"/>
          <w:szCs w:val="24"/>
          <w:highlight w:val="none"/>
          <w:lang w:eastAsia="zh-CN"/>
        </w:rPr>
        <w:t>供应商</w:t>
      </w:r>
      <w:r>
        <w:rPr>
          <w:rFonts w:hint="eastAsia" w:ascii="宋体" w:hAnsi="宋体" w:eastAsia="宋体" w:cs="宋体"/>
          <w:bCs/>
          <w:color w:val="auto"/>
          <w:spacing w:val="0"/>
          <w:kern w:val="24"/>
          <w:sz w:val="24"/>
          <w:szCs w:val="24"/>
          <w:highlight w:val="none"/>
        </w:rPr>
        <w:t>方可进入符合性审查。</w:t>
      </w:r>
    </w:p>
    <w:p w14:paraId="5286FCB0">
      <w:pPr>
        <w:pageBreakBefore w:val="0"/>
        <w:widowControl w:val="0"/>
        <w:kinsoku/>
        <w:wordWrap/>
        <w:overflowPunct/>
        <w:topLinePunct w:val="0"/>
        <w:autoSpaceDE/>
        <w:autoSpaceDN w:val="0"/>
        <w:bidi w:val="0"/>
        <w:adjustRightInd w:val="0"/>
        <w:snapToGrid w:val="0"/>
        <w:spacing w:line="400" w:lineRule="exact"/>
        <w:ind w:firstLine="480" w:firstLineChars="200"/>
        <w:jc w:val="both"/>
        <w:textAlignment w:val="auto"/>
        <w:outlineLvl w:val="9"/>
        <w:rPr>
          <w:rFonts w:hint="eastAsia" w:ascii="宋体" w:hAnsi="宋体" w:eastAsia="宋体" w:cs="宋体"/>
          <w:bCs/>
          <w:color w:val="auto"/>
          <w:spacing w:val="0"/>
          <w:kern w:val="24"/>
          <w:sz w:val="24"/>
          <w:szCs w:val="24"/>
          <w:highlight w:val="none"/>
        </w:rPr>
      </w:pPr>
      <w:r>
        <w:rPr>
          <w:rFonts w:hint="eastAsia" w:ascii="宋体" w:hAnsi="宋体" w:eastAsia="宋体" w:cs="宋体"/>
          <w:bCs/>
          <w:color w:val="auto"/>
          <w:spacing w:val="0"/>
          <w:kern w:val="24"/>
          <w:sz w:val="24"/>
          <w:szCs w:val="24"/>
          <w:highlight w:val="none"/>
        </w:rPr>
        <w:t>2.符合性审查。评委会对</w:t>
      </w:r>
      <w:r>
        <w:rPr>
          <w:rFonts w:hint="eastAsia" w:ascii="宋体" w:hAnsi="宋体" w:eastAsia="宋体" w:cs="宋体"/>
          <w:bCs/>
          <w:color w:val="auto"/>
          <w:spacing w:val="0"/>
          <w:kern w:val="24"/>
          <w:sz w:val="24"/>
          <w:szCs w:val="24"/>
          <w:highlight w:val="none"/>
          <w:lang w:eastAsia="zh-CN"/>
        </w:rPr>
        <w:t>供应商</w:t>
      </w:r>
      <w:r>
        <w:rPr>
          <w:rFonts w:hint="eastAsia" w:ascii="宋体" w:hAnsi="宋体" w:eastAsia="宋体" w:cs="宋体"/>
          <w:bCs/>
          <w:color w:val="auto"/>
          <w:spacing w:val="0"/>
          <w:kern w:val="24"/>
          <w:sz w:val="24"/>
          <w:szCs w:val="24"/>
          <w:highlight w:val="none"/>
        </w:rPr>
        <w:t>的</w:t>
      </w:r>
      <w:r>
        <w:rPr>
          <w:rFonts w:hint="eastAsia" w:ascii="宋体" w:hAnsi="宋体" w:eastAsia="宋体" w:cs="宋体"/>
          <w:bCs/>
          <w:color w:val="auto"/>
          <w:spacing w:val="0"/>
          <w:kern w:val="24"/>
          <w:sz w:val="24"/>
          <w:szCs w:val="24"/>
          <w:highlight w:val="none"/>
          <w:lang w:eastAsia="zh-CN"/>
        </w:rPr>
        <w:t>响应文件</w:t>
      </w:r>
      <w:r>
        <w:rPr>
          <w:rFonts w:hint="eastAsia" w:ascii="宋体" w:hAnsi="宋体" w:eastAsia="宋体" w:cs="宋体"/>
          <w:bCs/>
          <w:color w:val="auto"/>
          <w:spacing w:val="0"/>
          <w:kern w:val="24"/>
          <w:sz w:val="24"/>
          <w:szCs w:val="24"/>
          <w:highlight w:val="none"/>
        </w:rPr>
        <w:t>进行符合性鉴定。符合性审查合格的</w:t>
      </w:r>
      <w:r>
        <w:rPr>
          <w:rFonts w:hint="eastAsia" w:ascii="宋体" w:hAnsi="宋体" w:eastAsia="宋体" w:cs="宋体"/>
          <w:bCs/>
          <w:color w:val="auto"/>
          <w:spacing w:val="0"/>
          <w:kern w:val="24"/>
          <w:sz w:val="24"/>
          <w:szCs w:val="24"/>
          <w:highlight w:val="none"/>
          <w:lang w:eastAsia="zh-CN"/>
        </w:rPr>
        <w:t>供应商</w:t>
      </w:r>
      <w:r>
        <w:rPr>
          <w:rFonts w:hint="eastAsia" w:ascii="宋体" w:hAnsi="宋体" w:eastAsia="宋体" w:cs="宋体"/>
          <w:bCs/>
          <w:color w:val="auto"/>
          <w:spacing w:val="0"/>
          <w:kern w:val="24"/>
          <w:sz w:val="24"/>
          <w:szCs w:val="24"/>
          <w:highlight w:val="none"/>
        </w:rPr>
        <w:t>方可进入详细评审。</w:t>
      </w:r>
    </w:p>
    <w:p w14:paraId="6D3E3562">
      <w:pPr>
        <w:pageBreakBefore w:val="0"/>
        <w:widowControl w:val="0"/>
        <w:kinsoku/>
        <w:wordWrap/>
        <w:overflowPunct/>
        <w:topLinePunct w:val="0"/>
        <w:autoSpaceDE/>
        <w:autoSpaceDN w:val="0"/>
        <w:bidi w:val="0"/>
        <w:adjustRightInd w:val="0"/>
        <w:snapToGrid w:val="0"/>
        <w:spacing w:line="400" w:lineRule="exact"/>
        <w:ind w:firstLine="480" w:firstLineChars="200"/>
        <w:jc w:val="both"/>
        <w:textAlignment w:val="auto"/>
        <w:outlineLvl w:val="9"/>
        <w:rPr>
          <w:rFonts w:hint="eastAsia" w:ascii="宋体" w:hAnsi="宋体" w:eastAsia="宋体" w:cs="宋体"/>
          <w:bCs/>
          <w:color w:val="auto"/>
          <w:spacing w:val="0"/>
          <w:kern w:val="24"/>
          <w:sz w:val="24"/>
          <w:szCs w:val="24"/>
          <w:highlight w:val="none"/>
        </w:rPr>
      </w:pPr>
      <w:r>
        <w:rPr>
          <w:rFonts w:hint="eastAsia" w:ascii="宋体" w:hAnsi="宋体" w:eastAsia="宋体" w:cs="宋体"/>
          <w:bCs/>
          <w:color w:val="auto"/>
          <w:spacing w:val="0"/>
          <w:kern w:val="24"/>
          <w:sz w:val="24"/>
          <w:szCs w:val="24"/>
          <w:highlight w:val="none"/>
        </w:rPr>
        <w:t>3.详细评审。详细评审采用综合评分法。评委依据评标办法分别对各</w:t>
      </w:r>
      <w:r>
        <w:rPr>
          <w:rFonts w:hint="eastAsia" w:ascii="宋体" w:hAnsi="宋体" w:eastAsia="宋体" w:cs="宋体"/>
          <w:bCs/>
          <w:color w:val="auto"/>
          <w:spacing w:val="0"/>
          <w:kern w:val="24"/>
          <w:sz w:val="24"/>
          <w:szCs w:val="24"/>
          <w:highlight w:val="none"/>
          <w:lang w:eastAsia="zh-CN"/>
        </w:rPr>
        <w:t>供应商</w:t>
      </w:r>
      <w:r>
        <w:rPr>
          <w:rFonts w:hint="eastAsia" w:ascii="宋体" w:hAnsi="宋体" w:eastAsia="宋体" w:cs="宋体"/>
          <w:bCs/>
          <w:color w:val="auto"/>
          <w:spacing w:val="0"/>
          <w:kern w:val="24"/>
          <w:sz w:val="24"/>
          <w:szCs w:val="24"/>
          <w:highlight w:val="none"/>
        </w:rPr>
        <w:t>的</w:t>
      </w:r>
      <w:r>
        <w:rPr>
          <w:rFonts w:hint="eastAsia" w:ascii="宋体" w:hAnsi="宋体" w:eastAsia="宋体" w:cs="宋体"/>
          <w:bCs/>
          <w:color w:val="auto"/>
          <w:spacing w:val="0"/>
          <w:kern w:val="24"/>
          <w:sz w:val="24"/>
          <w:szCs w:val="24"/>
          <w:highlight w:val="none"/>
          <w:lang w:eastAsia="zh-CN"/>
        </w:rPr>
        <w:t>响应文件</w:t>
      </w:r>
      <w:r>
        <w:rPr>
          <w:rFonts w:hint="eastAsia" w:ascii="宋体" w:hAnsi="宋体" w:eastAsia="宋体" w:cs="宋体"/>
          <w:bCs/>
          <w:color w:val="auto"/>
          <w:spacing w:val="0"/>
          <w:kern w:val="24"/>
          <w:sz w:val="24"/>
          <w:szCs w:val="24"/>
          <w:highlight w:val="none"/>
        </w:rPr>
        <w:t>进行评审、赋分。</w:t>
      </w:r>
    </w:p>
    <w:p w14:paraId="5C83352F">
      <w:pPr>
        <w:pageBreakBefore w:val="0"/>
        <w:widowControl w:val="0"/>
        <w:kinsoku/>
        <w:wordWrap/>
        <w:overflowPunct/>
        <w:topLinePunct w:val="0"/>
        <w:autoSpaceDE/>
        <w:autoSpaceDN w:val="0"/>
        <w:bidi w:val="0"/>
        <w:adjustRightInd w:val="0"/>
        <w:snapToGrid w:val="0"/>
        <w:spacing w:line="400" w:lineRule="exact"/>
        <w:jc w:val="both"/>
        <w:textAlignment w:val="auto"/>
        <w:outlineLvl w:val="9"/>
        <w:rPr>
          <w:rFonts w:hint="eastAsia" w:ascii="宋体" w:hAnsi="宋体" w:eastAsia="宋体" w:cs="宋体"/>
          <w:b/>
          <w:bCs/>
          <w:color w:val="auto"/>
          <w:spacing w:val="0"/>
          <w:kern w:val="24"/>
          <w:sz w:val="24"/>
          <w:szCs w:val="24"/>
          <w:highlight w:val="none"/>
        </w:rPr>
      </w:pPr>
      <w:r>
        <w:rPr>
          <w:rFonts w:hint="eastAsia" w:ascii="宋体" w:hAnsi="宋体" w:eastAsia="宋体" w:cs="宋体"/>
          <w:b/>
          <w:bCs/>
          <w:color w:val="auto"/>
          <w:spacing w:val="0"/>
          <w:kern w:val="24"/>
          <w:sz w:val="24"/>
          <w:szCs w:val="24"/>
          <w:highlight w:val="none"/>
        </w:rPr>
        <w:t>（三）询标（必要时）</w:t>
      </w:r>
    </w:p>
    <w:p w14:paraId="3AC8EF9A">
      <w:pPr>
        <w:pageBreakBefore w:val="0"/>
        <w:widowControl w:val="0"/>
        <w:kinsoku/>
        <w:wordWrap/>
        <w:overflowPunct/>
        <w:topLinePunct w:val="0"/>
        <w:autoSpaceDE/>
        <w:autoSpaceDN w:val="0"/>
        <w:bidi w:val="0"/>
        <w:adjustRightInd w:val="0"/>
        <w:snapToGrid w:val="0"/>
        <w:spacing w:line="400" w:lineRule="exact"/>
        <w:ind w:firstLine="480" w:firstLineChars="200"/>
        <w:jc w:val="both"/>
        <w:textAlignment w:val="auto"/>
        <w:outlineLvl w:val="9"/>
        <w:rPr>
          <w:rFonts w:hint="eastAsia" w:ascii="宋体" w:hAnsi="宋体" w:eastAsia="宋体" w:cs="宋体"/>
          <w:bCs/>
          <w:color w:val="auto"/>
          <w:spacing w:val="0"/>
          <w:kern w:val="24"/>
          <w:sz w:val="24"/>
          <w:szCs w:val="24"/>
          <w:highlight w:val="none"/>
        </w:rPr>
      </w:pPr>
      <w:r>
        <w:rPr>
          <w:rFonts w:hint="eastAsia" w:ascii="宋体" w:hAnsi="宋体" w:eastAsia="宋体" w:cs="宋体"/>
          <w:bCs/>
          <w:color w:val="auto"/>
          <w:spacing w:val="0"/>
          <w:kern w:val="24"/>
          <w:sz w:val="24"/>
          <w:szCs w:val="24"/>
          <w:highlight w:val="none"/>
        </w:rPr>
        <w:t>评标委员会对</w:t>
      </w:r>
      <w:r>
        <w:rPr>
          <w:rFonts w:hint="eastAsia" w:ascii="宋体" w:hAnsi="宋体" w:eastAsia="宋体" w:cs="宋体"/>
          <w:bCs/>
          <w:color w:val="auto"/>
          <w:spacing w:val="0"/>
          <w:kern w:val="24"/>
          <w:sz w:val="24"/>
          <w:szCs w:val="24"/>
          <w:highlight w:val="none"/>
          <w:lang w:eastAsia="zh-CN"/>
        </w:rPr>
        <w:t>响应文件</w:t>
      </w:r>
      <w:r>
        <w:rPr>
          <w:rFonts w:hint="eastAsia" w:ascii="宋体" w:hAnsi="宋体" w:eastAsia="宋体" w:cs="宋体"/>
          <w:bCs/>
          <w:color w:val="auto"/>
          <w:spacing w:val="0"/>
          <w:kern w:val="24"/>
          <w:sz w:val="24"/>
          <w:szCs w:val="24"/>
          <w:highlight w:val="none"/>
        </w:rPr>
        <w:t>需要澄清的问题，采用集体询标方式进行。</w:t>
      </w:r>
    </w:p>
    <w:p w14:paraId="4F097B17">
      <w:pPr>
        <w:pageBreakBefore w:val="0"/>
        <w:widowControl w:val="0"/>
        <w:kinsoku/>
        <w:wordWrap/>
        <w:overflowPunct/>
        <w:topLinePunct w:val="0"/>
        <w:autoSpaceDE/>
        <w:autoSpaceDN w:val="0"/>
        <w:bidi w:val="0"/>
        <w:adjustRightInd w:val="0"/>
        <w:snapToGrid w:val="0"/>
        <w:spacing w:line="400" w:lineRule="exact"/>
        <w:jc w:val="both"/>
        <w:textAlignment w:val="auto"/>
        <w:outlineLvl w:val="9"/>
        <w:rPr>
          <w:rFonts w:hint="eastAsia" w:ascii="宋体" w:hAnsi="宋体" w:eastAsia="宋体" w:cs="宋体"/>
          <w:b/>
          <w:bCs/>
          <w:color w:val="auto"/>
          <w:spacing w:val="0"/>
          <w:kern w:val="24"/>
          <w:sz w:val="24"/>
          <w:szCs w:val="24"/>
          <w:highlight w:val="none"/>
        </w:rPr>
      </w:pPr>
      <w:r>
        <w:rPr>
          <w:rFonts w:hint="eastAsia" w:ascii="宋体" w:hAnsi="宋体" w:eastAsia="宋体" w:cs="宋体"/>
          <w:b/>
          <w:bCs/>
          <w:color w:val="auto"/>
          <w:spacing w:val="0"/>
          <w:kern w:val="24"/>
          <w:sz w:val="24"/>
          <w:szCs w:val="24"/>
          <w:highlight w:val="none"/>
        </w:rPr>
        <w:t>（四）确定中标候选人</w:t>
      </w:r>
    </w:p>
    <w:p w14:paraId="63C7B7A4">
      <w:pPr>
        <w:pageBreakBefore w:val="0"/>
        <w:widowControl w:val="0"/>
        <w:kinsoku/>
        <w:wordWrap/>
        <w:overflowPunct/>
        <w:topLinePunct w:val="0"/>
        <w:autoSpaceDE/>
        <w:autoSpaceDN w:val="0"/>
        <w:bidi w:val="0"/>
        <w:adjustRightInd w:val="0"/>
        <w:snapToGrid w:val="0"/>
        <w:spacing w:line="400" w:lineRule="exact"/>
        <w:ind w:firstLine="480" w:firstLineChars="200"/>
        <w:jc w:val="both"/>
        <w:textAlignment w:val="auto"/>
        <w:outlineLvl w:val="9"/>
        <w:rPr>
          <w:rFonts w:hint="eastAsia" w:ascii="宋体" w:hAnsi="宋体" w:eastAsia="宋体" w:cs="宋体"/>
          <w:bCs/>
          <w:color w:val="auto"/>
          <w:spacing w:val="0"/>
          <w:kern w:val="24"/>
          <w:sz w:val="24"/>
          <w:szCs w:val="24"/>
          <w:highlight w:val="none"/>
          <w:lang w:eastAsia="zh-CN"/>
        </w:rPr>
      </w:pPr>
      <w:r>
        <w:rPr>
          <w:rFonts w:hint="eastAsia" w:ascii="宋体" w:hAnsi="宋体" w:eastAsia="宋体" w:cs="宋体"/>
          <w:bCs/>
          <w:color w:val="auto"/>
          <w:spacing w:val="0"/>
          <w:kern w:val="24"/>
          <w:sz w:val="24"/>
          <w:szCs w:val="24"/>
          <w:highlight w:val="none"/>
        </w:rPr>
        <w:t>按最终综合得分由高到低的顺序推荐中标候选人</w:t>
      </w:r>
      <w:r>
        <w:rPr>
          <w:rFonts w:hint="eastAsia" w:ascii="宋体" w:hAnsi="宋体" w:eastAsia="宋体" w:cs="宋体"/>
          <w:bCs/>
          <w:color w:val="auto"/>
          <w:spacing w:val="0"/>
          <w:kern w:val="24"/>
          <w:sz w:val="24"/>
          <w:szCs w:val="24"/>
          <w:highlight w:val="none"/>
          <w:lang w:val="en-US" w:eastAsia="zh-CN"/>
        </w:rPr>
        <w:t>1</w:t>
      </w:r>
      <w:r>
        <w:rPr>
          <w:rFonts w:hint="eastAsia" w:ascii="宋体" w:hAnsi="宋体" w:eastAsia="宋体" w:cs="宋体"/>
          <w:bCs/>
          <w:color w:val="auto"/>
          <w:spacing w:val="0"/>
          <w:kern w:val="24"/>
          <w:sz w:val="24"/>
          <w:szCs w:val="24"/>
          <w:highlight w:val="none"/>
        </w:rPr>
        <w:t>家</w:t>
      </w:r>
      <w:r>
        <w:rPr>
          <w:rFonts w:hint="eastAsia" w:ascii="宋体" w:hAnsi="宋体" w:eastAsia="宋体" w:cs="宋体"/>
          <w:bCs/>
          <w:color w:val="auto"/>
          <w:spacing w:val="0"/>
          <w:kern w:val="24"/>
          <w:sz w:val="24"/>
          <w:szCs w:val="24"/>
          <w:highlight w:val="none"/>
          <w:lang w:eastAsia="zh-CN"/>
        </w:rPr>
        <w:t>。</w:t>
      </w:r>
    </w:p>
    <w:p w14:paraId="22130BD9">
      <w:pPr>
        <w:pageBreakBefore w:val="0"/>
        <w:widowControl w:val="0"/>
        <w:kinsoku/>
        <w:wordWrap/>
        <w:overflowPunct/>
        <w:topLinePunct w:val="0"/>
        <w:autoSpaceDE/>
        <w:autoSpaceDN w:val="0"/>
        <w:bidi w:val="0"/>
        <w:adjustRightInd w:val="0"/>
        <w:snapToGrid w:val="0"/>
        <w:spacing w:line="400" w:lineRule="exact"/>
        <w:ind w:firstLine="480" w:firstLineChars="200"/>
        <w:jc w:val="both"/>
        <w:textAlignment w:val="auto"/>
        <w:outlineLvl w:val="9"/>
        <w:rPr>
          <w:rFonts w:hint="eastAsia" w:ascii="宋体" w:hAnsi="宋体" w:eastAsia="宋体" w:cs="宋体"/>
          <w:bCs/>
          <w:color w:val="auto"/>
          <w:spacing w:val="0"/>
          <w:kern w:val="24"/>
          <w:sz w:val="24"/>
          <w:szCs w:val="24"/>
          <w:highlight w:val="none"/>
          <w:lang w:eastAsia="zh-CN"/>
        </w:rPr>
      </w:pPr>
      <w:r>
        <w:rPr>
          <w:rFonts w:hint="eastAsia" w:ascii="宋体" w:hAnsi="宋体" w:eastAsia="宋体" w:cs="宋体"/>
          <w:bCs/>
          <w:color w:val="auto"/>
          <w:spacing w:val="0"/>
          <w:kern w:val="24"/>
          <w:sz w:val="24"/>
          <w:szCs w:val="24"/>
          <w:highlight w:val="none"/>
          <w:lang w:eastAsia="zh-CN"/>
        </w:rPr>
        <w:t>使用综合评分法的采购项目，提供相同品牌产品且通过资格审查、符合性审查的不同供应商参加同一合同项下投标的，按一家供应商计算，评审后得分最高的同品牌供应商获得中标人推荐资格；评审得分相同的，由评标委员会采取随机抽取方式确定，其他同品牌供应商不作为中标候选人。</w:t>
      </w:r>
    </w:p>
    <w:p w14:paraId="489AEC12">
      <w:pPr>
        <w:pageBreakBefore w:val="0"/>
        <w:widowControl w:val="0"/>
        <w:kinsoku/>
        <w:wordWrap/>
        <w:overflowPunct/>
        <w:topLinePunct w:val="0"/>
        <w:autoSpaceDE/>
        <w:autoSpaceDN w:val="0"/>
        <w:bidi w:val="0"/>
        <w:adjustRightInd w:val="0"/>
        <w:snapToGrid w:val="0"/>
        <w:spacing w:line="400" w:lineRule="exact"/>
        <w:ind w:firstLine="480" w:firstLineChars="200"/>
        <w:jc w:val="both"/>
        <w:textAlignment w:val="auto"/>
        <w:outlineLvl w:val="9"/>
        <w:rPr>
          <w:rFonts w:hint="eastAsia" w:ascii="宋体" w:hAnsi="宋体" w:eastAsia="宋体" w:cs="宋体"/>
          <w:bCs/>
          <w:color w:val="auto"/>
          <w:spacing w:val="0"/>
          <w:kern w:val="24"/>
          <w:sz w:val="24"/>
          <w:szCs w:val="24"/>
          <w:highlight w:val="none"/>
          <w:lang w:eastAsia="zh-CN"/>
        </w:rPr>
      </w:pPr>
      <w:r>
        <w:rPr>
          <w:rFonts w:hint="eastAsia" w:ascii="宋体" w:hAnsi="宋体" w:eastAsia="宋体" w:cs="宋体"/>
          <w:bCs/>
          <w:color w:val="auto"/>
          <w:spacing w:val="0"/>
          <w:kern w:val="24"/>
          <w:sz w:val="24"/>
          <w:szCs w:val="24"/>
          <w:highlight w:val="none"/>
          <w:lang w:eastAsia="zh-CN"/>
        </w:rPr>
        <w:t>非单一产品采购项目，采购人根据采购项目技术构成、产品价格比重等合理确定核心产品，多家供应商提供的核心产品品牌相同的，按前款规定处理。</w:t>
      </w:r>
    </w:p>
    <w:p w14:paraId="63447586">
      <w:pPr>
        <w:pageBreakBefore w:val="0"/>
        <w:widowControl w:val="0"/>
        <w:kinsoku/>
        <w:wordWrap/>
        <w:overflowPunct/>
        <w:topLinePunct w:val="0"/>
        <w:autoSpaceDE/>
        <w:autoSpaceDN w:val="0"/>
        <w:bidi w:val="0"/>
        <w:adjustRightInd w:val="0"/>
        <w:snapToGrid w:val="0"/>
        <w:spacing w:line="400" w:lineRule="exact"/>
        <w:jc w:val="both"/>
        <w:textAlignment w:val="auto"/>
        <w:outlineLvl w:val="9"/>
        <w:rPr>
          <w:rFonts w:hint="eastAsia" w:ascii="宋体" w:hAnsi="宋体" w:eastAsia="宋体" w:cs="宋体"/>
          <w:b/>
          <w:bCs/>
          <w:color w:val="auto"/>
          <w:spacing w:val="0"/>
          <w:kern w:val="24"/>
          <w:sz w:val="24"/>
          <w:szCs w:val="24"/>
          <w:highlight w:val="none"/>
        </w:rPr>
      </w:pPr>
      <w:r>
        <w:rPr>
          <w:rFonts w:hint="eastAsia" w:ascii="宋体" w:hAnsi="宋体" w:eastAsia="宋体" w:cs="宋体"/>
          <w:b/>
          <w:bCs/>
          <w:color w:val="auto"/>
          <w:spacing w:val="0"/>
          <w:kern w:val="24"/>
          <w:sz w:val="24"/>
          <w:szCs w:val="24"/>
          <w:highlight w:val="none"/>
        </w:rPr>
        <w:t>（五）评标报告</w:t>
      </w:r>
    </w:p>
    <w:p w14:paraId="1E2A2393">
      <w:pPr>
        <w:pageBreakBefore w:val="0"/>
        <w:widowControl w:val="0"/>
        <w:kinsoku/>
        <w:wordWrap/>
        <w:overflowPunct/>
        <w:topLinePunct w:val="0"/>
        <w:autoSpaceDE/>
        <w:autoSpaceDN w:val="0"/>
        <w:bidi w:val="0"/>
        <w:adjustRightInd w:val="0"/>
        <w:snapToGrid w:val="0"/>
        <w:spacing w:line="400" w:lineRule="exact"/>
        <w:ind w:firstLine="480" w:firstLineChars="200"/>
        <w:jc w:val="both"/>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pacing w:val="0"/>
          <w:kern w:val="24"/>
          <w:sz w:val="24"/>
          <w:szCs w:val="24"/>
          <w:highlight w:val="none"/>
        </w:rPr>
        <w:t>评标工作结束时，评委会将本项目综合评审结果向采购人提交书面“评标报告”，各评委对评标报告内容讨论通过后，在“评标报告”上签字，对评标结果予以确认</w:t>
      </w:r>
      <w:r>
        <w:rPr>
          <w:rFonts w:hint="eastAsia" w:ascii="宋体" w:hAnsi="宋体" w:eastAsia="宋体" w:cs="宋体"/>
          <w:bCs/>
          <w:color w:val="auto"/>
          <w:sz w:val="24"/>
          <w:szCs w:val="24"/>
          <w:highlight w:val="none"/>
        </w:rPr>
        <w:t>。</w:t>
      </w:r>
    </w:p>
    <w:p w14:paraId="54EF9AE2">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4A099AFA">
      <w:pPr>
        <w:autoSpaceDN w:val="0"/>
        <w:adjustRightInd w:val="0"/>
        <w:snapToGrid w:val="0"/>
        <w:spacing w:before="156" w:after="156" w:line="360" w:lineRule="auto"/>
        <w:jc w:val="center"/>
        <w:outlineLvl w:val="1"/>
        <w:rPr>
          <w:rFonts w:hint="eastAsia" w:ascii="宋体" w:hAnsi="宋体" w:eastAsia="宋体" w:cs="宋体"/>
          <w:b/>
          <w:bCs/>
          <w:color w:val="auto"/>
          <w:sz w:val="24"/>
          <w:szCs w:val="24"/>
          <w:highlight w:val="none"/>
        </w:rPr>
      </w:pPr>
      <w:bookmarkStart w:id="66" w:name="_Toc19059"/>
      <w:bookmarkStart w:id="67" w:name="_Toc13522"/>
      <w:r>
        <w:rPr>
          <w:rFonts w:hint="eastAsia" w:ascii="宋体" w:hAnsi="宋体" w:eastAsia="宋体" w:cs="宋体"/>
          <w:b/>
          <w:bCs/>
          <w:color w:val="auto"/>
          <w:sz w:val="24"/>
          <w:szCs w:val="24"/>
          <w:highlight w:val="none"/>
        </w:rPr>
        <w:t>二、评标办法</w:t>
      </w:r>
      <w:bookmarkEnd w:id="66"/>
      <w:bookmarkEnd w:id="67"/>
    </w:p>
    <w:p w14:paraId="0A8658FC">
      <w:pPr>
        <w:autoSpaceDN w:val="0"/>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（一）资格审查</w:t>
      </w:r>
    </w:p>
    <w:tbl>
      <w:tblPr>
        <w:tblStyle w:val="26"/>
        <w:tblW w:w="97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2"/>
        <w:gridCol w:w="1790"/>
        <w:gridCol w:w="6843"/>
      </w:tblGrid>
      <w:tr w14:paraId="3F818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blHeader/>
          <w:jc w:val="center"/>
        </w:trPr>
        <w:tc>
          <w:tcPr>
            <w:tcW w:w="1072" w:type="dxa"/>
            <w:tcBorders>
              <w:top w:val="single" w:color="auto" w:sz="4" w:space="0"/>
              <w:bottom w:val="single" w:color="auto" w:sz="4" w:space="0"/>
              <w:right w:val="single" w:color="auto" w:sz="4" w:space="0"/>
            </w:tcBorders>
            <w:vAlign w:val="center"/>
          </w:tcPr>
          <w:p w14:paraId="47020B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1790" w:type="dxa"/>
            <w:tcBorders>
              <w:top w:val="single" w:color="auto" w:sz="4" w:space="0"/>
              <w:left w:val="single" w:color="auto" w:sz="4" w:space="0"/>
              <w:bottom w:val="single" w:color="auto" w:sz="4" w:space="0"/>
              <w:right w:val="single" w:color="auto" w:sz="4" w:space="0"/>
            </w:tcBorders>
            <w:vAlign w:val="center"/>
          </w:tcPr>
          <w:p w14:paraId="5362CA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评审因素</w:t>
            </w:r>
          </w:p>
        </w:tc>
        <w:tc>
          <w:tcPr>
            <w:tcW w:w="6843" w:type="dxa"/>
            <w:tcBorders>
              <w:top w:val="single" w:color="auto" w:sz="4" w:space="0"/>
              <w:left w:val="single" w:color="auto" w:sz="4" w:space="0"/>
              <w:bottom w:val="single" w:color="auto" w:sz="4" w:space="0"/>
              <w:right w:val="single" w:color="auto" w:sz="4" w:space="0"/>
            </w:tcBorders>
            <w:vAlign w:val="center"/>
          </w:tcPr>
          <w:p w14:paraId="38C4BF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评审标准</w:t>
            </w:r>
          </w:p>
        </w:tc>
      </w:tr>
      <w:tr w14:paraId="1E7F5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072" w:type="dxa"/>
            <w:vMerge w:val="restart"/>
            <w:tcBorders>
              <w:top w:val="single" w:color="auto" w:sz="4" w:space="0"/>
              <w:right w:val="single" w:color="auto" w:sz="4" w:space="0"/>
            </w:tcBorders>
            <w:vAlign w:val="center"/>
          </w:tcPr>
          <w:p w14:paraId="0BF22F16">
            <w:pPr>
              <w:keepNext w:val="0"/>
              <w:keepLines w:val="0"/>
              <w:pageBreakBefore w:val="0"/>
              <w:widowControl w:val="0"/>
              <w:kinsoku/>
              <w:wordWrap/>
              <w:overflowPunct/>
              <w:topLinePunct w:val="0"/>
              <w:bidi w:val="0"/>
              <w:adjustRightIn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资格评审标准</w:t>
            </w:r>
          </w:p>
        </w:tc>
        <w:tc>
          <w:tcPr>
            <w:tcW w:w="1790" w:type="dxa"/>
            <w:tcBorders>
              <w:top w:val="single" w:color="auto" w:sz="4" w:space="0"/>
              <w:left w:val="single" w:color="auto" w:sz="4" w:space="0"/>
              <w:bottom w:val="single" w:color="auto" w:sz="4" w:space="0"/>
              <w:right w:val="single" w:color="auto" w:sz="4" w:space="0"/>
            </w:tcBorders>
            <w:vAlign w:val="center"/>
          </w:tcPr>
          <w:p w14:paraId="217BE884">
            <w:pPr>
              <w:keepNext w:val="0"/>
              <w:keepLines w:val="0"/>
              <w:pageBreakBefore w:val="0"/>
              <w:widowControl w:val="0"/>
              <w:kinsoku/>
              <w:wordWrap/>
              <w:overflowPunct/>
              <w:topLinePunct w:val="0"/>
              <w:bidi w:val="0"/>
              <w:adjustRightInd/>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营业执照</w:t>
            </w:r>
          </w:p>
        </w:tc>
        <w:tc>
          <w:tcPr>
            <w:tcW w:w="6843" w:type="dxa"/>
            <w:tcBorders>
              <w:top w:val="single" w:color="auto" w:sz="4" w:space="0"/>
              <w:left w:val="single" w:color="auto" w:sz="4" w:space="0"/>
              <w:bottom w:val="single" w:color="auto" w:sz="4" w:space="0"/>
              <w:right w:val="single" w:color="auto" w:sz="4" w:space="0"/>
            </w:tcBorders>
            <w:vAlign w:val="center"/>
          </w:tcPr>
          <w:p w14:paraId="046D1BD6">
            <w:pPr>
              <w:keepNext w:val="0"/>
              <w:keepLines w:val="0"/>
              <w:pageBreakBefore w:val="0"/>
              <w:widowControl w:val="0"/>
              <w:kinsoku/>
              <w:wordWrap/>
              <w:overflowPunct/>
              <w:topLinePunct w:val="0"/>
              <w:bidi w:val="0"/>
              <w:adjustRightInd/>
              <w:spacing w:line="400" w:lineRule="exact"/>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须具备有效的营业执照</w:t>
            </w:r>
          </w:p>
        </w:tc>
      </w:tr>
      <w:tr w14:paraId="4FD8E0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072" w:type="dxa"/>
            <w:vMerge w:val="continue"/>
            <w:tcBorders>
              <w:right w:val="single" w:color="auto" w:sz="4" w:space="0"/>
            </w:tcBorders>
            <w:vAlign w:val="center"/>
          </w:tcPr>
          <w:p w14:paraId="77FC5BF5">
            <w:pPr>
              <w:keepNext w:val="0"/>
              <w:keepLines w:val="0"/>
              <w:pageBreakBefore w:val="0"/>
              <w:widowControl w:val="0"/>
              <w:kinsoku/>
              <w:wordWrap/>
              <w:overflowPunct/>
              <w:topLinePunct w:val="0"/>
              <w:bidi w:val="0"/>
              <w:adjustRightInd/>
              <w:spacing w:line="400" w:lineRule="exact"/>
              <w:jc w:val="both"/>
              <w:textAlignment w:val="auto"/>
              <w:rPr>
                <w:rFonts w:hint="eastAsia" w:ascii="宋体" w:hAnsi="宋体" w:eastAsia="宋体" w:cs="宋体"/>
                <w:color w:val="auto"/>
                <w:sz w:val="24"/>
                <w:szCs w:val="24"/>
                <w:highlight w:val="none"/>
              </w:rPr>
            </w:pPr>
          </w:p>
        </w:tc>
        <w:tc>
          <w:tcPr>
            <w:tcW w:w="1790" w:type="dxa"/>
            <w:tcBorders>
              <w:top w:val="single" w:color="auto" w:sz="4" w:space="0"/>
              <w:left w:val="single" w:color="auto" w:sz="4" w:space="0"/>
              <w:bottom w:val="single" w:color="auto" w:sz="4" w:space="0"/>
              <w:right w:val="single" w:color="auto" w:sz="4" w:space="0"/>
            </w:tcBorders>
            <w:vAlign w:val="center"/>
          </w:tcPr>
          <w:p w14:paraId="34CCFF94">
            <w:pPr>
              <w:keepNext w:val="0"/>
              <w:keepLines w:val="0"/>
              <w:pageBreakBefore w:val="0"/>
              <w:widowControl w:val="0"/>
              <w:kinsoku/>
              <w:wordWrap/>
              <w:overflowPunct/>
              <w:topLinePunct w:val="0"/>
              <w:bidi w:val="0"/>
              <w:adjustRightIn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财务要求</w:t>
            </w:r>
          </w:p>
        </w:tc>
        <w:tc>
          <w:tcPr>
            <w:tcW w:w="6843" w:type="dxa"/>
            <w:tcBorders>
              <w:top w:val="single" w:color="auto" w:sz="4" w:space="0"/>
              <w:left w:val="single" w:color="auto" w:sz="4" w:space="0"/>
              <w:bottom w:val="single" w:color="auto" w:sz="4" w:space="0"/>
              <w:right w:val="single" w:color="auto" w:sz="4" w:space="0"/>
            </w:tcBorders>
            <w:vAlign w:val="center"/>
          </w:tcPr>
          <w:p w14:paraId="3B13D55E">
            <w:pPr>
              <w:keepNext w:val="0"/>
              <w:keepLines w:val="0"/>
              <w:pageBreakBefore w:val="0"/>
              <w:widowControl w:val="0"/>
              <w:kinsoku/>
              <w:wordWrap/>
              <w:overflowPunct/>
              <w:topLinePunct w:val="0"/>
              <w:bidi w:val="0"/>
              <w:adjustRightIn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供应商近一年度（202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年度）财务状况良好，具有经会计师事务所或审计机构出具的财务审计报告。</w:t>
            </w:r>
          </w:p>
        </w:tc>
      </w:tr>
      <w:tr w14:paraId="57104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072" w:type="dxa"/>
            <w:vMerge w:val="continue"/>
            <w:tcBorders>
              <w:right w:val="single" w:color="auto" w:sz="4" w:space="0"/>
            </w:tcBorders>
            <w:vAlign w:val="center"/>
          </w:tcPr>
          <w:p w14:paraId="20C7CF8B">
            <w:pPr>
              <w:keepNext w:val="0"/>
              <w:keepLines w:val="0"/>
              <w:pageBreakBefore w:val="0"/>
              <w:widowControl w:val="0"/>
              <w:kinsoku/>
              <w:wordWrap/>
              <w:overflowPunct/>
              <w:topLinePunct w:val="0"/>
              <w:bidi w:val="0"/>
              <w:adjustRightInd/>
              <w:spacing w:line="400" w:lineRule="exact"/>
              <w:jc w:val="both"/>
              <w:textAlignment w:val="auto"/>
              <w:rPr>
                <w:rFonts w:hint="eastAsia" w:ascii="宋体" w:hAnsi="宋体" w:eastAsia="宋体" w:cs="宋体"/>
                <w:color w:val="auto"/>
                <w:sz w:val="24"/>
                <w:szCs w:val="24"/>
                <w:highlight w:val="none"/>
              </w:rPr>
            </w:pPr>
          </w:p>
        </w:tc>
        <w:tc>
          <w:tcPr>
            <w:tcW w:w="1790" w:type="dxa"/>
            <w:tcBorders>
              <w:top w:val="single" w:color="auto" w:sz="4" w:space="0"/>
              <w:left w:val="single" w:color="auto" w:sz="4" w:space="0"/>
              <w:bottom w:val="single" w:color="auto" w:sz="4" w:space="0"/>
              <w:right w:val="single" w:color="auto" w:sz="4" w:space="0"/>
            </w:tcBorders>
            <w:vAlign w:val="center"/>
          </w:tcPr>
          <w:p w14:paraId="0154F794">
            <w:pPr>
              <w:keepNext w:val="0"/>
              <w:keepLines w:val="0"/>
              <w:pageBreakBefore w:val="0"/>
              <w:widowControl w:val="0"/>
              <w:kinsoku/>
              <w:wordWrap/>
              <w:overflowPunct/>
              <w:topLinePunct w:val="0"/>
              <w:bidi w:val="0"/>
              <w:adjustRightIn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依法缴纳税收和社会保障资金的良好记录</w:t>
            </w:r>
          </w:p>
        </w:tc>
        <w:tc>
          <w:tcPr>
            <w:tcW w:w="6843" w:type="dxa"/>
            <w:tcBorders>
              <w:top w:val="single" w:color="auto" w:sz="4" w:space="0"/>
              <w:left w:val="single" w:color="auto" w:sz="4" w:space="0"/>
              <w:bottom w:val="single" w:color="auto" w:sz="4" w:space="0"/>
              <w:right w:val="single" w:color="auto" w:sz="4" w:space="0"/>
            </w:tcBorders>
            <w:vAlign w:val="center"/>
          </w:tcPr>
          <w:p w14:paraId="5D564243">
            <w:pPr>
              <w:keepNext w:val="0"/>
              <w:keepLines w:val="0"/>
              <w:pageBreakBefore w:val="0"/>
              <w:widowControl w:val="0"/>
              <w:kinsoku/>
              <w:wordWrap/>
              <w:overflowPunct/>
              <w:topLinePunct w:val="0"/>
              <w:bidi w:val="0"/>
              <w:adjustRightIn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供应商2024年0</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月至投标截止时间前任意一个月具有依法缴纳税收</w:t>
            </w:r>
            <w:r>
              <w:rPr>
                <w:rFonts w:hint="eastAsia" w:ascii="宋体" w:hAnsi="宋体" w:cs="宋体"/>
                <w:color w:val="auto"/>
                <w:sz w:val="24"/>
                <w:szCs w:val="24"/>
                <w:highlight w:val="none"/>
                <w:lang w:val="en-US" w:eastAsia="zh-CN"/>
              </w:rPr>
              <w:t>和依法缴纳社会保障资金的良好记录；</w:t>
            </w:r>
          </w:p>
        </w:tc>
      </w:tr>
      <w:tr w14:paraId="4B5DC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072" w:type="dxa"/>
            <w:vMerge w:val="continue"/>
            <w:tcBorders>
              <w:right w:val="single" w:color="auto" w:sz="4" w:space="0"/>
            </w:tcBorders>
            <w:vAlign w:val="center"/>
          </w:tcPr>
          <w:p w14:paraId="3F291C58">
            <w:pPr>
              <w:keepNext w:val="0"/>
              <w:keepLines w:val="0"/>
              <w:pageBreakBefore w:val="0"/>
              <w:widowControl w:val="0"/>
              <w:kinsoku/>
              <w:wordWrap/>
              <w:overflowPunct/>
              <w:topLinePunct w:val="0"/>
              <w:bidi w:val="0"/>
              <w:adjustRightInd/>
              <w:spacing w:line="400" w:lineRule="exact"/>
              <w:jc w:val="both"/>
              <w:textAlignment w:val="auto"/>
              <w:rPr>
                <w:rFonts w:hint="eastAsia" w:ascii="宋体" w:hAnsi="宋体" w:eastAsia="宋体" w:cs="宋体"/>
                <w:color w:val="auto"/>
                <w:sz w:val="24"/>
                <w:szCs w:val="24"/>
                <w:highlight w:val="none"/>
              </w:rPr>
            </w:pPr>
          </w:p>
        </w:tc>
        <w:tc>
          <w:tcPr>
            <w:tcW w:w="1790" w:type="dxa"/>
            <w:tcBorders>
              <w:top w:val="single" w:color="auto" w:sz="4" w:space="0"/>
              <w:left w:val="single" w:color="auto" w:sz="4" w:space="0"/>
              <w:right w:val="single" w:color="auto" w:sz="4" w:space="0"/>
            </w:tcBorders>
            <w:vAlign w:val="center"/>
          </w:tcPr>
          <w:p w14:paraId="7B909B55">
            <w:pPr>
              <w:keepNext w:val="0"/>
              <w:keepLines w:val="0"/>
              <w:pageBreakBefore w:val="0"/>
              <w:widowControl w:val="0"/>
              <w:kinsoku/>
              <w:wordWrap/>
              <w:overflowPunct/>
              <w:topLinePunct w:val="0"/>
              <w:bidi w:val="0"/>
              <w:adjustRightIn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信誉要求</w:t>
            </w:r>
          </w:p>
        </w:tc>
        <w:tc>
          <w:tcPr>
            <w:tcW w:w="6843" w:type="dxa"/>
            <w:tcBorders>
              <w:top w:val="single" w:color="auto" w:sz="4" w:space="0"/>
              <w:left w:val="single" w:color="auto" w:sz="4" w:space="0"/>
              <w:bottom w:val="single" w:color="auto" w:sz="4" w:space="0"/>
              <w:right w:val="single" w:color="auto" w:sz="4" w:space="0"/>
            </w:tcBorders>
            <w:vAlign w:val="center"/>
          </w:tcPr>
          <w:p w14:paraId="41FDFF28">
            <w:pPr>
              <w:keepNext w:val="0"/>
              <w:keepLines w:val="0"/>
              <w:pageBreakBefore w:val="0"/>
              <w:widowControl w:val="0"/>
              <w:kinsoku/>
              <w:wordWrap/>
              <w:overflowPunct/>
              <w:topLinePunct w:val="0"/>
              <w:bidi w:val="0"/>
              <w:adjustRightInd/>
              <w:snapToGrid w:val="0"/>
              <w:spacing w:line="400" w:lineRule="exact"/>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参加政府采购活动前三年内，在经营活动中没有重大违法记录；（2）拒绝列入政府取消投标资格记录期间的企业或个人投标；（3）对在“信用中国”网站(www.creditchina.gov.cn)存在失信被执行人、重大税收违法失信主体、政府采购严重违法失信行为记录名单，被中国政府采购网(www.ccgp.gov.cn)列入政府采购严重违法失信行为记录名单（详见财库[2016]125号文件），被工商行政管理机关在国家企业信用信息公示系统（http://www.gsxt.gov.cn/index.html）中列入经营异常名录或严重违法失信企业名单及其他不符合《中华人民共和国政府采购法》第二十二条规定条件的供应商，不得参与政府采购活动（查询截止时点：本项目招标公告发布之日起到响应文件提交截止时间期间）；</w:t>
            </w:r>
          </w:p>
          <w:p w14:paraId="2862A648">
            <w:pPr>
              <w:keepNext w:val="0"/>
              <w:keepLines w:val="0"/>
              <w:pageBreakBefore w:val="0"/>
              <w:widowControl w:val="0"/>
              <w:kinsoku/>
              <w:wordWrap/>
              <w:overflowPunct/>
              <w:topLinePunct w:val="0"/>
              <w:bidi w:val="0"/>
              <w:adjustRightInd/>
              <w:snapToGrid w:val="0"/>
              <w:spacing w:line="400" w:lineRule="exact"/>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zh-CN" w:eastAsia="zh-CN"/>
              </w:rPr>
              <w:t>中</w:t>
            </w:r>
            <w:r>
              <w:rPr>
                <w:rFonts w:hint="eastAsia" w:ascii="宋体" w:hAnsi="宋体" w:eastAsia="宋体" w:cs="宋体"/>
                <w:color w:val="auto"/>
                <w:sz w:val="24"/>
                <w:szCs w:val="24"/>
                <w:highlight w:val="none"/>
                <w:lang w:val="zh-CN"/>
              </w:rPr>
              <w:t>提供由法定代表人或其委托代理人签字并加盖</w:t>
            </w:r>
            <w:r>
              <w:rPr>
                <w:rFonts w:hint="eastAsia" w:ascii="宋体" w:hAnsi="宋体" w:cs="宋体"/>
                <w:color w:val="auto"/>
                <w:sz w:val="24"/>
                <w:szCs w:val="24"/>
                <w:highlight w:val="none"/>
                <w:lang w:val="zh-CN"/>
              </w:rPr>
              <w:t>供应商</w:t>
            </w:r>
            <w:r>
              <w:rPr>
                <w:rFonts w:hint="eastAsia" w:ascii="宋体" w:hAnsi="宋体" w:eastAsia="宋体" w:cs="宋体"/>
                <w:color w:val="auto"/>
                <w:sz w:val="24"/>
                <w:szCs w:val="24"/>
                <w:highlight w:val="none"/>
                <w:lang w:val="zh-CN"/>
              </w:rPr>
              <w:t>公章的承诺书。</w:t>
            </w:r>
          </w:p>
        </w:tc>
      </w:tr>
      <w:tr w14:paraId="0CCB7E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072" w:type="dxa"/>
            <w:vMerge w:val="continue"/>
            <w:tcBorders>
              <w:right w:val="single" w:color="auto" w:sz="4" w:space="0"/>
            </w:tcBorders>
            <w:vAlign w:val="center"/>
          </w:tcPr>
          <w:p w14:paraId="3B685936">
            <w:pPr>
              <w:keepNext w:val="0"/>
              <w:keepLines w:val="0"/>
              <w:pageBreakBefore w:val="0"/>
              <w:widowControl w:val="0"/>
              <w:kinsoku/>
              <w:wordWrap/>
              <w:overflowPunct/>
              <w:topLinePunct w:val="0"/>
              <w:bidi w:val="0"/>
              <w:adjustRightInd/>
              <w:spacing w:line="400" w:lineRule="exact"/>
              <w:jc w:val="both"/>
              <w:textAlignment w:val="auto"/>
              <w:rPr>
                <w:rFonts w:hint="eastAsia" w:ascii="宋体" w:hAnsi="宋体" w:eastAsia="宋体" w:cs="宋体"/>
                <w:color w:val="auto"/>
                <w:sz w:val="24"/>
                <w:szCs w:val="24"/>
                <w:highlight w:val="none"/>
              </w:rPr>
            </w:pPr>
          </w:p>
        </w:tc>
        <w:tc>
          <w:tcPr>
            <w:tcW w:w="1790" w:type="dxa"/>
            <w:tcBorders>
              <w:top w:val="single" w:color="auto" w:sz="4" w:space="0"/>
              <w:left w:val="single" w:color="auto" w:sz="4" w:space="0"/>
              <w:bottom w:val="single" w:color="auto" w:sz="4" w:space="0"/>
              <w:right w:val="single" w:color="auto" w:sz="4" w:space="0"/>
            </w:tcBorders>
            <w:vAlign w:val="center"/>
          </w:tcPr>
          <w:p w14:paraId="29B29415">
            <w:pPr>
              <w:keepNext w:val="0"/>
              <w:keepLines w:val="0"/>
              <w:pageBreakBefore w:val="0"/>
              <w:widowControl w:val="0"/>
              <w:kinsoku/>
              <w:wordWrap/>
              <w:overflowPunct/>
              <w:topLinePunct w:val="0"/>
              <w:bidi w:val="0"/>
              <w:adjustRightIn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中小企业声明函</w:t>
            </w:r>
          </w:p>
        </w:tc>
        <w:tc>
          <w:tcPr>
            <w:tcW w:w="6843" w:type="dxa"/>
            <w:tcBorders>
              <w:top w:val="single" w:color="auto" w:sz="4" w:space="0"/>
              <w:left w:val="single" w:color="auto" w:sz="4" w:space="0"/>
              <w:bottom w:val="single" w:color="auto" w:sz="4" w:space="0"/>
              <w:right w:val="single" w:color="auto" w:sz="4" w:space="0"/>
            </w:tcBorders>
            <w:vAlign w:val="center"/>
          </w:tcPr>
          <w:p w14:paraId="4CA9C7B3">
            <w:pPr>
              <w:keepNext w:val="0"/>
              <w:keepLines w:val="0"/>
              <w:pageBreakBefore w:val="0"/>
              <w:widowControl w:val="0"/>
              <w:kinsoku/>
              <w:wordWrap/>
              <w:overflowPunct/>
              <w:topLinePunct w:val="0"/>
              <w:autoSpaceDE w:val="0"/>
              <w:autoSpaceDN w:val="0"/>
              <w:bidi w:val="0"/>
              <w:adjustRightInd/>
              <w:spacing w:line="400" w:lineRule="exact"/>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内提供有效的中小企业声明函加盖</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公章。</w:t>
            </w:r>
          </w:p>
        </w:tc>
      </w:tr>
    </w:tbl>
    <w:p w14:paraId="6109063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420" w:firstLineChars="200"/>
        <w:jc w:val="left"/>
        <w:outlineLvl w:val="9"/>
        <w:rPr>
          <w:rFonts w:hint="eastAsia" w:ascii="宋体" w:hAnsi="宋体" w:eastAsia="宋体" w:cs="宋体"/>
          <w:b w:val="0"/>
          <w:bCs w:val="0"/>
          <w:caps w:val="0"/>
          <w:color w:val="auto"/>
          <w:kern w:val="0"/>
          <w:sz w:val="21"/>
          <w:szCs w:val="21"/>
          <w:highlight w:val="none"/>
          <w:vertAlign w:val="baseline"/>
          <w:lang w:val="zh-CN" w:eastAsia="zh-CN" w:bidi="ar"/>
        </w:rPr>
      </w:pPr>
    </w:p>
    <w:p w14:paraId="030F4FD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420" w:firstLineChars="200"/>
        <w:jc w:val="left"/>
        <w:outlineLvl w:val="9"/>
        <w:rPr>
          <w:rFonts w:hint="eastAsia" w:ascii="宋体" w:hAnsi="宋体" w:eastAsia="宋体" w:cs="宋体"/>
          <w:caps w:val="0"/>
          <w:color w:val="auto"/>
          <w:sz w:val="21"/>
          <w:szCs w:val="21"/>
          <w:highlight w:val="none"/>
          <w:vertAlign w:val="baseline"/>
          <w:lang w:val="zh-CN" w:eastAsia="zh-CN" w:bidi="ar"/>
        </w:rPr>
      </w:pPr>
      <w:r>
        <w:rPr>
          <w:rFonts w:hint="eastAsia" w:ascii="宋体" w:hAnsi="宋体" w:eastAsia="宋体" w:cs="宋体"/>
          <w:b w:val="0"/>
          <w:bCs w:val="0"/>
          <w:caps w:val="0"/>
          <w:color w:val="auto"/>
          <w:kern w:val="0"/>
          <w:sz w:val="21"/>
          <w:szCs w:val="21"/>
          <w:highlight w:val="none"/>
          <w:vertAlign w:val="baseline"/>
          <w:lang w:val="zh-CN" w:eastAsia="zh-CN" w:bidi="ar"/>
        </w:rPr>
        <w:t>注：（1）上述内容中有一项不合格，则资格审查不合格，不进入符合性审查、详细评审；</w:t>
      </w:r>
    </w:p>
    <w:p w14:paraId="5731531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420" w:firstLineChars="200"/>
        <w:jc w:val="left"/>
        <w:outlineLvl w:val="9"/>
        <w:rPr>
          <w:rFonts w:hint="eastAsia" w:ascii="宋体" w:hAnsi="宋体" w:eastAsia="宋体" w:cs="宋体"/>
          <w:caps w:val="0"/>
          <w:color w:val="auto"/>
          <w:sz w:val="21"/>
          <w:szCs w:val="21"/>
          <w:highlight w:val="none"/>
          <w:vertAlign w:val="baseline"/>
          <w:lang w:val="zh-CN" w:eastAsia="zh-CN" w:bidi="ar"/>
        </w:rPr>
      </w:pPr>
      <w:r>
        <w:rPr>
          <w:rFonts w:hint="eastAsia" w:ascii="宋体" w:hAnsi="宋体" w:eastAsia="宋体" w:cs="宋体"/>
          <w:b w:val="0"/>
          <w:bCs w:val="0"/>
          <w:caps w:val="0"/>
          <w:color w:val="auto"/>
          <w:kern w:val="0"/>
          <w:sz w:val="21"/>
          <w:szCs w:val="21"/>
          <w:highlight w:val="none"/>
          <w:vertAlign w:val="baseline"/>
          <w:lang w:val="zh-CN" w:eastAsia="zh-CN" w:bidi="ar"/>
        </w:rPr>
        <w:t>（2）上述审查内容如某一证件正在年检或换证，需年检或换证部门出具有效证明方可确认；</w:t>
      </w:r>
    </w:p>
    <w:p w14:paraId="31A9C33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420" w:firstLineChars="200"/>
        <w:jc w:val="left"/>
        <w:outlineLvl w:val="9"/>
        <w:rPr>
          <w:rFonts w:hint="eastAsia" w:ascii="宋体" w:hAnsi="宋体" w:eastAsia="宋体" w:cs="宋体"/>
          <w:caps w:val="0"/>
          <w:color w:val="auto"/>
          <w:sz w:val="21"/>
          <w:szCs w:val="21"/>
          <w:highlight w:val="none"/>
          <w:vertAlign w:val="baseline"/>
          <w:lang w:val="zh-CN" w:eastAsia="zh-CN" w:bidi="ar"/>
        </w:rPr>
      </w:pPr>
      <w:r>
        <w:rPr>
          <w:rFonts w:hint="eastAsia" w:ascii="宋体" w:hAnsi="宋体" w:eastAsia="宋体" w:cs="宋体"/>
          <w:b w:val="0"/>
          <w:bCs w:val="0"/>
          <w:caps w:val="0"/>
          <w:color w:val="auto"/>
          <w:kern w:val="0"/>
          <w:sz w:val="21"/>
          <w:szCs w:val="21"/>
          <w:highlight w:val="none"/>
          <w:vertAlign w:val="baseline"/>
          <w:lang w:val="zh-CN" w:eastAsia="zh-CN" w:bidi="ar"/>
        </w:rPr>
        <w:t>（3）资格审查结束后，合格的</w:t>
      </w:r>
      <w:r>
        <w:rPr>
          <w:rFonts w:hint="eastAsia" w:ascii="宋体" w:hAnsi="宋体" w:cs="宋体"/>
          <w:b w:val="0"/>
          <w:bCs w:val="0"/>
          <w:caps w:val="0"/>
          <w:color w:val="auto"/>
          <w:kern w:val="0"/>
          <w:sz w:val="21"/>
          <w:szCs w:val="21"/>
          <w:highlight w:val="none"/>
          <w:vertAlign w:val="baseline"/>
          <w:lang w:val="en-US" w:eastAsia="zh-CN" w:bidi="ar"/>
        </w:rPr>
        <w:t>供应商</w:t>
      </w:r>
      <w:r>
        <w:rPr>
          <w:rFonts w:hint="eastAsia" w:ascii="宋体" w:hAnsi="宋体" w:eastAsia="宋体" w:cs="宋体"/>
          <w:b w:val="0"/>
          <w:bCs w:val="0"/>
          <w:caps w:val="0"/>
          <w:color w:val="auto"/>
          <w:kern w:val="0"/>
          <w:sz w:val="21"/>
          <w:szCs w:val="21"/>
          <w:highlight w:val="none"/>
          <w:vertAlign w:val="baseline"/>
          <w:lang w:val="zh-CN" w:eastAsia="zh-CN" w:bidi="ar"/>
        </w:rPr>
        <w:t>进入符合性审查。</w:t>
      </w:r>
    </w:p>
    <w:p w14:paraId="1B3E92C6">
      <w:pPr>
        <w:pStyle w:val="21"/>
        <w:spacing w:before="0" w:beforeAutospacing="0" w:after="0" w:afterAutospacing="0" w:line="360" w:lineRule="auto"/>
        <w:rPr>
          <w:rFonts w:hint="eastAsia" w:ascii="宋体" w:hAnsi="宋体" w:eastAsia="宋体" w:cs="宋体"/>
          <w:color w:val="auto"/>
          <w:sz w:val="21"/>
          <w:szCs w:val="21"/>
          <w:highlight w:val="none"/>
        </w:rPr>
      </w:pPr>
    </w:p>
    <w:p w14:paraId="311C4FB0">
      <w:pPr>
        <w:rPr>
          <w:rFonts w:hint="eastAsia" w:ascii="宋体" w:hAnsi="宋体" w:eastAsia="宋体" w:cs="宋体"/>
          <w:color w:val="auto"/>
          <w:sz w:val="24"/>
          <w:highlight w:val="none"/>
          <w:lang w:val="zh-CN"/>
        </w:rPr>
      </w:pPr>
      <w:r>
        <w:rPr>
          <w:rFonts w:hint="eastAsia" w:ascii="宋体" w:hAnsi="宋体" w:eastAsia="宋体" w:cs="宋体"/>
          <w:color w:val="auto"/>
          <w:szCs w:val="21"/>
          <w:highlight w:val="none"/>
        </w:rPr>
        <w:br w:type="page"/>
      </w:r>
    </w:p>
    <w:p w14:paraId="19CBAAAD">
      <w:pPr>
        <w:autoSpaceDN w:val="0"/>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（二）符合性审查表</w:t>
      </w:r>
    </w:p>
    <w:p w14:paraId="571F060E">
      <w:pPr>
        <w:autoSpaceDN w:val="0"/>
        <w:adjustRightInd w:val="0"/>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符合性审查表</w:t>
      </w:r>
    </w:p>
    <w:tbl>
      <w:tblPr>
        <w:tblStyle w:val="26"/>
        <w:tblW w:w="92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01"/>
        <w:gridCol w:w="6578"/>
      </w:tblGrid>
      <w:tr w14:paraId="0EBAD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blHeader/>
          <w:jc w:val="center"/>
        </w:trPr>
        <w:tc>
          <w:tcPr>
            <w:tcW w:w="2701" w:type="dxa"/>
            <w:tcBorders>
              <w:top w:val="single" w:color="auto" w:sz="4" w:space="0"/>
              <w:left w:val="single" w:color="auto" w:sz="4" w:space="0"/>
              <w:bottom w:val="single" w:color="auto" w:sz="4" w:space="0"/>
              <w:right w:val="single" w:color="auto" w:sz="4" w:space="0"/>
            </w:tcBorders>
            <w:vAlign w:val="center"/>
          </w:tcPr>
          <w:p w14:paraId="398A4692">
            <w:pPr>
              <w:spacing w:line="30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评审因素</w:t>
            </w:r>
          </w:p>
        </w:tc>
        <w:tc>
          <w:tcPr>
            <w:tcW w:w="6578" w:type="dxa"/>
            <w:tcBorders>
              <w:top w:val="single" w:color="auto" w:sz="4" w:space="0"/>
              <w:left w:val="single" w:color="auto" w:sz="4" w:space="0"/>
              <w:bottom w:val="single" w:color="auto" w:sz="4" w:space="0"/>
              <w:right w:val="single" w:color="auto" w:sz="4" w:space="0"/>
            </w:tcBorders>
            <w:vAlign w:val="center"/>
          </w:tcPr>
          <w:p w14:paraId="2D942EB7">
            <w:pPr>
              <w:spacing w:line="30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评审标准</w:t>
            </w:r>
          </w:p>
        </w:tc>
      </w:tr>
      <w:tr w14:paraId="48792F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14:paraId="396D57F0">
            <w:pPr>
              <w:spacing w:line="24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p>
        </w:tc>
        <w:tc>
          <w:tcPr>
            <w:tcW w:w="6578" w:type="dxa"/>
            <w:tcBorders>
              <w:top w:val="single" w:color="auto" w:sz="4" w:space="0"/>
              <w:left w:val="single" w:color="auto" w:sz="4" w:space="0"/>
              <w:bottom w:val="single" w:color="auto" w:sz="4" w:space="0"/>
              <w:right w:val="single" w:color="auto" w:sz="4" w:space="0"/>
            </w:tcBorders>
            <w:vAlign w:val="center"/>
          </w:tcPr>
          <w:p w14:paraId="064DE426">
            <w:pPr>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与营业执照一致。</w:t>
            </w:r>
          </w:p>
        </w:tc>
      </w:tr>
      <w:tr w14:paraId="3ABCC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14:paraId="373B2A05">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投标函签字盖章</w:t>
            </w:r>
          </w:p>
        </w:tc>
        <w:tc>
          <w:tcPr>
            <w:tcW w:w="6578" w:type="dxa"/>
            <w:tcBorders>
              <w:top w:val="single" w:color="auto" w:sz="4" w:space="0"/>
              <w:left w:val="single" w:color="auto" w:sz="4" w:space="0"/>
              <w:bottom w:val="single" w:color="auto" w:sz="4" w:space="0"/>
              <w:right w:val="single" w:color="auto" w:sz="4" w:space="0"/>
            </w:tcBorders>
            <w:vAlign w:val="center"/>
          </w:tcPr>
          <w:p w14:paraId="56B4DCE9">
            <w:pPr>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有法定代表人或其委托代理人签字和加盖单位章。</w:t>
            </w:r>
          </w:p>
        </w:tc>
      </w:tr>
      <w:tr w14:paraId="362C7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14:paraId="043525EF">
            <w:pPr>
              <w:spacing w:line="24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格式</w:t>
            </w:r>
          </w:p>
        </w:tc>
        <w:tc>
          <w:tcPr>
            <w:tcW w:w="6578" w:type="dxa"/>
            <w:tcBorders>
              <w:top w:val="single" w:color="auto" w:sz="4" w:space="0"/>
              <w:left w:val="single" w:color="auto" w:sz="4" w:space="0"/>
              <w:bottom w:val="single" w:color="auto" w:sz="4" w:space="0"/>
              <w:right w:val="single" w:color="auto" w:sz="4" w:space="0"/>
            </w:tcBorders>
            <w:vAlign w:val="center"/>
          </w:tcPr>
          <w:p w14:paraId="12F2B19F">
            <w:pPr>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格式”的要求。</w:t>
            </w:r>
          </w:p>
        </w:tc>
      </w:tr>
      <w:tr w14:paraId="4AF10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14:paraId="25E60155">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报价唯一</w:t>
            </w:r>
          </w:p>
        </w:tc>
        <w:tc>
          <w:tcPr>
            <w:tcW w:w="6578" w:type="dxa"/>
            <w:tcBorders>
              <w:top w:val="single" w:color="auto" w:sz="4" w:space="0"/>
              <w:left w:val="single" w:color="auto" w:sz="4" w:space="0"/>
              <w:bottom w:val="single" w:color="auto" w:sz="4" w:space="0"/>
              <w:right w:val="single" w:color="auto" w:sz="4" w:space="0"/>
            </w:tcBorders>
            <w:vAlign w:val="center"/>
          </w:tcPr>
          <w:p w14:paraId="2FA3BC8F">
            <w:pPr>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只能有一个有效报价。</w:t>
            </w:r>
          </w:p>
        </w:tc>
      </w:tr>
      <w:tr w14:paraId="4D31C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14:paraId="52A28C4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6578" w:type="dxa"/>
            <w:tcBorders>
              <w:top w:val="single" w:color="auto" w:sz="4" w:space="0"/>
              <w:left w:val="single" w:color="auto" w:sz="4" w:space="0"/>
              <w:bottom w:val="single" w:color="auto" w:sz="4" w:space="0"/>
              <w:right w:val="single" w:color="auto" w:sz="4" w:space="0"/>
            </w:tcBorders>
            <w:vAlign w:val="center"/>
          </w:tcPr>
          <w:p w14:paraId="7CE3281E">
            <w:pPr>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不超过</w:t>
            </w:r>
            <w:r>
              <w:rPr>
                <w:rFonts w:hint="eastAsia" w:ascii="宋体" w:hAnsi="宋体" w:cs="宋体"/>
                <w:color w:val="auto"/>
                <w:sz w:val="24"/>
                <w:szCs w:val="24"/>
                <w:highlight w:val="none"/>
                <w:lang w:val="en-US" w:eastAsia="zh-CN"/>
              </w:rPr>
              <w:t>最高投标限价</w:t>
            </w:r>
            <w:r>
              <w:rPr>
                <w:rFonts w:hint="eastAsia" w:ascii="宋体" w:hAnsi="宋体" w:eastAsia="宋体" w:cs="宋体"/>
                <w:color w:val="auto"/>
                <w:sz w:val="24"/>
                <w:szCs w:val="24"/>
                <w:highlight w:val="none"/>
              </w:rPr>
              <w:t>。</w:t>
            </w:r>
          </w:p>
        </w:tc>
      </w:tr>
      <w:tr w14:paraId="410A9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14:paraId="652E8F1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投标内容</w:t>
            </w:r>
          </w:p>
        </w:tc>
        <w:tc>
          <w:tcPr>
            <w:tcW w:w="6578" w:type="dxa"/>
            <w:tcBorders>
              <w:top w:val="single" w:color="auto" w:sz="4" w:space="0"/>
              <w:left w:val="single" w:color="auto" w:sz="4" w:space="0"/>
              <w:bottom w:val="single" w:color="auto" w:sz="4" w:space="0"/>
              <w:right w:val="single" w:color="auto" w:sz="4" w:space="0"/>
            </w:tcBorders>
            <w:vAlign w:val="center"/>
          </w:tcPr>
          <w:p w14:paraId="37A2C1DD">
            <w:pPr>
              <w:spacing w:line="240" w:lineRule="auto"/>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符合</w:t>
            </w:r>
            <w:r>
              <w:rPr>
                <w:rFonts w:hint="eastAsia" w:ascii="宋体" w:hAnsi="宋体" w:eastAsia="宋体" w:cs="宋体"/>
                <w:color w:val="auto"/>
                <w:sz w:val="24"/>
                <w:szCs w:val="24"/>
                <w:highlight w:val="none"/>
              </w:rPr>
              <w:t>招标文件要求。</w:t>
            </w:r>
          </w:p>
        </w:tc>
      </w:tr>
      <w:tr w14:paraId="57427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14:paraId="4EA140B7">
            <w:pPr>
              <w:spacing w:line="24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交货时间</w:t>
            </w:r>
          </w:p>
        </w:tc>
        <w:tc>
          <w:tcPr>
            <w:tcW w:w="6578" w:type="dxa"/>
            <w:tcBorders>
              <w:top w:val="single" w:color="auto" w:sz="4" w:space="0"/>
              <w:left w:val="single" w:color="auto" w:sz="4" w:space="0"/>
              <w:bottom w:val="single" w:color="auto" w:sz="4" w:space="0"/>
              <w:right w:val="single" w:color="auto" w:sz="4" w:space="0"/>
            </w:tcBorders>
            <w:vAlign w:val="center"/>
          </w:tcPr>
          <w:p w14:paraId="2DEE6C88">
            <w:pPr>
              <w:spacing w:line="240" w:lineRule="auto"/>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合同签订后120个日历日内</w:t>
            </w:r>
          </w:p>
        </w:tc>
      </w:tr>
      <w:tr w14:paraId="37353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14:paraId="3B8966D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w:t>
            </w:r>
          </w:p>
        </w:tc>
        <w:tc>
          <w:tcPr>
            <w:tcW w:w="6578" w:type="dxa"/>
            <w:tcBorders>
              <w:top w:val="single" w:color="auto" w:sz="4" w:space="0"/>
              <w:left w:val="single" w:color="auto" w:sz="4" w:space="0"/>
              <w:bottom w:val="single" w:color="auto" w:sz="4" w:space="0"/>
              <w:right w:val="single" w:color="auto" w:sz="4" w:space="0"/>
            </w:tcBorders>
            <w:vAlign w:val="center"/>
          </w:tcPr>
          <w:p w14:paraId="7D56350F">
            <w:pPr>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符合国家及行业相关合格标准。</w:t>
            </w:r>
          </w:p>
        </w:tc>
      </w:tr>
      <w:tr w14:paraId="34170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14:paraId="5CC8AF12">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578" w:type="dxa"/>
            <w:tcBorders>
              <w:top w:val="single" w:color="auto" w:sz="4" w:space="0"/>
              <w:left w:val="single" w:color="auto" w:sz="4" w:space="0"/>
              <w:bottom w:val="single" w:color="auto" w:sz="4" w:space="0"/>
              <w:right w:val="single" w:color="auto" w:sz="4" w:space="0"/>
            </w:tcBorders>
            <w:vAlign w:val="center"/>
          </w:tcPr>
          <w:p w14:paraId="6C4D98BC">
            <w:pPr>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90天。</w:t>
            </w:r>
          </w:p>
        </w:tc>
      </w:tr>
      <w:tr w14:paraId="19BF5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14:paraId="4D1CC3FD">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技术规格及要求</w:t>
            </w:r>
          </w:p>
        </w:tc>
        <w:tc>
          <w:tcPr>
            <w:tcW w:w="6578" w:type="dxa"/>
            <w:tcBorders>
              <w:top w:val="single" w:color="auto" w:sz="4" w:space="0"/>
              <w:left w:val="single" w:color="auto" w:sz="4" w:space="0"/>
              <w:bottom w:val="single" w:color="auto" w:sz="4" w:space="0"/>
              <w:right w:val="single" w:color="auto" w:sz="4" w:space="0"/>
            </w:tcBorders>
            <w:vAlign w:val="center"/>
          </w:tcPr>
          <w:p w14:paraId="3397C1EF">
            <w:pPr>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符合招标文件“技术规格与要求（</w:t>
            </w:r>
            <w:r>
              <w:rPr>
                <w:rFonts w:hint="eastAsia" w:ascii="宋体" w:hAnsi="宋体" w:eastAsia="宋体" w:cs="宋体"/>
                <w:color w:val="auto"/>
                <w:sz w:val="24"/>
                <w:szCs w:val="24"/>
                <w:highlight w:val="none"/>
                <w:lang w:val="en-US" w:eastAsia="zh-CN"/>
              </w:rPr>
              <w:t>采购需求</w:t>
            </w:r>
            <w:r>
              <w:rPr>
                <w:rFonts w:hint="eastAsia" w:ascii="宋体" w:hAnsi="宋体" w:eastAsia="宋体" w:cs="宋体"/>
                <w:color w:val="auto"/>
                <w:sz w:val="24"/>
                <w:szCs w:val="24"/>
                <w:highlight w:val="none"/>
                <w:lang w:val="zh-CN"/>
              </w:rPr>
              <w:t>）”规定</w:t>
            </w:r>
            <w:r>
              <w:rPr>
                <w:rFonts w:hint="eastAsia" w:ascii="宋体" w:hAnsi="宋体" w:eastAsia="宋体" w:cs="宋体"/>
                <w:color w:val="auto"/>
                <w:sz w:val="24"/>
                <w:szCs w:val="24"/>
                <w:highlight w:val="none"/>
              </w:rPr>
              <w:t>。</w:t>
            </w:r>
          </w:p>
        </w:tc>
      </w:tr>
      <w:tr w14:paraId="15B5EE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14:paraId="1A11A18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6578" w:type="dxa"/>
            <w:tcBorders>
              <w:top w:val="single" w:color="auto" w:sz="4" w:space="0"/>
              <w:left w:val="single" w:color="auto" w:sz="4" w:space="0"/>
              <w:bottom w:val="single" w:color="auto" w:sz="4" w:space="0"/>
              <w:right w:val="single" w:color="auto" w:sz="4" w:space="0"/>
            </w:tcBorders>
            <w:vAlign w:val="center"/>
          </w:tcPr>
          <w:p w14:paraId="46C48A63">
            <w:pPr>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r>
              <w:rPr>
                <w:rFonts w:hint="eastAsia" w:ascii="宋体" w:hAnsi="宋体" w:eastAsia="宋体" w:cs="宋体"/>
                <w:color w:val="auto"/>
                <w:sz w:val="24"/>
                <w:szCs w:val="24"/>
                <w:highlight w:val="none"/>
                <w:lang w:val="en-US" w:eastAsia="zh-CN"/>
              </w:rPr>
              <w:t>第20</w:t>
            </w:r>
            <w:r>
              <w:rPr>
                <w:rFonts w:hint="eastAsia" w:ascii="宋体" w:hAnsi="宋体" w:eastAsia="宋体" w:cs="宋体"/>
                <w:color w:val="auto"/>
                <w:sz w:val="24"/>
                <w:szCs w:val="24"/>
                <w:highlight w:val="none"/>
              </w:rPr>
              <w:t>项要求。</w:t>
            </w:r>
          </w:p>
        </w:tc>
      </w:tr>
      <w:tr w14:paraId="6E816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3" w:hRule="atLeast"/>
          <w:jc w:val="center"/>
        </w:trPr>
        <w:tc>
          <w:tcPr>
            <w:tcW w:w="2701" w:type="dxa"/>
            <w:tcBorders>
              <w:top w:val="single" w:color="auto" w:sz="4" w:space="0"/>
              <w:left w:val="single" w:color="auto" w:sz="4" w:space="0"/>
              <w:bottom w:val="single" w:color="auto" w:sz="4" w:space="0"/>
              <w:right w:val="single" w:color="auto" w:sz="4" w:space="0"/>
            </w:tcBorders>
            <w:vAlign w:val="center"/>
          </w:tcPr>
          <w:p w14:paraId="0DA0932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6578" w:type="dxa"/>
            <w:tcBorders>
              <w:top w:val="single" w:color="auto" w:sz="4" w:space="0"/>
              <w:left w:val="single" w:color="auto" w:sz="4" w:space="0"/>
              <w:bottom w:val="single" w:color="auto" w:sz="4" w:space="0"/>
              <w:right w:val="single" w:color="auto" w:sz="4" w:space="0"/>
            </w:tcBorders>
            <w:vAlign w:val="center"/>
          </w:tcPr>
          <w:p w14:paraId="7C54FC97">
            <w:pPr>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法律法规及招标文件规定的其他要求。</w:t>
            </w:r>
          </w:p>
        </w:tc>
      </w:tr>
    </w:tbl>
    <w:p w14:paraId="46CB866E">
      <w:pPr>
        <w:spacing w:line="360" w:lineRule="auto"/>
        <w:rPr>
          <w:rFonts w:hint="eastAsia" w:ascii="宋体" w:hAnsi="宋体" w:eastAsia="宋体" w:cs="宋体"/>
          <w:sz w:val="21"/>
          <w:szCs w:val="21"/>
          <w:highlight w:val="none"/>
          <w:lang w:val="zh-CN"/>
        </w:rPr>
      </w:pPr>
    </w:p>
    <w:p w14:paraId="40F49777">
      <w:pPr>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注：（1）</w:t>
      </w:r>
      <w:r>
        <w:rPr>
          <w:rFonts w:hint="eastAsia" w:ascii="宋体" w:hAnsi="宋体" w:cs="宋体"/>
          <w:sz w:val="21"/>
          <w:szCs w:val="21"/>
          <w:highlight w:val="none"/>
          <w:lang w:val="zh-CN"/>
        </w:rPr>
        <w:t>供应商</w:t>
      </w:r>
      <w:r>
        <w:rPr>
          <w:rFonts w:hint="eastAsia" w:ascii="宋体" w:hAnsi="宋体" w:eastAsia="宋体" w:cs="宋体"/>
          <w:sz w:val="21"/>
          <w:szCs w:val="21"/>
          <w:highlight w:val="none"/>
          <w:lang w:val="zh-CN"/>
        </w:rPr>
        <w:t>或其</w:t>
      </w:r>
      <w:r>
        <w:rPr>
          <w:rFonts w:hint="eastAsia" w:ascii="宋体" w:hAnsi="宋体" w:cs="宋体"/>
          <w:sz w:val="21"/>
          <w:szCs w:val="21"/>
          <w:highlight w:val="none"/>
          <w:lang w:val="zh-CN"/>
        </w:rPr>
        <w:t>响应文件</w:t>
      </w:r>
      <w:r>
        <w:rPr>
          <w:rFonts w:hint="eastAsia" w:ascii="宋体" w:hAnsi="宋体" w:eastAsia="宋体" w:cs="宋体"/>
          <w:sz w:val="21"/>
          <w:szCs w:val="21"/>
          <w:highlight w:val="none"/>
          <w:lang w:val="zh-CN"/>
        </w:rPr>
        <w:t>不符合上述情况之一的，则符合性审查不合格，不进入详细评审；</w:t>
      </w:r>
    </w:p>
    <w:p w14:paraId="71D0D1C8">
      <w:pPr>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（2）符合性审查结束后，合格的</w:t>
      </w:r>
      <w:r>
        <w:rPr>
          <w:rFonts w:hint="eastAsia" w:ascii="宋体" w:hAnsi="宋体" w:cs="宋体"/>
          <w:sz w:val="21"/>
          <w:szCs w:val="21"/>
          <w:highlight w:val="none"/>
          <w:lang w:val="zh-CN"/>
        </w:rPr>
        <w:t>供应商</w:t>
      </w:r>
      <w:r>
        <w:rPr>
          <w:rFonts w:hint="eastAsia" w:ascii="宋体" w:hAnsi="宋体" w:eastAsia="宋体" w:cs="宋体"/>
          <w:sz w:val="21"/>
          <w:szCs w:val="21"/>
          <w:highlight w:val="none"/>
          <w:lang w:val="zh-CN"/>
        </w:rPr>
        <w:t>进入详细评审。</w:t>
      </w:r>
    </w:p>
    <w:p w14:paraId="5DF5151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除此之外的内容，不作为本次资格审查及</w:t>
      </w:r>
      <w:r>
        <w:rPr>
          <w:rFonts w:hint="eastAsia" w:ascii="宋体" w:hAnsi="宋体" w:eastAsia="宋体" w:cs="宋体"/>
          <w:sz w:val="21"/>
          <w:szCs w:val="21"/>
          <w:highlight w:val="none"/>
          <w:lang w:val="zh-CN"/>
        </w:rPr>
        <w:t>符合性审查</w:t>
      </w:r>
      <w:r>
        <w:rPr>
          <w:rFonts w:hint="eastAsia" w:ascii="宋体" w:hAnsi="宋体" w:eastAsia="宋体" w:cs="宋体"/>
          <w:sz w:val="21"/>
          <w:szCs w:val="21"/>
          <w:highlight w:val="none"/>
        </w:rPr>
        <w:t>的内容。</w:t>
      </w:r>
    </w:p>
    <w:p w14:paraId="5F2295C7">
      <w:pPr>
        <w:pStyle w:val="69"/>
        <w:ind w:left="720" w:firstLine="0" w:firstLineChars="0"/>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 xml:space="preserve">（三）详细评审 </w:t>
      </w:r>
    </w:p>
    <w:tbl>
      <w:tblPr>
        <w:tblStyle w:val="26"/>
        <w:tblpPr w:leftFromText="180" w:rightFromText="180" w:vertAnchor="text" w:horzAnchor="page" w:tblpXSpec="center" w:tblpY="314"/>
        <w:tblOverlap w:val="never"/>
        <w:tblW w:w="50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849"/>
        <w:gridCol w:w="7457"/>
      </w:tblGrid>
      <w:tr w14:paraId="40207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321" w:type="pct"/>
            <w:gridSpan w:val="2"/>
            <w:noWrap w:val="0"/>
            <w:vAlign w:val="center"/>
          </w:tcPr>
          <w:p w14:paraId="08C0728D">
            <w:pPr>
              <w:keepNext w:val="0"/>
              <w:keepLines w:val="0"/>
              <w:pageBreakBefore w:val="0"/>
              <w:kinsoku/>
              <w:wordWrap/>
              <w:overflowPunct/>
              <w:topLinePunct w:val="0"/>
              <w:bidi w:val="0"/>
              <w:spacing w:line="400" w:lineRule="exact"/>
              <w:ind w:left="0" w:right="0"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评分因素</w:t>
            </w:r>
          </w:p>
        </w:tc>
        <w:tc>
          <w:tcPr>
            <w:tcW w:w="3678" w:type="pct"/>
            <w:noWrap w:val="0"/>
            <w:vAlign w:val="center"/>
          </w:tcPr>
          <w:p w14:paraId="68E6D667">
            <w:pPr>
              <w:keepNext w:val="0"/>
              <w:keepLines w:val="0"/>
              <w:pageBreakBefore w:val="0"/>
              <w:kinsoku/>
              <w:wordWrap/>
              <w:overflowPunct/>
              <w:topLinePunct w:val="0"/>
              <w:bidi w:val="0"/>
              <w:spacing w:line="400" w:lineRule="exact"/>
              <w:ind w:left="0" w:right="0"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r>
      <w:tr w14:paraId="45865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321" w:type="pct"/>
            <w:gridSpan w:val="2"/>
            <w:shd w:val="clear" w:color="auto" w:fill="auto"/>
            <w:noWrap w:val="0"/>
            <w:vAlign w:val="center"/>
          </w:tcPr>
          <w:p w14:paraId="07A20DF7">
            <w:pPr>
              <w:keepNext w:val="0"/>
              <w:keepLines w:val="0"/>
              <w:pageBreakBefore w:val="0"/>
              <w:kinsoku/>
              <w:wordWrap/>
              <w:overflowPunct/>
              <w:topLinePunct w:val="0"/>
              <w:bidi w:val="0"/>
              <w:spacing w:line="400" w:lineRule="exact"/>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3678" w:type="pct"/>
            <w:shd w:val="clear" w:color="auto" w:fill="auto"/>
            <w:noWrap w:val="0"/>
            <w:vAlign w:val="center"/>
          </w:tcPr>
          <w:p w14:paraId="27202B9C">
            <w:pPr>
              <w:keepNext w:val="0"/>
              <w:keepLines w:val="0"/>
              <w:pageBreakBefore w:val="0"/>
              <w:tabs>
                <w:tab w:val="left" w:pos="312"/>
              </w:tabs>
              <w:kinsoku/>
              <w:wordWrap/>
              <w:overflowPunct/>
              <w:topLinePunct w:val="0"/>
              <w:bidi w:val="0"/>
              <w:spacing w:line="40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以满足招标文件要求且报价最低的价格为评标基准价，其价格分为满分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0分，其他供应商的价格分按照下列公式计算：报价得分=（评标基准价/投标报价）×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0，结果保留两位小数。</w:t>
            </w:r>
          </w:p>
        </w:tc>
      </w:tr>
      <w:tr w14:paraId="4E8D9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09" w:type="pct"/>
            <w:vMerge w:val="restart"/>
            <w:shd w:val="clear" w:color="auto" w:fill="auto"/>
            <w:noWrap w:val="0"/>
            <w:vAlign w:val="center"/>
          </w:tcPr>
          <w:p w14:paraId="33D924E6">
            <w:pPr>
              <w:keepNext w:val="0"/>
              <w:keepLines w:val="0"/>
              <w:pageBreakBefore w:val="0"/>
              <w:kinsoku/>
              <w:wordWrap/>
              <w:overflowPunct/>
              <w:topLinePunct w:val="0"/>
              <w:bidi w:val="0"/>
              <w:spacing w:line="400" w:lineRule="exact"/>
              <w:ind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商务部分</w:t>
            </w:r>
            <w:r>
              <w:rPr>
                <w:rFonts w:hint="eastAsia" w:ascii="宋体" w:hAnsi="宋体" w:eastAsia="宋体" w:cs="宋体"/>
                <w:color w:val="auto"/>
                <w:sz w:val="24"/>
                <w:szCs w:val="24"/>
                <w:highlight w:val="none"/>
                <w:lang w:val="en-US" w:eastAsia="zh-CN"/>
              </w:rPr>
              <w:t>14分</w:t>
            </w:r>
          </w:p>
        </w:tc>
        <w:tc>
          <w:tcPr>
            <w:tcW w:w="912" w:type="pct"/>
            <w:shd w:val="clear" w:color="auto" w:fill="auto"/>
            <w:noWrap w:val="0"/>
            <w:vAlign w:val="center"/>
          </w:tcPr>
          <w:p w14:paraId="5B0A7C2C">
            <w:pPr>
              <w:keepNext w:val="0"/>
              <w:keepLines w:val="0"/>
              <w:pageBreakBefore w:val="0"/>
              <w:kinsoku/>
              <w:wordWrap/>
              <w:overflowPunct/>
              <w:topLinePunct w:val="0"/>
              <w:bidi w:val="0"/>
              <w:spacing w:line="400" w:lineRule="exact"/>
              <w:ind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类似业绩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6分</w:t>
            </w:r>
            <w:r>
              <w:rPr>
                <w:rFonts w:hint="eastAsia" w:ascii="宋体" w:hAnsi="宋体" w:eastAsia="宋体" w:cs="宋体"/>
                <w:color w:val="auto"/>
                <w:sz w:val="24"/>
                <w:szCs w:val="24"/>
                <w:highlight w:val="none"/>
                <w:lang w:eastAsia="zh-CN"/>
              </w:rPr>
              <w:t>）</w:t>
            </w:r>
          </w:p>
        </w:tc>
        <w:tc>
          <w:tcPr>
            <w:tcW w:w="3678" w:type="pct"/>
            <w:shd w:val="clear" w:color="auto" w:fill="auto"/>
            <w:noWrap w:val="0"/>
            <w:vAlign w:val="center"/>
          </w:tcPr>
          <w:p w14:paraId="451CC602">
            <w:pPr>
              <w:pStyle w:val="70"/>
              <w:keepNext w:val="0"/>
              <w:keepLines w:val="0"/>
              <w:pageBreakBefore w:val="0"/>
              <w:widowControl/>
              <w:kinsoku/>
              <w:wordWrap/>
              <w:overflowPunct/>
              <w:topLinePunct w:val="0"/>
              <w:bidi w:val="0"/>
              <w:adjustRightInd w:val="0"/>
              <w:snapToGrid w:val="0"/>
              <w:spacing w:line="40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年至今完成的</w:t>
            </w:r>
            <w:r>
              <w:rPr>
                <w:rFonts w:hint="eastAsia" w:ascii="宋体" w:hAnsi="宋体" w:eastAsia="宋体" w:cs="宋体"/>
                <w:color w:val="auto"/>
                <w:sz w:val="24"/>
                <w:szCs w:val="24"/>
                <w:highlight w:val="none"/>
                <w:lang w:val="en-US" w:eastAsia="zh-CN"/>
              </w:rPr>
              <w:t>类似项目</w:t>
            </w:r>
            <w:r>
              <w:rPr>
                <w:rFonts w:hint="eastAsia" w:ascii="宋体" w:hAnsi="宋体" w:eastAsia="宋体" w:cs="宋体"/>
                <w:color w:val="auto"/>
                <w:sz w:val="24"/>
                <w:szCs w:val="24"/>
                <w:highlight w:val="none"/>
              </w:rPr>
              <w:t>业绩，每提供一个得2分，最高得6分；</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内附中标通知书或供书合同</w:t>
            </w:r>
            <w:r>
              <w:rPr>
                <w:rFonts w:hint="eastAsia" w:ascii="宋体" w:hAnsi="宋体" w:eastAsia="宋体" w:cs="宋体"/>
                <w:color w:val="auto"/>
                <w:sz w:val="24"/>
                <w:szCs w:val="24"/>
                <w:highlight w:val="none"/>
                <w:lang w:eastAsia="zh-CN"/>
              </w:rPr>
              <w:t>扫描件加盖公章</w:t>
            </w:r>
            <w:r>
              <w:rPr>
                <w:rFonts w:hint="eastAsia" w:ascii="宋体" w:hAnsi="宋体" w:eastAsia="宋体" w:cs="宋体"/>
                <w:color w:val="auto"/>
                <w:sz w:val="24"/>
                <w:szCs w:val="24"/>
                <w:highlight w:val="none"/>
              </w:rPr>
              <w:t>。</w:t>
            </w:r>
          </w:p>
        </w:tc>
      </w:tr>
      <w:tr w14:paraId="7AC6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09" w:type="pct"/>
            <w:vMerge w:val="continue"/>
            <w:shd w:val="clear" w:color="auto" w:fill="auto"/>
            <w:noWrap w:val="0"/>
            <w:vAlign w:val="center"/>
          </w:tcPr>
          <w:p w14:paraId="1DC9F0F3">
            <w:pPr>
              <w:keepNext w:val="0"/>
              <w:keepLines w:val="0"/>
              <w:pageBreakBefore w:val="0"/>
              <w:kinsoku/>
              <w:wordWrap/>
              <w:overflowPunct/>
              <w:topLinePunct w:val="0"/>
              <w:autoSpaceDE w:val="0"/>
              <w:autoSpaceDN w:val="0"/>
              <w:bidi w:val="0"/>
              <w:adjustRightInd w:val="0"/>
              <w:spacing w:line="400" w:lineRule="exact"/>
              <w:ind w:left="0" w:right="0" w:firstLine="480" w:firstLineChars="200"/>
              <w:jc w:val="center"/>
              <w:textAlignment w:val="auto"/>
              <w:rPr>
                <w:rFonts w:hint="eastAsia" w:ascii="宋体" w:hAnsi="宋体" w:eastAsia="宋体" w:cs="宋体"/>
                <w:color w:val="auto"/>
                <w:sz w:val="24"/>
                <w:szCs w:val="24"/>
                <w:highlight w:val="none"/>
              </w:rPr>
            </w:pPr>
          </w:p>
        </w:tc>
        <w:tc>
          <w:tcPr>
            <w:tcW w:w="912" w:type="pct"/>
            <w:shd w:val="clear" w:color="auto" w:fill="auto"/>
            <w:noWrap w:val="0"/>
            <w:vAlign w:val="center"/>
          </w:tcPr>
          <w:p w14:paraId="2FF4E838">
            <w:pPr>
              <w:pStyle w:val="74"/>
              <w:keepNext w:val="0"/>
              <w:keepLines w:val="0"/>
              <w:pageBreakBefore w:val="0"/>
              <w:kinsoku/>
              <w:wordWrap/>
              <w:overflowPunct/>
              <w:topLinePunct w:val="0"/>
              <w:bidi w:val="0"/>
              <w:spacing w:line="400" w:lineRule="exact"/>
              <w:jc w:val="center"/>
              <w:textAlignment w:val="auto"/>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优惠条件</w:t>
            </w:r>
          </w:p>
          <w:p w14:paraId="154D2E4C">
            <w:pPr>
              <w:pStyle w:val="74"/>
              <w:keepNext w:val="0"/>
              <w:keepLines w:val="0"/>
              <w:pageBreakBefore w:val="0"/>
              <w:kinsoku/>
              <w:wordWrap/>
              <w:overflowPunct/>
              <w:topLinePunct w:val="0"/>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lang w:val="en-US" w:eastAsia="zh-CN"/>
              </w:rPr>
              <w:t>4</w:t>
            </w:r>
            <w:r>
              <w:rPr>
                <w:rFonts w:hint="eastAsia" w:ascii="宋体" w:hAnsi="宋体" w:eastAsia="宋体" w:cs="宋体"/>
                <w:color w:val="auto"/>
                <w:spacing w:val="-2"/>
                <w:sz w:val="24"/>
                <w:szCs w:val="24"/>
              </w:rPr>
              <w:t>分）</w:t>
            </w:r>
          </w:p>
        </w:tc>
        <w:tc>
          <w:tcPr>
            <w:tcW w:w="3678" w:type="pct"/>
            <w:shd w:val="clear" w:color="auto" w:fill="auto"/>
            <w:noWrap w:val="0"/>
            <w:vAlign w:val="center"/>
          </w:tcPr>
          <w:p w14:paraId="57629822">
            <w:pPr>
              <w:keepNext w:val="0"/>
              <w:keepLines w:val="0"/>
              <w:pageBreakBefore w:val="0"/>
              <w:kinsoku/>
              <w:wordWrap/>
              <w:overflowPunct/>
              <w:topLinePunct w:val="0"/>
              <w:bidi w:val="0"/>
              <w:adjustRightInd w:val="0"/>
              <w:snapToGrid w:val="0"/>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olor w:val="auto"/>
                <w:sz w:val="24"/>
                <w:szCs w:val="24"/>
                <w:lang w:val="en-US" w:eastAsia="zh-CN"/>
              </w:rPr>
              <w:t>每有一条实质性的优惠条件加1分，最多4分</w:t>
            </w:r>
            <w:r>
              <w:rPr>
                <w:rFonts w:hint="eastAsia" w:ascii="宋体" w:hAnsi="宋体" w:eastAsia="宋体" w:cs="宋体"/>
                <w:color w:val="auto"/>
                <w:spacing w:val="4"/>
                <w:sz w:val="24"/>
                <w:szCs w:val="24"/>
              </w:rPr>
              <w:t>。</w:t>
            </w:r>
          </w:p>
        </w:tc>
      </w:tr>
      <w:tr w14:paraId="4FEA2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09" w:type="pct"/>
            <w:vMerge w:val="continue"/>
            <w:shd w:val="clear" w:color="auto" w:fill="auto"/>
            <w:noWrap w:val="0"/>
            <w:vAlign w:val="center"/>
          </w:tcPr>
          <w:p w14:paraId="12E39E64">
            <w:pPr>
              <w:keepNext w:val="0"/>
              <w:keepLines w:val="0"/>
              <w:pageBreakBefore w:val="0"/>
              <w:kinsoku/>
              <w:wordWrap/>
              <w:overflowPunct/>
              <w:topLinePunct w:val="0"/>
              <w:autoSpaceDE w:val="0"/>
              <w:autoSpaceDN w:val="0"/>
              <w:bidi w:val="0"/>
              <w:adjustRightInd w:val="0"/>
              <w:spacing w:line="400" w:lineRule="exact"/>
              <w:ind w:left="0" w:right="0" w:firstLine="480" w:firstLineChars="200"/>
              <w:jc w:val="center"/>
              <w:textAlignment w:val="auto"/>
              <w:rPr>
                <w:rFonts w:hint="eastAsia" w:ascii="宋体" w:hAnsi="宋体" w:eastAsia="宋体" w:cs="宋体"/>
                <w:color w:val="auto"/>
                <w:sz w:val="24"/>
                <w:szCs w:val="24"/>
                <w:highlight w:val="none"/>
              </w:rPr>
            </w:pPr>
          </w:p>
        </w:tc>
        <w:tc>
          <w:tcPr>
            <w:tcW w:w="912" w:type="pct"/>
            <w:shd w:val="clear" w:color="auto" w:fill="auto"/>
            <w:noWrap w:val="0"/>
            <w:vAlign w:val="center"/>
          </w:tcPr>
          <w:p w14:paraId="4431E85E">
            <w:pPr>
              <w:pStyle w:val="74"/>
              <w:keepNext w:val="0"/>
              <w:keepLines w:val="0"/>
              <w:pageBreakBefore w:val="0"/>
              <w:kinsoku/>
              <w:wordWrap/>
              <w:overflowPunct/>
              <w:topLinePunct w:val="0"/>
              <w:bidi w:val="0"/>
              <w:spacing w:line="400" w:lineRule="exact"/>
              <w:jc w:val="center"/>
              <w:textAlignment w:val="auto"/>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服务承诺</w:t>
            </w:r>
          </w:p>
          <w:p w14:paraId="37946557">
            <w:pPr>
              <w:pStyle w:val="74"/>
              <w:keepNext w:val="0"/>
              <w:keepLines w:val="0"/>
              <w:pageBreakBefore w:val="0"/>
              <w:kinsoku/>
              <w:wordWrap/>
              <w:overflowPunct/>
              <w:topLinePunct w:val="0"/>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lang w:val="en-US" w:eastAsia="zh-CN"/>
              </w:rPr>
              <w:t>4</w:t>
            </w:r>
            <w:r>
              <w:rPr>
                <w:rFonts w:hint="eastAsia" w:ascii="宋体" w:hAnsi="宋体" w:eastAsia="宋体" w:cs="宋体"/>
                <w:color w:val="auto"/>
                <w:spacing w:val="-2"/>
                <w:sz w:val="24"/>
                <w:szCs w:val="24"/>
              </w:rPr>
              <w:t>分）</w:t>
            </w:r>
          </w:p>
        </w:tc>
        <w:tc>
          <w:tcPr>
            <w:tcW w:w="3678" w:type="pct"/>
            <w:shd w:val="clear" w:color="auto" w:fill="auto"/>
            <w:noWrap w:val="0"/>
            <w:vAlign w:val="center"/>
          </w:tcPr>
          <w:p w14:paraId="1CD1907B">
            <w:pPr>
              <w:keepNext w:val="0"/>
              <w:keepLines w:val="0"/>
              <w:pageBreakBefore w:val="0"/>
              <w:kinsoku/>
              <w:wordWrap/>
              <w:overflowPunct/>
              <w:topLinePunct w:val="0"/>
              <w:bidi w:val="0"/>
              <w:adjustRightInd w:val="0"/>
              <w:snapToGrid w:val="0"/>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olor w:val="auto"/>
                <w:sz w:val="24"/>
                <w:szCs w:val="24"/>
                <w:lang w:val="en-US" w:eastAsia="zh-CN"/>
              </w:rPr>
              <w:t>每有一条实质性的服务承诺加1分，最多4分</w:t>
            </w:r>
            <w:r>
              <w:rPr>
                <w:rFonts w:hint="eastAsia" w:ascii="宋体" w:hAnsi="宋体" w:eastAsia="宋体" w:cs="宋体"/>
                <w:color w:val="auto"/>
                <w:spacing w:val="4"/>
                <w:sz w:val="24"/>
                <w:szCs w:val="24"/>
              </w:rPr>
              <w:t>。</w:t>
            </w:r>
          </w:p>
        </w:tc>
      </w:tr>
      <w:tr w14:paraId="3EA6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409" w:type="pct"/>
            <w:vMerge w:val="restart"/>
            <w:shd w:val="clear" w:color="auto" w:fill="auto"/>
            <w:noWrap w:val="0"/>
            <w:vAlign w:val="center"/>
          </w:tcPr>
          <w:p w14:paraId="7E7F23DF">
            <w:pPr>
              <w:keepNext w:val="0"/>
              <w:keepLines w:val="0"/>
              <w:pageBreakBefore w:val="0"/>
              <w:kinsoku/>
              <w:wordWrap/>
              <w:overflowPunct/>
              <w:topLinePunct w:val="0"/>
              <w:bidi w:val="0"/>
              <w:spacing w:line="400" w:lineRule="exact"/>
              <w:ind w:right="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技术部分</w:t>
            </w:r>
            <w:r>
              <w:rPr>
                <w:rFonts w:hint="eastAsia" w:ascii="宋体" w:hAnsi="宋体" w:eastAsia="宋体" w:cs="宋体"/>
                <w:color w:val="auto"/>
                <w:sz w:val="24"/>
                <w:szCs w:val="24"/>
                <w:highlight w:val="none"/>
                <w:lang w:val="en-US" w:eastAsia="zh-CN"/>
              </w:rPr>
              <w:t>56分</w:t>
            </w:r>
          </w:p>
        </w:tc>
        <w:tc>
          <w:tcPr>
            <w:tcW w:w="912" w:type="pct"/>
            <w:shd w:val="clear" w:color="auto" w:fill="auto"/>
            <w:noWrap w:val="0"/>
            <w:vAlign w:val="center"/>
          </w:tcPr>
          <w:p w14:paraId="6A6964F2">
            <w:pPr>
              <w:pStyle w:val="74"/>
              <w:keepNext w:val="0"/>
              <w:keepLines w:val="0"/>
              <w:pageBreakBefore w:val="0"/>
              <w:kinsoku/>
              <w:wordWrap/>
              <w:overflowPunct/>
              <w:topLinePunct w:val="0"/>
              <w:bidi w:val="0"/>
              <w:spacing w:line="400" w:lineRule="exact"/>
              <w:ind w:right="0"/>
              <w:jc w:val="center"/>
              <w:textAlignment w:val="auto"/>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实施方案</w:t>
            </w:r>
          </w:p>
          <w:p w14:paraId="3E08D501">
            <w:pPr>
              <w:pStyle w:val="74"/>
              <w:keepNext w:val="0"/>
              <w:keepLines w:val="0"/>
              <w:pageBreakBefore w:val="0"/>
              <w:kinsoku/>
              <w:wordWrap/>
              <w:overflowPunct/>
              <w:topLinePunct w:val="0"/>
              <w:bidi w:val="0"/>
              <w:spacing w:line="400" w:lineRule="exact"/>
              <w:ind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1"/>
                <w:sz w:val="24"/>
                <w:szCs w:val="24"/>
              </w:rPr>
              <w:t>（</w:t>
            </w:r>
            <w:r>
              <w:rPr>
                <w:rFonts w:hint="eastAsia" w:cs="宋体"/>
                <w:color w:val="auto"/>
                <w:spacing w:val="-1"/>
                <w:sz w:val="24"/>
                <w:szCs w:val="24"/>
                <w:lang w:val="en-US" w:eastAsia="zh-CN"/>
              </w:rPr>
              <w:t>12</w:t>
            </w:r>
            <w:r>
              <w:rPr>
                <w:rFonts w:hint="eastAsia" w:ascii="宋体" w:hAnsi="宋体" w:eastAsia="宋体" w:cs="宋体"/>
                <w:color w:val="auto"/>
                <w:spacing w:val="-1"/>
                <w:sz w:val="24"/>
                <w:szCs w:val="24"/>
              </w:rPr>
              <w:t>分）</w:t>
            </w:r>
          </w:p>
        </w:tc>
        <w:tc>
          <w:tcPr>
            <w:tcW w:w="3678" w:type="pct"/>
            <w:shd w:val="clear" w:color="auto" w:fill="auto"/>
            <w:noWrap w:val="0"/>
            <w:vAlign w:val="top"/>
          </w:tcPr>
          <w:p w14:paraId="7CE7EF96">
            <w:pPr>
              <w:pStyle w:val="74"/>
              <w:keepNext w:val="0"/>
              <w:keepLines w:val="0"/>
              <w:pageBreakBefore w:val="0"/>
              <w:kinsoku/>
              <w:wordWrap/>
              <w:overflowPunct/>
              <w:topLinePunct w:val="0"/>
              <w:bidi w:val="0"/>
              <w:spacing w:line="400" w:lineRule="exact"/>
              <w:ind w:right="0" w:rightChars="0"/>
              <w:jc w:val="both"/>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针对本项目制定整体</w:t>
            </w:r>
            <w:r>
              <w:rPr>
                <w:rFonts w:hint="eastAsia" w:cs="宋体"/>
                <w:color w:val="auto"/>
                <w:kern w:val="2"/>
                <w:sz w:val="24"/>
                <w:szCs w:val="24"/>
                <w:highlight w:val="none"/>
                <w:lang w:val="en-US" w:eastAsia="zh-CN" w:bidi="ar-SA"/>
              </w:rPr>
              <w:t>实施</w:t>
            </w:r>
            <w:r>
              <w:rPr>
                <w:rFonts w:hint="eastAsia" w:ascii="宋体" w:hAnsi="宋体" w:eastAsia="宋体" w:cs="宋体"/>
                <w:color w:val="auto"/>
                <w:kern w:val="2"/>
                <w:sz w:val="24"/>
                <w:szCs w:val="24"/>
                <w:highlight w:val="none"/>
                <w:lang w:val="zh-CN" w:eastAsia="zh-CN" w:bidi="ar-SA"/>
              </w:rPr>
              <w:t>方案，包含但不限于以下方面：</w:t>
            </w:r>
          </w:p>
          <w:p w14:paraId="649429D7">
            <w:pPr>
              <w:pStyle w:val="74"/>
              <w:keepNext w:val="0"/>
              <w:keepLines w:val="0"/>
              <w:pageBreakBefore w:val="0"/>
              <w:kinsoku/>
              <w:wordWrap/>
              <w:overflowPunct/>
              <w:topLinePunct w:val="0"/>
              <w:bidi w:val="0"/>
              <w:spacing w:line="400" w:lineRule="exact"/>
              <w:ind w:right="0" w:rightChars="0"/>
              <w:jc w:val="both"/>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1.服务计划与流程；</w:t>
            </w:r>
            <w:r>
              <w:rPr>
                <w:rFonts w:hint="eastAsia"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.服务制度和措施；</w:t>
            </w:r>
            <w:r>
              <w:rPr>
                <w:rFonts w:hint="eastAsia"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eastAsia="zh-CN" w:bidi="ar-SA"/>
              </w:rPr>
              <w:t>.服务保障措施。</w:t>
            </w:r>
          </w:p>
          <w:p w14:paraId="0E36CF4F">
            <w:pPr>
              <w:pStyle w:val="74"/>
              <w:keepNext w:val="0"/>
              <w:keepLines w:val="0"/>
              <w:pageBreakBefore w:val="0"/>
              <w:kinsoku/>
              <w:wordWrap/>
              <w:overflowPunct/>
              <w:topLinePunct w:val="0"/>
              <w:bidi w:val="0"/>
              <w:spacing w:line="400" w:lineRule="exact"/>
              <w:ind w:right="0" w:rightChars="0"/>
              <w:jc w:val="both"/>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满足采购需求的每项得</w:t>
            </w:r>
            <w:r>
              <w:rPr>
                <w:rFonts w:hint="eastAsia"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分，不满足或不合理扣1分，无不得分。</w:t>
            </w:r>
          </w:p>
        </w:tc>
      </w:tr>
      <w:tr w14:paraId="6DED7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409" w:type="pct"/>
            <w:vMerge w:val="continue"/>
            <w:shd w:val="clear" w:color="auto" w:fill="auto"/>
            <w:noWrap w:val="0"/>
            <w:vAlign w:val="center"/>
          </w:tcPr>
          <w:p w14:paraId="460D06DF">
            <w:pPr>
              <w:keepNext w:val="0"/>
              <w:keepLines w:val="0"/>
              <w:pageBreakBefore w:val="0"/>
              <w:kinsoku/>
              <w:wordWrap/>
              <w:overflowPunct/>
              <w:topLinePunct w:val="0"/>
              <w:bidi w:val="0"/>
              <w:spacing w:line="400" w:lineRule="exact"/>
              <w:ind w:left="0" w:right="0" w:firstLine="480" w:firstLineChars="200"/>
              <w:jc w:val="center"/>
              <w:textAlignment w:val="auto"/>
              <w:rPr>
                <w:rFonts w:hint="eastAsia" w:ascii="宋体" w:hAnsi="宋体" w:eastAsia="宋体" w:cs="宋体"/>
                <w:color w:val="auto"/>
                <w:sz w:val="24"/>
                <w:szCs w:val="24"/>
                <w:highlight w:val="none"/>
                <w:lang w:val="zh-CN"/>
              </w:rPr>
            </w:pPr>
          </w:p>
        </w:tc>
        <w:tc>
          <w:tcPr>
            <w:tcW w:w="912" w:type="pct"/>
            <w:shd w:val="clear" w:color="auto" w:fill="auto"/>
            <w:noWrap w:val="0"/>
            <w:vAlign w:val="center"/>
          </w:tcPr>
          <w:p w14:paraId="03F895A2">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质量保证措施</w:t>
            </w:r>
          </w:p>
          <w:p w14:paraId="4AA92684">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分）</w:t>
            </w:r>
          </w:p>
        </w:tc>
        <w:tc>
          <w:tcPr>
            <w:tcW w:w="3678" w:type="pct"/>
            <w:shd w:val="clear" w:color="auto" w:fill="auto"/>
            <w:noWrap w:val="0"/>
            <w:vAlign w:val="center"/>
          </w:tcPr>
          <w:p w14:paraId="4B409C5C">
            <w:pPr>
              <w:keepNext w:val="0"/>
              <w:keepLines w:val="0"/>
              <w:pageBreakBefore w:val="0"/>
              <w:widowControl w:val="0"/>
              <w:kinsoku/>
              <w:wordWrap/>
              <w:overflowPunct/>
              <w:topLinePunct w:val="0"/>
              <w:bidi w:val="0"/>
              <w:adjustRightInd/>
              <w:spacing w:after="0" w:line="400" w:lineRule="exact"/>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针对本项目制定相应的质量保证措施，包含但不限于以下方面：</w:t>
            </w:r>
          </w:p>
          <w:p w14:paraId="028D0BDB">
            <w:pPr>
              <w:keepNext w:val="0"/>
              <w:keepLines w:val="0"/>
              <w:pageBreakBefore w:val="0"/>
              <w:widowControl w:val="0"/>
              <w:kinsoku/>
              <w:wordWrap/>
              <w:overflowPunct/>
              <w:topLinePunct w:val="0"/>
              <w:bidi w:val="0"/>
              <w:adjustRightInd/>
              <w:spacing w:after="0" w:line="400" w:lineRule="exact"/>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1.服务质量控制内容；2.服务质量控制方法；3.服务质量保证措施；</w:t>
            </w:r>
          </w:p>
          <w:p w14:paraId="5AF8D5F2">
            <w:pPr>
              <w:keepNext w:val="0"/>
              <w:keepLines w:val="0"/>
              <w:pageBreakBefore w:val="0"/>
              <w:widowControl w:val="0"/>
              <w:kinsoku/>
              <w:wordWrap/>
              <w:overflowPunct/>
              <w:topLinePunct w:val="0"/>
              <w:bidi w:val="0"/>
              <w:adjustRightInd/>
              <w:spacing w:after="0" w:line="400" w:lineRule="exact"/>
              <w:jc w:val="both"/>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eastAsia="zh-CN"/>
              </w:rPr>
              <w:t>满足采购需求要求的每项得3分，不满足或不合理扣1分，无不得分。</w:t>
            </w:r>
          </w:p>
        </w:tc>
      </w:tr>
      <w:tr w14:paraId="2AF54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409" w:type="pct"/>
            <w:vMerge w:val="continue"/>
            <w:shd w:val="clear" w:color="auto" w:fill="auto"/>
            <w:noWrap w:val="0"/>
            <w:vAlign w:val="center"/>
          </w:tcPr>
          <w:p w14:paraId="676C0693">
            <w:pPr>
              <w:keepNext w:val="0"/>
              <w:keepLines w:val="0"/>
              <w:pageBreakBefore w:val="0"/>
              <w:kinsoku/>
              <w:wordWrap/>
              <w:overflowPunct/>
              <w:topLinePunct w:val="0"/>
              <w:bidi w:val="0"/>
              <w:spacing w:line="400" w:lineRule="exact"/>
              <w:ind w:left="0" w:right="0" w:firstLine="480" w:firstLineChars="200"/>
              <w:jc w:val="center"/>
              <w:textAlignment w:val="auto"/>
              <w:rPr>
                <w:rFonts w:hint="eastAsia" w:ascii="宋体" w:hAnsi="宋体" w:eastAsia="宋体" w:cs="宋体"/>
                <w:color w:val="auto"/>
                <w:sz w:val="24"/>
                <w:szCs w:val="24"/>
                <w:highlight w:val="none"/>
                <w:lang w:val="zh-CN"/>
              </w:rPr>
            </w:pPr>
          </w:p>
        </w:tc>
        <w:tc>
          <w:tcPr>
            <w:tcW w:w="912" w:type="pct"/>
            <w:shd w:val="clear" w:color="auto" w:fill="auto"/>
            <w:noWrap w:val="0"/>
            <w:vAlign w:val="center"/>
          </w:tcPr>
          <w:p w14:paraId="408290C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bCs/>
                <w:color w:val="auto"/>
                <w:sz w:val="24"/>
                <w:szCs w:val="24"/>
                <w:highlight w:val="none"/>
                <w:lang w:val="en-US" w:eastAsia="zh-CN"/>
              </w:rPr>
              <w:t>检查及奖惩制度（9分）</w:t>
            </w:r>
          </w:p>
        </w:tc>
        <w:tc>
          <w:tcPr>
            <w:tcW w:w="3678" w:type="pct"/>
            <w:shd w:val="clear" w:color="auto" w:fill="auto"/>
            <w:noWrap w:val="0"/>
            <w:vAlign w:val="center"/>
          </w:tcPr>
          <w:p w14:paraId="45E1092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针对本项目制定检查及奖惩制度，包含但不限于以下方面：</w:t>
            </w:r>
          </w:p>
          <w:p w14:paraId="7D9A41DA">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1.对员工的优厚政策；2.公司奖励制度；3.考核奖惩制度；</w:t>
            </w:r>
          </w:p>
          <w:p w14:paraId="4B62D315">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kern w:val="2"/>
                <w:sz w:val="24"/>
                <w:szCs w:val="24"/>
                <w:highlight w:val="none"/>
                <w:lang w:val="zh-CN" w:eastAsia="zh-CN" w:bidi="ar-SA"/>
              </w:rPr>
            </w:pPr>
            <w:r>
              <w:rPr>
                <w:rFonts w:hint="eastAsia" w:ascii="宋体" w:hAnsi="宋体" w:eastAsia="宋体"/>
                <w:bCs/>
                <w:color w:val="auto"/>
                <w:sz w:val="24"/>
                <w:szCs w:val="24"/>
                <w:highlight w:val="none"/>
                <w:lang w:val="en-US" w:eastAsia="zh-CN"/>
              </w:rPr>
              <w:t>满足采购需求要求的每项得3分，不满足或不合理扣1分，无不得分。</w:t>
            </w:r>
          </w:p>
        </w:tc>
      </w:tr>
      <w:tr w14:paraId="2876B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409" w:type="pct"/>
            <w:vMerge w:val="continue"/>
            <w:shd w:val="clear" w:color="auto" w:fill="auto"/>
            <w:noWrap w:val="0"/>
            <w:vAlign w:val="center"/>
          </w:tcPr>
          <w:p w14:paraId="049B52C3">
            <w:pPr>
              <w:keepNext w:val="0"/>
              <w:keepLines w:val="0"/>
              <w:pageBreakBefore w:val="0"/>
              <w:kinsoku/>
              <w:wordWrap/>
              <w:overflowPunct/>
              <w:topLinePunct w:val="0"/>
              <w:bidi w:val="0"/>
              <w:spacing w:line="400" w:lineRule="exact"/>
              <w:ind w:left="0" w:right="0" w:firstLine="480" w:firstLineChars="200"/>
              <w:jc w:val="center"/>
              <w:textAlignment w:val="auto"/>
              <w:rPr>
                <w:rFonts w:hint="eastAsia" w:ascii="宋体" w:hAnsi="宋体" w:eastAsia="宋体" w:cs="宋体"/>
                <w:color w:val="auto"/>
                <w:sz w:val="24"/>
                <w:szCs w:val="24"/>
                <w:highlight w:val="none"/>
                <w:lang w:val="zh-CN"/>
              </w:rPr>
            </w:pPr>
          </w:p>
        </w:tc>
        <w:tc>
          <w:tcPr>
            <w:tcW w:w="912" w:type="pct"/>
            <w:shd w:val="clear" w:color="auto" w:fill="auto"/>
            <w:noWrap w:val="0"/>
            <w:vAlign w:val="center"/>
          </w:tcPr>
          <w:p w14:paraId="2A2D65D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bCs/>
                <w:color w:val="auto"/>
                <w:sz w:val="24"/>
                <w:szCs w:val="24"/>
                <w:highlight w:val="none"/>
                <w:lang w:val="en-US" w:eastAsia="zh-CN"/>
              </w:rPr>
              <w:t>人员管理保证措施（9分）</w:t>
            </w:r>
          </w:p>
        </w:tc>
        <w:tc>
          <w:tcPr>
            <w:tcW w:w="3678" w:type="pct"/>
            <w:shd w:val="clear" w:color="auto" w:fill="auto"/>
            <w:noWrap w:val="0"/>
            <w:vAlign w:val="center"/>
          </w:tcPr>
          <w:p w14:paraId="2715679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针对本项目制定人员管理保证措施，包含但不限于以下方面：</w:t>
            </w:r>
          </w:p>
          <w:p w14:paraId="542CEFE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1.人员培训计划；2.人员稳定性保障措施；3.人员流失应急预案；</w:t>
            </w:r>
          </w:p>
          <w:p w14:paraId="08DA83CA">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kern w:val="2"/>
                <w:sz w:val="24"/>
                <w:szCs w:val="24"/>
                <w:highlight w:val="none"/>
                <w:lang w:val="zh-CN" w:eastAsia="zh-CN" w:bidi="ar-SA"/>
              </w:rPr>
            </w:pPr>
            <w:r>
              <w:rPr>
                <w:rFonts w:hint="eastAsia" w:ascii="宋体" w:hAnsi="宋体" w:eastAsia="宋体"/>
                <w:bCs/>
                <w:color w:val="auto"/>
                <w:sz w:val="24"/>
                <w:szCs w:val="24"/>
                <w:highlight w:val="none"/>
                <w:lang w:val="en-US" w:eastAsia="zh-CN"/>
              </w:rPr>
              <w:t>满足采购需求要求的每项得3分，不满足或不合理扣1分，无不得分。</w:t>
            </w:r>
          </w:p>
        </w:tc>
      </w:tr>
      <w:tr w14:paraId="52CA3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409" w:type="pct"/>
            <w:vMerge w:val="continue"/>
            <w:shd w:val="clear" w:color="auto" w:fill="auto"/>
            <w:noWrap w:val="0"/>
            <w:vAlign w:val="center"/>
          </w:tcPr>
          <w:p w14:paraId="1270CABE">
            <w:pPr>
              <w:keepNext w:val="0"/>
              <w:keepLines w:val="0"/>
              <w:pageBreakBefore w:val="0"/>
              <w:kinsoku/>
              <w:wordWrap/>
              <w:overflowPunct/>
              <w:topLinePunct w:val="0"/>
              <w:bidi w:val="0"/>
              <w:spacing w:line="400" w:lineRule="exact"/>
              <w:ind w:left="0" w:right="0" w:firstLine="480" w:firstLineChars="200"/>
              <w:jc w:val="center"/>
              <w:textAlignment w:val="auto"/>
              <w:rPr>
                <w:rFonts w:hint="eastAsia" w:ascii="宋体" w:hAnsi="宋体" w:eastAsia="宋体" w:cs="宋体"/>
                <w:color w:val="auto"/>
                <w:sz w:val="24"/>
                <w:szCs w:val="24"/>
                <w:highlight w:val="none"/>
                <w:lang w:val="zh-CN"/>
              </w:rPr>
            </w:pPr>
          </w:p>
        </w:tc>
        <w:tc>
          <w:tcPr>
            <w:tcW w:w="912" w:type="pct"/>
            <w:shd w:val="clear" w:color="auto" w:fill="auto"/>
            <w:noWrap w:val="0"/>
            <w:vAlign w:val="center"/>
          </w:tcPr>
          <w:p w14:paraId="6845554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highlight w:val="none"/>
                <w:lang w:val="zh-CN"/>
              </w:rPr>
            </w:pPr>
            <w:r>
              <w:rPr>
                <w:rFonts w:hint="eastAsia" w:ascii="宋体" w:hAnsi="宋体" w:eastAsia="宋体"/>
                <w:bCs/>
                <w:color w:val="auto"/>
                <w:sz w:val="24"/>
                <w:szCs w:val="24"/>
                <w:highlight w:val="none"/>
                <w:lang w:val="en-US" w:eastAsia="zh-CN"/>
              </w:rPr>
              <w:t>突发情况应急预案（8分）</w:t>
            </w:r>
          </w:p>
        </w:tc>
        <w:tc>
          <w:tcPr>
            <w:tcW w:w="3678" w:type="pct"/>
            <w:shd w:val="clear" w:color="auto" w:fill="auto"/>
            <w:noWrap w:val="0"/>
            <w:vAlign w:val="center"/>
          </w:tcPr>
          <w:p w14:paraId="6ED062B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针对本项目制定相应的突发情况应急预案，包含但不限于以下方面：1.具有固定的应急联系人员及联系方式及分析可能存在突发应急情况出现的原因；2.对于出现的突发应急情况做出相对应的预案；</w:t>
            </w:r>
          </w:p>
          <w:p w14:paraId="29E4D4A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sz w:val="24"/>
                <w:szCs w:val="24"/>
                <w:highlight w:val="none"/>
              </w:rPr>
            </w:pPr>
            <w:r>
              <w:rPr>
                <w:rFonts w:hint="eastAsia" w:ascii="宋体" w:hAnsi="宋体" w:eastAsia="宋体"/>
                <w:bCs/>
                <w:color w:val="auto"/>
                <w:sz w:val="24"/>
                <w:szCs w:val="24"/>
                <w:highlight w:val="none"/>
                <w:lang w:val="en-US" w:eastAsia="zh-CN"/>
              </w:rPr>
              <w:t>满足采购需求的每项得4分，不满足或不合理扣2分，无不得分。</w:t>
            </w:r>
          </w:p>
        </w:tc>
      </w:tr>
      <w:tr w14:paraId="5FDDA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409" w:type="pct"/>
            <w:vMerge w:val="continue"/>
            <w:shd w:val="clear" w:color="auto" w:fill="auto"/>
            <w:noWrap w:val="0"/>
            <w:vAlign w:val="center"/>
          </w:tcPr>
          <w:p w14:paraId="15BBD21C">
            <w:pPr>
              <w:keepNext w:val="0"/>
              <w:keepLines w:val="0"/>
              <w:pageBreakBefore w:val="0"/>
              <w:kinsoku/>
              <w:wordWrap/>
              <w:overflowPunct/>
              <w:topLinePunct w:val="0"/>
              <w:bidi w:val="0"/>
              <w:spacing w:line="400" w:lineRule="exact"/>
              <w:ind w:left="0" w:right="0" w:firstLine="480" w:firstLineChars="200"/>
              <w:jc w:val="center"/>
              <w:textAlignment w:val="auto"/>
              <w:rPr>
                <w:rFonts w:hint="eastAsia" w:ascii="宋体" w:hAnsi="宋体" w:eastAsia="宋体" w:cs="宋体"/>
                <w:color w:val="auto"/>
                <w:sz w:val="24"/>
                <w:szCs w:val="24"/>
                <w:highlight w:val="none"/>
                <w:lang w:val="zh-CN"/>
              </w:rPr>
            </w:pPr>
          </w:p>
        </w:tc>
        <w:tc>
          <w:tcPr>
            <w:tcW w:w="912" w:type="pct"/>
            <w:shd w:val="clear" w:color="auto" w:fill="auto"/>
            <w:noWrap w:val="0"/>
            <w:vAlign w:val="center"/>
          </w:tcPr>
          <w:p w14:paraId="07F7EDD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岗位责任制度</w:t>
            </w:r>
          </w:p>
          <w:p w14:paraId="1C3D795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bCs/>
                <w:color w:val="auto"/>
                <w:sz w:val="24"/>
                <w:szCs w:val="24"/>
                <w:highlight w:val="none"/>
                <w:lang w:val="en-US" w:eastAsia="zh-CN"/>
              </w:rPr>
              <w:t>（6分）</w:t>
            </w:r>
          </w:p>
        </w:tc>
        <w:tc>
          <w:tcPr>
            <w:tcW w:w="3678" w:type="pct"/>
            <w:shd w:val="clear" w:color="auto" w:fill="auto"/>
            <w:noWrap w:val="0"/>
            <w:vAlign w:val="center"/>
          </w:tcPr>
          <w:p w14:paraId="6C3C94A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针对于本项目制定相应岗位责任制度，包含但不限于以下方面：</w:t>
            </w:r>
          </w:p>
          <w:p w14:paraId="6F0559B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1.岗位职责制度；2.工程维修制度和规程。</w:t>
            </w:r>
          </w:p>
          <w:p w14:paraId="7561589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bCs/>
                <w:color w:val="auto"/>
                <w:sz w:val="24"/>
                <w:szCs w:val="24"/>
                <w:highlight w:val="none"/>
                <w:lang w:val="en-US" w:eastAsia="zh-CN"/>
              </w:rPr>
              <w:t>2.满足采购需求的每项得3分，不满足或不合理扣2分，无不得分。</w:t>
            </w:r>
          </w:p>
        </w:tc>
      </w:tr>
      <w:tr w14:paraId="316B8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409" w:type="pct"/>
            <w:vMerge w:val="continue"/>
            <w:shd w:val="clear" w:color="auto" w:fill="auto"/>
            <w:noWrap w:val="0"/>
            <w:vAlign w:val="center"/>
          </w:tcPr>
          <w:p w14:paraId="0E950425">
            <w:pPr>
              <w:keepNext w:val="0"/>
              <w:keepLines w:val="0"/>
              <w:pageBreakBefore w:val="0"/>
              <w:kinsoku/>
              <w:wordWrap/>
              <w:overflowPunct/>
              <w:topLinePunct w:val="0"/>
              <w:bidi w:val="0"/>
              <w:spacing w:line="400" w:lineRule="exact"/>
              <w:ind w:left="0" w:right="0" w:firstLine="480" w:firstLineChars="200"/>
              <w:jc w:val="center"/>
              <w:textAlignment w:val="auto"/>
              <w:rPr>
                <w:rFonts w:hint="eastAsia" w:ascii="宋体" w:hAnsi="宋体" w:eastAsia="宋体" w:cs="宋体"/>
                <w:color w:val="auto"/>
                <w:sz w:val="24"/>
                <w:szCs w:val="24"/>
                <w:highlight w:val="none"/>
              </w:rPr>
            </w:pPr>
          </w:p>
        </w:tc>
        <w:tc>
          <w:tcPr>
            <w:tcW w:w="912" w:type="pct"/>
            <w:shd w:val="clear" w:color="auto" w:fill="auto"/>
            <w:noWrap w:val="0"/>
            <w:vAlign w:val="center"/>
          </w:tcPr>
          <w:p w14:paraId="0DFD76B1">
            <w:pPr>
              <w:spacing w:line="380" w:lineRule="exact"/>
              <w:jc w:val="center"/>
              <w:rPr>
                <w:rFonts w:hint="eastAsia" w:ascii="宋体" w:hAnsi="宋体" w:cs="宋体"/>
                <w:color w:val="auto"/>
                <w:sz w:val="24"/>
                <w:szCs w:val="24"/>
              </w:rPr>
            </w:pPr>
            <w:r>
              <w:rPr>
                <w:rFonts w:hint="eastAsia" w:ascii="宋体" w:hAnsi="宋体" w:cs="宋体"/>
                <w:color w:val="auto"/>
                <w:sz w:val="24"/>
                <w:szCs w:val="24"/>
              </w:rPr>
              <w:t>合理化建议</w:t>
            </w:r>
          </w:p>
          <w:p w14:paraId="0547AAF7">
            <w:pPr>
              <w:spacing w:line="380" w:lineRule="exact"/>
              <w:jc w:val="center"/>
              <w:rPr>
                <w:rFonts w:hint="eastAsia" w:ascii="宋体" w:hAnsi="宋体" w:eastAsia="Arial" w:cs="宋体"/>
                <w:snapToGrid w:val="0"/>
                <w:color w:val="auto"/>
                <w:kern w:val="0"/>
                <w:sz w:val="24"/>
                <w:szCs w:val="24"/>
                <w:lang w:val="zh-CN" w:eastAsia="zh-CN" w:bidi="ar-SA"/>
              </w:rPr>
            </w:pPr>
            <w:r>
              <w:rPr>
                <w:rFonts w:hint="eastAsia" w:ascii="宋体" w:hAnsi="宋体" w:cs="宋体"/>
                <w:color w:val="auto"/>
                <w:sz w:val="24"/>
                <w:szCs w:val="24"/>
              </w:rPr>
              <w:t>（3分）</w:t>
            </w:r>
          </w:p>
        </w:tc>
        <w:tc>
          <w:tcPr>
            <w:tcW w:w="3678" w:type="pct"/>
            <w:shd w:val="clear" w:color="auto" w:fill="auto"/>
            <w:noWrap w:val="0"/>
            <w:vAlign w:val="center"/>
          </w:tcPr>
          <w:p w14:paraId="5144F80D">
            <w:pPr>
              <w:spacing w:line="380" w:lineRule="exact"/>
              <w:rPr>
                <w:rFonts w:hint="eastAsia" w:ascii="宋体" w:hAnsi="宋体" w:eastAsia="Arial" w:cs="宋体"/>
                <w:snapToGrid w:val="0"/>
                <w:color w:val="auto"/>
                <w:kern w:val="0"/>
                <w:sz w:val="24"/>
                <w:szCs w:val="24"/>
                <w:lang w:val="zh-CN" w:eastAsia="zh-CN" w:bidi="ar-SA"/>
              </w:rPr>
            </w:pPr>
            <w:r>
              <w:rPr>
                <w:rFonts w:hint="eastAsia" w:ascii="宋体" w:hAnsi="宋体" w:cs="宋体"/>
                <w:color w:val="auto"/>
                <w:sz w:val="24"/>
                <w:szCs w:val="24"/>
              </w:rPr>
              <w:t>合理化建议进行比较，内容完整、合理、可行；优得3分，一般得1分，无不得分。</w:t>
            </w:r>
          </w:p>
        </w:tc>
      </w:tr>
    </w:tbl>
    <w:p w14:paraId="17F86A9F">
      <w:pPr>
        <w:pStyle w:val="22"/>
        <w:rPr>
          <w:sz w:val="21"/>
          <w:szCs w:val="21"/>
          <w:highlight w:val="none"/>
        </w:rPr>
      </w:pPr>
    </w:p>
    <w:p w14:paraId="615F98FA">
      <w:pPr>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p>
    <w:p w14:paraId="72B39F36">
      <w:pPr>
        <w:keepNext w:val="0"/>
        <w:keepLines w:val="0"/>
        <w:pageBreakBefore w:val="0"/>
        <w:widowControl w:val="0"/>
        <w:kinsoku/>
        <w:wordWrap/>
        <w:overflowPunct/>
        <w:topLinePunct w:val="0"/>
        <w:autoSpaceDE/>
        <w:autoSpaceDN w:val="0"/>
        <w:bidi w:val="0"/>
        <w:adjustRightInd w:val="0"/>
        <w:snapToGri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 说明</w:t>
      </w:r>
    </w:p>
    <w:p w14:paraId="45CCB990">
      <w:pPr>
        <w:keepNext w:val="0"/>
        <w:keepLines w:val="0"/>
        <w:pageBreakBefore w:val="0"/>
        <w:widowControl w:val="0"/>
        <w:kinsoku/>
        <w:wordWrap/>
        <w:overflowPunct/>
        <w:topLinePunct w:val="0"/>
        <w:autoSpaceDE/>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评标委员会对满足招标文件实质性要求的</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按照本章规定的评分标准进行打分，并按得分由高到低顺序推荐中标候选人，或根据采购人授权直接确定中标人，但投标报价低于其成本的除外。综合评分得分相同的，按投标报价由低到高顺序排列。得分且投标报价相同的并列。</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满足招标文件全部实质性要求，且按照评审因素的量化指标评审得分最高的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为排名第一的中标候选人</w:t>
      </w:r>
      <w:r>
        <w:rPr>
          <w:rFonts w:hint="eastAsia" w:ascii="宋体" w:hAnsi="宋体" w:eastAsia="宋体" w:cs="宋体"/>
          <w:color w:val="auto"/>
          <w:sz w:val="24"/>
          <w:szCs w:val="24"/>
          <w:highlight w:val="none"/>
          <w:lang w:eastAsia="zh-CN"/>
        </w:rPr>
        <w:t>。</w:t>
      </w:r>
    </w:p>
    <w:p w14:paraId="1AEC91CA">
      <w:pPr>
        <w:keepNext w:val="0"/>
        <w:keepLines w:val="0"/>
        <w:pageBreakBefore w:val="0"/>
        <w:widowControl/>
        <w:kinsoku/>
        <w:wordWrap/>
        <w:overflowPunct/>
        <w:topLinePunct w:val="0"/>
        <w:autoSpaceDE/>
        <w:bidi w:val="0"/>
        <w:spacing w:line="0" w:lineRule="atLeast"/>
        <w:jc w:val="left"/>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br w:type="page"/>
      </w:r>
    </w:p>
    <w:p w14:paraId="39B6E776">
      <w:pPr>
        <w:autoSpaceDN w:val="0"/>
        <w:adjustRightInd w:val="0"/>
        <w:snapToGrid w:val="0"/>
        <w:spacing w:before="312" w:line="360" w:lineRule="auto"/>
        <w:jc w:val="both"/>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附件：</w:t>
      </w:r>
      <w:bookmarkStart w:id="68" w:name="_Toc63327628"/>
      <w:r>
        <w:rPr>
          <w:rFonts w:hint="eastAsia" w:ascii="宋体" w:hAnsi="宋体" w:eastAsia="宋体" w:cs="宋体"/>
          <w:color w:val="auto"/>
          <w:sz w:val="28"/>
          <w:szCs w:val="28"/>
          <w:highlight w:val="none"/>
        </w:rPr>
        <w:t>关于印发《政府采购促进中小企业发展管理办法》的通知</w:t>
      </w:r>
      <w:bookmarkEnd w:id="68"/>
    </w:p>
    <w:p w14:paraId="63B8E549">
      <w:pPr>
        <w:autoSpaceDN w:val="0"/>
        <w:adjustRightInd w:val="0"/>
        <w:snapToGrid w:val="0"/>
        <w:spacing w:before="312"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财库[2020]46号</w:t>
      </w:r>
    </w:p>
    <w:p w14:paraId="13297360">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各中央预算单位办公厅（室），各省、自治区、直辖市、计划单列市财政厅（局）、工业和信息化主管部门，新疆生产建设兵团财政局、工业和信息化主管部门：</w:t>
      </w:r>
    </w:p>
    <w:p w14:paraId="1D50E6BA">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088A0C96">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附件：政府采购促进中小企业发展管理办法。</w:t>
      </w:r>
    </w:p>
    <w:p w14:paraId="5C54BAA8">
      <w:pPr>
        <w:autoSpaceDN w:val="0"/>
        <w:adjustRightInd w:val="0"/>
        <w:snapToGrid w:val="0"/>
        <w:spacing w:before="312"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财  政  部</w:t>
      </w:r>
    </w:p>
    <w:p w14:paraId="5064D144">
      <w:pPr>
        <w:autoSpaceDN w:val="0"/>
        <w:adjustRightInd w:val="0"/>
        <w:snapToGrid w:val="0"/>
        <w:spacing w:before="312"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工业和信息化部</w:t>
      </w:r>
    </w:p>
    <w:p w14:paraId="4B6F3D6A">
      <w:pPr>
        <w:autoSpaceDN w:val="0"/>
        <w:adjustRightInd w:val="0"/>
        <w:snapToGrid w:val="0"/>
        <w:spacing w:before="312"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2020年12月18日</w:t>
      </w:r>
    </w:p>
    <w:p w14:paraId="05216EA3">
      <w:pPr>
        <w:pStyle w:val="6"/>
        <w:autoSpaceDN w:val="0"/>
        <w:adjustRightInd w:val="0"/>
        <w:snapToGrid w:val="0"/>
        <w:spacing w:line="360" w:lineRule="auto"/>
        <w:ind w:firstLine="560"/>
        <w:rPr>
          <w:rFonts w:hint="eastAsia" w:ascii="宋体" w:hAnsi="宋体" w:eastAsia="宋体" w:cs="宋体"/>
          <w:bCs/>
          <w:color w:val="auto"/>
          <w:sz w:val="28"/>
          <w:szCs w:val="28"/>
          <w:highlight w:val="none"/>
        </w:rPr>
      </w:pPr>
    </w:p>
    <w:p w14:paraId="6EAE1807">
      <w:pPr>
        <w:pStyle w:val="6"/>
        <w:autoSpaceDN w:val="0"/>
        <w:adjustRightInd w:val="0"/>
        <w:snapToGrid w:val="0"/>
        <w:spacing w:line="360" w:lineRule="auto"/>
        <w:ind w:firstLine="560"/>
        <w:jc w:val="center"/>
        <w:rPr>
          <w:rFonts w:hint="eastAsia" w:ascii="宋体" w:hAnsi="宋体" w:eastAsia="宋体" w:cs="宋体"/>
          <w:b/>
          <w:bCs/>
          <w:color w:val="auto"/>
          <w:sz w:val="28"/>
          <w:szCs w:val="28"/>
          <w:highlight w:val="none"/>
        </w:rPr>
      </w:pPr>
      <w:bookmarkStart w:id="69" w:name="_Toc63327629"/>
      <w:r>
        <w:rPr>
          <w:rFonts w:hint="eastAsia" w:ascii="宋体" w:hAnsi="宋体" w:eastAsia="宋体" w:cs="宋体"/>
          <w:color w:val="auto"/>
          <w:sz w:val="28"/>
          <w:szCs w:val="28"/>
          <w:highlight w:val="none"/>
        </w:rPr>
        <w:br w:type="page"/>
      </w:r>
      <w:r>
        <w:rPr>
          <w:rFonts w:hint="eastAsia" w:ascii="宋体" w:hAnsi="宋体" w:eastAsia="宋体" w:cs="宋体"/>
          <w:b/>
          <w:bCs/>
          <w:color w:val="auto"/>
          <w:sz w:val="28"/>
          <w:szCs w:val="28"/>
          <w:highlight w:val="none"/>
        </w:rPr>
        <w:t>政府采购促进中小企业发展管理办法</w:t>
      </w:r>
      <w:bookmarkEnd w:id="69"/>
    </w:p>
    <w:p w14:paraId="7A8B7D6E">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第一条　</w:t>
      </w:r>
      <w:r>
        <w:rPr>
          <w:rFonts w:hint="eastAsia" w:ascii="宋体" w:hAnsi="宋体" w:eastAsia="宋体" w:cs="宋体"/>
          <w:color w:val="auto"/>
          <w:spacing w:val="7"/>
          <w:sz w:val="21"/>
          <w:szCs w:val="21"/>
          <w:highlight w:val="none"/>
        </w:rPr>
        <w:t>为了发挥政府采购的政策功能，促进中小企业健康发展，根据《中华人民共和国政府采购法》、《中华人民共和国中小企业促进法》等有关法律法规，制定本办法。</w:t>
      </w:r>
    </w:p>
    <w:p w14:paraId="08FEE590">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第二条　</w:t>
      </w:r>
      <w:r>
        <w:rPr>
          <w:rFonts w:hint="eastAsia" w:ascii="宋体" w:hAnsi="宋体" w:eastAsia="宋体" w:cs="宋体"/>
          <w:color w:val="auto"/>
          <w:spacing w:val="7"/>
          <w:sz w:val="21"/>
          <w:szCs w:val="21"/>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5077133">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符合中小企业划分标准的个体工商户，在政府采购活动中视同中小企业。</w:t>
      </w:r>
    </w:p>
    <w:p w14:paraId="6EE3ADE1">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第三条　</w:t>
      </w:r>
      <w:r>
        <w:rPr>
          <w:rFonts w:hint="eastAsia" w:ascii="宋体" w:hAnsi="宋体" w:eastAsia="宋体" w:cs="宋体"/>
          <w:color w:val="auto"/>
          <w:spacing w:val="7"/>
          <w:sz w:val="21"/>
          <w:szCs w:val="21"/>
          <w:highlight w:val="none"/>
        </w:rPr>
        <w:t>采购人在政府采购活动中应当通过加强采购需求管理，落实预留采购份额、价格评审优惠、优先采购等措施，提高中小企业在政府采购中的份额，支持中小企业发展。</w:t>
      </w:r>
    </w:p>
    <w:p w14:paraId="0B8AB77C">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第四条　</w:t>
      </w:r>
      <w:r>
        <w:rPr>
          <w:rFonts w:hint="eastAsia" w:ascii="宋体" w:hAnsi="宋体" w:eastAsia="宋体" w:cs="宋体"/>
          <w:color w:val="auto"/>
          <w:spacing w:val="7"/>
          <w:sz w:val="21"/>
          <w:szCs w:val="21"/>
          <w:highlight w:val="none"/>
        </w:rPr>
        <w:t>在政府采购活动中，</w:t>
      </w:r>
      <w:r>
        <w:rPr>
          <w:rFonts w:hint="eastAsia" w:ascii="宋体" w:hAnsi="宋体" w:cs="宋体"/>
          <w:color w:val="auto"/>
          <w:spacing w:val="7"/>
          <w:sz w:val="21"/>
          <w:szCs w:val="21"/>
          <w:highlight w:val="none"/>
          <w:lang w:eastAsia="zh-CN"/>
        </w:rPr>
        <w:t>供应商</w:t>
      </w:r>
      <w:r>
        <w:rPr>
          <w:rFonts w:hint="eastAsia" w:ascii="宋体" w:hAnsi="宋体" w:eastAsia="宋体" w:cs="宋体"/>
          <w:color w:val="auto"/>
          <w:spacing w:val="7"/>
          <w:sz w:val="21"/>
          <w:szCs w:val="21"/>
          <w:highlight w:val="none"/>
        </w:rPr>
        <w:t>提供的货物、工程或者服务符合下列情形的，享受本办法规定的中小企业扶持政策：</w:t>
      </w:r>
    </w:p>
    <w:p w14:paraId="6DE00CB8">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（一）在货物采购项目中，货物由中小企业制造，即货物由中小企业生产且使用该中小企业商号或者注册商标；</w:t>
      </w:r>
    </w:p>
    <w:p w14:paraId="7557F88E">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（二）在工程采购项目中，工程由中小企业承建，即工程施工单位为中小企业；</w:t>
      </w:r>
    </w:p>
    <w:p w14:paraId="4D6D3388">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（三）在服务采购项目中，服务由中小企业承接，即提供服务的人员为中小企业依照《中华人民共和国劳动合同法》订立劳动合同的从业人员。</w:t>
      </w:r>
    </w:p>
    <w:p w14:paraId="767885A9">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在货物采购项目中，</w:t>
      </w:r>
      <w:r>
        <w:rPr>
          <w:rFonts w:hint="eastAsia" w:ascii="宋体" w:hAnsi="宋体" w:cs="宋体"/>
          <w:color w:val="auto"/>
          <w:spacing w:val="7"/>
          <w:sz w:val="21"/>
          <w:szCs w:val="21"/>
          <w:highlight w:val="none"/>
          <w:lang w:eastAsia="zh-CN"/>
        </w:rPr>
        <w:t>供应商</w:t>
      </w:r>
      <w:r>
        <w:rPr>
          <w:rFonts w:hint="eastAsia" w:ascii="宋体" w:hAnsi="宋体" w:eastAsia="宋体" w:cs="宋体"/>
          <w:color w:val="auto"/>
          <w:spacing w:val="7"/>
          <w:sz w:val="21"/>
          <w:szCs w:val="21"/>
          <w:highlight w:val="none"/>
        </w:rPr>
        <w:t>提供的货物既有中小企业制造货物，也有大型企业制造货物的，不享受本办法规定的中小企业扶持政策。</w:t>
      </w:r>
    </w:p>
    <w:p w14:paraId="7CDB71A5">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以联合体形式参加政府采购活动，联合体各方均为中小企业的，联合体视同中小企业。其中，联合体各方均为小微企业的，联合体视同小微企业。</w:t>
      </w:r>
    </w:p>
    <w:p w14:paraId="0B2F0A80">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第五条　</w:t>
      </w:r>
      <w:r>
        <w:rPr>
          <w:rFonts w:hint="eastAsia" w:ascii="宋体" w:hAnsi="宋体" w:eastAsia="宋体" w:cs="宋体"/>
          <w:color w:val="auto"/>
          <w:spacing w:val="7"/>
          <w:sz w:val="21"/>
          <w:szCs w:val="21"/>
          <w:highlight w:val="none"/>
        </w:rPr>
        <w:t>采购人在政府采购活动中应当合理确定采购项目的采购需求，不得以企业注册资本、资产总额、营业收入、从业人员、利润、纳税额等规模条件和财务指标作为</w:t>
      </w:r>
      <w:r>
        <w:rPr>
          <w:rFonts w:hint="eastAsia" w:ascii="宋体" w:hAnsi="宋体" w:cs="宋体"/>
          <w:color w:val="auto"/>
          <w:spacing w:val="7"/>
          <w:sz w:val="21"/>
          <w:szCs w:val="21"/>
          <w:highlight w:val="none"/>
          <w:lang w:eastAsia="zh-CN"/>
        </w:rPr>
        <w:t>供应商</w:t>
      </w:r>
      <w:r>
        <w:rPr>
          <w:rFonts w:hint="eastAsia" w:ascii="宋体" w:hAnsi="宋体" w:eastAsia="宋体" w:cs="宋体"/>
          <w:color w:val="auto"/>
          <w:spacing w:val="7"/>
          <w:sz w:val="21"/>
          <w:szCs w:val="21"/>
          <w:highlight w:val="none"/>
        </w:rPr>
        <w:t>的资格要求或者评审因素，不得在企业股权结构、经营年限等方面对中小企业实行差别待遇或者歧视待遇。</w:t>
      </w:r>
    </w:p>
    <w:p w14:paraId="545AFDCA">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第六条</w:t>
      </w:r>
      <w:r>
        <w:rPr>
          <w:rFonts w:hint="eastAsia" w:ascii="宋体" w:hAnsi="宋体" w:eastAsia="宋体" w:cs="宋体"/>
          <w:color w:val="auto"/>
          <w:spacing w:val="7"/>
          <w:sz w:val="21"/>
          <w:szCs w:val="21"/>
          <w:highlight w:val="none"/>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20BC087A">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符合下列情形之一的，可不专门面向中小企业预留采购份额：</w:t>
      </w:r>
    </w:p>
    <w:p w14:paraId="18A02E7F">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（一）法律法规和国家有关政策明确规定优先或者应当面向事业单位、社会组织等非企业主体采购的；</w:t>
      </w:r>
    </w:p>
    <w:p w14:paraId="1047F8B5">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（二）因确需使用不可替代的专利、专有技术，基础设施限制，或者提供特定公共服务等原因，只能从中小企业之外的</w:t>
      </w:r>
      <w:r>
        <w:rPr>
          <w:rFonts w:hint="eastAsia" w:ascii="宋体" w:hAnsi="宋体" w:cs="宋体"/>
          <w:color w:val="auto"/>
          <w:spacing w:val="7"/>
          <w:sz w:val="21"/>
          <w:szCs w:val="21"/>
          <w:highlight w:val="none"/>
          <w:lang w:eastAsia="zh-CN"/>
        </w:rPr>
        <w:t>供应商</w:t>
      </w:r>
      <w:r>
        <w:rPr>
          <w:rFonts w:hint="eastAsia" w:ascii="宋体" w:hAnsi="宋体" w:eastAsia="宋体" w:cs="宋体"/>
          <w:color w:val="auto"/>
          <w:spacing w:val="7"/>
          <w:sz w:val="21"/>
          <w:szCs w:val="21"/>
          <w:highlight w:val="none"/>
        </w:rPr>
        <w:t>处采购的；</w:t>
      </w:r>
    </w:p>
    <w:p w14:paraId="10995DEF">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（三）按照本办法规定预留采购份额无法确保充分供应、充分竞争，或者存在可能影响政府采购目标实现的情形；</w:t>
      </w:r>
    </w:p>
    <w:p w14:paraId="7CA36B96">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（四）框架协议采购项目；</w:t>
      </w:r>
    </w:p>
    <w:p w14:paraId="06C60F6F">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（五）省级以上人民政府财政部门规定的其他情形。</w:t>
      </w:r>
    </w:p>
    <w:p w14:paraId="17E9CD95">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除上述情形外，其他均为适宜由中小企业提供的情形。</w:t>
      </w:r>
    </w:p>
    <w:p w14:paraId="31BFE771">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第七条　</w:t>
      </w:r>
      <w:r>
        <w:rPr>
          <w:rFonts w:hint="eastAsia" w:ascii="宋体" w:hAnsi="宋体" w:eastAsia="宋体" w:cs="宋体"/>
          <w:color w:val="auto"/>
          <w:spacing w:val="7"/>
          <w:sz w:val="21"/>
          <w:szCs w:val="21"/>
          <w:highlight w:val="none"/>
        </w:rPr>
        <w:t>采购限额标准以上，200万元以下的货物和服务采购项目、400万元以下的工程采购项目，适宜由中小企业提供的，采购人应当专门面向中小企业采购。</w:t>
      </w:r>
    </w:p>
    <w:p w14:paraId="78D57E32">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第八条</w:t>
      </w:r>
      <w:r>
        <w:rPr>
          <w:rFonts w:hint="eastAsia" w:ascii="宋体" w:hAnsi="宋体" w:eastAsia="宋体" w:cs="宋体"/>
          <w:color w:val="auto"/>
          <w:spacing w:val="7"/>
          <w:sz w:val="21"/>
          <w:szCs w:val="21"/>
          <w:highlight w:val="none"/>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004B2A9C">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（一）将采购项目整体或者设置采购包专门面向中小企业采购；</w:t>
      </w:r>
    </w:p>
    <w:p w14:paraId="0191CE85">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（二）要求</w:t>
      </w:r>
      <w:r>
        <w:rPr>
          <w:rFonts w:hint="eastAsia" w:ascii="宋体" w:hAnsi="宋体" w:cs="宋体"/>
          <w:color w:val="auto"/>
          <w:spacing w:val="7"/>
          <w:sz w:val="21"/>
          <w:szCs w:val="21"/>
          <w:highlight w:val="none"/>
          <w:lang w:eastAsia="zh-CN"/>
        </w:rPr>
        <w:t>供应商</w:t>
      </w:r>
      <w:r>
        <w:rPr>
          <w:rFonts w:hint="eastAsia" w:ascii="宋体" w:hAnsi="宋体" w:eastAsia="宋体" w:cs="宋体"/>
          <w:color w:val="auto"/>
          <w:spacing w:val="7"/>
          <w:sz w:val="21"/>
          <w:szCs w:val="21"/>
          <w:highlight w:val="none"/>
        </w:rPr>
        <w:t>以联合体形式参加采购活动，且联合体中小企业承担的部分达到一定比例；</w:t>
      </w:r>
    </w:p>
    <w:p w14:paraId="6DDFD0E2">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（三）要求获得采购合同的</w:t>
      </w:r>
      <w:r>
        <w:rPr>
          <w:rFonts w:hint="eastAsia" w:ascii="宋体" w:hAnsi="宋体" w:cs="宋体"/>
          <w:color w:val="auto"/>
          <w:spacing w:val="7"/>
          <w:sz w:val="21"/>
          <w:szCs w:val="21"/>
          <w:highlight w:val="none"/>
          <w:lang w:eastAsia="zh-CN"/>
        </w:rPr>
        <w:t>供应商</w:t>
      </w:r>
      <w:r>
        <w:rPr>
          <w:rFonts w:hint="eastAsia" w:ascii="宋体" w:hAnsi="宋体" w:eastAsia="宋体" w:cs="宋体"/>
          <w:color w:val="auto"/>
          <w:spacing w:val="7"/>
          <w:sz w:val="21"/>
          <w:szCs w:val="21"/>
          <w:highlight w:val="none"/>
        </w:rPr>
        <w:t>将采购项目中的一定比例分包给一家或者多家中小企业。</w:t>
      </w:r>
    </w:p>
    <w:p w14:paraId="112DDE4B">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组成联合体或者接受分包合同的中小企业与联合体内其他企业、分包企业之间不得存在直接控股、管理关系。</w:t>
      </w:r>
    </w:p>
    <w:p w14:paraId="476C9F7A">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第九条　</w:t>
      </w:r>
      <w:r>
        <w:rPr>
          <w:rFonts w:hint="eastAsia" w:ascii="宋体" w:hAnsi="宋体" w:eastAsia="宋体" w:cs="宋体"/>
          <w:color w:val="auto"/>
          <w:spacing w:val="7"/>
          <w:sz w:val="21"/>
          <w:szCs w:val="21"/>
          <w:highlight w:val="none"/>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BACD0A7">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78EBEAE8">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8B212D7">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第十条　</w:t>
      </w:r>
      <w:r>
        <w:rPr>
          <w:rFonts w:hint="eastAsia" w:ascii="宋体" w:hAnsi="宋体" w:eastAsia="宋体" w:cs="宋体"/>
          <w:color w:val="auto"/>
          <w:spacing w:val="7"/>
          <w:sz w:val="21"/>
          <w:szCs w:val="21"/>
          <w:highlight w:val="none"/>
        </w:rPr>
        <w:t>采购人应当严格按照本办法规定和主管预算单位制定的预留采购份额具体方案开展采购活动。预留份额的采购项目或者采购包，通过发布公告方式邀请</w:t>
      </w:r>
      <w:r>
        <w:rPr>
          <w:rFonts w:hint="eastAsia" w:ascii="宋体" w:hAnsi="宋体" w:cs="宋体"/>
          <w:color w:val="auto"/>
          <w:spacing w:val="7"/>
          <w:sz w:val="21"/>
          <w:szCs w:val="21"/>
          <w:highlight w:val="none"/>
          <w:lang w:eastAsia="zh-CN"/>
        </w:rPr>
        <w:t>供应商</w:t>
      </w:r>
      <w:r>
        <w:rPr>
          <w:rFonts w:hint="eastAsia" w:ascii="宋体" w:hAnsi="宋体" w:eastAsia="宋体" w:cs="宋体"/>
          <w:color w:val="auto"/>
          <w:spacing w:val="7"/>
          <w:sz w:val="21"/>
          <w:szCs w:val="21"/>
          <w:highlight w:val="none"/>
        </w:rPr>
        <w:t>后，符合资格条件的中小企业数量不足3家的，应当中止采购活动，视同未预留份额的采购项目或者采购包，按照本办法第九条有关规定重新组织采购活动。</w:t>
      </w:r>
    </w:p>
    <w:p w14:paraId="64B5474B">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第十一条　</w:t>
      </w:r>
      <w:r>
        <w:rPr>
          <w:rFonts w:hint="eastAsia" w:ascii="宋体" w:hAnsi="宋体" w:eastAsia="宋体" w:cs="宋体"/>
          <w:color w:val="auto"/>
          <w:spacing w:val="7"/>
          <w:sz w:val="21"/>
          <w:szCs w:val="21"/>
          <w:highlight w:val="none"/>
        </w:rPr>
        <w:t>中小企业参加政府采购活动，应当出具本办法规定的《中小企业声明函》（附1），否则不得享受相关中小企业扶持政策。任何单位和个人不得要求</w:t>
      </w:r>
      <w:r>
        <w:rPr>
          <w:rFonts w:hint="eastAsia" w:ascii="宋体" w:hAnsi="宋体" w:cs="宋体"/>
          <w:color w:val="auto"/>
          <w:spacing w:val="7"/>
          <w:sz w:val="21"/>
          <w:szCs w:val="21"/>
          <w:highlight w:val="none"/>
          <w:lang w:eastAsia="zh-CN"/>
        </w:rPr>
        <w:t>供应商</w:t>
      </w:r>
      <w:r>
        <w:rPr>
          <w:rFonts w:hint="eastAsia" w:ascii="宋体" w:hAnsi="宋体" w:eastAsia="宋体" w:cs="宋体"/>
          <w:color w:val="auto"/>
          <w:spacing w:val="7"/>
          <w:sz w:val="21"/>
          <w:szCs w:val="21"/>
          <w:highlight w:val="none"/>
        </w:rPr>
        <w:t>提供《中小企业声明函》之外的中小企业身份证明文件。</w:t>
      </w:r>
    </w:p>
    <w:p w14:paraId="5E57EBD3">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pacing w:val="7"/>
          <w:sz w:val="21"/>
          <w:szCs w:val="21"/>
          <w:highlight w:val="none"/>
        </w:rPr>
      </w:pPr>
      <w:r>
        <w:rPr>
          <w:rStyle w:val="29"/>
          <w:rFonts w:hint="eastAsia" w:ascii="宋体" w:hAnsi="宋体" w:eastAsia="宋体" w:cs="宋体"/>
          <w:color w:val="auto"/>
          <w:spacing w:val="7"/>
          <w:sz w:val="21"/>
          <w:szCs w:val="21"/>
          <w:highlight w:val="none"/>
        </w:rPr>
        <w:t>第十二条　</w:t>
      </w:r>
      <w:r>
        <w:rPr>
          <w:rFonts w:hint="eastAsia" w:ascii="宋体" w:hAnsi="宋体" w:eastAsia="宋体" w:cs="宋体"/>
          <w:color w:val="auto"/>
          <w:spacing w:val="7"/>
          <w:sz w:val="21"/>
          <w:szCs w:val="21"/>
          <w:highlight w:val="none"/>
        </w:rPr>
        <w:t>采购项目涉及中小企业采购的，采购文件应当明确以下内容：</w:t>
      </w:r>
    </w:p>
    <w:p w14:paraId="6DF9E05B">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（一）预留份额的采购项目或者采购包，明确该项目或相关采购包专门面向中小企业采购，以及相关标的及预算金额；</w:t>
      </w:r>
    </w:p>
    <w:p w14:paraId="7D5D7EFD">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（二）要求以联合体形式参加或者合同分包的，明确联合协议或者分包意向协议中中小企业合同金额应当达到的比例，并作为</w:t>
      </w:r>
      <w:r>
        <w:rPr>
          <w:rFonts w:hint="eastAsia" w:ascii="宋体" w:hAnsi="宋体" w:cs="宋体"/>
          <w:color w:val="auto"/>
          <w:spacing w:val="7"/>
          <w:sz w:val="21"/>
          <w:szCs w:val="21"/>
          <w:highlight w:val="none"/>
          <w:lang w:eastAsia="zh-CN"/>
        </w:rPr>
        <w:t>供应商</w:t>
      </w:r>
      <w:r>
        <w:rPr>
          <w:rFonts w:hint="eastAsia" w:ascii="宋体" w:hAnsi="宋体" w:eastAsia="宋体" w:cs="宋体"/>
          <w:color w:val="auto"/>
          <w:spacing w:val="7"/>
          <w:sz w:val="21"/>
          <w:szCs w:val="21"/>
          <w:highlight w:val="none"/>
        </w:rPr>
        <w:t>资格条件；</w:t>
      </w:r>
    </w:p>
    <w:p w14:paraId="6861F033">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（三）非预留份额的采购项目或者采购包，明确有关价格扣除比例或者价格分加分比例；</w:t>
      </w:r>
    </w:p>
    <w:p w14:paraId="0BA20DE5">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（四）规定依据本办法规定享受扶持政策获得政府采购合同的，小微企业不得将合同分包给大中型企业，中型企业不得将合同分包给大型企业；</w:t>
      </w:r>
    </w:p>
    <w:p w14:paraId="5859735C">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（五）采购人认为具备相关条件的，明确对中小企业在资金支付期限、预付款比例等方面的优惠措施；</w:t>
      </w:r>
    </w:p>
    <w:p w14:paraId="6B162657">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（六）明确采购标的对应的中小企业划分标准所属行业；</w:t>
      </w:r>
    </w:p>
    <w:p w14:paraId="35C23C0B">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（七）法律法规和省级以上人民政府财政部门规定的其他事项。</w:t>
      </w:r>
    </w:p>
    <w:p w14:paraId="3FFAF8C0">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第十三条　</w:t>
      </w:r>
      <w:r>
        <w:rPr>
          <w:rFonts w:hint="eastAsia" w:ascii="宋体" w:hAnsi="宋体" w:eastAsia="宋体" w:cs="宋体"/>
          <w:color w:val="auto"/>
          <w:spacing w:val="7"/>
          <w:sz w:val="21"/>
          <w:szCs w:val="21"/>
          <w:highlight w:val="none"/>
        </w:rPr>
        <w:t>中标、成交</w:t>
      </w:r>
      <w:r>
        <w:rPr>
          <w:rFonts w:hint="eastAsia" w:ascii="宋体" w:hAnsi="宋体" w:cs="宋体"/>
          <w:color w:val="auto"/>
          <w:spacing w:val="7"/>
          <w:sz w:val="21"/>
          <w:szCs w:val="21"/>
          <w:highlight w:val="none"/>
          <w:lang w:eastAsia="zh-CN"/>
        </w:rPr>
        <w:t>供应商</w:t>
      </w:r>
      <w:r>
        <w:rPr>
          <w:rFonts w:hint="eastAsia" w:ascii="宋体" w:hAnsi="宋体" w:eastAsia="宋体" w:cs="宋体"/>
          <w:color w:val="auto"/>
          <w:spacing w:val="7"/>
          <w:sz w:val="21"/>
          <w:szCs w:val="21"/>
          <w:highlight w:val="none"/>
        </w:rPr>
        <w:t>享受本办法规定的中小企业扶持政策的，采购人、采购代理机构应当随中标、成交结果公开中标、成交</w:t>
      </w:r>
      <w:r>
        <w:rPr>
          <w:rFonts w:hint="eastAsia" w:ascii="宋体" w:hAnsi="宋体" w:cs="宋体"/>
          <w:color w:val="auto"/>
          <w:spacing w:val="7"/>
          <w:sz w:val="21"/>
          <w:szCs w:val="21"/>
          <w:highlight w:val="none"/>
          <w:lang w:eastAsia="zh-CN"/>
        </w:rPr>
        <w:t>供应商</w:t>
      </w:r>
      <w:r>
        <w:rPr>
          <w:rFonts w:hint="eastAsia" w:ascii="宋体" w:hAnsi="宋体" w:eastAsia="宋体" w:cs="宋体"/>
          <w:color w:val="auto"/>
          <w:spacing w:val="7"/>
          <w:sz w:val="21"/>
          <w:szCs w:val="21"/>
          <w:highlight w:val="none"/>
        </w:rPr>
        <w:t>的《中小企业声明函》。</w:t>
      </w:r>
    </w:p>
    <w:p w14:paraId="12C47B1D">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适用招标投标法的政府采购工程建设项目，应当在公示中标候选人时公开中标候选人的《中小企业声明函》。</w:t>
      </w:r>
    </w:p>
    <w:p w14:paraId="1E8D4600">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第十四条</w:t>
      </w:r>
      <w:r>
        <w:rPr>
          <w:rFonts w:hint="eastAsia" w:ascii="宋体" w:hAnsi="宋体" w:eastAsia="宋体" w:cs="宋体"/>
          <w:color w:val="auto"/>
          <w:spacing w:val="7"/>
          <w:sz w:val="21"/>
          <w:szCs w:val="21"/>
          <w:highlight w:val="none"/>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91494D2">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第十五条　</w:t>
      </w:r>
      <w:r>
        <w:rPr>
          <w:rFonts w:hint="eastAsia" w:ascii="宋体" w:hAnsi="宋体" w:eastAsia="宋体" w:cs="宋体"/>
          <w:color w:val="auto"/>
          <w:spacing w:val="7"/>
          <w:sz w:val="21"/>
          <w:szCs w:val="21"/>
          <w:highlight w:val="none"/>
        </w:rPr>
        <w:t>鼓励各地区、各部门在采购活动中允许中小企业引入信用担保手段，为中小企业在投标（响应）保证、履约保证等方面提供专业化服务。鼓励中小企业依法合规通过政府采购合同融资。</w:t>
      </w:r>
    </w:p>
    <w:p w14:paraId="25249AB9">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第十六条　</w:t>
      </w:r>
      <w:r>
        <w:rPr>
          <w:rFonts w:hint="eastAsia" w:ascii="宋体" w:hAnsi="宋体" w:eastAsia="宋体" w:cs="宋体"/>
          <w:color w:val="auto"/>
          <w:spacing w:val="7"/>
          <w:sz w:val="21"/>
          <w:szCs w:val="21"/>
          <w:highlight w:val="none"/>
        </w:rPr>
        <w:t>政府采购监督检查、投诉处理及政府采购行政处罚中对中小企业的认定，由货物制造商或者工程、服务</w:t>
      </w:r>
      <w:r>
        <w:rPr>
          <w:rFonts w:hint="eastAsia" w:ascii="宋体" w:hAnsi="宋体" w:cs="宋体"/>
          <w:color w:val="auto"/>
          <w:spacing w:val="7"/>
          <w:sz w:val="21"/>
          <w:szCs w:val="21"/>
          <w:highlight w:val="none"/>
          <w:lang w:eastAsia="zh-CN"/>
        </w:rPr>
        <w:t>供应商</w:t>
      </w:r>
      <w:r>
        <w:rPr>
          <w:rFonts w:hint="eastAsia" w:ascii="宋体" w:hAnsi="宋体" w:eastAsia="宋体" w:cs="宋体"/>
          <w:color w:val="auto"/>
          <w:spacing w:val="7"/>
          <w:sz w:val="21"/>
          <w:szCs w:val="21"/>
          <w:highlight w:val="none"/>
        </w:rPr>
        <w:t>注册登记所在地的县级以上人民政府中小企业主管部门负责。</w:t>
      </w:r>
    </w:p>
    <w:p w14:paraId="52120FEF">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中小企业主管部门应当在收到财政部门或者有关招标投标行政监督部门关于协助开展中小企业认定函后10个工作日内做出书面答复。</w:t>
      </w:r>
    </w:p>
    <w:p w14:paraId="29460AAF">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第十七条　</w:t>
      </w:r>
      <w:r>
        <w:rPr>
          <w:rFonts w:hint="eastAsia" w:ascii="宋体" w:hAnsi="宋体" w:eastAsia="宋体" w:cs="宋体"/>
          <w:color w:val="auto"/>
          <w:spacing w:val="7"/>
          <w:sz w:val="21"/>
          <w:szCs w:val="21"/>
          <w:highlight w:val="none"/>
        </w:rPr>
        <w:t>各地区、各部门应当对涉及中小企业采购的预算项目实施全过程绩效管理，合理设置绩效目标和指标，落实扶持中小企业有关政策要求，定期开展绩效监控和评价，强化绩效评价结果应用。</w:t>
      </w:r>
    </w:p>
    <w:p w14:paraId="523BFF37">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第十八条　</w:t>
      </w:r>
      <w:r>
        <w:rPr>
          <w:rFonts w:hint="eastAsia" w:ascii="宋体" w:hAnsi="宋体" w:eastAsia="宋体" w:cs="宋体"/>
          <w:color w:val="auto"/>
          <w:spacing w:val="7"/>
          <w:sz w:val="21"/>
          <w:szCs w:val="21"/>
          <w:highlight w:val="none"/>
        </w:rPr>
        <w:t>主管预算单位应当自2022年起向同级财政部门报告本部门上</w:t>
      </w:r>
      <w:r>
        <w:rPr>
          <w:rFonts w:hint="eastAsia" w:ascii="宋体" w:hAnsi="宋体" w:cs="宋体"/>
          <w:color w:val="auto"/>
          <w:spacing w:val="7"/>
          <w:sz w:val="21"/>
          <w:szCs w:val="21"/>
          <w:highlight w:val="none"/>
          <w:lang w:eastAsia="zh-CN"/>
        </w:rPr>
        <w:t>合同签订后120个日历日内</w:t>
      </w:r>
      <w:r>
        <w:rPr>
          <w:rFonts w:hint="eastAsia" w:ascii="宋体" w:hAnsi="宋体" w:eastAsia="宋体" w:cs="宋体"/>
          <w:color w:val="auto"/>
          <w:spacing w:val="7"/>
          <w:sz w:val="21"/>
          <w:szCs w:val="21"/>
          <w:highlight w:val="none"/>
        </w:rPr>
        <w:t>度面向中小企业预留份额和采购的具体情况，并在中国政府采购网公开预留项目执行情况(附2)。未达到本办法规定的预留份额比例的，应当作出说明。</w:t>
      </w:r>
    </w:p>
    <w:p w14:paraId="65139E3A">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第十九条</w:t>
      </w:r>
      <w:r>
        <w:rPr>
          <w:rFonts w:hint="eastAsia" w:ascii="宋体" w:hAnsi="宋体" w:eastAsia="宋体" w:cs="宋体"/>
          <w:color w:val="auto"/>
          <w:spacing w:val="7"/>
          <w:sz w:val="21"/>
          <w:szCs w:val="21"/>
          <w:highlight w:val="none"/>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7516D26D">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第二十条</w:t>
      </w:r>
      <w:r>
        <w:rPr>
          <w:rFonts w:hint="eastAsia" w:ascii="宋体" w:hAnsi="宋体" w:eastAsia="宋体" w:cs="宋体"/>
          <w:color w:val="auto"/>
          <w:spacing w:val="7"/>
          <w:sz w:val="21"/>
          <w:szCs w:val="21"/>
          <w:highlight w:val="none"/>
        </w:rPr>
        <w:t>　</w:t>
      </w:r>
      <w:r>
        <w:rPr>
          <w:rFonts w:hint="eastAsia" w:ascii="宋体" w:hAnsi="宋体" w:cs="宋体"/>
          <w:color w:val="auto"/>
          <w:spacing w:val="7"/>
          <w:sz w:val="21"/>
          <w:szCs w:val="21"/>
          <w:highlight w:val="none"/>
          <w:lang w:eastAsia="zh-CN"/>
        </w:rPr>
        <w:t>供应商</w:t>
      </w:r>
      <w:r>
        <w:rPr>
          <w:rFonts w:hint="eastAsia" w:ascii="宋体" w:hAnsi="宋体" w:eastAsia="宋体" w:cs="宋体"/>
          <w:color w:val="auto"/>
          <w:spacing w:val="7"/>
          <w:sz w:val="21"/>
          <w:szCs w:val="21"/>
          <w:highlight w:val="none"/>
        </w:rPr>
        <w:t>按照本办法规定提供声明函内容不实的，属于提供虚假材料谋取中标、成交，依照《中华人民共和国政府采购法》等国家有关规定追究相应责任。</w:t>
      </w:r>
    </w:p>
    <w:p w14:paraId="3F29FE06">
      <w:pPr>
        <w:pStyle w:val="21"/>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适用招标投标法的政府采购工程建设项目，</w:t>
      </w:r>
      <w:r>
        <w:rPr>
          <w:rFonts w:hint="eastAsia" w:ascii="宋体" w:hAnsi="宋体" w:cs="宋体"/>
          <w:color w:val="auto"/>
          <w:spacing w:val="7"/>
          <w:sz w:val="21"/>
          <w:szCs w:val="21"/>
          <w:highlight w:val="none"/>
          <w:lang w:eastAsia="zh-CN"/>
        </w:rPr>
        <w:t>供应商</w:t>
      </w:r>
      <w:r>
        <w:rPr>
          <w:rFonts w:hint="eastAsia" w:ascii="宋体" w:hAnsi="宋体" w:eastAsia="宋体" w:cs="宋体"/>
          <w:color w:val="auto"/>
          <w:spacing w:val="7"/>
          <w:sz w:val="21"/>
          <w:szCs w:val="21"/>
          <w:highlight w:val="none"/>
        </w:rPr>
        <w:t>按照本办法规定提供声明函内容不实的，属于弄虚作假骗取中标，依照《中华人民共和国招标投标法》等国家有关规定追究相应责任。</w:t>
      </w:r>
    </w:p>
    <w:p w14:paraId="39B11F62">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第二十一条　</w:t>
      </w:r>
      <w:r>
        <w:rPr>
          <w:rFonts w:hint="eastAsia" w:ascii="宋体" w:hAnsi="宋体" w:eastAsia="宋体" w:cs="宋体"/>
          <w:color w:val="auto"/>
          <w:spacing w:val="7"/>
          <w:sz w:val="21"/>
          <w:szCs w:val="21"/>
          <w:highlight w:val="none"/>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6F4614CC">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第二十二条</w:t>
      </w:r>
      <w:r>
        <w:rPr>
          <w:rFonts w:hint="eastAsia" w:ascii="宋体" w:hAnsi="宋体" w:eastAsia="宋体" w:cs="宋体"/>
          <w:color w:val="auto"/>
          <w:spacing w:val="7"/>
          <w:sz w:val="21"/>
          <w:szCs w:val="21"/>
          <w:highlight w:val="none"/>
        </w:rPr>
        <w:t>　对外援助项目、国家相关资格或者资质管理制度另有规定的项目，不适用本办法。</w:t>
      </w:r>
    </w:p>
    <w:p w14:paraId="3DE36ADF">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第二十三条　</w:t>
      </w:r>
      <w:r>
        <w:rPr>
          <w:rFonts w:hint="eastAsia" w:ascii="宋体" w:hAnsi="宋体" w:eastAsia="宋体" w:cs="宋体"/>
          <w:color w:val="auto"/>
          <w:spacing w:val="7"/>
          <w:sz w:val="21"/>
          <w:szCs w:val="21"/>
          <w:highlight w:val="none"/>
        </w:rPr>
        <w:t>关于视同中小企业的其他主体的政府采购扶持政策，由财政部会同有关部门另行规定。</w:t>
      </w:r>
    </w:p>
    <w:p w14:paraId="774CEC20">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第二十四条</w:t>
      </w:r>
      <w:r>
        <w:rPr>
          <w:rFonts w:hint="eastAsia" w:ascii="宋体" w:hAnsi="宋体" w:eastAsia="宋体" w:cs="宋体"/>
          <w:color w:val="auto"/>
          <w:spacing w:val="7"/>
          <w:sz w:val="21"/>
          <w:szCs w:val="21"/>
          <w:highlight w:val="none"/>
        </w:rPr>
        <w:t>　省级财政部门可以会同中小企业主管部门根据本办法的规定制定具体实施办法。</w:t>
      </w:r>
    </w:p>
    <w:p w14:paraId="60DECD92">
      <w:pPr>
        <w:pStyle w:val="21"/>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9"/>
          <w:rFonts w:hint="eastAsia" w:ascii="宋体" w:hAnsi="宋体" w:eastAsia="宋体" w:cs="宋体"/>
          <w:color w:val="auto"/>
          <w:spacing w:val="7"/>
          <w:sz w:val="21"/>
          <w:szCs w:val="21"/>
          <w:highlight w:val="none"/>
        </w:rPr>
        <w:t>第二十五条</w:t>
      </w:r>
      <w:r>
        <w:rPr>
          <w:rFonts w:hint="eastAsia" w:ascii="宋体" w:hAnsi="宋体" w:eastAsia="宋体" w:cs="宋体"/>
          <w:color w:val="auto"/>
          <w:spacing w:val="7"/>
          <w:sz w:val="21"/>
          <w:szCs w:val="21"/>
          <w:highlight w:val="none"/>
        </w:rPr>
        <w:t>　本办法自2021年1月1日起施行。《财政部工业和信息化部关于印发〈政府采购促进中小企业发展暂行办法〉的通知》（财库﹝2011﹞181号）同时废止。</w:t>
      </w:r>
    </w:p>
    <w:p w14:paraId="589435AC">
      <w:pPr>
        <w:autoSpaceDN w:val="0"/>
        <w:adjustRightInd w:val="0"/>
        <w:snapToGrid w:val="0"/>
        <w:spacing w:line="360" w:lineRule="auto"/>
        <w:ind w:firstLine="448" w:firstLineChars="200"/>
        <w:rPr>
          <w:rFonts w:hint="eastAsia" w:ascii="宋体" w:hAnsi="宋体" w:eastAsia="宋体" w:cs="宋体"/>
          <w:color w:val="auto"/>
          <w:spacing w:val="7"/>
          <w:szCs w:val="21"/>
          <w:highlight w:val="none"/>
        </w:rPr>
      </w:pPr>
    </w:p>
    <w:p w14:paraId="7DC44967">
      <w:pPr>
        <w:pStyle w:val="24"/>
        <w:autoSpaceDN w:val="0"/>
        <w:adjustRightInd w:val="0"/>
        <w:snapToGrid w:val="0"/>
        <w:spacing w:line="360" w:lineRule="auto"/>
        <w:rPr>
          <w:rFonts w:hint="eastAsia" w:ascii="宋体" w:hAnsi="宋体" w:eastAsia="宋体" w:cs="宋体"/>
          <w:color w:val="auto"/>
          <w:szCs w:val="21"/>
          <w:highlight w:val="none"/>
        </w:rPr>
      </w:pPr>
    </w:p>
    <w:p w14:paraId="72EB80DA">
      <w:pPr>
        <w:pStyle w:val="24"/>
        <w:autoSpaceDN w:val="0"/>
        <w:adjustRightInd w:val="0"/>
        <w:snapToGrid w:val="0"/>
        <w:spacing w:line="360" w:lineRule="auto"/>
        <w:rPr>
          <w:rFonts w:hint="eastAsia" w:ascii="宋体" w:hAnsi="宋体" w:eastAsia="宋体" w:cs="宋体"/>
          <w:color w:val="auto"/>
          <w:szCs w:val="21"/>
          <w:highlight w:val="none"/>
        </w:rPr>
      </w:pPr>
    </w:p>
    <w:p w14:paraId="12FF7CAB">
      <w:pPr>
        <w:pStyle w:val="24"/>
        <w:autoSpaceDN w:val="0"/>
        <w:adjustRightInd w:val="0"/>
        <w:snapToGrid w:val="0"/>
        <w:spacing w:line="360" w:lineRule="auto"/>
        <w:rPr>
          <w:rFonts w:hint="eastAsia" w:ascii="宋体" w:hAnsi="宋体" w:eastAsia="宋体" w:cs="宋体"/>
          <w:color w:val="auto"/>
          <w:szCs w:val="21"/>
          <w:highlight w:val="none"/>
        </w:rPr>
      </w:pPr>
    </w:p>
    <w:p w14:paraId="2B7E043C">
      <w:pPr>
        <w:rPr>
          <w:rFonts w:hint="eastAsia"/>
          <w:highlight w:val="none"/>
        </w:rPr>
      </w:pPr>
    </w:p>
    <w:p w14:paraId="1532CA59">
      <w:pPr>
        <w:rPr>
          <w:rFonts w:hint="eastAsia" w:ascii="宋体" w:hAnsi="宋体" w:cs="宋体"/>
          <w:b/>
          <w:color w:val="auto"/>
          <w:sz w:val="24"/>
          <w:highlight w:val="none"/>
        </w:rPr>
      </w:pPr>
      <w:bookmarkStart w:id="70" w:name="_Toc22641"/>
      <w:r>
        <w:rPr>
          <w:rFonts w:hint="eastAsia" w:ascii="宋体" w:hAnsi="宋体" w:cs="宋体"/>
          <w:b/>
          <w:color w:val="auto"/>
          <w:sz w:val="24"/>
          <w:highlight w:val="none"/>
        </w:rPr>
        <w:br w:type="page"/>
      </w:r>
    </w:p>
    <w:p w14:paraId="3DE24517">
      <w:pPr>
        <w:widowControl/>
        <w:autoSpaceDE w:val="0"/>
        <w:autoSpaceDN w:val="0"/>
        <w:ind w:right="-12"/>
        <w:jc w:val="center"/>
        <w:textAlignment w:val="bottom"/>
        <w:rPr>
          <w:rFonts w:ascii="宋体" w:hAnsi="宋体" w:cs="宋体"/>
          <w:b/>
          <w:color w:val="auto"/>
          <w:sz w:val="28"/>
          <w:szCs w:val="28"/>
          <w:highlight w:val="none"/>
        </w:rPr>
      </w:pPr>
      <w:r>
        <w:rPr>
          <w:rFonts w:hint="eastAsia" w:ascii="宋体" w:hAnsi="宋体" w:cs="宋体"/>
          <w:b/>
          <w:color w:val="auto"/>
          <w:sz w:val="28"/>
          <w:szCs w:val="28"/>
          <w:highlight w:val="none"/>
        </w:rPr>
        <w:t>中小企业声明函（货物）</w:t>
      </w:r>
    </w:p>
    <w:p w14:paraId="31D95853">
      <w:pPr>
        <w:pStyle w:val="21"/>
        <w:snapToGrid w:val="0"/>
        <w:spacing w:beforeAutospacing="0" w:afterAutospacing="0" w:line="440" w:lineRule="exact"/>
        <w:jc w:val="center"/>
        <w:rPr>
          <w:rFonts w:cs="Times New Roman"/>
          <w:bCs/>
          <w:color w:val="auto"/>
          <w:highlight w:val="none"/>
        </w:rPr>
      </w:pPr>
    </w:p>
    <w:p w14:paraId="52C5FFDD">
      <w:pPr>
        <w:pStyle w:val="21"/>
        <w:snapToGrid w:val="0"/>
        <w:spacing w:beforeAutospacing="0" w:afterAutospacing="0" w:line="360" w:lineRule="auto"/>
        <w:ind w:right="58"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本公司（联合体）郑重声明，根据《政府采购促进中小企业发展管理办法》（财库﹝2020﹞46号）的规定，本公司（联合体）参加</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采购活动，提供的货物全部由符合政策要求的中小企业制造。相关企业（含联合体中的中小企业、签订分包意向协议的中小企业）的具体情况如下：</w:t>
      </w:r>
    </w:p>
    <w:p w14:paraId="514EC5D6">
      <w:pPr>
        <w:pStyle w:val="21"/>
        <w:snapToGrid w:val="0"/>
        <w:spacing w:beforeAutospacing="0" w:afterAutospacing="0" w:line="360" w:lineRule="auto"/>
        <w:ind w:right="5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行业；制造商为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4648CB76">
      <w:pPr>
        <w:pStyle w:val="21"/>
        <w:snapToGrid w:val="0"/>
        <w:spacing w:beforeAutospacing="0" w:afterAutospacing="0" w:line="360" w:lineRule="auto"/>
        <w:ind w:right="5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行业；制造商为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万元，属于（中型企业、小型企业、微型企业）；</w:t>
      </w:r>
    </w:p>
    <w:p w14:paraId="1A461A06">
      <w:pPr>
        <w:pStyle w:val="21"/>
        <w:snapToGrid w:val="0"/>
        <w:spacing w:beforeAutospacing="0" w:afterAutospacing="0" w:line="360" w:lineRule="auto"/>
        <w:ind w:right="480" w:firstLine="2730" w:firstLineChars="1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7C42F324">
      <w:pPr>
        <w:pStyle w:val="21"/>
        <w:snapToGrid w:val="0"/>
        <w:spacing w:beforeAutospacing="0" w:afterAutospacing="0" w:line="360" w:lineRule="auto"/>
        <w:ind w:right="5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7DD9F43B">
      <w:pPr>
        <w:pStyle w:val="21"/>
        <w:snapToGrid w:val="0"/>
        <w:spacing w:beforeAutospacing="0" w:afterAutospacing="0" w:line="360" w:lineRule="auto"/>
        <w:ind w:righ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10DFB794">
      <w:pPr>
        <w:pStyle w:val="21"/>
        <w:snapToGrid w:val="0"/>
        <w:spacing w:beforeAutospacing="0" w:afterAutospacing="0" w:line="360" w:lineRule="auto"/>
        <w:ind w:right="480" w:firstLine="4935" w:firstLineChars="2350"/>
        <w:rPr>
          <w:rFonts w:hint="eastAsia" w:ascii="宋体" w:hAnsi="宋体" w:eastAsia="宋体" w:cs="宋体"/>
          <w:color w:val="auto"/>
          <w:sz w:val="21"/>
          <w:szCs w:val="21"/>
          <w:highlight w:val="none"/>
        </w:rPr>
      </w:pPr>
    </w:p>
    <w:p w14:paraId="7C1855B4">
      <w:pPr>
        <w:pStyle w:val="21"/>
        <w:snapToGrid w:val="0"/>
        <w:spacing w:beforeAutospacing="0" w:afterAutospacing="0" w:line="360" w:lineRule="auto"/>
        <w:ind w:right="480" w:firstLine="4935" w:firstLineChars="23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27FAEAB8">
      <w:pPr>
        <w:pStyle w:val="21"/>
        <w:snapToGrid w:val="0"/>
        <w:spacing w:beforeAutospacing="0" w:afterAutospacing="0" w:line="360" w:lineRule="auto"/>
        <w:ind w:right="480" w:firstLine="4935" w:firstLineChars="23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49122248">
      <w:pPr>
        <w:pStyle w:val="21"/>
        <w:snapToGrid w:val="0"/>
        <w:spacing w:beforeAutospacing="0" w:afterAutospacing="0" w:line="360" w:lineRule="auto"/>
        <w:ind w:righ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4BC9F600">
      <w:pPr>
        <w:pStyle w:val="6"/>
        <w:autoSpaceDN w:val="0"/>
        <w:adjustRightInd w:val="0"/>
        <w:snapToGrid w:val="0"/>
        <w:spacing w:line="360" w:lineRule="auto"/>
        <w:ind w:firstLine="420"/>
        <w:jc w:val="left"/>
        <w:rPr>
          <w:rFonts w:hint="eastAsia" w:ascii="宋体" w:hAnsi="宋体" w:eastAsia="宋体" w:cs="宋体"/>
          <w:b/>
          <w:bCs/>
          <w:color w:val="auto"/>
          <w:sz w:val="21"/>
          <w:szCs w:val="21"/>
          <w:highlight w:val="none"/>
          <w:lang w:val="zh-CN"/>
        </w:rPr>
      </w:pPr>
      <w:r>
        <w:rPr>
          <w:rFonts w:hint="eastAsia" w:ascii="宋体" w:hAnsi="宋体" w:eastAsia="宋体" w:cs="宋体"/>
          <w:color w:val="auto"/>
          <w:sz w:val="21"/>
          <w:szCs w:val="21"/>
          <w:highlight w:val="none"/>
        </w:rPr>
        <w:t>1.从业人员、</w:t>
      </w:r>
      <w:r>
        <w:rPr>
          <w:rFonts w:hint="eastAsia" w:ascii="宋体" w:hAnsi="宋体" w:eastAsia="宋体" w:cs="宋体"/>
          <w:color w:val="auto"/>
          <w:sz w:val="21"/>
          <w:szCs w:val="21"/>
          <w:highlight w:val="none"/>
          <w:lang w:val="en-US" w:eastAsia="zh-CN"/>
        </w:rPr>
        <w:t>营业</w:t>
      </w:r>
      <w:r>
        <w:rPr>
          <w:rFonts w:hint="eastAsia" w:ascii="宋体" w:hAnsi="宋体" w:eastAsia="宋体" w:cs="宋体"/>
          <w:color w:val="auto"/>
          <w:sz w:val="21"/>
          <w:szCs w:val="21"/>
          <w:highlight w:val="none"/>
        </w:rPr>
        <w:t>收入、资产总额填报上一年度数据，无上一年度数据的新成立企业可不填报。</w:t>
      </w:r>
    </w:p>
    <w:p w14:paraId="6E21008C">
      <w:pPr>
        <w:pStyle w:val="6"/>
        <w:autoSpaceDN w:val="0"/>
        <w:adjustRightInd w:val="0"/>
        <w:snapToGrid w:val="0"/>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kern w:val="0"/>
          <w:sz w:val="21"/>
          <w:szCs w:val="21"/>
          <w:highlight w:val="none"/>
          <w:lang w:val="en-US" w:eastAsia="zh-CN" w:bidi="ar-SA"/>
        </w:rPr>
        <w:t>享受中小企业扶持政策的，将随中标结果一并公示，如声明函内容不实的，将视</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提供虚假材料谋取中标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将</w:t>
      </w:r>
      <w:r>
        <w:rPr>
          <w:rFonts w:hint="eastAsia" w:ascii="宋体" w:hAnsi="宋体" w:eastAsia="宋体" w:cs="宋体"/>
          <w:color w:val="auto"/>
          <w:sz w:val="21"/>
          <w:szCs w:val="21"/>
          <w:highlight w:val="none"/>
        </w:rPr>
        <w:t>追究其法律责任。</w:t>
      </w:r>
    </w:p>
    <w:p w14:paraId="2CC5222C">
      <w:pPr>
        <w:pStyle w:val="6"/>
        <w:autoSpaceDN w:val="0"/>
        <w:adjustRightInd w:val="0"/>
        <w:snapToGrid w:val="0"/>
        <w:spacing w:line="360" w:lineRule="auto"/>
        <w:ind w:firstLine="420"/>
        <w:jc w:val="left"/>
        <w:rPr>
          <w:rFonts w:hint="eastAsia" w:ascii="宋体" w:hAnsi="宋体" w:eastAsia="宋体" w:cs="宋体"/>
          <w:bCs/>
          <w:color w:val="auto"/>
          <w:sz w:val="21"/>
          <w:szCs w:val="21"/>
          <w:highlight w:val="yellow"/>
        </w:rPr>
      </w:pPr>
      <w:r>
        <w:rPr>
          <w:rFonts w:hint="eastAsia" w:ascii="宋体" w:hAnsi="宋体" w:eastAsia="宋体" w:cs="宋体"/>
          <w:color w:val="auto"/>
          <w:sz w:val="21"/>
          <w:szCs w:val="21"/>
          <w:highlight w:val="yellow"/>
          <w:lang w:val="en-US" w:eastAsia="zh-CN"/>
        </w:rPr>
        <w:t>3.本项目所有采购标的所属行业：软件和信息技术服务业。</w:t>
      </w:r>
      <w:bookmarkEnd w:id="70"/>
    </w:p>
    <w:p w14:paraId="089FAAAA">
      <w:pPr>
        <w:pStyle w:val="6"/>
        <w:autoSpaceDN w:val="0"/>
        <w:adjustRightInd w:val="0"/>
        <w:snapToGrid w:val="0"/>
        <w:spacing w:line="360" w:lineRule="auto"/>
        <w:ind w:firstLine="420"/>
        <w:jc w:val="center"/>
        <w:rPr>
          <w:rFonts w:hint="eastAsia" w:ascii="宋体" w:hAnsi="宋体" w:eastAsia="宋体" w:cs="宋体"/>
          <w:b/>
          <w:bCs w:val="0"/>
          <w:color w:val="auto"/>
          <w:sz w:val="28"/>
          <w:szCs w:val="28"/>
          <w:highlight w:val="none"/>
        </w:rPr>
      </w:pPr>
      <w:r>
        <w:rPr>
          <w:rFonts w:hint="eastAsia" w:ascii="宋体" w:hAnsi="宋体" w:eastAsia="宋体" w:cs="宋体"/>
          <w:bCs/>
          <w:color w:val="auto"/>
          <w:szCs w:val="21"/>
          <w:highlight w:val="none"/>
        </w:rPr>
        <w:br w:type="page"/>
      </w:r>
      <w:r>
        <w:rPr>
          <w:rFonts w:hint="eastAsia" w:ascii="宋体" w:hAnsi="宋体" w:eastAsia="宋体" w:cs="宋体"/>
          <w:b/>
          <w:bCs w:val="0"/>
          <w:color w:val="auto"/>
          <w:sz w:val="28"/>
          <w:szCs w:val="28"/>
          <w:highlight w:val="none"/>
        </w:rPr>
        <w:t>中小企业划型标准规定</w:t>
      </w:r>
    </w:p>
    <w:p w14:paraId="6C0F4676">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一、根据《中华人民共和国中小企业促进法》和《国务院关于进一步促进中小企业发展的若干意见》(国发〔2009〕36号)，制定本规定。</w:t>
      </w:r>
    </w:p>
    <w:p w14:paraId="55FD5E0B">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二、中小企业划分为中型、小型、微型三种类型，具体标准根据企业从业人员、营业收入、资产总额等指标，结合行业特点制定。</w:t>
      </w:r>
    </w:p>
    <w:p w14:paraId="4E7B3AB8">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94C6666">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四、各行业划型标准为：</w:t>
      </w:r>
    </w:p>
    <w:p w14:paraId="75ADA128">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（一）农、林、牧、渔业。营业收入20000万元以下的为中小微型企业。其中，营业收入500万元及以上的为中型企业，营业收入50万元及以上的为小型企业，营业收入50万元以下的为微型企业。</w:t>
      </w:r>
    </w:p>
    <w:p w14:paraId="0C77CF91">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5BF6E9E">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1D6BF1D">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D9F78D6">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2E85536">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E04BE00">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89EA9B2">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9AC71C8">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73D6145">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E5E2A26">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0530CCB">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414CA93">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9930604">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56FB3B2">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6D2CD56">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（十六）其他未列明行业。从业人员300人以下的为中小微型企业。其中，从业人员100人及以上的为中型企业；从业人员10人及以上的为小型企业；从业人员10人以下的为微型企业。</w:t>
      </w:r>
    </w:p>
    <w:p w14:paraId="69E771AF">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五、企业类型的划分以统计部门的统计数据为依据。</w:t>
      </w:r>
    </w:p>
    <w:p w14:paraId="2C25955F">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六、本规定适用于在中华人民共和国境内依法设立的各类所有制和各种组织形式的企业。个体工商户和本规定以外的行业，参照本规定进行划型。</w:t>
      </w:r>
    </w:p>
    <w:p w14:paraId="44FD53E2">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3BDEA6C2">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八、本规定由工业和信息化部、国家统计局会同有关部门根据《国民经济行业分类》修订情况和企业发展变化情况适时修订。</w:t>
      </w:r>
    </w:p>
    <w:p w14:paraId="7EF84F5B">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九、本规定由工业和信息化部、国家统计局会同有关部门负责解释。</w:t>
      </w:r>
    </w:p>
    <w:p w14:paraId="1AD4CBB1">
      <w:pPr>
        <w:autoSpaceDN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zh-CN"/>
        </w:rPr>
        <w:t>十、本规定自发布之日起执行，原国家经贸委、原国家计委、财政部和国家统计局2003年颁布的《中小企业标准暂行规定》同时废止。</w:t>
      </w:r>
    </w:p>
    <w:p w14:paraId="597DB994">
      <w:pPr>
        <w:autoSpaceDN w:val="0"/>
        <w:adjustRightInd w:val="0"/>
        <w:snapToGrid w:val="0"/>
        <w:spacing w:line="360" w:lineRule="auto"/>
        <w:rPr>
          <w:rFonts w:hint="eastAsia" w:ascii="宋体" w:hAnsi="宋体" w:eastAsia="宋体" w:cs="宋体"/>
          <w:color w:val="auto"/>
          <w:szCs w:val="21"/>
          <w:highlight w:val="none"/>
        </w:rPr>
        <w:sectPr>
          <w:footerReference r:id="rId3" w:type="default"/>
          <w:pgSz w:w="11906" w:h="16838"/>
          <w:pgMar w:top="1440" w:right="1080" w:bottom="1440" w:left="1080" w:header="851" w:footer="851" w:gutter="0"/>
          <w:pgNumType w:fmt="decimal" w:start="1"/>
          <w:cols w:space="720" w:num="1"/>
          <w:docGrid w:linePitch="312" w:charSpace="0"/>
        </w:sectPr>
      </w:pPr>
      <w:r>
        <w:rPr>
          <w:rFonts w:hint="eastAsia" w:ascii="宋体" w:hAnsi="宋体" w:eastAsia="宋体" w:cs="宋体"/>
          <w:color w:val="auto"/>
          <w:szCs w:val="21"/>
          <w:highlight w:val="none"/>
        </w:rPr>
        <w:br w:type="page"/>
      </w:r>
    </w:p>
    <w:p w14:paraId="723E46CB">
      <w:pPr>
        <w:pStyle w:val="2"/>
        <w:numPr>
          <w:ilvl w:val="0"/>
          <w:numId w:val="4"/>
        </w:numPr>
        <w:autoSpaceDN w:val="0"/>
        <w:adjustRightInd w:val="0"/>
        <w:snapToGrid w:val="0"/>
        <w:spacing w:before="0" w:after="0" w:line="360" w:lineRule="auto"/>
        <w:jc w:val="center"/>
        <w:rPr>
          <w:rFonts w:hint="eastAsia" w:ascii="宋体" w:hAnsi="宋体" w:eastAsia="宋体" w:cs="宋体"/>
          <w:b/>
          <w:bCs/>
          <w:color w:val="auto"/>
          <w:kern w:val="44"/>
          <w:sz w:val="44"/>
          <w:szCs w:val="44"/>
          <w:highlight w:val="none"/>
          <w:lang w:val="en-US" w:eastAsia="zh-CN" w:bidi="ar-SA"/>
        </w:rPr>
      </w:pPr>
      <w:bookmarkStart w:id="71" w:name="_Toc48760974"/>
      <w:bookmarkStart w:id="72" w:name="_Toc30695"/>
      <w:r>
        <w:rPr>
          <w:rFonts w:hint="eastAsia" w:ascii="宋体" w:hAnsi="宋体" w:eastAsia="宋体" w:cs="宋体"/>
          <w:color w:val="auto"/>
          <w:highlight w:val="none"/>
        </w:rPr>
        <w:t xml:space="preserve"> </w:t>
      </w:r>
      <w:bookmarkStart w:id="73" w:name="_Toc23027"/>
      <w:r>
        <w:rPr>
          <w:rFonts w:hint="eastAsia" w:ascii="宋体" w:hAnsi="宋体" w:eastAsia="宋体" w:cs="宋体"/>
          <w:color w:val="auto"/>
          <w:highlight w:val="none"/>
        </w:rPr>
        <w:t>采购需求</w:t>
      </w:r>
      <w:bookmarkEnd w:id="1"/>
      <w:bookmarkEnd w:id="2"/>
      <w:bookmarkEnd w:id="3"/>
      <w:bookmarkEnd w:id="71"/>
      <w:bookmarkEnd w:id="72"/>
      <w:bookmarkEnd w:id="73"/>
      <w:bookmarkStart w:id="74" w:name="_第五部分__"/>
      <w:bookmarkEnd w:id="74"/>
      <w:bookmarkStart w:id="75" w:name="_Toc247085855"/>
      <w:bookmarkStart w:id="76" w:name="_Toc179632789"/>
      <w:bookmarkStart w:id="77" w:name="_Toc2135"/>
      <w:bookmarkStart w:id="78" w:name="_Toc502304490"/>
      <w:bookmarkStart w:id="79" w:name="_Toc144974834"/>
      <w:bookmarkStart w:id="80" w:name="_Toc246996340"/>
      <w:bookmarkStart w:id="81" w:name="_Toc246997083"/>
      <w:bookmarkStart w:id="82" w:name="_Toc152042554"/>
      <w:bookmarkStart w:id="83" w:name="_Toc152045772"/>
    </w:p>
    <w:p w14:paraId="3BE85BF8">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一、农机装备数据采集平台简介</w:t>
      </w:r>
    </w:p>
    <w:p w14:paraId="7CEABD1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所采购的数据采集平台由硬件和软件两部分组成，硬件由主机箱和板卡构成。主机箱实现与电脑软件之间的数据通信及给板卡的供电，配件包括：交流电源适配器、直流电源线缆、地线、机箱自带转速/信号源/CAN等配套线缆。板卡实现与传感器的连接，进行传感器的供电及传感器信号的采集，并将采集的模拟信号转换为数量信号。系统工作时要使用的传感器采购方已有，无需配置。</w:t>
      </w:r>
    </w:p>
    <w:p w14:paraId="6B3FB16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软件安装在电脑中，通过网线接口实现主机箱与电脑之间的连接及数据传输。软件可以实现硬件的采集信号设定、传感器参数的定义等，并且通过软件实现传感器数据的分析和处理。</w:t>
      </w:r>
    </w:p>
    <w:p w14:paraId="261B811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所采购的数据采集平台应将不同类型的传感器电压变化的模拟量转换为数字量，直接进行读取、分析、评判。数据采集平台具备传感器数据的去噪、加窗等处理功能；数据采集平台可以实时的多传感器数据采集及同步进行数字量转换并且加以分析，可以针对农用机械不同工况进行实时的数据分析；数据采集平台可以进行相关的数字量高级处理能力，例如：傅里叶变换、加权等；同时数据采集平台具有灵活的扩展性，可以扩展的功能包括模态测试、传递路径分析、声强声功率分析、疲劳分析等功能。</w:t>
      </w:r>
    </w:p>
    <w:p w14:paraId="53B282A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整体系统可以实现农机装备实际工作过程中振动、负荷、噪声、压力等信号的采集及分析，全面评估智能农机装备实际工况的性能，找到农机装备可能出现的设计问题并提出改进的依据；可提升农机装备的整体质量水平，更好的评估农机产品的实际工作性能，提升智能农机装备可靠性、舒适性等性能指标。</w:t>
      </w:r>
    </w:p>
    <w:p w14:paraId="397AD0A9">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二、农机装备数据采集平台技术要求</w:t>
      </w:r>
    </w:p>
    <w:p w14:paraId="053CEF2A">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1、采集前端技术要求：</w:t>
      </w:r>
    </w:p>
    <w:p w14:paraId="1C986EF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1）交直流供电：AC220V@50Hz及DC12–36V</w:t>
      </w:r>
    </w:p>
    <w:p w14:paraId="7722BCC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2）与计算机接口：千兆以太网接口</w:t>
      </w:r>
    </w:p>
    <w:p w14:paraId="1A350A2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3）与计算机间的数据传送速率：≥40Mbytes/s</w:t>
      </w:r>
    </w:p>
    <w:p w14:paraId="56DB6D0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4）工作温度：-20℃~50℃</w:t>
      </w:r>
    </w:p>
    <w:p w14:paraId="31638FD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5）抗振/抗冲击：抗振5grms，抗冲击50gpeak</w:t>
      </w:r>
    </w:p>
    <w:p w14:paraId="547A1A7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6）抗电磁干扰：满足CE标准</w:t>
      </w:r>
    </w:p>
    <w:p w14:paraId="32D0442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7）单机箱通道扩展能力：5槽；后期单机箱可扩展为40通道。并支持多个机箱的同步采集。</w:t>
      </w:r>
    </w:p>
    <w:p w14:paraId="58AE0636">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2、ICP/电压输入技术要求：</w:t>
      </w:r>
    </w:p>
    <w:p w14:paraId="66BA79B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1）通道数不少于16路；</w:t>
      </w:r>
    </w:p>
    <w:p w14:paraId="55278DE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2）模/数转换精度：Σ/△24位</w:t>
      </w:r>
    </w:p>
    <w:p w14:paraId="21B24F8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3）▲每通道并行最大采样率：≥200kHz（不受通道个数限制）</w:t>
      </w:r>
    </w:p>
    <w:p w14:paraId="42C665C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4）无混叠分析带宽：≥90kHz</w:t>
      </w:r>
    </w:p>
    <w:p w14:paraId="4A893AB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5）电压输入范围：±10 V，±3.16 V，±1 V，±0.316 V（至少4档程控可调）</w:t>
      </w:r>
    </w:p>
    <w:p w14:paraId="71C78BE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6）幅值精度：优于0.2% @ 1kHz</w:t>
      </w:r>
    </w:p>
    <w:p w14:paraId="25B799E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7）相位匹配：优于0.2°@10kHz</w:t>
      </w:r>
    </w:p>
    <w:p w14:paraId="0611926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8）任意通道间抗串扰：≤-120dB</w:t>
      </w:r>
    </w:p>
    <w:p w14:paraId="1B2FC23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9）无杂波动态范围（SFDR）：≥150dB（10V量程，20kHz带宽）</w:t>
      </w:r>
    </w:p>
    <w:p w14:paraId="62B8E1C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10）支持TEDS智能传感器识别。</w:t>
      </w:r>
    </w:p>
    <w:p w14:paraId="1693CA9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11）▲通道硬件面板LED状态显示：通道过载、ICP通/断路检查</w:t>
      </w:r>
    </w:p>
    <w:p w14:paraId="00645F99">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3、软件基本功能</w:t>
      </w:r>
    </w:p>
    <w:p w14:paraId="2672664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1）提供多种数据图形显示方式，至少包括：二维图、二维多轴图、三维瀑布图、三维坎贝尔图、波特图、Nyquist图、倍频程图、XY散点图以及声强或模态所对应几何模型的显示等；</w:t>
      </w:r>
    </w:p>
    <w:p w14:paraId="7832FD6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2）对于长时间（≥600s以上）记录信号的显示系统应具有优化功能，能够实现快速的显示、缩放。</w:t>
      </w:r>
    </w:p>
    <w:p w14:paraId="321F550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3）提供多种数据显示光标：单光标，双光标（可以方便的两光标间数据的均方根，均值、最大值和最小值），峰值自动搜索光标，多倍频谐次光标等；</w:t>
      </w:r>
    </w:p>
    <w:p w14:paraId="4965E25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4）参考曲线自定义生成功能：用户可通过自定义表格生成谱（FFT谱、自谱、互谱）、时间波形以及频响函数等各种参考曲线。</w:t>
      </w:r>
    </w:p>
    <w:p w14:paraId="393CA59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5）支持基于显示数据直接进行快速的分析处理：FFT谱、自谱、插值、积分、微分、计权、数学运算、曲线平滑等；</w:t>
      </w:r>
    </w:p>
    <w:p w14:paraId="390A6A4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基于分析结果的二次分析功能，包括：对时间块进行FFT谱、自谱、倒谱分析，对频谱进行逆傅里叶变换、倍频程合成、变换计权方式；多个分析结果的求和、平均；以及最大值、最小值、平均、均方根等统计分析。</w:t>
      </w:r>
    </w:p>
    <w:p w14:paraId="7EEA975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7）动态数据图片功能：可以脱离试验软件，在任意电脑上offices软件中对数据图片进行编辑，包括线型、坐标轴、光标、振型动画等；</w:t>
      </w:r>
    </w:p>
    <w:p w14:paraId="3486B20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8)多种外部格式文件原始时域信号导入功能，至少包括如下格式：ASAM-ODS、Matlab、SDF、UNV、WAV、Excel、RPCIII；</w:t>
      </w:r>
    </w:p>
    <w:p w14:paraId="63EA813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9)多种外部格式文件原始时域信号导出功能，至少包括如下格式：ASAM-ODS、ASCII、Excel、Matlab、SDF、UNV、WAV 、MTS（afu）、RPCIII；</w:t>
      </w:r>
    </w:p>
    <w:p w14:paraId="5699B72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10)支持如下CAE模型结果导入功能：STL、ANSYS、NASTRAN。</w:t>
      </w:r>
    </w:p>
    <w:p w14:paraId="6A99F9F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11)▲传感器数据库功能：可建立传感器数据库，在测试软件中可直接快速访问调用，减少人为误差；</w:t>
      </w:r>
    </w:p>
    <w:p w14:paraId="43E175D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12)具有数据库基本功能，可方便进行数据查找和管理；</w:t>
      </w:r>
    </w:p>
    <w:p w14:paraId="7B86A20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13)批量报告功能：用户可自定义报告模板，支持多组数据的批量报告生成；</w:t>
      </w:r>
    </w:p>
    <w:p w14:paraId="32E0AD3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14)原始信号回放功能：支持在线采集过程中的原始信号回放监听，以及基于采集得到的原始时域信号的离线回放主观评价。</w:t>
      </w:r>
    </w:p>
    <w:p w14:paraId="19A8A11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4、信号频谱特征分析功能</w:t>
      </w:r>
    </w:p>
    <w:p w14:paraId="0CCAA9E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1)在线及离线的信号频谱特征分析功能至少包括：FFT谱，自功率谱，互功率谱，阶次谱，频响函数（H1,H2,Hv），1/n倍频程（1/1,1/3）。</w:t>
      </w:r>
    </w:p>
    <w:p w14:paraId="6954453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2)多种测试及分析跟踪方式：稳态平均（线性/指数/能量/最大最小值保持）、跟踪时间、跟踪转速或其他静态通道、快变通道的量级触发。支持预触发模式。</w:t>
      </w:r>
    </w:p>
    <w:p w14:paraId="6332D6C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3)频率计权方式：A、B、C及线性计权</w:t>
      </w:r>
    </w:p>
    <w:p w14:paraId="24BE075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4)实时FFT最大谱线数：≥ 64000</w:t>
      </w:r>
    </w:p>
    <w:p w14:paraId="029EA33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5)窗函数：Hanning, Hamming, Tukey, UNIFORM, Blackman, Kaiser-Bessel,力，指数、平顶窗等。</w:t>
      </w:r>
    </w:p>
    <w:p w14:paraId="0D11F48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6)▲通道分组功能：至少可分为振动，噪声，静态通道三个组。可对不同通道组设定不同的采样频率，并进行不同的分析处理。</w:t>
      </w:r>
    </w:p>
    <w:p w14:paraId="0C7BDDE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7)在线及离线IEC声级计测试功能：支持指数平均和线型平均，指数平均包括：快/慢/脉冲/自定义时间常数，线性平均包括Leq的连续等效声压级，以及用户自定义平均。用户可自定义频率计权方式（Linear/A/B/C），具有最大值/最小值保持功能。</w:t>
      </w:r>
    </w:p>
    <w:p w14:paraId="2731A36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8)▲在线及离线心理声学指标分析功能：响度（ISO 532B，自由场和混响场），尖锐度，语言清晰度（Open/Closed）。</w:t>
      </w:r>
    </w:p>
    <w:p w14:paraId="46BC3C4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9)在线及离线扭振测试和分析功能：对专用转速通道所采集得到的高精度转速时域动态信号，进行扭转振动信号相关的频谱、阶次谱、及总量值等分析。可以直接得到扭振角、扭振角速度、扭振角加速度等量；支持多种转速脉冲传感器：磁电式、霍尔式、光电式以及光电编码器等。</w:t>
      </w:r>
    </w:p>
    <w:p w14:paraId="4FC5712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10)在线及离线声功率测试和分析功能：基于ISO 3744 声压法声功率测试。</w:t>
      </w:r>
    </w:p>
    <w:p w14:paraId="5744DB2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11)在线及离线偏移阶次分量成分的分析，如跟踪新能源汽车发动机或家电压缩机转速的三维频谱分析结果中的电机阶次分量的分析。</w:t>
      </w:r>
    </w:p>
    <w:p w14:paraId="3B4088A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12)在线虚拟通道功能：基于真实测量通道信号，对各通道及各通道之间的连续时域信号进行在线运算，生成新的原始信号通道，对新生成的原始时域信号可以进行各种在线/离线的后处理分析。虚拟通道中可以使用的运算函数有：信号调理函数（微分/积分，二次微分/积分、高通/低通/带通/带阻/单频凹陷滤波）；逻辑判断（大于，小于，不等于，与/和/或）；数学运算（四则运算、绝对值、正负判断、均方根、三角函数/反三角函数）。所有函数可以随意组合。</w:t>
      </w:r>
    </w:p>
    <w:p w14:paraId="52768C0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13)在线及离线数据统计分析：频谱和阶次谱的最大值保持和平均，以及每个分析块内原始时域数据统计分析（最大/最小、范围、极值、RMS均根值、平均值、中间值、和、积分、振幅因数、10%/25%/50%/75%/95%概率值、方差、标准偏差、绝对偏差、极限偏差、偏斜度、峭度、Markov回归）</w:t>
      </w:r>
    </w:p>
    <w:p w14:paraId="2033D30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14)可以连续记录各通道原始的时间历程数据到计算机硬盘。作为数据文件，可以进行各种后处理和分析。</w:t>
      </w:r>
    </w:p>
    <w:p w14:paraId="300F433E">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5、服务要求</w:t>
      </w:r>
    </w:p>
    <w:p w14:paraId="1C8C5F0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1）交付时间：合同签订后120个日历日内。</w:t>
      </w:r>
    </w:p>
    <w:p w14:paraId="2A9767D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2）交付地点：采购人指定地点。</w:t>
      </w:r>
    </w:p>
    <w:p w14:paraId="2D0C4E5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3）质保期：1年（项目验收合格后开始计算）。</w:t>
      </w:r>
    </w:p>
    <w:p w14:paraId="70074289"/>
    <w:p w14:paraId="5B77DC51">
      <w:pPr>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b/>
          <w:bCs/>
          <w:color w:val="auto"/>
          <w:kern w:val="44"/>
          <w:sz w:val="44"/>
          <w:szCs w:val="44"/>
          <w:highlight w:val="none"/>
          <w:lang w:val="en-US" w:eastAsia="zh-CN" w:bidi="ar-SA"/>
        </w:rPr>
        <w:br w:type="page"/>
      </w:r>
    </w:p>
    <w:p w14:paraId="0DB5D717">
      <w:pPr>
        <w:pStyle w:val="9"/>
        <w:rPr>
          <w:rFonts w:hint="eastAsia"/>
          <w:lang w:val="en-US" w:eastAsia="zh-CN"/>
        </w:rPr>
      </w:pPr>
    </w:p>
    <w:p w14:paraId="04DD6841">
      <w:pPr>
        <w:pStyle w:val="2"/>
        <w:numPr>
          <w:ilvl w:val="0"/>
          <w:numId w:val="4"/>
        </w:numPr>
        <w:autoSpaceDN w:val="0"/>
        <w:adjustRightInd w:val="0"/>
        <w:snapToGrid w:val="0"/>
        <w:spacing w:before="0" w:after="0"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 xml:space="preserve"> </w:t>
      </w:r>
      <w:bookmarkStart w:id="84" w:name="_Toc22732"/>
      <w:r>
        <w:rPr>
          <w:rFonts w:hint="eastAsia" w:ascii="宋体" w:hAnsi="宋体" w:eastAsia="宋体" w:cs="宋体"/>
          <w:color w:val="auto"/>
          <w:highlight w:val="none"/>
          <w:lang w:val="en-US" w:eastAsia="zh-CN"/>
        </w:rPr>
        <w:t>合同条款及格式</w:t>
      </w:r>
      <w:bookmarkEnd w:id="75"/>
      <w:bookmarkEnd w:id="76"/>
      <w:bookmarkEnd w:id="77"/>
      <w:bookmarkEnd w:id="78"/>
      <w:bookmarkEnd w:id="79"/>
      <w:bookmarkEnd w:id="80"/>
      <w:bookmarkEnd w:id="81"/>
      <w:bookmarkEnd w:id="82"/>
      <w:bookmarkEnd w:id="83"/>
      <w:bookmarkEnd w:id="84"/>
      <w:bookmarkStart w:id="85" w:name="_Toc502304491"/>
    </w:p>
    <w:p w14:paraId="4DEE9BCC">
      <w:pPr>
        <w:pStyle w:val="22"/>
        <w:keepNext w:val="0"/>
        <w:keepLines w:val="0"/>
        <w:pageBreakBefore w:val="0"/>
        <w:widowControl w:val="0"/>
        <w:suppressLineNumbers w:val="0"/>
        <w:suppressAutoHyphens w:val="0"/>
        <w:kinsoku/>
        <w:wordWrap/>
        <w:overflowPunct/>
        <w:topLinePunct w:val="0"/>
        <w:autoSpaceDE/>
        <w:autoSpaceDN w:val="0"/>
        <w:bidi w:val="0"/>
        <w:adjustRightInd/>
        <w:snapToGrid/>
        <w:spacing w:before="240" w:beforeAutospacing="0" w:after="60" w:afterAutospacing="0" w:line="360" w:lineRule="auto"/>
        <w:ind w:left="738" w:right="0" w:hanging="454"/>
        <w:jc w:val="center"/>
        <w:outlineLvl w:val="9"/>
        <w:rPr>
          <w:rFonts w:hint="eastAsia" w:ascii="宋体" w:hAnsi="宋体" w:eastAsia="宋体" w:cs="宋体"/>
          <w:b/>
          <w:bCs/>
          <w:caps w:val="0"/>
          <w:color w:val="auto"/>
          <w:sz w:val="28"/>
          <w:szCs w:val="28"/>
          <w:highlight w:val="none"/>
          <w:vertAlign w:val="baseline"/>
        </w:rPr>
      </w:pPr>
      <w:bookmarkStart w:id="86" w:name="_Toc9722"/>
      <w:r>
        <w:rPr>
          <w:rFonts w:hint="eastAsia" w:ascii="宋体" w:hAnsi="宋体" w:eastAsia="宋体" w:cs="宋体"/>
          <w:b/>
          <w:bCs/>
          <w:caps w:val="0"/>
          <w:color w:val="auto"/>
          <w:sz w:val="28"/>
          <w:szCs w:val="28"/>
          <w:highlight w:val="none"/>
          <w:vertAlign w:val="baseline"/>
        </w:rPr>
        <w:t>（</w:t>
      </w:r>
      <w:r>
        <w:rPr>
          <w:rFonts w:hint="eastAsia" w:ascii="宋体" w:hAnsi="宋体" w:eastAsia="宋体" w:cs="宋体"/>
          <w:b/>
          <w:bCs/>
          <w:caps w:val="0"/>
          <w:color w:val="auto"/>
          <w:sz w:val="28"/>
          <w:szCs w:val="28"/>
          <w:highlight w:val="none"/>
          <w:vertAlign w:val="baseline"/>
          <w:lang w:eastAsia="zh-CN"/>
        </w:rPr>
        <w:t>具体以实际签订合同为准</w:t>
      </w:r>
      <w:r>
        <w:rPr>
          <w:rFonts w:hint="eastAsia" w:ascii="宋体" w:hAnsi="宋体" w:eastAsia="宋体" w:cs="宋体"/>
          <w:b/>
          <w:bCs/>
          <w:caps w:val="0"/>
          <w:color w:val="auto"/>
          <w:sz w:val="28"/>
          <w:szCs w:val="28"/>
          <w:highlight w:val="none"/>
          <w:vertAlign w:val="baseline"/>
        </w:rPr>
        <w:t>）</w:t>
      </w:r>
      <w:bookmarkEnd w:id="86"/>
    </w:p>
    <w:p w14:paraId="59DF07D9">
      <w:pPr>
        <w:autoSpaceDN w:val="0"/>
        <w:adjustRightInd w:val="0"/>
        <w:snapToGrid w:val="0"/>
        <w:spacing w:line="360" w:lineRule="auto"/>
        <w:jc w:val="center"/>
        <w:rPr>
          <w:rFonts w:hint="eastAsia" w:ascii="宋体" w:hAnsi="宋体" w:eastAsia="宋体" w:cs="宋体"/>
          <w:b/>
          <w:bCs/>
          <w:color w:val="auto"/>
          <w:sz w:val="32"/>
          <w:szCs w:val="32"/>
          <w:highlight w:val="none"/>
        </w:rPr>
      </w:pPr>
    </w:p>
    <w:p w14:paraId="29BDE9A9">
      <w:pPr>
        <w:rPr>
          <w:rFonts w:hint="eastAsia" w:ascii="宋体" w:hAnsi="宋体" w:eastAsia="宋体" w:cs="宋体"/>
          <w:b/>
          <w:bCs/>
          <w:color w:val="auto"/>
          <w:kern w:val="44"/>
          <w:sz w:val="44"/>
          <w:szCs w:val="44"/>
          <w:highlight w:val="none"/>
        </w:rPr>
      </w:pPr>
      <w:bookmarkStart w:id="87" w:name="_Toc9933"/>
      <w:r>
        <w:rPr>
          <w:rFonts w:hint="eastAsia" w:ascii="宋体" w:hAnsi="宋体" w:eastAsia="宋体" w:cs="宋体"/>
          <w:b/>
          <w:bCs/>
          <w:color w:val="auto"/>
          <w:kern w:val="44"/>
          <w:sz w:val="44"/>
          <w:szCs w:val="44"/>
          <w:highlight w:val="none"/>
        </w:rPr>
        <w:br w:type="page"/>
      </w:r>
    </w:p>
    <w:p w14:paraId="58CAC0FA">
      <w:pPr>
        <w:autoSpaceDN w:val="0"/>
        <w:adjustRightInd w:val="0"/>
        <w:snapToGrid w:val="0"/>
        <w:spacing w:line="360" w:lineRule="auto"/>
        <w:jc w:val="center"/>
        <w:outlineLvl w:val="0"/>
        <w:rPr>
          <w:rFonts w:hint="eastAsia" w:ascii="宋体" w:hAnsi="宋体" w:eastAsia="宋体" w:cs="宋体"/>
          <w:color w:val="auto"/>
          <w:szCs w:val="21"/>
          <w:highlight w:val="none"/>
        </w:rPr>
      </w:pPr>
      <w:bookmarkStart w:id="88" w:name="_Toc28773"/>
      <w:r>
        <w:rPr>
          <w:rFonts w:hint="eastAsia" w:ascii="宋体" w:hAnsi="宋体" w:eastAsia="宋体" w:cs="宋体"/>
          <w:b/>
          <w:bCs/>
          <w:color w:val="auto"/>
          <w:kern w:val="44"/>
          <w:sz w:val="44"/>
          <w:szCs w:val="44"/>
          <w:highlight w:val="none"/>
        </w:rPr>
        <w:t xml:space="preserve">第六部分  </w:t>
      </w:r>
      <w:bookmarkEnd w:id="85"/>
      <w:r>
        <w:rPr>
          <w:rFonts w:hint="eastAsia" w:ascii="宋体" w:hAnsi="宋体" w:cs="宋体"/>
          <w:b/>
          <w:bCs/>
          <w:color w:val="auto"/>
          <w:kern w:val="44"/>
          <w:sz w:val="44"/>
          <w:szCs w:val="44"/>
          <w:highlight w:val="none"/>
          <w:lang w:eastAsia="zh-CN"/>
        </w:rPr>
        <w:t>响应文件</w:t>
      </w:r>
      <w:r>
        <w:rPr>
          <w:rFonts w:hint="eastAsia" w:ascii="宋体" w:hAnsi="宋体" w:eastAsia="宋体" w:cs="宋体"/>
          <w:b/>
          <w:bCs/>
          <w:color w:val="auto"/>
          <w:kern w:val="44"/>
          <w:sz w:val="44"/>
          <w:szCs w:val="44"/>
          <w:highlight w:val="none"/>
        </w:rPr>
        <w:t>格式</w:t>
      </w:r>
      <w:bookmarkEnd w:id="87"/>
      <w:bookmarkEnd w:id="88"/>
    </w:p>
    <w:p w14:paraId="53A51FD9">
      <w:pPr>
        <w:autoSpaceDN w:val="0"/>
        <w:adjustRightInd w:val="0"/>
        <w:snapToGrid w:val="0"/>
        <w:spacing w:line="360" w:lineRule="auto"/>
        <w:rPr>
          <w:rFonts w:hint="eastAsia" w:ascii="宋体" w:hAnsi="宋体" w:eastAsia="宋体" w:cs="宋体"/>
          <w:color w:val="auto"/>
          <w:szCs w:val="21"/>
          <w:highlight w:val="none"/>
        </w:rPr>
      </w:pPr>
      <w:bookmarkStart w:id="89" w:name="_Toc246996354"/>
      <w:bookmarkStart w:id="90" w:name="_Toc152042575"/>
      <w:bookmarkStart w:id="91" w:name="_Toc246997097"/>
      <w:bookmarkStart w:id="92" w:name="_Toc179632806"/>
      <w:bookmarkStart w:id="93" w:name="_Toc144974855"/>
      <w:bookmarkStart w:id="94" w:name="_Toc152045786"/>
      <w:bookmarkStart w:id="95" w:name="_Toc247085872"/>
    </w:p>
    <w:p w14:paraId="559B6437">
      <w:pPr>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（正/副本）</w:t>
      </w:r>
    </w:p>
    <w:p w14:paraId="6686965F">
      <w:pPr>
        <w:pStyle w:val="45"/>
        <w:widowControl w:val="0"/>
        <w:numPr>
          <w:ilvl w:val="0"/>
          <w:numId w:val="0"/>
        </w:numPr>
        <w:spacing w:line="360" w:lineRule="auto"/>
        <w:jc w:val="both"/>
        <w:rPr>
          <w:rFonts w:hint="eastAsia" w:ascii="宋体" w:hAnsi="宋体" w:eastAsia="宋体" w:cs="宋体"/>
          <w:color w:val="auto"/>
          <w:szCs w:val="21"/>
          <w:highlight w:val="none"/>
        </w:rPr>
      </w:pPr>
    </w:p>
    <w:p w14:paraId="54116FF5">
      <w:pPr>
        <w:pStyle w:val="45"/>
        <w:widowControl w:val="0"/>
        <w:numPr>
          <w:ilvl w:val="0"/>
          <w:numId w:val="0"/>
        </w:numPr>
        <w:spacing w:line="360" w:lineRule="auto"/>
        <w:jc w:val="both"/>
        <w:rPr>
          <w:rFonts w:hint="eastAsia" w:ascii="宋体" w:hAnsi="宋体" w:eastAsia="宋体" w:cs="宋体"/>
          <w:color w:val="auto"/>
          <w:szCs w:val="21"/>
          <w:highlight w:val="none"/>
        </w:rPr>
      </w:pPr>
    </w:p>
    <w:p w14:paraId="438D9AB9">
      <w:pPr>
        <w:pStyle w:val="45"/>
        <w:widowControl w:val="0"/>
        <w:numPr>
          <w:ilvl w:val="0"/>
          <w:numId w:val="0"/>
        </w:numPr>
        <w:spacing w:line="360" w:lineRule="auto"/>
        <w:jc w:val="both"/>
        <w:rPr>
          <w:rFonts w:hint="eastAsia" w:ascii="宋体" w:hAnsi="宋体" w:eastAsia="宋体" w:cs="宋体"/>
          <w:color w:val="auto"/>
          <w:szCs w:val="21"/>
          <w:highlight w:val="none"/>
        </w:rPr>
      </w:pPr>
    </w:p>
    <w:p w14:paraId="7D8F9483">
      <w:pPr>
        <w:pStyle w:val="45"/>
        <w:widowControl w:val="0"/>
        <w:numPr>
          <w:ilvl w:val="0"/>
          <w:numId w:val="0"/>
        </w:numPr>
        <w:spacing w:line="360" w:lineRule="auto"/>
        <w:jc w:val="both"/>
        <w:rPr>
          <w:rFonts w:hint="eastAsia" w:ascii="宋体" w:hAnsi="宋体" w:eastAsia="宋体" w:cs="宋体"/>
          <w:color w:val="auto"/>
          <w:szCs w:val="21"/>
          <w:highlight w:val="none"/>
        </w:rPr>
      </w:pPr>
    </w:p>
    <w:p w14:paraId="1337EA9E">
      <w:pPr>
        <w:autoSpaceDN w:val="0"/>
        <w:adjustRightInd w:val="0"/>
        <w:snapToGrid w:val="0"/>
        <w:spacing w:line="360" w:lineRule="auto"/>
        <w:rPr>
          <w:rFonts w:hint="eastAsia" w:ascii="宋体" w:hAnsi="宋体" w:eastAsia="宋体" w:cs="宋体"/>
          <w:color w:val="auto"/>
          <w:sz w:val="24"/>
          <w:highlight w:val="none"/>
        </w:rPr>
      </w:pPr>
    </w:p>
    <w:p w14:paraId="366CD733">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（项目名称）</w:t>
      </w:r>
    </w:p>
    <w:p w14:paraId="5CAAC831">
      <w:pPr>
        <w:spacing w:line="300" w:lineRule="auto"/>
        <w:rPr>
          <w:rFonts w:hint="eastAsia" w:ascii="宋体" w:hAnsi="宋体" w:eastAsia="宋体" w:cs="宋体"/>
          <w:color w:val="auto"/>
          <w:sz w:val="20"/>
          <w:szCs w:val="20"/>
          <w:highlight w:val="none"/>
        </w:rPr>
      </w:pPr>
    </w:p>
    <w:p w14:paraId="66976E9D">
      <w:pPr>
        <w:spacing w:line="300" w:lineRule="auto"/>
        <w:rPr>
          <w:rFonts w:hint="eastAsia" w:ascii="宋体" w:hAnsi="宋体" w:eastAsia="宋体" w:cs="宋体"/>
          <w:color w:val="auto"/>
          <w:sz w:val="20"/>
          <w:szCs w:val="20"/>
          <w:highlight w:val="none"/>
        </w:rPr>
      </w:pPr>
    </w:p>
    <w:p w14:paraId="7D81BD5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000000"/>
          <w:kern w:val="0"/>
          <w:sz w:val="144"/>
          <w:szCs w:val="144"/>
          <w:highlight w:val="none"/>
          <w:vertAlign w:val="baseline"/>
          <w:lang w:val="en-US" w:eastAsia="zh-CN" w:bidi="ar"/>
        </w:rPr>
      </w:pPr>
      <w:r>
        <w:rPr>
          <w:rFonts w:hint="eastAsia" w:ascii="宋体" w:hAnsi="宋体" w:cs="宋体"/>
          <w:b w:val="0"/>
          <w:bCs w:val="0"/>
          <w:caps w:val="0"/>
          <w:color w:val="000000"/>
          <w:kern w:val="0"/>
          <w:sz w:val="84"/>
          <w:szCs w:val="84"/>
          <w:highlight w:val="none"/>
          <w:vertAlign w:val="baseline"/>
          <w:lang w:val="en-US" w:eastAsia="zh-CN" w:bidi="ar"/>
        </w:rPr>
        <w:t>响应</w:t>
      </w:r>
      <w:r>
        <w:rPr>
          <w:rFonts w:hint="eastAsia" w:ascii="宋体" w:hAnsi="宋体" w:eastAsia="宋体" w:cs="宋体"/>
          <w:b w:val="0"/>
          <w:bCs w:val="0"/>
          <w:caps w:val="0"/>
          <w:color w:val="000000"/>
          <w:kern w:val="0"/>
          <w:sz w:val="84"/>
          <w:szCs w:val="84"/>
          <w:highlight w:val="none"/>
          <w:vertAlign w:val="baseline"/>
          <w:lang w:val="en-US" w:eastAsia="zh-CN" w:bidi="ar"/>
        </w:rPr>
        <w:t>文件</w:t>
      </w:r>
    </w:p>
    <w:p w14:paraId="51269DF0">
      <w:pPr>
        <w:spacing w:line="300" w:lineRule="auto"/>
        <w:rPr>
          <w:rFonts w:hint="eastAsia" w:ascii="宋体" w:hAnsi="宋体" w:eastAsia="宋体" w:cs="宋体"/>
          <w:color w:val="auto"/>
          <w:sz w:val="28"/>
          <w:szCs w:val="28"/>
          <w:highlight w:val="none"/>
        </w:rPr>
      </w:pPr>
    </w:p>
    <w:p w14:paraId="5042AE62">
      <w:pPr>
        <w:spacing w:line="300" w:lineRule="auto"/>
        <w:rPr>
          <w:rFonts w:hint="eastAsia" w:ascii="宋体" w:hAnsi="宋体" w:eastAsia="宋体" w:cs="宋体"/>
          <w:color w:val="auto"/>
          <w:sz w:val="28"/>
          <w:szCs w:val="28"/>
          <w:highlight w:val="none"/>
        </w:rPr>
      </w:pPr>
    </w:p>
    <w:p w14:paraId="2855C7A6">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项目编号：</w:t>
      </w:r>
    </w:p>
    <w:p w14:paraId="25EF2392">
      <w:pPr>
        <w:spacing w:line="300" w:lineRule="auto"/>
        <w:rPr>
          <w:rFonts w:hint="eastAsia" w:ascii="宋体" w:hAnsi="宋体" w:eastAsia="宋体" w:cs="宋体"/>
          <w:color w:val="auto"/>
          <w:sz w:val="28"/>
          <w:szCs w:val="28"/>
          <w:highlight w:val="none"/>
        </w:rPr>
      </w:pPr>
    </w:p>
    <w:p w14:paraId="4B94D55D">
      <w:pPr>
        <w:spacing w:line="300" w:lineRule="auto"/>
        <w:rPr>
          <w:rFonts w:hint="eastAsia" w:ascii="宋体" w:hAnsi="宋体" w:eastAsia="宋体" w:cs="宋体"/>
          <w:color w:val="auto"/>
          <w:sz w:val="28"/>
          <w:szCs w:val="28"/>
          <w:highlight w:val="none"/>
        </w:rPr>
      </w:pPr>
    </w:p>
    <w:p w14:paraId="0C394933">
      <w:pPr>
        <w:spacing w:line="300" w:lineRule="auto"/>
        <w:rPr>
          <w:rFonts w:hint="eastAsia" w:ascii="宋体" w:hAnsi="宋体" w:eastAsia="宋体" w:cs="宋体"/>
          <w:color w:val="auto"/>
          <w:sz w:val="28"/>
          <w:szCs w:val="28"/>
          <w:highlight w:val="none"/>
        </w:rPr>
      </w:pPr>
    </w:p>
    <w:p w14:paraId="295CFCEB">
      <w:pPr>
        <w:spacing w:line="300" w:lineRule="auto"/>
        <w:rPr>
          <w:rFonts w:hint="eastAsia" w:ascii="宋体" w:hAnsi="宋体" w:eastAsia="宋体" w:cs="宋体"/>
          <w:color w:val="auto"/>
          <w:sz w:val="28"/>
          <w:szCs w:val="28"/>
          <w:highlight w:val="none"/>
        </w:rPr>
      </w:pPr>
    </w:p>
    <w:p w14:paraId="3ADFCDC9">
      <w:pPr>
        <w:spacing w:line="300" w:lineRule="auto"/>
        <w:rPr>
          <w:rFonts w:hint="eastAsia" w:ascii="宋体" w:hAnsi="宋体" w:eastAsia="宋体" w:cs="宋体"/>
          <w:color w:val="auto"/>
          <w:sz w:val="28"/>
          <w:szCs w:val="28"/>
          <w:highlight w:val="none"/>
        </w:rPr>
      </w:pPr>
    </w:p>
    <w:p w14:paraId="20EF4FED">
      <w:pPr>
        <w:spacing w:line="300" w:lineRule="auto"/>
        <w:rPr>
          <w:rFonts w:hint="eastAsia" w:ascii="宋体" w:hAnsi="宋体" w:eastAsia="宋体" w:cs="宋体"/>
          <w:color w:val="auto"/>
          <w:sz w:val="28"/>
          <w:szCs w:val="28"/>
          <w:highlight w:val="none"/>
        </w:rPr>
      </w:pPr>
    </w:p>
    <w:p w14:paraId="58626803">
      <w:pPr>
        <w:spacing w:line="30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供</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应</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14:paraId="6059BB89">
      <w:pPr>
        <w:spacing w:line="30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（签字或盖章）</w:t>
      </w:r>
    </w:p>
    <w:p w14:paraId="20FE6A25">
      <w:pPr>
        <w:spacing w:line="30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4383706B">
      <w:pPr>
        <w:spacing w:line="300" w:lineRule="auto"/>
        <w:jc w:val="center"/>
        <w:rPr>
          <w:rFonts w:hint="eastAsia" w:ascii="宋体" w:hAnsi="宋体" w:eastAsia="宋体" w:cs="宋体"/>
          <w:color w:val="auto"/>
          <w:highlight w:val="none"/>
        </w:rPr>
      </w:pPr>
      <w:r>
        <w:rPr>
          <w:rFonts w:hint="eastAsia" w:ascii="宋体" w:hAnsi="宋体" w:eastAsia="宋体" w:cs="宋体"/>
          <w:color w:val="auto"/>
          <w:sz w:val="20"/>
          <w:szCs w:val="20"/>
          <w:highlight w:val="none"/>
        </w:rPr>
        <w:br w:type="page"/>
      </w:r>
      <w:bookmarkStart w:id="96" w:name="_Toc351644310"/>
      <w:bookmarkStart w:id="97" w:name="_Toc350070692"/>
    </w:p>
    <w:p w14:paraId="4AE18058">
      <w:pPr>
        <w:pStyle w:val="3"/>
        <w:spacing w:before="0" w:after="0" w:line="300" w:lineRule="auto"/>
        <w:jc w:val="center"/>
        <w:rPr>
          <w:rFonts w:hint="eastAsia" w:ascii="宋体" w:hAnsi="宋体" w:eastAsia="宋体" w:cs="宋体"/>
          <w:color w:val="auto"/>
          <w:highlight w:val="none"/>
        </w:rPr>
      </w:pPr>
      <w:bookmarkStart w:id="98" w:name="_Toc468267480"/>
      <w:bookmarkStart w:id="99" w:name="_Toc409424342"/>
      <w:bookmarkStart w:id="100" w:name="_Toc409424403"/>
      <w:bookmarkStart w:id="101" w:name="_Toc22686"/>
      <w:bookmarkStart w:id="102" w:name="_Toc6886"/>
      <w:r>
        <w:rPr>
          <w:rFonts w:hint="eastAsia" w:ascii="宋体" w:hAnsi="宋体" w:eastAsia="宋体" w:cs="宋体"/>
          <w:color w:val="auto"/>
          <w:highlight w:val="none"/>
        </w:rPr>
        <w:t>目    录</w:t>
      </w:r>
      <w:bookmarkEnd w:id="96"/>
      <w:bookmarkEnd w:id="97"/>
      <w:bookmarkEnd w:id="98"/>
      <w:bookmarkEnd w:id="99"/>
      <w:bookmarkEnd w:id="100"/>
      <w:bookmarkEnd w:id="101"/>
      <w:bookmarkEnd w:id="102"/>
    </w:p>
    <w:p w14:paraId="43E229B8">
      <w:pPr>
        <w:spacing w:line="300" w:lineRule="auto"/>
        <w:rPr>
          <w:rFonts w:hint="eastAsia" w:ascii="宋体" w:hAnsi="宋体" w:eastAsia="宋体" w:cs="宋体"/>
          <w:color w:val="auto"/>
          <w:highlight w:val="none"/>
        </w:rPr>
      </w:pPr>
    </w:p>
    <w:p w14:paraId="5EBE11E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 xml:space="preserve">一、投标函及投标函附录 </w:t>
      </w:r>
    </w:p>
    <w:p w14:paraId="23F2D2B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default" w:ascii="宋体" w:hAnsi="宋体" w:eastAsia="宋体" w:cs="宋体"/>
          <w:color w:val="auto"/>
          <w:sz w:val="24"/>
          <w:szCs w:val="24"/>
          <w:highlight w:val="none"/>
          <w:lang w:val="en-US"/>
        </w:rPr>
      </w:pPr>
      <w:r>
        <w:rPr>
          <w:rFonts w:hint="eastAsia" w:ascii="宋体" w:hAnsi="宋体" w:eastAsia="宋体" w:cs="宋体"/>
          <w:b w:val="0"/>
          <w:bCs w:val="0"/>
          <w:caps w:val="0"/>
          <w:color w:val="auto"/>
          <w:kern w:val="0"/>
          <w:sz w:val="24"/>
          <w:szCs w:val="24"/>
          <w:highlight w:val="none"/>
          <w:vertAlign w:val="baseline"/>
          <w:lang w:val="en-US" w:eastAsia="zh-CN" w:bidi="ar"/>
        </w:rPr>
        <w:t>二、开标一览表</w:t>
      </w:r>
      <w:r>
        <w:rPr>
          <w:rFonts w:hint="eastAsia" w:ascii="宋体" w:hAnsi="宋体" w:cs="宋体"/>
          <w:b w:val="0"/>
          <w:bCs w:val="0"/>
          <w:caps w:val="0"/>
          <w:color w:val="auto"/>
          <w:kern w:val="0"/>
          <w:sz w:val="24"/>
          <w:szCs w:val="24"/>
          <w:highlight w:val="none"/>
          <w:vertAlign w:val="baseline"/>
          <w:lang w:val="en-US" w:eastAsia="zh-CN" w:bidi="ar"/>
        </w:rPr>
        <w:t>及分项报价表</w:t>
      </w:r>
    </w:p>
    <w:p w14:paraId="6AB8E42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 xml:space="preserve">三、法定代表人身份证明、授权委托书 </w:t>
      </w:r>
    </w:p>
    <w:p w14:paraId="2B2465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default" w:ascii="宋体" w:hAnsi="宋体" w:eastAsia="宋体" w:cs="宋体"/>
          <w:caps w:val="0"/>
          <w:color w:val="auto"/>
          <w:sz w:val="24"/>
          <w:szCs w:val="24"/>
          <w:highlight w:val="none"/>
          <w:vertAlign w:val="baseline"/>
          <w:lang w:val="en-US"/>
        </w:rPr>
      </w:pPr>
      <w:r>
        <w:rPr>
          <w:rFonts w:hint="eastAsia" w:ascii="宋体" w:hAnsi="宋体" w:eastAsia="宋体" w:cs="宋体"/>
          <w:b w:val="0"/>
          <w:bCs w:val="0"/>
          <w:caps w:val="0"/>
          <w:color w:val="auto"/>
          <w:kern w:val="0"/>
          <w:sz w:val="24"/>
          <w:szCs w:val="24"/>
          <w:highlight w:val="none"/>
          <w:vertAlign w:val="baseline"/>
          <w:lang w:val="en-US" w:eastAsia="zh-CN" w:bidi="ar"/>
        </w:rPr>
        <w:t>四、商务、技术条款偏离表</w:t>
      </w:r>
    </w:p>
    <w:p w14:paraId="7541D11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default"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五、</w:t>
      </w:r>
      <w:r>
        <w:rPr>
          <w:rFonts w:hint="eastAsia" w:ascii="宋体" w:hAnsi="宋体" w:cs="宋体"/>
          <w:b w:val="0"/>
          <w:bCs w:val="0"/>
          <w:caps w:val="0"/>
          <w:color w:val="auto"/>
          <w:kern w:val="0"/>
          <w:sz w:val="24"/>
          <w:szCs w:val="24"/>
          <w:highlight w:val="none"/>
          <w:vertAlign w:val="baseline"/>
          <w:lang w:val="en-US" w:eastAsia="zh-CN" w:bidi="ar"/>
        </w:rPr>
        <w:t>资格审查资料</w:t>
      </w:r>
    </w:p>
    <w:p w14:paraId="50970F5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六、</w:t>
      </w:r>
      <w:r>
        <w:rPr>
          <w:rFonts w:hint="eastAsia" w:ascii="宋体" w:hAnsi="宋体" w:cs="宋体"/>
          <w:b w:val="0"/>
          <w:bCs w:val="0"/>
          <w:caps w:val="0"/>
          <w:color w:val="auto"/>
          <w:kern w:val="0"/>
          <w:sz w:val="24"/>
          <w:szCs w:val="24"/>
          <w:highlight w:val="none"/>
          <w:vertAlign w:val="baseline"/>
          <w:lang w:val="en-US" w:eastAsia="zh-CN" w:bidi="ar"/>
        </w:rPr>
        <w:t>中小企业声明函</w:t>
      </w:r>
    </w:p>
    <w:p w14:paraId="510D0AA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default" w:ascii="宋体" w:hAnsi="宋体" w:eastAsia="宋体" w:cs="宋体"/>
          <w:caps w:val="0"/>
          <w:color w:val="auto"/>
          <w:sz w:val="24"/>
          <w:szCs w:val="24"/>
          <w:highlight w:val="none"/>
          <w:vertAlign w:val="baseline"/>
          <w:lang w:val="en-US"/>
        </w:rPr>
      </w:pPr>
      <w:r>
        <w:rPr>
          <w:rFonts w:hint="eastAsia" w:ascii="宋体" w:hAnsi="宋体" w:eastAsia="宋体" w:cs="宋体"/>
          <w:b w:val="0"/>
          <w:bCs w:val="0"/>
          <w:caps w:val="0"/>
          <w:color w:val="auto"/>
          <w:kern w:val="0"/>
          <w:sz w:val="24"/>
          <w:szCs w:val="24"/>
          <w:highlight w:val="none"/>
          <w:vertAlign w:val="baseline"/>
          <w:lang w:val="en-US" w:eastAsia="zh-CN" w:bidi="ar"/>
        </w:rPr>
        <w:t>七、</w:t>
      </w:r>
      <w:r>
        <w:rPr>
          <w:rFonts w:hint="eastAsia" w:ascii="宋体" w:hAnsi="宋体" w:cs="宋体"/>
          <w:b w:val="0"/>
          <w:bCs w:val="0"/>
          <w:caps w:val="0"/>
          <w:color w:val="auto"/>
          <w:kern w:val="0"/>
          <w:sz w:val="24"/>
          <w:szCs w:val="24"/>
          <w:highlight w:val="none"/>
          <w:vertAlign w:val="baseline"/>
          <w:lang w:val="en-US" w:eastAsia="zh-CN" w:bidi="ar"/>
        </w:rPr>
        <w:t>技术部分</w:t>
      </w:r>
    </w:p>
    <w:p w14:paraId="37F287EA">
      <w:pPr>
        <w:pStyle w:val="45"/>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aps w:val="0"/>
          <w:color w:val="auto"/>
          <w:kern w:val="0"/>
          <w:sz w:val="24"/>
          <w:szCs w:val="24"/>
          <w:highlight w:val="none"/>
          <w:vertAlign w:val="baseline"/>
          <w:lang w:val="en-US" w:eastAsia="zh-CN" w:bidi="ar"/>
        </w:rPr>
        <w:t>八、其他材料</w:t>
      </w:r>
    </w:p>
    <w:p w14:paraId="2726912F">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highlight w:val="none"/>
        </w:rPr>
        <w:br w:type="page"/>
      </w:r>
    </w:p>
    <w:p w14:paraId="088CFED2">
      <w:pPr>
        <w:pStyle w:val="3"/>
        <w:spacing w:before="0" w:after="0" w:line="300" w:lineRule="auto"/>
        <w:jc w:val="center"/>
        <w:rPr>
          <w:rFonts w:hint="eastAsia" w:ascii="宋体" w:hAnsi="宋体" w:eastAsia="宋体" w:cs="宋体"/>
          <w:color w:val="auto"/>
          <w:highlight w:val="none"/>
        </w:rPr>
      </w:pPr>
      <w:bookmarkStart w:id="103" w:name="_Toc350070693"/>
      <w:bookmarkStart w:id="104" w:name="_Toc468267481"/>
      <w:bookmarkStart w:id="105" w:name="_Toc351644311"/>
      <w:bookmarkStart w:id="106" w:name="_Toc18663"/>
      <w:bookmarkStart w:id="107" w:name="_Toc409424343"/>
      <w:bookmarkStart w:id="108" w:name="_Toc4247"/>
      <w:bookmarkStart w:id="109" w:name="_Toc409424404"/>
      <w:r>
        <w:rPr>
          <w:rFonts w:hint="eastAsia" w:ascii="宋体" w:hAnsi="宋体" w:eastAsia="宋体" w:cs="宋体"/>
          <w:color w:val="auto"/>
          <w:highlight w:val="none"/>
        </w:rPr>
        <w:t>一、投标函及投标函附录</w:t>
      </w:r>
      <w:bookmarkEnd w:id="103"/>
      <w:bookmarkEnd w:id="104"/>
      <w:bookmarkEnd w:id="105"/>
      <w:bookmarkEnd w:id="106"/>
      <w:bookmarkEnd w:id="107"/>
      <w:bookmarkEnd w:id="108"/>
      <w:bookmarkEnd w:id="109"/>
    </w:p>
    <w:p w14:paraId="43B82D71">
      <w:pPr>
        <w:pStyle w:val="4"/>
        <w:spacing w:before="0" w:after="0" w:line="300" w:lineRule="auto"/>
        <w:jc w:val="center"/>
        <w:rPr>
          <w:rFonts w:hint="eastAsia" w:ascii="宋体" w:hAnsi="宋体" w:eastAsia="宋体" w:cs="宋体"/>
          <w:color w:val="auto"/>
          <w:highlight w:val="none"/>
        </w:rPr>
      </w:pPr>
      <w:bookmarkStart w:id="110" w:name="_Toc351644312"/>
      <w:bookmarkStart w:id="111" w:name="_Toc350070694"/>
      <w:bookmarkStart w:id="112" w:name="_Toc23983"/>
      <w:bookmarkStart w:id="113" w:name="_Toc468267482"/>
      <w:bookmarkStart w:id="114" w:name="_Toc409424405"/>
      <w:bookmarkStart w:id="115" w:name="_Toc22985"/>
      <w:bookmarkStart w:id="116" w:name="_Toc409424344"/>
      <w:r>
        <w:rPr>
          <w:rFonts w:hint="eastAsia" w:ascii="宋体" w:hAnsi="宋体" w:eastAsia="宋体" w:cs="宋体"/>
          <w:color w:val="auto"/>
          <w:highlight w:val="none"/>
        </w:rPr>
        <w:t>（一）投标函</w:t>
      </w:r>
      <w:bookmarkEnd w:id="110"/>
      <w:bookmarkEnd w:id="111"/>
      <w:bookmarkEnd w:id="112"/>
      <w:bookmarkEnd w:id="113"/>
      <w:bookmarkEnd w:id="114"/>
      <w:bookmarkEnd w:id="115"/>
      <w:bookmarkEnd w:id="116"/>
    </w:p>
    <w:p w14:paraId="7A7ED3F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（采购人名称）：</w:t>
      </w:r>
    </w:p>
    <w:p w14:paraId="480F3D4D">
      <w:pPr>
        <w:spacing w:line="360" w:lineRule="auto"/>
        <w:rPr>
          <w:rFonts w:hint="eastAsia" w:ascii="宋体" w:hAnsi="宋体" w:eastAsia="宋体" w:cs="宋体"/>
          <w:color w:val="auto"/>
          <w:sz w:val="24"/>
          <w:szCs w:val="24"/>
          <w:highlight w:val="none"/>
        </w:rPr>
      </w:pPr>
    </w:p>
    <w:p w14:paraId="76696D5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1．我方已仔细研究了</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项目</w:t>
      </w:r>
      <w:r>
        <w:rPr>
          <w:rFonts w:hint="eastAsia" w:ascii="宋体" w:hAnsi="宋体" w:cs="宋体"/>
          <w:color w:val="auto"/>
          <w:sz w:val="24"/>
          <w:szCs w:val="24"/>
          <w:highlight w:val="none"/>
          <w:u w:val="single"/>
          <w:lang w:val="en-US" w:eastAsia="zh-CN"/>
        </w:rPr>
        <w:t xml:space="preserve">名称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招标文件的全部内容，</w:t>
      </w:r>
      <w:r>
        <w:rPr>
          <w:rFonts w:hint="eastAsia" w:ascii="宋体" w:hAnsi="宋体" w:cs="宋体"/>
          <w:color w:val="auto"/>
          <w:sz w:val="24"/>
          <w:szCs w:val="24"/>
          <w:highlight w:val="none"/>
          <w:lang w:eastAsia="zh-CN"/>
        </w:rPr>
        <w:t>我</w:t>
      </w:r>
      <w:r>
        <w:rPr>
          <w:rFonts w:hint="eastAsia" w:ascii="宋体" w:hAnsi="宋体" w:cs="宋体"/>
          <w:color w:val="auto"/>
          <w:sz w:val="24"/>
          <w:szCs w:val="24"/>
          <w:highlight w:val="none"/>
          <w:lang w:val="en-US" w:eastAsia="zh-CN"/>
        </w:rPr>
        <w:t>公司</w:t>
      </w:r>
      <w:r>
        <w:rPr>
          <w:rFonts w:hint="eastAsia" w:ascii="宋体" w:hAnsi="宋体" w:eastAsia="宋体" w:cs="宋体"/>
          <w:color w:val="auto"/>
          <w:sz w:val="24"/>
          <w:szCs w:val="24"/>
          <w:highlight w:val="none"/>
        </w:rPr>
        <w:t>愿意以</w:t>
      </w:r>
      <w:r>
        <w:rPr>
          <w:rFonts w:hint="eastAsia" w:ascii="宋体" w:hAnsi="宋体" w:cs="宋体"/>
          <w:b/>
          <w:bCs/>
          <w:color w:val="auto"/>
          <w:sz w:val="24"/>
          <w:szCs w:val="24"/>
          <w:highlight w:val="none"/>
          <w:lang w:val="en-US" w:eastAsia="zh-CN"/>
        </w:rPr>
        <w:t>人民币</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lang w:val="en-US" w:eastAsia="zh-CN"/>
        </w:rPr>
        <w:t>元</w:t>
      </w:r>
      <w:r>
        <w:rPr>
          <w:rFonts w:hint="eastAsia" w:ascii="宋体" w:hAnsi="宋体" w:eastAsia="宋体" w:cs="宋体"/>
          <w:color w:val="auto"/>
          <w:sz w:val="24"/>
          <w:szCs w:val="24"/>
          <w:highlight w:val="none"/>
        </w:rPr>
        <w:t>价格投标，</w:t>
      </w:r>
      <w:r>
        <w:rPr>
          <w:rFonts w:hint="eastAsia" w:ascii="宋体" w:hAnsi="宋体" w:cs="宋体"/>
          <w:color w:val="auto"/>
          <w:sz w:val="24"/>
          <w:szCs w:val="24"/>
          <w:highlight w:val="none"/>
          <w:lang w:eastAsia="zh-CN"/>
        </w:rPr>
        <w:t>交货时间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，按合同约定实施和完成承包项目，质量达到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64E230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2．我方承诺在招标文件规定的投标有效期内不修改、撤销</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w:t>
      </w:r>
    </w:p>
    <w:p w14:paraId="78B8721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如我方中标：</w:t>
      </w:r>
    </w:p>
    <w:p w14:paraId="2CF78BB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（1）我方承诺在收到中标通知书后，在中标通知书规定的期限内与你方签订合同。</w:t>
      </w:r>
    </w:p>
    <w:p w14:paraId="1AE7487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（2）随同本投标函递交的投标函 附录属于合同文件的组成部分。</w:t>
      </w:r>
    </w:p>
    <w:p w14:paraId="572015B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（3）我方承诺在合同约定的期限内完成并移交全部合同项目。</w:t>
      </w:r>
    </w:p>
    <w:p w14:paraId="1558AAB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．我方在此声明，所递交的</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及有关资料内容完整、真实和准确</w:t>
      </w:r>
      <w:r>
        <w:rPr>
          <w:rFonts w:hint="eastAsia" w:ascii="宋体" w:hAnsi="宋体" w:eastAsia="宋体" w:cs="宋体"/>
          <w:color w:val="auto"/>
          <w:sz w:val="24"/>
          <w:szCs w:val="24"/>
          <w:highlight w:val="none"/>
          <w:lang w:eastAsia="zh-CN"/>
        </w:rPr>
        <w:t>。</w:t>
      </w:r>
    </w:p>
    <w:p w14:paraId="194D46C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（其他补充说明）。</w:t>
      </w:r>
    </w:p>
    <w:p w14:paraId="7E8AF7E0">
      <w:pPr>
        <w:spacing w:line="360" w:lineRule="auto"/>
        <w:rPr>
          <w:rFonts w:hint="eastAsia" w:ascii="宋体" w:hAnsi="宋体" w:eastAsia="宋体" w:cs="宋体"/>
          <w:color w:val="auto"/>
          <w:sz w:val="24"/>
          <w:szCs w:val="24"/>
          <w:highlight w:val="none"/>
        </w:rPr>
      </w:pPr>
    </w:p>
    <w:p w14:paraId="55E951B2">
      <w:pPr>
        <w:pStyle w:val="45"/>
        <w:widowControl w:val="0"/>
        <w:numPr>
          <w:ilvl w:val="0"/>
          <w:numId w:val="0"/>
        </w:numPr>
        <w:spacing w:line="360" w:lineRule="auto"/>
        <w:jc w:val="both"/>
        <w:rPr>
          <w:rFonts w:hint="eastAsia" w:ascii="宋体" w:hAnsi="宋体" w:eastAsia="宋体" w:cs="宋体"/>
          <w:color w:val="auto"/>
          <w:sz w:val="24"/>
          <w:szCs w:val="24"/>
          <w:highlight w:val="none"/>
        </w:rPr>
      </w:pPr>
    </w:p>
    <w:p w14:paraId="6CDC3EA3">
      <w:pPr>
        <w:pStyle w:val="45"/>
        <w:widowControl w:val="0"/>
        <w:numPr>
          <w:ilvl w:val="0"/>
          <w:numId w:val="0"/>
        </w:numPr>
        <w:spacing w:line="360" w:lineRule="auto"/>
        <w:jc w:val="both"/>
        <w:rPr>
          <w:rFonts w:hint="eastAsia" w:ascii="宋体" w:hAnsi="宋体" w:eastAsia="宋体" w:cs="宋体"/>
          <w:color w:val="auto"/>
          <w:sz w:val="24"/>
          <w:szCs w:val="24"/>
          <w:highlight w:val="none"/>
        </w:rPr>
      </w:pPr>
    </w:p>
    <w:p w14:paraId="131BB68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34F1B59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7691EA4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C16565A">
      <w:pPr>
        <w:spacing w:line="300" w:lineRule="auto"/>
        <w:rPr>
          <w:rFonts w:hint="eastAsia" w:ascii="宋体" w:hAnsi="宋体" w:eastAsia="宋体" w:cs="宋体"/>
          <w:color w:val="auto"/>
          <w:szCs w:val="21"/>
          <w:highlight w:val="none"/>
        </w:rPr>
      </w:pPr>
    </w:p>
    <w:p w14:paraId="3132CE46">
      <w:pPr>
        <w:spacing w:line="30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br w:type="page"/>
      </w:r>
    </w:p>
    <w:p w14:paraId="774EE717">
      <w:pPr>
        <w:pStyle w:val="4"/>
        <w:spacing w:before="0" w:after="0" w:line="300" w:lineRule="auto"/>
        <w:jc w:val="center"/>
        <w:rPr>
          <w:rFonts w:hint="eastAsia" w:ascii="宋体" w:hAnsi="宋体" w:eastAsia="宋体" w:cs="宋体"/>
          <w:color w:val="auto"/>
          <w:highlight w:val="none"/>
        </w:rPr>
      </w:pPr>
      <w:bookmarkStart w:id="117" w:name="_Toc14240"/>
      <w:bookmarkStart w:id="118" w:name="_Toc409424345"/>
      <w:bookmarkStart w:id="119" w:name="_Toc409424406"/>
      <w:bookmarkStart w:id="120" w:name="_Toc351644313"/>
      <w:bookmarkStart w:id="121" w:name="_Toc350070695"/>
      <w:bookmarkStart w:id="122" w:name="_Toc659"/>
      <w:bookmarkStart w:id="123" w:name="_Toc468267483"/>
      <w:r>
        <w:rPr>
          <w:rFonts w:hint="eastAsia" w:ascii="宋体" w:hAnsi="宋体" w:eastAsia="宋体" w:cs="宋体"/>
          <w:color w:val="auto"/>
          <w:highlight w:val="none"/>
        </w:rPr>
        <w:t>（二）投标函附录</w:t>
      </w:r>
      <w:bookmarkEnd w:id="117"/>
      <w:bookmarkEnd w:id="118"/>
      <w:bookmarkEnd w:id="119"/>
      <w:bookmarkEnd w:id="120"/>
      <w:bookmarkEnd w:id="121"/>
      <w:bookmarkEnd w:id="122"/>
      <w:bookmarkEnd w:id="123"/>
    </w:p>
    <w:p w14:paraId="5ED07C73">
      <w:pPr>
        <w:spacing w:line="300" w:lineRule="auto"/>
        <w:rPr>
          <w:rFonts w:hint="eastAsia" w:ascii="宋体" w:hAnsi="宋体" w:eastAsia="宋体" w:cs="宋体"/>
          <w:color w:val="auto"/>
          <w:sz w:val="20"/>
          <w:szCs w:val="20"/>
          <w:highlight w:val="none"/>
        </w:rPr>
      </w:pPr>
    </w:p>
    <w:tbl>
      <w:tblPr>
        <w:tblStyle w:val="2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112"/>
        <w:gridCol w:w="4681"/>
        <w:gridCol w:w="1620"/>
      </w:tblGrid>
      <w:tr w14:paraId="35CD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5" w:type="dxa"/>
            <w:vAlign w:val="center"/>
          </w:tcPr>
          <w:p w14:paraId="22BBD2A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112" w:type="dxa"/>
            <w:vAlign w:val="center"/>
          </w:tcPr>
          <w:p w14:paraId="76F0003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4681" w:type="dxa"/>
            <w:vAlign w:val="center"/>
          </w:tcPr>
          <w:p w14:paraId="0AB0029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c>
          <w:tcPr>
            <w:tcW w:w="1620" w:type="dxa"/>
            <w:vAlign w:val="center"/>
          </w:tcPr>
          <w:p w14:paraId="220CBA4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是否响应</w:t>
            </w:r>
          </w:p>
        </w:tc>
      </w:tr>
      <w:tr w14:paraId="208DA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5" w:type="dxa"/>
            <w:vAlign w:val="center"/>
          </w:tcPr>
          <w:p w14:paraId="7B5C21CC">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12" w:type="dxa"/>
            <w:vAlign w:val="center"/>
          </w:tcPr>
          <w:p w14:paraId="47BE8D8B">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交货时间</w:t>
            </w:r>
          </w:p>
        </w:tc>
        <w:tc>
          <w:tcPr>
            <w:tcW w:w="4681" w:type="dxa"/>
            <w:vAlign w:val="center"/>
          </w:tcPr>
          <w:p w14:paraId="162CBE7C">
            <w:pPr>
              <w:keepNext w:val="0"/>
              <w:keepLines w:val="0"/>
              <w:pageBreakBefore w:val="0"/>
              <w:widowControl w:val="0"/>
              <w:kinsoku/>
              <w:wordWrap/>
              <w:overflowPunct/>
              <w:topLinePunct w:val="0"/>
              <w:bidi w:val="0"/>
              <w:adjustRightInd/>
              <w:snapToGrid/>
              <w:spacing w:line="280" w:lineRule="exact"/>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val="en-US" w:eastAsia="zh-CN"/>
              </w:rPr>
              <w:t>合同签订后120个日历日内</w:t>
            </w:r>
          </w:p>
        </w:tc>
        <w:tc>
          <w:tcPr>
            <w:tcW w:w="1620" w:type="dxa"/>
            <w:vAlign w:val="center"/>
          </w:tcPr>
          <w:p w14:paraId="7C5258F3">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rPr>
            </w:pPr>
          </w:p>
        </w:tc>
      </w:tr>
      <w:tr w14:paraId="40B17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5" w:type="dxa"/>
            <w:vAlign w:val="center"/>
          </w:tcPr>
          <w:p w14:paraId="44C3EDDA">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112" w:type="dxa"/>
            <w:vAlign w:val="center"/>
          </w:tcPr>
          <w:p w14:paraId="6286E1E2">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投标有效期</w:t>
            </w:r>
          </w:p>
        </w:tc>
        <w:tc>
          <w:tcPr>
            <w:tcW w:w="4681" w:type="dxa"/>
            <w:vAlign w:val="center"/>
          </w:tcPr>
          <w:p w14:paraId="173CC1BD">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90天</w:t>
            </w:r>
          </w:p>
        </w:tc>
        <w:tc>
          <w:tcPr>
            <w:tcW w:w="1620" w:type="dxa"/>
            <w:vAlign w:val="center"/>
          </w:tcPr>
          <w:p w14:paraId="562F0F53">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rPr>
            </w:pPr>
          </w:p>
        </w:tc>
      </w:tr>
      <w:tr w14:paraId="5298D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5" w:type="dxa"/>
            <w:vAlign w:val="center"/>
          </w:tcPr>
          <w:p w14:paraId="6DDFCB23">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p>
        </w:tc>
        <w:tc>
          <w:tcPr>
            <w:tcW w:w="2112" w:type="dxa"/>
            <w:shd w:val="clear" w:color="auto" w:fill="auto"/>
            <w:vAlign w:val="center"/>
          </w:tcPr>
          <w:p w14:paraId="7448A3CF">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权利义务</w:t>
            </w:r>
          </w:p>
        </w:tc>
        <w:tc>
          <w:tcPr>
            <w:tcW w:w="4681" w:type="dxa"/>
            <w:vAlign w:val="center"/>
          </w:tcPr>
          <w:p w14:paraId="0419BED0">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color w:val="auto"/>
                <w:kern w:val="0"/>
                <w:sz w:val="24"/>
                <w:szCs w:val="24"/>
                <w:highlight w:val="none"/>
              </w:rPr>
            </w:pPr>
          </w:p>
        </w:tc>
        <w:tc>
          <w:tcPr>
            <w:tcW w:w="1620" w:type="dxa"/>
            <w:vAlign w:val="center"/>
          </w:tcPr>
          <w:p w14:paraId="3179A110">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rPr>
            </w:pPr>
          </w:p>
        </w:tc>
      </w:tr>
      <w:tr w14:paraId="08CDC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5" w:type="dxa"/>
            <w:vAlign w:val="center"/>
          </w:tcPr>
          <w:p w14:paraId="1A3A958A">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2112" w:type="dxa"/>
            <w:shd w:val="clear" w:color="auto" w:fill="auto"/>
            <w:vAlign w:val="center"/>
          </w:tcPr>
          <w:p w14:paraId="1DD9E26F">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服务地点</w:t>
            </w:r>
          </w:p>
        </w:tc>
        <w:tc>
          <w:tcPr>
            <w:tcW w:w="4681" w:type="dxa"/>
            <w:vAlign w:val="center"/>
          </w:tcPr>
          <w:p w14:paraId="12F23A89">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color w:val="auto"/>
                <w:kern w:val="0"/>
                <w:sz w:val="24"/>
                <w:szCs w:val="24"/>
                <w:highlight w:val="none"/>
              </w:rPr>
            </w:pPr>
          </w:p>
        </w:tc>
        <w:tc>
          <w:tcPr>
            <w:tcW w:w="1620" w:type="dxa"/>
            <w:vAlign w:val="center"/>
          </w:tcPr>
          <w:p w14:paraId="4D558E0D">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rPr>
            </w:pPr>
          </w:p>
        </w:tc>
      </w:tr>
      <w:tr w14:paraId="50ED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5" w:type="dxa"/>
            <w:vAlign w:val="center"/>
          </w:tcPr>
          <w:p w14:paraId="0DB8C27C">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2112" w:type="dxa"/>
            <w:vAlign w:val="center"/>
          </w:tcPr>
          <w:p w14:paraId="5CD0085D">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eastAsia" w:ascii="宋体" w:hAnsi="宋体" w:eastAsia="宋体" w:cs="宋体"/>
                <w:color w:val="auto"/>
                <w:sz w:val="24"/>
                <w:szCs w:val="24"/>
                <w:highlight w:val="none"/>
                <w:lang w:eastAsia="zh-CN"/>
              </w:rPr>
            </w:pPr>
          </w:p>
        </w:tc>
        <w:tc>
          <w:tcPr>
            <w:tcW w:w="4681" w:type="dxa"/>
            <w:vAlign w:val="center"/>
          </w:tcPr>
          <w:p w14:paraId="1698A1B5">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bCs/>
                <w:color w:val="auto"/>
                <w:sz w:val="24"/>
                <w:szCs w:val="24"/>
                <w:highlight w:val="none"/>
                <w:lang w:val="zh-CN"/>
              </w:rPr>
            </w:pPr>
          </w:p>
        </w:tc>
        <w:tc>
          <w:tcPr>
            <w:tcW w:w="1620" w:type="dxa"/>
            <w:vAlign w:val="center"/>
          </w:tcPr>
          <w:p w14:paraId="1D771CD5">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rPr>
            </w:pPr>
          </w:p>
        </w:tc>
      </w:tr>
      <w:tr w14:paraId="5D23F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5" w:type="dxa"/>
            <w:vAlign w:val="center"/>
          </w:tcPr>
          <w:p w14:paraId="79809B39">
            <w:pPr>
              <w:keepNext w:val="0"/>
              <w:keepLines w:val="0"/>
              <w:pageBreakBefore w:val="0"/>
              <w:widowControl w:val="0"/>
              <w:kinsoku/>
              <w:wordWrap/>
              <w:overflowPunct/>
              <w:topLinePunct w:val="0"/>
              <w:bidi w:val="0"/>
              <w:snapToGrid/>
              <w:spacing w:line="3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2112" w:type="dxa"/>
            <w:vAlign w:val="center"/>
          </w:tcPr>
          <w:p w14:paraId="1B2F48AB">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auto"/>
                <w:sz w:val="24"/>
                <w:szCs w:val="24"/>
                <w:highlight w:val="none"/>
              </w:rPr>
            </w:pPr>
          </w:p>
        </w:tc>
        <w:tc>
          <w:tcPr>
            <w:tcW w:w="4681" w:type="dxa"/>
            <w:vAlign w:val="center"/>
          </w:tcPr>
          <w:p w14:paraId="51D4F540">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宋体" w:hAnsi="宋体" w:eastAsia="宋体" w:cs="宋体"/>
                <w:bCs/>
                <w:color w:val="auto"/>
                <w:sz w:val="24"/>
                <w:szCs w:val="24"/>
                <w:highlight w:val="none"/>
                <w:lang w:val="zh-CN"/>
              </w:rPr>
            </w:pPr>
          </w:p>
        </w:tc>
        <w:tc>
          <w:tcPr>
            <w:tcW w:w="1620" w:type="dxa"/>
            <w:vAlign w:val="center"/>
          </w:tcPr>
          <w:p w14:paraId="45344527">
            <w:pPr>
              <w:keepNext w:val="0"/>
              <w:keepLines w:val="0"/>
              <w:pageBreakBefore w:val="0"/>
              <w:widowControl w:val="0"/>
              <w:kinsoku/>
              <w:wordWrap/>
              <w:overflowPunct/>
              <w:topLinePunct w:val="0"/>
              <w:bidi w:val="0"/>
              <w:snapToGrid/>
              <w:spacing w:line="300" w:lineRule="exact"/>
              <w:jc w:val="center"/>
              <w:textAlignment w:val="auto"/>
              <w:rPr>
                <w:rFonts w:hint="eastAsia" w:ascii="宋体" w:hAnsi="宋体" w:eastAsia="宋体" w:cs="宋体"/>
                <w:color w:val="auto"/>
                <w:sz w:val="24"/>
                <w:szCs w:val="24"/>
                <w:highlight w:val="none"/>
              </w:rPr>
            </w:pPr>
          </w:p>
        </w:tc>
      </w:tr>
      <w:tr w14:paraId="296B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5" w:type="dxa"/>
            <w:vAlign w:val="center"/>
          </w:tcPr>
          <w:p w14:paraId="11A14E0F">
            <w:pPr>
              <w:keepNext w:val="0"/>
              <w:keepLines w:val="0"/>
              <w:pageBreakBefore w:val="0"/>
              <w:widowControl w:val="0"/>
              <w:kinsoku/>
              <w:wordWrap/>
              <w:overflowPunct/>
              <w:topLinePunct w:val="0"/>
              <w:bidi w:val="0"/>
              <w:snapToGrid/>
              <w:spacing w:line="3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2112" w:type="dxa"/>
            <w:vAlign w:val="center"/>
          </w:tcPr>
          <w:p w14:paraId="0C51B80B">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4681" w:type="dxa"/>
            <w:vAlign w:val="center"/>
          </w:tcPr>
          <w:p w14:paraId="5F43905C">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620" w:type="dxa"/>
            <w:vAlign w:val="center"/>
          </w:tcPr>
          <w:p w14:paraId="20E0EC4A">
            <w:pPr>
              <w:keepNext w:val="0"/>
              <w:keepLines w:val="0"/>
              <w:pageBreakBefore w:val="0"/>
              <w:widowControl w:val="0"/>
              <w:kinsoku/>
              <w:wordWrap/>
              <w:overflowPunct/>
              <w:topLinePunct w:val="0"/>
              <w:bidi w:val="0"/>
              <w:snapToGrid/>
              <w:spacing w:line="300" w:lineRule="exact"/>
              <w:jc w:val="center"/>
              <w:textAlignment w:val="auto"/>
              <w:rPr>
                <w:rFonts w:hint="eastAsia" w:ascii="宋体" w:hAnsi="宋体" w:eastAsia="宋体" w:cs="宋体"/>
                <w:color w:val="auto"/>
                <w:sz w:val="24"/>
                <w:szCs w:val="24"/>
                <w:highlight w:val="none"/>
              </w:rPr>
            </w:pPr>
          </w:p>
        </w:tc>
      </w:tr>
    </w:tbl>
    <w:p w14:paraId="0B23B9E9">
      <w:pPr>
        <w:spacing w:line="300" w:lineRule="auto"/>
        <w:ind w:left="840" w:leftChars="400" w:firstLine="2200" w:firstLineChars="1100"/>
        <w:rPr>
          <w:rFonts w:hint="eastAsia" w:ascii="宋体" w:hAnsi="宋体" w:eastAsia="宋体" w:cs="宋体"/>
          <w:color w:val="auto"/>
          <w:sz w:val="20"/>
          <w:szCs w:val="20"/>
          <w:highlight w:val="none"/>
        </w:rPr>
      </w:pPr>
    </w:p>
    <w:p w14:paraId="217E7F42">
      <w:pPr>
        <w:pStyle w:val="3"/>
        <w:spacing w:before="0" w:after="0" w:line="300" w:lineRule="auto"/>
        <w:jc w:val="center"/>
        <w:rPr>
          <w:rFonts w:hint="eastAsia" w:ascii="宋体" w:hAnsi="宋体" w:eastAsia="宋体" w:cs="宋体"/>
          <w:color w:val="auto"/>
          <w:highlight w:val="none"/>
        </w:rPr>
      </w:pPr>
      <w:r>
        <w:rPr>
          <w:rFonts w:hint="eastAsia" w:ascii="宋体" w:hAnsi="宋体" w:eastAsia="宋体" w:cs="宋体"/>
          <w:color w:val="auto"/>
          <w:sz w:val="20"/>
          <w:szCs w:val="20"/>
          <w:highlight w:val="none"/>
        </w:rPr>
        <w:br w:type="page"/>
      </w:r>
      <w:r>
        <w:rPr>
          <w:rFonts w:hint="eastAsia" w:ascii="宋体" w:hAnsi="宋体" w:eastAsia="宋体" w:cs="宋体"/>
          <w:color w:val="auto"/>
          <w:highlight w:val="none"/>
        </w:rPr>
        <w:t xml:space="preserve"> </w:t>
      </w:r>
      <w:bookmarkStart w:id="124" w:name="_Toc409424407"/>
      <w:bookmarkStart w:id="125" w:name="_Toc468267484"/>
      <w:bookmarkStart w:id="126" w:name="_Toc28111"/>
      <w:bookmarkStart w:id="127" w:name="_Toc350070696"/>
      <w:bookmarkStart w:id="128" w:name="_Toc2326"/>
      <w:bookmarkStart w:id="129" w:name="_Toc409424346"/>
      <w:bookmarkStart w:id="130" w:name="_Toc351644314"/>
      <w:r>
        <w:rPr>
          <w:rFonts w:hint="eastAsia" w:ascii="宋体" w:hAnsi="宋体" w:eastAsia="宋体" w:cs="宋体"/>
          <w:color w:val="auto"/>
          <w:highlight w:val="none"/>
        </w:rPr>
        <w:t>二、开标一览表</w:t>
      </w:r>
      <w:bookmarkEnd w:id="124"/>
      <w:bookmarkEnd w:id="125"/>
      <w:bookmarkEnd w:id="126"/>
      <w:bookmarkEnd w:id="127"/>
      <w:bookmarkEnd w:id="128"/>
      <w:bookmarkEnd w:id="129"/>
      <w:bookmarkEnd w:id="130"/>
    </w:p>
    <w:p w14:paraId="3649090B">
      <w:pPr>
        <w:spacing w:line="300" w:lineRule="auto"/>
        <w:ind w:left="13" w:leftChars="-51" w:hanging="120" w:hangingChars="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项目名称 ：   </w:t>
      </w:r>
    </w:p>
    <w:p w14:paraId="7E949061">
      <w:pPr>
        <w:spacing w:line="300" w:lineRule="auto"/>
        <w:ind w:left="13" w:leftChars="-51" w:hanging="120" w:hanging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bl>
      <w:tblPr>
        <w:tblStyle w:val="26"/>
        <w:tblW w:w="96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8"/>
        <w:gridCol w:w="7942"/>
      </w:tblGrid>
      <w:tr w14:paraId="25B80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3DEECE2B">
            <w:pPr>
              <w:spacing w:line="30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供应商</w:t>
            </w:r>
          </w:p>
        </w:tc>
        <w:tc>
          <w:tcPr>
            <w:tcW w:w="7942" w:type="dxa"/>
            <w:tcBorders>
              <w:top w:val="single" w:color="auto" w:sz="4" w:space="0"/>
              <w:left w:val="single" w:color="auto" w:sz="4" w:space="0"/>
              <w:bottom w:val="single" w:color="auto" w:sz="4" w:space="0"/>
              <w:right w:val="single" w:color="auto" w:sz="4" w:space="0"/>
            </w:tcBorders>
            <w:vAlign w:val="center"/>
          </w:tcPr>
          <w:p w14:paraId="2840722F">
            <w:pPr>
              <w:spacing w:line="300" w:lineRule="auto"/>
              <w:jc w:val="center"/>
              <w:rPr>
                <w:rFonts w:hint="eastAsia" w:ascii="宋体" w:hAnsi="宋体" w:eastAsia="宋体" w:cs="宋体"/>
                <w:color w:val="auto"/>
                <w:sz w:val="24"/>
                <w:szCs w:val="24"/>
                <w:highlight w:val="none"/>
              </w:rPr>
            </w:pPr>
          </w:p>
        </w:tc>
      </w:tr>
      <w:tr w14:paraId="01C4D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4E2D5356">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7942" w:type="dxa"/>
            <w:tcBorders>
              <w:top w:val="single" w:color="auto" w:sz="4" w:space="0"/>
              <w:left w:val="single" w:color="auto" w:sz="4" w:space="0"/>
              <w:bottom w:val="single" w:color="auto" w:sz="4" w:space="0"/>
              <w:right w:val="single" w:color="auto" w:sz="4" w:space="0"/>
            </w:tcBorders>
            <w:vAlign w:val="center"/>
          </w:tcPr>
          <w:p w14:paraId="717D196A">
            <w:pPr>
              <w:spacing w:line="30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元</w:t>
            </w:r>
          </w:p>
        </w:tc>
      </w:tr>
      <w:tr w14:paraId="60AAC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2220E823">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7942" w:type="dxa"/>
            <w:tcBorders>
              <w:top w:val="single" w:color="auto" w:sz="4" w:space="0"/>
              <w:left w:val="single" w:color="auto" w:sz="4" w:space="0"/>
              <w:bottom w:val="single" w:color="auto" w:sz="4" w:space="0"/>
              <w:right w:val="single" w:color="auto" w:sz="4" w:space="0"/>
            </w:tcBorders>
            <w:vAlign w:val="center"/>
          </w:tcPr>
          <w:p w14:paraId="45421AFF">
            <w:pPr>
              <w:spacing w:line="300" w:lineRule="auto"/>
              <w:rPr>
                <w:rFonts w:hint="eastAsia" w:ascii="宋体" w:hAnsi="宋体" w:eastAsia="宋体" w:cs="宋体"/>
                <w:color w:val="auto"/>
                <w:sz w:val="24"/>
                <w:szCs w:val="24"/>
                <w:highlight w:val="none"/>
              </w:rPr>
            </w:pPr>
          </w:p>
        </w:tc>
      </w:tr>
      <w:tr w14:paraId="1BDEE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35554959">
            <w:pPr>
              <w:spacing w:line="30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交货时间</w:t>
            </w:r>
          </w:p>
        </w:tc>
        <w:tc>
          <w:tcPr>
            <w:tcW w:w="7942" w:type="dxa"/>
            <w:tcBorders>
              <w:top w:val="single" w:color="auto" w:sz="4" w:space="0"/>
              <w:left w:val="single" w:color="auto" w:sz="4" w:space="0"/>
              <w:bottom w:val="single" w:color="auto" w:sz="4" w:space="0"/>
              <w:right w:val="single" w:color="auto" w:sz="4" w:space="0"/>
            </w:tcBorders>
            <w:vAlign w:val="center"/>
          </w:tcPr>
          <w:p w14:paraId="37C15714">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1FE48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658A1678">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942" w:type="dxa"/>
            <w:tcBorders>
              <w:top w:val="single" w:color="auto" w:sz="4" w:space="0"/>
              <w:left w:val="single" w:color="auto" w:sz="4" w:space="0"/>
              <w:bottom w:val="single" w:color="auto" w:sz="4" w:space="0"/>
              <w:right w:val="single" w:color="auto" w:sz="4" w:space="0"/>
            </w:tcBorders>
          </w:tcPr>
          <w:p w14:paraId="0E6F8E1C">
            <w:pPr>
              <w:numPr>
                <w:ilvl w:val="0"/>
                <w:numId w:val="5"/>
              </w:numPr>
              <w:spacing w:line="30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填报的内容必须和</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及投标函中的内容一致。</w:t>
            </w:r>
          </w:p>
        </w:tc>
      </w:tr>
      <w:tr w14:paraId="42B68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7" w:hRule="atLeast"/>
          <w:jc w:val="center"/>
        </w:trPr>
        <w:tc>
          <w:tcPr>
            <w:tcW w:w="9650" w:type="dxa"/>
            <w:gridSpan w:val="2"/>
            <w:tcBorders>
              <w:top w:val="single" w:color="auto" w:sz="4" w:space="0"/>
              <w:left w:val="single" w:color="auto" w:sz="4" w:space="0"/>
              <w:bottom w:val="single" w:color="auto" w:sz="4" w:space="0"/>
              <w:right w:val="single" w:color="auto" w:sz="4" w:space="0"/>
            </w:tcBorders>
            <w:vAlign w:val="center"/>
          </w:tcPr>
          <w:p w14:paraId="7D5F85D2">
            <w:pPr>
              <w:spacing w:line="300" w:lineRule="auto"/>
              <w:rPr>
                <w:rFonts w:hint="eastAsia" w:ascii="宋体" w:hAnsi="宋体" w:eastAsia="宋体" w:cs="宋体"/>
                <w:color w:val="auto"/>
                <w:sz w:val="24"/>
                <w:szCs w:val="24"/>
                <w:highlight w:val="none"/>
              </w:rPr>
            </w:pPr>
          </w:p>
          <w:p w14:paraId="688D2D41">
            <w:pPr>
              <w:spacing w:line="30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        （盖章）           法定代表人或被授权人：          （签字或盖章）</w:t>
            </w:r>
          </w:p>
          <w:p w14:paraId="585BA702">
            <w:pPr>
              <w:spacing w:line="300" w:lineRule="auto"/>
              <w:rPr>
                <w:rFonts w:hint="eastAsia" w:ascii="宋体" w:hAnsi="宋体" w:eastAsia="宋体" w:cs="宋体"/>
                <w:color w:val="auto"/>
                <w:sz w:val="24"/>
                <w:szCs w:val="24"/>
                <w:highlight w:val="none"/>
              </w:rPr>
            </w:pPr>
          </w:p>
        </w:tc>
      </w:tr>
    </w:tbl>
    <w:p w14:paraId="7A9D6997">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br w:type="page"/>
      </w:r>
    </w:p>
    <w:p w14:paraId="0B8145BC">
      <w:pPr>
        <w:spacing w:line="360" w:lineRule="auto"/>
        <w:jc w:val="center"/>
        <w:rPr>
          <w:rFonts w:hint="default" w:ascii="仿宋_GB2312" w:hAnsi="宋体" w:eastAsia="仿宋_GB2312"/>
          <w:bCs/>
          <w:color w:val="auto"/>
          <w:sz w:val="24"/>
          <w:highlight w:val="none"/>
          <w:lang w:val="en-US"/>
        </w:rPr>
      </w:pPr>
      <w:bookmarkStart w:id="131" w:name="_Toc409424347"/>
      <w:bookmarkStart w:id="132" w:name="_Toc409424408"/>
      <w:bookmarkStart w:id="133" w:name="_Toc15986"/>
      <w:bookmarkStart w:id="134" w:name="_Toc468267485"/>
      <w:bookmarkStart w:id="135" w:name="_Toc351644315"/>
      <w:bookmarkStart w:id="136" w:name="_Toc350070697"/>
      <w:r>
        <w:rPr>
          <w:rFonts w:hint="eastAsia" w:ascii="宋体" w:hAnsi="宋体" w:cs="宋体"/>
          <w:b/>
          <w:bCs/>
          <w:color w:val="auto"/>
          <w:kern w:val="2"/>
          <w:sz w:val="32"/>
          <w:szCs w:val="32"/>
          <w:highlight w:val="none"/>
          <w:lang w:val="en-US" w:eastAsia="zh-CN" w:bidi="ar-SA"/>
        </w:rPr>
        <w:t>分项报价表</w:t>
      </w:r>
    </w:p>
    <w:p w14:paraId="4CD1410E">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项目名称：</w:t>
      </w:r>
    </w:p>
    <w:p w14:paraId="42DB1D57">
      <w:pPr>
        <w:spacing w:line="360" w:lineRule="auto"/>
        <w:ind w:firstLine="480" w:firstLineChars="20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项目编号：</w:t>
      </w:r>
    </w:p>
    <w:tbl>
      <w:tblPr>
        <w:tblStyle w:val="26"/>
        <w:tblW w:w="989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096"/>
        <w:gridCol w:w="1122"/>
        <w:gridCol w:w="1450"/>
        <w:gridCol w:w="1228"/>
        <w:gridCol w:w="976"/>
        <w:gridCol w:w="1023"/>
        <w:gridCol w:w="1350"/>
      </w:tblGrid>
      <w:tr w14:paraId="03C4D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646" w:type="dxa"/>
            <w:vAlign w:val="center"/>
          </w:tcPr>
          <w:p w14:paraId="22DF85AA">
            <w:pPr>
              <w:spacing w:line="360" w:lineRule="exact"/>
              <w:jc w:val="center"/>
              <w:rPr>
                <w:rFonts w:ascii="宋体" w:hAnsi="宋体" w:cs="宋体"/>
                <w:bCs/>
                <w:color w:val="auto"/>
                <w:sz w:val="24"/>
                <w:highlight w:val="none"/>
              </w:rPr>
            </w:pPr>
            <w:r>
              <w:rPr>
                <w:rFonts w:hint="eastAsia" w:ascii="宋体" w:hAnsi="宋体" w:cs="宋体"/>
                <w:bCs/>
                <w:color w:val="auto"/>
                <w:sz w:val="24"/>
                <w:highlight w:val="none"/>
              </w:rPr>
              <w:t>序号</w:t>
            </w:r>
          </w:p>
        </w:tc>
        <w:tc>
          <w:tcPr>
            <w:tcW w:w="2096" w:type="dxa"/>
            <w:vAlign w:val="center"/>
          </w:tcPr>
          <w:p w14:paraId="29A0B930">
            <w:pPr>
              <w:spacing w:line="360" w:lineRule="exact"/>
              <w:jc w:val="center"/>
              <w:rPr>
                <w:rFonts w:ascii="宋体" w:hAnsi="宋体" w:cs="宋体"/>
                <w:bCs/>
                <w:color w:val="auto"/>
                <w:sz w:val="24"/>
                <w:highlight w:val="none"/>
              </w:rPr>
            </w:pPr>
            <w:r>
              <w:rPr>
                <w:rFonts w:hint="eastAsia" w:ascii="宋体" w:hAnsi="宋体" w:cs="宋体"/>
                <w:bCs/>
                <w:color w:val="auto"/>
                <w:sz w:val="24"/>
                <w:highlight w:val="none"/>
              </w:rPr>
              <w:t>名称</w:t>
            </w:r>
          </w:p>
        </w:tc>
        <w:tc>
          <w:tcPr>
            <w:tcW w:w="1122" w:type="dxa"/>
            <w:vAlign w:val="center"/>
          </w:tcPr>
          <w:p w14:paraId="2D524772">
            <w:pPr>
              <w:spacing w:line="360" w:lineRule="exact"/>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品</w:t>
            </w:r>
            <w:r>
              <w:rPr>
                <w:rFonts w:hint="default" w:ascii="宋体" w:hAnsi="宋体" w:cs="宋体"/>
                <w:bCs/>
                <w:color w:val="auto"/>
                <w:sz w:val="24"/>
                <w:highlight w:val="none"/>
                <w:lang w:val="en-US" w:eastAsia="zh-CN"/>
              </w:rPr>
              <w:t>牌型号</w:t>
            </w:r>
          </w:p>
        </w:tc>
        <w:tc>
          <w:tcPr>
            <w:tcW w:w="1450" w:type="dxa"/>
            <w:vAlign w:val="center"/>
          </w:tcPr>
          <w:p w14:paraId="069B229E">
            <w:pPr>
              <w:spacing w:line="360" w:lineRule="exact"/>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原产地及制造商</w:t>
            </w:r>
          </w:p>
        </w:tc>
        <w:tc>
          <w:tcPr>
            <w:tcW w:w="1228" w:type="dxa"/>
            <w:vAlign w:val="center"/>
          </w:tcPr>
          <w:p w14:paraId="7EE1B6C0">
            <w:pPr>
              <w:spacing w:line="360" w:lineRule="exact"/>
              <w:jc w:val="center"/>
              <w:rPr>
                <w:rFonts w:ascii="宋体" w:hAnsi="宋体" w:cs="宋体"/>
                <w:bCs/>
                <w:color w:val="auto"/>
                <w:sz w:val="24"/>
                <w:highlight w:val="none"/>
              </w:rPr>
            </w:pPr>
            <w:r>
              <w:rPr>
                <w:rFonts w:hint="eastAsia" w:ascii="宋体" w:hAnsi="宋体" w:cs="宋体"/>
                <w:bCs/>
                <w:color w:val="auto"/>
                <w:sz w:val="24"/>
                <w:highlight w:val="none"/>
              </w:rPr>
              <w:t>数量</w:t>
            </w:r>
          </w:p>
        </w:tc>
        <w:tc>
          <w:tcPr>
            <w:tcW w:w="976" w:type="dxa"/>
            <w:vAlign w:val="center"/>
          </w:tcPr>
          <w:p w14:paraId="6F19E2F9">
            <w:pPr>
              <w:spacing w:line="360" w:lineRule="exact"/>
              <w:jc w:val="center"/>
              <w:rPr>
                <w:rFonts w:ascii="宋体" w:hAnsi="宋体" w:cs="宋体"/>
                <w:bCs/>
                <w:color w:val="auto"/>
                <w:sz w:val="24"/>
                <w:highlight w:val="none"/>
              </w:rPr>
            </w:pPr>
            <w:r>
              <w:rPr>
                <w:rFonts w:hint="eastAsia" w:ascii="宋体" w:hAnsi="宋体" w:cs="宋体"/>
                <w:bCs/>
                <w:color w:val="auto"/>
                <w:sz w:val="24"/>
                <w:highlight w:val="none"/>
              </w:rPr>
              <w:t>单价</w:t>
            </w:r>
          </w:p>
        </w:tc>
        <w:tc>
          <w:tcPr>
            <w:tcW w:w="1023" w:type="dxa"/>
            <w:vAlign w:val="center"/>
          </w:tcPr>
          <w:p w14:paraId="45F17C6A">
            <w:pPr>
              <w:spacing w:line="360" w:lineRule="exact"/>
              <w:jc w:val="center"/>
              <w:rPr>
                <w:rFonts w:ascii="宋体" w:hAnsi="宋体" w:cs="宋体"/>
                <w:bCs/>
                <w:color w:val="auto"/>
                <w:sz w:val="24"/>
                <w:highlight w:val="none"/>
              </w:rPr>
            </w:pPr>
            <w:r>
              <w:rPr>
                <w:rFonts w:hint="eastAsia" w:ascii="宋体" w:hAnsi="宋体" w:cs="宋体"/>
                <w:bCs/>
                <w:color w:val="auto"/>
                <w:sz w:val="24"/>
                <w:highlight w:val="none"/>
              </w:rPr>
              <w:t>合计</w:t>
            </w:r>
          </w:p>
        </w:tc>
        <w:tc>
          <w:tcPr>
            <w:tcW w:w="1350" w:type="dxa"/>
            <w:vAlign w:val="center"/>
          </w:tcPr>
          <w:p w14:paraId="1FBBA7F8">
            <w:pPr>
              <w:spacing w:line="36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交货期</w:t>
            </w:r>
          </w:p>
        </w:tc>
      </w:tr>
      <w:tr w14:paraId="7A7FF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46" w:type="dxa"/>
          </w:tcPr>
          <w:p w14:paraId="63B38B3B">
            <w:pPr>
              <w:spacing w:line="360" w:lineRule="exact"/>
              <w:rPr>
                <w:rFonts w:ascii="宋体" w:hAnsi="宋体" w:cs="宋体"/>
                <w:b/>
                <w:color w:val="auto"/>
                <w:sz w:val="24"/>
                <w:highlight w:val="none"/>
              </w:rPr>
            </w:pPr>
          </w:p>
        </w:tc>
        <w:tc>
          <w:tcPr>
            <w:tcW w:w="2096" w:type="dxa"/>
          </w:tcPr>
          <w:p w14:paraId="39D62E84">
            <w:pPr>
              <w:spacing w:line="360" w:lineRule="exact"/>
              <w:rPr>
                <w:rFonts w:ascii="宋体" w:hAnsi="宋体" w:cs="宋体"/>
                <w:b/>
                <w:color w:val="auto"/>
                <w:sz w:val="24"/>
                <w:highlight w:val="none"/>
              </w:rPr>
            </w:pPr>
          </w:p>
        </w:tc>
        <w:tc>
          <w:tcPr>
            <w:tcW w:w="1122" w:type="dxa"/>
          </w:tcPr>
          <w:p w14:paraId="1656EE0B">
            <w:pPr>
              <w:spacing w:line="360" w:lineRule="exact"/>
              <w:rPr>
                <w:rFonts w:ascii="宋体" w:hAnsi="宋体" w:cs="宋体"/>
                <w:b/>
                <w:color w:val="auto"/>
                <w:sz w:val="24"/>
                <w:highlight w:val="none"/>
              </w:rPr>
            </w:pPr>
          </w:p>
        </w:tc>
        <w:tc>
          <w:tcPr>
            <w:tcW w:w="1450" w:type="dxa"/>
          </w:tcPr>
          <w:p w14:paraId="751934DB">
            <w:pPr>
              <w:spacing w:line="360" w:lineRule="exact"/>
              <w:rPr>
                <w:rFonts w:ascii="宋体" w:hAnsi="宋体" w:cs="宋体"/>
                <w:b/>
                <w:color w:val="auto"/>
                <w:sz w:val="24"/>
                <w:highlight w:val="none"/>
              </w:rPr>
            </w:pPr>
          </w:p>
        </w:tc>
        <w:tc>
          <w:tcPr>
            <w:tcW w:w="1228" w:type="dxa"/>
          </w:tcPr>
          <w:p w14:paraId="622E9B8B">
            <w:pPr>
              <w:spacing w:line="360" w:lineRule="exact"/>
              <w:ind w:firstLine="241" w:firstLineChars="100"/>
              <w:rPr>
                <w:rFonts w:hint="default" w:ascii="宋体" w:hAnsi="宋体" w:eastAsia="宋体" w:cs="宋体"/>
                <w:b/>
                <w:color w:val="auto"/>
                <w:sz w:val="24"/>
                <w:highlight w:val="none"/>
                <w:lang w:val="en-US" w:eastAsia="zh-CN"/>
              </w:rPr>
            </w:pPr>
          </w:p>
        </w:tc>
        <w:tc>
          <w:tcPr>
            <w:tcW w:w="976" w:type="dxa"/>
          </w:tcPr>
          <w:p w14:paraId="01ABF599">
            <w:pPr>
              <w:spacing w:line="360" w:lineRule="exact"/>
              <w:rPr>
                <w:rFonts w:ascii="宋体" w:hAnsi="宋体" w:cs="宋体"/>
                <w:b/>
                <w:color w:val="auto"/>
                <w:sz w:val="24"/>
                <w:highlight w:val="none"/>
              </w:rPr>
            </w:pPr>
          </w:p>
        </w:tc>
        <w:tc>
          <w:tcPr>
            <w:tcW w:w="1023" w:type="dxa"/>
          </w:tcPr>
          <w:p w14:paraId="357C3405">
            <w:pPr>
              <w:spacing w:line="360" w:lineRule="exact"/>
              <w:rPr>
                <w:rFonts w:ascii="宋体" w:hAnsi="宋体" w:cs="宋体"/>
                <w:b/>
                <w:color w:val="auto"/>
                <w:sz w:val="24"/>
                <w:highlight w:val="none"/>
              </w:rPr>
            </w:pPr>
          </w:p>
        </w:tc>
        <w:tc>
          <w:tcPr>
            <w:tcW w:w="1350" w:type="dxa"/>
          </w:tcPr>
          <w:p w14:paraId="760ABE60">
            <w:pPr>
              <w:spacing w:line="360" w:lineRule="exact"/>
              <w:rPr>
                <w:rFonts w:ascii="宋体" w:hAnsi="宋体" w:cs="宋体"/>
                <w:b/>
                <w:color w:val="auto"/>
                <w:sz w:val="24"/>
                <w:highlight w:val="none"/>
              </w:rPr>
            </w:pPr>
          </w:p>
        </w:tc>
      </w:tr>
      <w:tr w14:paraId="7187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46" w:type="dxa"/>
          </w:tcPr>
          <w:p w14:paraId="10F16257">
            <w:pPr>
              <w:spacing w:line="360" w:lineRule="exact"/>
              <w:rPr>
                <w:rFonts w:ascii="宋体" w:hAnsi="宋体" w:cs="宋体"/>
                <w:b/>
                <w:color w:val="auto"/>
                <w:sz w:val="24"/>
                <w:highlight w:val="none"/>
              </w:rPr>
            </w:pPr>
          </w:p>
        </w:tc>
        <w:tc>
          <w:tcPr>
            <w:tcW w:w="2096" w:type="dxa"/>
          </w:tcPr>
          <w:p w14:paraId="75C33350">
            <w:pPr>
              <w:spacing w:line="360" w:lineRule="exact"/>
              <w:rPr>
                <w:rFonts w:ascii="宋体" w:hAnsi="宋体" w:cs="宋体"/>
                <w:b/>
                <w:color w:val="auto"/>
                <w:sz w:val="24"/>
                <w:highlight w:val="none"/>
              </w:rPr>
            </w:pPr>
          </w:p>
        </w:tc>
        <w:tc>
          <w:tcPr>
            <w:tcW w:w="1122" w:type="dxa"/>
          </w:tcPr>
          <w:p w14:paraId="5FBB4134">
            <w:pPr>
              <w:spacing w:line="360" w:lineRule="exact"/>
              <w:rPr>
                <w:rFonts w:ascii="宋体" w:hAnsi="宋体" w:cs="宋体"/>
                <w:b/>
                <w:color w:val="auto"/>
                <w:sz w:val="24"/>
                <w:highlight w:val="none"/>
              </w:rPr>
            </w:pPr>
          </w:p>
        </w:tc>
        <w:tc>
          <w:tcPr>
            <w:tcW w:w="1450" w:type="dxa"/>
          </w:tcPr>
          <w:p w14:paraId="0E60275D">
            <w:pPr>
              <w:spacing w:line="360" w:lineRule="exact"/>
              <w:rPr>
                <w:rFonts w:ascii="宋体" w:hAnsi="宋体" w:cs="宋体"/>
                <w:b/>
                <w:color w:val="auto"/>
                <w:sz w:val="24"/>
                <w:highlight w:val="none"/>
              </w:rPr>
            </w:pPr>
          </w:p>
        </w:tc>
        <w:tc>
          <w:tcPr>
            <w:tcW w:w="1228" w:type="dxa"/>
          </w:tcPr>
          <w:p w14:paraId="36B3F1EF">
            <w:pPr>
              <w:spacing w:line="360" w:lineRule="exact"/>
              <w:ind w:firstLine="241" w:firstLineChars="100"/>
              <w:rPr>
                <w:rFonts w:ascii="宋体" w:hAnsi="宋体" w:cs="宋体"/>
                <w:b/>
                <w:color w:val="auto"/>
                <w:sz w:val="24"/>
                <w:highlight w:val="none"/>
              </w:rPr>
            </w:pPr>
          </w:p>
        </w:tc>
        <w:tc>
          <w:tcPr>
            <w:tcW w:w="976" w:type="dxa"/>
          </w:tcPr>
          <w:p w14:paraId="65DC676A">
            <w:pPr>
              <w:spacing w:line="360" w:lineRule="exact"/>
              <w:rPr>
                <w:rFonts w:ascii="宋体" w:hAnsi="宋体" w:cs="宋体"/>
                <w:b/>
                <w:color w:val="auto"/>
                <w:sz w:val="24"/>
                <w:highlight w:val="none"/>
              </w:rPr>
            </w:pPr>
          </w:p>
        </w:tc>
        <w:tc>
          <w:tcPr>
            <w:tcW w:w="1023" w:type="dxa"/>
          </w:tcPr>
          <w:p w14:paraId="6FA8AA65">
            <w:pPr>
              <w:spacing w:line="360" w:lineRule="exact"/>
              <w:rPr>
                <w:rFonts w:ascii="宋体" w:hAnsi="宋体" w:cs="宋体"/>
                <w:b/>
                <w:color w:val="auto"/>
                <w:sz w:val="24"/>
                <w:highlight w:val="none"/>
              </w:rPr>
            </w:pPr>
          </w:p>
        </w:tc>
        <w:tc>
          <w:tcPr>
            <w:tcW w:w="1350" w:type="dxa"/>
          </w:tcPr>
          <w:p w14:paraId="04767F7E">
            <w:pPr>
              <w:spacing w:line="360" w:lineRule="exact"/>
              <w:rPr>
                <w:rFonts w:ascii="宋体" w:hAnsi="宋体" w:cs="宋体"/>
                <w:b/>
                <w:color w:val="auto"/>
                <w:sz w:val="24"/>
                <w:highlight w:val="none"/>
              </w:rPr>
            </w:pPr>
          </w:p>
        </w:tc>
      </w:tr>
      <w:tr w14:paraId="2F8D8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8541" w:type="dxa"/>
            <w:gridSpan w:val="7"/>
            <w:tcBorders>
              <w:bottom w:val="single" w:color="auto" w:sz="4" w:space="0"/>
            </w:tcBorders>
          </w:tcPr>
          <w:p w14:paraId="17AD477A">
            <w:pPr>
              <w:spacing w:line="360" w:lineRule="exact"/>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投标总报价（元）：</w:t>
            </w:r>
          </w:p>
        </w:tc>
        <w:tc>
          <w:tcPr>
            <w:tcW w:w="1350" w:type="dxa"/>
            <w:tcBorders>
              <w:bottom w:val="single" w:color="auto" w:sz="4" w:space="0"/>
            </w:tcBorders>
          </w:tcPr>
          <w:p w14:paraId="1917F8CF">
            <w:pPr>
              <w:spacing w:line="360" w:lineRule="exact"/>
              <w:rPr>
                <w:rFonts w:hint="eastAsia" w:ascii="宋体" w:hAnsi="宋体" w:cs="宋体"/>
                <w:b/>
                <w:color w:val="auto"/>
                <w:sz w:val="24"/>
                <w:highlight w:val="none"/>
                <w:lang w:val="en-US" w:eastAsia="zh-CN"/>
              </w:rPr>
            </w:pPr>
          </w:p>
        </w:tc>
      </w:tr>
    </w:tbl>
    <w:p w14:paraId="7108169A">
      <w:pPr>
        <w:spacing w:line="360" w:lineRule="auto"/>
        <w:ind w:firstLine="480" w:firstLineChars="200"/>
        <w:rPr>
          <w:rFonts w:hint="eastAsia" w:ascii="宋体" w:hAnsi="宋体" w:cs="宋体"/>
          <w:color w:val="auto"/>
          <w:sz w:val="24"/>
          <w:highlight w:val="none"/>
        </w:rPr>
      </w:pPr>
    </w:p>
    <w:p w14:paraId="7754AB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全称（公章）：</w:t>
      </w:r>
    </w:p>
    <w:p w14:paraId="317F5B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单位负责人或授权代理人（签字）：</w:t>
      </w:r>
    </w:p>
    <w:p w14:paraId="517B4A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时间：年月日</w:t>
      </w:r>
    </w:p>
    <w:p w14:paraId="6574F695">
      <w:pPr>
        <w:spacing w:line="360" w:lineRule="auto"/>
        <w:rPr>
          <w:rFonts w:ascii="宋体" w:hAnsi="宋体" w:cs="宋体"/>
          <w:color w:val="auto"/>
          <w:sz w:val="24"/>
          <w:highlight w:val="none"/>
        </w:rPr>
      </w:pPr>
      <w:r>
        <w:rPr>
          <w:rFonts w:hint="eastAsia" w:ascii="宋体" w:hAnsi="宋体" w:cs="宋体"/>
          <w:color w:val="auto"/>
          <w:sz w:val="24"/>
          <w:highlight w:val="none"/>
        </w:rPr>
        <w:t>说明：</w:t>
      </w:r>
    </w:p>
    <w:p w14:paraId="1A272C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1.与本项目有关的各种费用均应包含在总报价中。</w:t>
      </w:r>
    </w:p>
    <w:p w14:paraId="61A65C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.要说明的问题可另附页说明并签字和加盖公章。</w:t>
      </w:r>
    </w:p>
    <w:p w14:paraId="7A38302E">
      <w:pPr>
        <w:spacing w:line="360" w:lineRule="auto"/>
        <w:ind w:firstLine="480" w:firstLineChars="200"/>
        <w:outlineLvl w:val="0"/>
        <w:rPr>
          <w:rFonts w:ascii="宋体" w:hAnsi="宋体" w:cs="宋体"/>
          <w:color w:val="auto"/>
          <w:sz w:val="24"/>
          <w:highlight w:val="none"/>
        </w:rPr>
      </w:pPr>
      <w:bookmarkStart w:id="137" w:name="_Toc25360"/>
      <w:r>
        <w:rPr>
          <w:rFonts w:hint="eastAsia" w:ascii="宋体" w:hAnsi="宋体" w:cs="宋体"/>
          <w:color w:val="auto"/>
          <w:sz w:val="24"/>
          <w:highlight w:val="none"/>
          <w:lang w:val="en-US" w:eastAsia="zh-CN"/>
        </w:rPr>
        <w:t>3</w:t>
      </w:r>
      <w:r>
        <w:rPr>
          <w:rFonts w:hint="eastAsia" w:ascii="宋体" w:hAnsi="宋体" w:cs="宋体"/>
          <w:color w:val="auto"/>
          <w:sz w:val="24"/>
          <w:highlight w:val="none"/>
        </w:rPr>
        <w:t>.此表可根据需要自行拉长加宽。</w:t>
      </w:r>
      <w:bookmarkEnd w:id="137"/>
    </w:p>
    <w:p w14:paraId="09CE7057">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A218E28">
      <w:pPr>
        <w:pStyle w:val="3"/>
        <w:spacing w:before="0" w:after="0" w:line="300" w:lineRule="auto"/>
        <w:jc w:val="center"/>
        <w:rPr>
          <w:rFonts w:hint="eastAsia" w:ascii="宋体" w:hAnsi="宋体" w:eastAsia="宋体" w:cs="宋体"/>
          <w:color w:val="auto"/>
          <w:highlight w:val="none"/>
        </w:rPr>
      </w:pPr>
      <w:bookmarkStart w:id="138" w:name="_Toc20576"/>
      <w:r>
        <w:rPr>
          <w:rFonts w:hint="eastAsia" w:ascii="宋体" w:hAnsi="宋体" w:eastAsia="宋体" w:cs="宋体"/>
          <w:color w:val="auto"/>
          <w:highlight w:val="none"/>
        </w:rPr>
        <w:t>三、法定代表人身份证明或附有法定代表人身份证明的授权委托书</w:t>
      </w:r>
      <w:bookmarkEnd w:id="131"/>
      <w:bookmarkEnd w:id="132"/>
      <w:bookmarkEnd w:id="133"/>
      <w:bookmarkEnd w:id="134"/>
      <w:bookmarkEnd w:id="138"/>
    </w:p>
    <w:p w14:paraId="22A02DA4">
      <w:pPr>
        <w:pStyle w:val="3"/>
        <w:spacing w:before="0" w:after="0" w:line="300" w:lineRule="auto"/>
        <w:jc w:val="center"/>
        <w:rPr>
          <w:rFonts w:hint="eastAsia" w:ascii="宋体" w:hAnsi="宋体" w:eastAsia="宋体" w:cs="宋体"/>
          <w:color w:val="auto"/>
          <w:highlight w:val="none"/>
        </w:rPr>
      </w:pPr>
      <w:bookmarkStart w:id="139" w:name="_Toc8466"/>
      <w:bookmarkStart w:id="140" w:name="_Toc2915"/>
      <w:bookmarkStart w:id="141" w:name="_Toc409424409"/>
      <w:bookmarkStart w:id="142" w:name="_Toc409424348"/>
      <w:bookmarkStart w:id="143" w:name="_Toc468267486"/>
      <w:r>
        <w:rPr>
          <w:rFonts w:hint="eastAsia" w:ascii="宋体" w:hAnsi="宋体" w:eastAsia="宋体" w:cs="宋体"/>
          <w:color w:val="auto"/>
          <w:highlight w:val="none"/>
        </w:rPr>
        <w:t>（一）法定代表人身份证明</w:t>
      </w:r>
      <w:bookmarkEnd w:id="135"/>
      <w:bookmarkEnd w:id="136"/>
      <w:bookmarkEnd w:id="139"/>
      <w:bookmarkEnd w:id="140"/>
      <w:bookmarkEnd w:id="141"/>
      <w:bookmarkEnd w:id="142"/>
      <w:bookmarkEnd w:id="143"/>
    </w:p>
    <w:p w14:paraId="01A9B4FB">
      <w:pPr>
        <w:spacing w:line="300" w:lineRule="auto"/>
        <w:rPr>
          <w:rFonts w:hint="eastAsia" w:ascii="宋体" w:hAnsi="宋体" w:eastAsia="宋体" w:cs="宋体"/>
          <w:color w:val="auto"/>
          <w:sz w:val="20"/>
          <w:szCs w:val="20"/>
          <w:highlight w:val="none"/>
        </w:rPr>
      </w:pPr>
    </w:p>
    <w:p w14:paraId="24D35634">
      <w:pPr>
        <w:spacing w:line="360" w:lineRule="auto"/>
        <w:rPr>
          <w:rFonts w:hint="eastAsia" w:ascii="宋体" w:hAnsi="宋体" w:eastAsia="宋体" w:cs="宋体"/>
          <w:color w:val="auto"/>
          <w:sz w:val="24"/>
          <w:szCs w:val="24"/>
          <w:highlight w:val="none"/>
        </w:rPr>
      </w:pPr>
    </w:p>
    <w:p w14:paraId="04142DDD">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D10FD2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B279ED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3A48D74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EA67D3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58B96D6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5248EE1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名称）的法定代表人。</w:t>
      </w:r>
    </w:p>
    <w:p w14:paraId="6DF44D4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1936B2EC">
      <w:pPr>
        <w:spacing w:line="360" w:lineRule="auto"/>
        <w:rPr>
          <w:rFonts w:hint="eastAsia" w:ascii="宋体" w:hAnsi="宋体" w:eastAsia="宋体" w:cs="宋体"/>
          <w:color w:val="auto"/>
          <w:sz w:val="24"/>
          <w:szCs w:val="24"/>
          <w:highlight w:val="none"/>
        </w:rPr>
      </w:pPr>
    </w:p>
    <w:p w14:paraId="27666483">
      <w:pPr>
        <w:spacing w:line="360" w:lineRule="auto"/>
        <w:rPr>
          <w:rFonts w:hint="eastAsia" w:ascii="宋体" w:hAnsi="宋体" w:eastAsia="宋体" w:cs="宋体"/>
          <w:color w:val="auto"/>
          <w:sz w:val="24"/>
          <w:szCs w:val="24"/>
          <w:highlight w:val="none"/>
        </w:rPr>
      </w:pPr>
    </w:p>
    <w:p w14:paraId="6C4D08D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00F21AF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14:paraId="4F4F4E8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63060A4">
      <w:pPr>
        <w:pStyle w:val="3"/>
        <w:spacing w:before="0" w:after="0" w:line="300" w:lineRule="auto"/>
        <w:jc w:val="center"/>
        <w:rPr>
          <w:rFonts w:hint="eastAsia" w:ascii="宋体" w:hAnsi="宋体" w:eastAsia="宋体" w:cs="宋体"/>
          <w:color w:val="auto"/>
          <w:highlight w:val="none"/>
        </w:rPr>
      </w:pPr>
      <w:bookmarkStart w:id="144" w:name="_Toc350070698"/>
      <w:bookmarkStart w:id="145" w:name="_Toc468267487"/>
      <w:bookmarkStart w:id="146" w:name="_Toc409424349"/>
      <w:bookmarkStart w:id="147" w:name="_Toc12620"/>
      <w:bookmarkStart w:id="148" w:name="_Toc409424410"/>
      <w:bookmarkStart w:id="149" w:name="_Toc21237"/>
      <w:bookmarkStart w:id="150" w:name="_Toc351644316"/>
      <w:r>
        <w:rPr>
          <w:rFonts w:hint="eastAsia" w:ascii="宋体" w:hAnsi="宋体" w:eastAsia="宋体" w:cs="宋体"/>
          <w:color w:val="auto"/>
          <w:highlight w:val="none"/>
        </w:rPr>
        <w:t>（二）授权委托书</w:t>
      </w:r>
      <w:bookmarkEnd w:id="144"/>
      <w:bookmarkEnd w:id="145"/>
      <w:bookmarkEnd w:id="146"/>
      <w:bookmarkEnd w:id="147"/>
      <w:bookmarkEnd w:id="148"/>
      <w:bookmarkEnd w:id="149"/>
      <w:bookmarkEnd w:id="150"/>
    </w:p>
    <w:p w14:paraId="63CCE790">
      <w:pPr>
        <w:spacing w:line="300" w:lineRule="auto"/>
        <w:rPr>
          <w:rFonts w:hint="eastAsia" w:ascii="宋体" w:hAnsi="宋体" w:eastAsia="宋体" w:cs="宋体"/>
          <w:color w:val="auto"/>
          <w:szCs w:val="21"/>
          <w:highlight w:val="none"/>
        </w:rPr>
      </w:pPr>
    </w:p>
    <w:p w14:paraId="3E38DE89">
      <w:pPr>
        <w:topLinePunct/>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名称）的法定代表人，现委托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、签订合同和处理有关事宜，其法律后果由我方承担。</w:t>
      </w:r>
    </w:p>
    <w:p w14:paraId="586E06C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委托期限：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DFED0F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4B4AE6B1">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附：法定代表人及授权代理人身份证</w:t>
      </w:r>
      <w:r>
        <w:rPr>
          <w:rFonts w:hint="eastAsia" w:ascii="宋体" w:hAnsi="宋体" w:cs="宋体"/>
          <w:color w:val="auto"/>
          <w:sz w:val="24"/>
          <w:szCs w:val="24"/>
          <w:highlight w:val="none"/>
          <w:lang w:val="en-US" w:eastAsia="zh-CN"/>
        </w:rPr>
        <w:t>扫描件</w:t>
      </w:r>
    </w:p>
    <w:p w14:paraId="357DCD88">
      <w:pPr>
        <w:spacing w:line="360" w:lineRule="auto"/>
        <w:rPr>
          <w:rFonts w:hint="eastAsia" w:ascii="宋体" w:hAnsi="宋体" w:eastAsia="宋体" w:cs="宋体"/>
          <w:color w:val="auto"/>
          <w:sz w:val="24"/>
          <w:szCs w:val="24"/>
          <w:highlight w:val="none"/>
        </w:rPr>
      </w:pPr>
    </w:p>
    <w:p w14:paraId="7508F454">
      <w:pPr>
        <w:spacing w:line="360" w:lineRule="auto"/>
        <w:rPr>
          <w:rFonts w:hint="eastAsia" w:ascii="宋体" w:hAnsi="宋体" w:eastAsia="宋体" w:cs="宋体"/>
          <w:color w:val="auto"/>
          <w:sz w:val="24"/>
          <w:szCs w:val="24"/>
          <w:highlight w:val="none"/>
        </w:rPr>
      </w:pPr>
    </w:p>
    <w:p w14:paraId="0D722438">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498AC45A">
      <w:pPr>
        <w:spacing w:line="360" w:lineRule="auto"/>
        <w:rPr>
          <w:rFonts w:hint="eastAsia" w:ascii="宋体" w:hAnsi="宋体" w:eastAsia="宋体" w:cs="宋体"/>
          <w:color w:val="auto"/>
          <w:sz w:val="24"/>
          <w:szCs w:val="24"/>
          <w:highlight w:val="none"/>
        </w:rPr>
      </w:pPr>
    </w:p>
    <w:p w14:paraId="7A2F7C7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（签字、盖章）</w:t>
      </w:r>
    </w:p>
    <w:p w14:paraId="772037A5">
      <w:pPr>
        <w:spacing w:line="360" w:lineRule="auto"/>
        <w:rPr>
          <w:rFonts w:hint="eastAsia" w:ascii="宋体" w:hAnsi="宋体" w:eastAsia="宋体" w:cs="宋体"/>
          <w:color w:val="auto"/>
          <w:sz w:val="24"/>
          <w:szCs w:val="24"/>
          <w:highlight w:val="none"/>
        </w:rPr>
      </w:pPr>
    </w:p>
    <w:p w14:paraId="5647B7D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39182F7C">
      <w:pPr>
        <w:spacing w:line="360" w:lineRule="auto"/>
        <w:rPr>
          <w:rFonts w:hint="eastAsia" w:ascii="宋体" w:hAnsi="宋体" w:eastAsia="宋体" w:cs="宋体"/>
          <w:color w:val="auto"/>
          <w:sz w:val="24"/>
          <w:szCs w:val="24"/>
          <w:highlight w:val="none"/>
        </w:rPr>
      </w:pPr>
    </w:p>
    <w:p w14:paraId="2E7792B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（签字） </w:t>
      </w:r>
    </w:p>
    <w:p w14:paraId="3321F2BB">
      <w:pPr>
        <w:spacing w:line="360" w:lineRule="auto"/>
        <w:rPr>
          <w:rFonts w:hint="eastAsia" w:ascii="宋体" w:hAnsi="宋体" w:eastAsia="宋体" w:cs="宋体"/>
          <w:color w:val="auto"/>
          <w:sz w:val="24"/>
          <w:szCs w:val="24"/>
          <w:highlight w:val="none"/>
        </w:rPr>
      </w:pPr>
    </w:p>
    <w:p w14:paraId="75FA2E8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57F64E67">
      <w:pPr>
        <w:spacing w:line="360" w:lineRule="auto"/>
        <w:rPr>
          <w:rFonts w:hint="eastAsia" w:ascii="宋体" w:hAnsi="宋体" w:eastAsia="宋体" w:cs="宋体"/>
          <w:color w:val="auto"/>
          <w:sz w:val="24"/>
          <w:szCs w:val="24"/>
          <w:highlight w:val="none"/>
        </w:rPr>
      </w:pPr>
    </w:p>
    <w:p w14:paraId="7C10F166">
      <w:pPr>
        <w:spacing w:line="360" w:lineRule="auto"/>
        <w:rPr>
          <w:rFonts w:hint="eastAsia" w:ascii="宋体" w:hAnsi="宋体" w:eastAsia="宋体" w:cs="宋体"/>
          <w:color w:val="auto"/>
          <w:sz w:val="24"/>
          <w:szCs w:val="24"/>
          <w:highlight w:val="none"/>
        </w:rPr>
      </w:pPr>
    </w:p>
    <w:p w14:paraId="77F4195E">
      <w:pPr>
        <w:spacing w:line="360" w:lineRule="auto"/>
        <w:ind w:firstLine="2640" w:firstLineChars="1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C500FF9">
      <w:pPr>
        <w:spacing w:line="300" w:lineRule="auto"/>
        <w:rPr>
          <w:rFonts w:hint="eastAsia" w:ascii="宋体" w:hAnsi="宋体" w:eastAsia="宋体" w:cs="宋体"/>
          <w:color w:val="auto"/>
          <w:sz w:val="27"/>
          <w:szCs w:val="27"/>
          <w:highlight w:val="none"/>
        </w:rPr>
      </w:pPr>
      <w:r>
        <w:rPr>
          <w:rFonts w:hint="eastAsia" w:ascii="宋体" w:hAnsi="宋体" w:eastAsia="宋体" w:cs="宋体"/>
          <w:color w:val="auto"/>
          <w:sz w:val="20"/>
          <w:szCs w:val="20"/>
          <w:highlight w:val="none"/>
        </w:rPr>
        <w:br w:type="page"/>
      </w:r>
    </w:p>
    <w:p w14:paraId="15666B34">
      <w:pPr>
        <w:spacing w:line="360" w:lineRule="auto"/>
        <w:jc w:val="center"/>
        <w:rPr>
          <w:rFonts w:hint="eastAsia" w:ascii="宋体" w:hAnsi="宋体" w:eastAsia="宋体" w:cs="宋体"/>
          <w:b/>
          <w:bCs/>
          <w:color w:val="auto"/>
          <w:kern w:val="2"/>
          <w:sz w:val="32"/>
          <w:szCs w:val="32"/>
          <w:highlight w:val="none"/>
          <w:lang w:val="en-US" w:eastAsia="zh-CN" w:bidi="ar-SA"/>
        </w:rPr>
      </w:pPr>
      <w:bookmarkStart w:id="151" w:name="_Toc22466"/>
      <w:bookmarkStart w:id="152" w:name="_Toc351644319"/>
      <w:bookmarkStart w:id="153" w:name="_Toc350070701"/>
      <w:bookmarkStart w:id="154" w:name="_Toc409424413"/>
      <w:bookmarkStart w:id="155" w:name="_Toc409424352"/>
      <w:bookmarkStart w:id="156" w:name="_Toc468267491"/>
      <w:r>
        <w:rPr>
          <w:rFonts w:hint="eastAsia" w:ascii="宋体" w:hAnsi="宋体" w:eastAsia="宋体" w:cs="宋体"/>
          <w:b/>
          <w:bCs/>
          <w:color w:val="auto"/>
          <w:kern w:val="2"/>
          <w:sz w:val="32"/>
          <w:szCs w:val="32"/>
          <w:highlight w:val="none"/>
          <w:lang w:val="zh-CN" w:eastAsia="zh-CN" w:bidi="ar-SA"/>
        </w:rPr>
        <w:t>四、</w:t>
      </w:r>
      <w:bookmarkEnd w:id="151"/>
      <w:r>
        <w:rPr>
          <w:rFonts w:hint="eastAsia" w:ascii="宋体" w:hAnsi="宋体" w:eastAsia="宋体" w:cs="宋体"/>
          <w:b/>
          <w:bCs/>
          <w:color w:val="auto"/>
          <w:kern w:val="2"/>
          <w:sz w:val="32"/>
          <w:szCs w:val="32"/>
          <w:highlight w:val="none"/>
          <w:lang w:val="en-US" w:eastAsia="zh-CN" w:bidi="ar-SA"/>
        </w:rPr>
        <w:t>商务</w:t>
      </w:r>
      <w:r>
        <w:rPr>
          <w:rFonts w:hint="eastAsia" w:ascii="宋体" w:hAnsi="宋体" w:cs="宋体"/>
          <w:b/>
          <w:bCs/>
          <w:color w:val="auto"/>
          <w:kern w:val="2"/>
          <w:sz w:val="32"/>
          <w:szCs w:val="32"/>
          <w:highlight w:val="none"/>
          <w:lang w:val="en-US" w:eastAsia="zh-CN" w:bidi="ar-SA"/>
        </w:rPr>
        <w:t>、技术</w:t>
      </w:r>
      <w:r>
        <w:rPr>
          <w:rFonts w:hint="eastAsia" w:ascii="宋体" w:hAnsi="宋体" w:eastAsia="宋体" w:cs="宋体"/>
          <w:b/>
          <w:bCs/>
          <w:color w:val="auto"/>
          <w:kern w:val="2"/>
          <w:sz w:val="32"/>
          <w:szCs w:val="32"/>
          <w:highlight w:val="none"/>
          <w:lang w:val="en-US" w:eastAsia="zh-CN" w:bidi="ar-SA"/>
        </w:rPr>
        <w:t>条款偏离表（格式）</w:t>
      </w:r>
    </w:p>
    <w:p w14:paraId="2B064E2D">
      <w:pPr>
        <w:adjustRightInd w:val="0"/>
        <w:snapToGrid w:val="0"/>
        <w:spacing w:line="300" w:lineRule="auto"/>
        <w:jc w:val="center"/>
        <w:outlineLvl w:val="0"/>
        <w:rPr>
          <w:rFonts w:hint="default" w:ascii="Times New Roman" w:hAnsi="Times New Roman" w:eastAsia="宋体" w:cs="Times New Roman"/>
          <w:b/>
          <w:bCs/>
          <w:sz w:val="32"/>
          <w:szCs w:val="32"/>
          <w:highlight w:val="none"/>
          <w:lang w:val="en-US" w:eastAsia="zh-CN"/>
        </w:rPr>
      </w:pPr>
      <w:r>
        <w:rPr>
          <w:rFonts w:hint="eastAsia" w:ascii="Times New Roman" w:hAnsi="Times New Roman" w:eastAsia="宋体" w:cs="Times New Roman"/>
          <w:b/>
          <w:bCs/>
          <w:sz w:val="32"/>
          <w:szCs w:val="32"/>
          <w:highlight w:val="none"/>
          <w:lang w:val="en-US" w:eastAsia="zh-CN"/>
        </w:rPr>
        <w:t>1.商务条款偏离表</w:t>
      </w:r>
    </w:p>
    <w:p w14:paraId="4007BFAE">
      <w:pPr>
        <w:pStyle w:val="13"/>
        <w:spacing w:line="360" w:lineRule="auto"/>
        <w:ind w:firstLine="480" w:firstLineChars="200"/>
        <w:outlineLvl w:val="0"/>
        <w:rPr>
          <w:rFonts w:hint="eastAsia" w:ascii="宋体" w:hAnsi="宋体" w:cs="宋体"/>
          <w:color w:val="auto"/>
          <w:szCs w:val="24"/>
          <w:highlight w:val="none"/>
        </w:rPr>
      </w:pPr>
      <w:bookmarkStart w:id="157" w:name="_Toc19999"/>
    </w:p>
    <w:p w14:paraId="1D10032A">
      <w:pPr>
        <w:pStyle w:val="13"/>
        <w:spacing w:line="360" w:lineRule="auto"/>
        <w:ind w:firstLine="480" w:firstLineChars="200"/>
        <w:outlineLvl w:val="0"/>
        <w:rPr>
          <w:rFonts w:hint="eastAsia" w:ascii="宋体" w:hAnsi="宋体" w:cs="宋体"/>
          <w:color w:val="auto"/>
          <w:szCs w:val="24"/>
          <w:highlight w:val="none"/>
        </w:rPr>
      </w:pPr>
      <w:r>
        <w:rPr>
          <w:rFonts w:hint="eastAsia" w:ascii="宋体" w:hAnsi="宋体" w:cs="宋体"/>
          <w:color w:val="auto"/>
          <w:szCs w:val="24"/>
          <w:highlight w:val="none"/>
        </w:rPr>
        <w:t>项目名称：</w:t>
      </w:r>
      <w:bookmarkEnd w:id="157"/>
    </w:p>
    <w:p w14:paraId="1F06367F">
      <w:pPr>
        <w:pStyle w:val="13"/>
        <w:spacing w:line="360" w:lineRule="auto"/>
        <w:ind w:firstLine="480" w:firstLineChars="200"/>
        <w:outlineLvl w:val="0"/>
        <w:rPr>
          <w:rFonts w:ascii="宋体" w:hAnsi="宋体" w:cs="宋体"/>
          <w:color w:val="auto"/>
          <w:szCs w:val="24"/>
          <w:highlight w:val="none"/>
        </w:rPr>
      </w:pPr>
      <w:bookmarkStart w:id="158" w:name="_Toc29686"/>
      <w:r>
        <w:rPr>
          <w:rFonts w:hint="eastAsia" w:ascii="宋体" w:hAnsi="宋体" w:cs="宋体"/>
          <w:color w:val="auto"/>
          <w:szCs w:val="24"/>
          <w:highlight w:val="none"/>
        </w:rPr>
        <w:t>项目编号：</w:t>
      </w:r>
      <w:bookmarkEnd w:id="158"/>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200"/>
        <w:gridCol w:w="2941"/>
        <w:gridCol w:w="3090"/>
        <w:gridCol w:w="888"/>
        <w:gridCol w:w="748"/>
      </w:tblGrid>
      <w:tr w14:paraId="35033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60" w:type="dxa"/>
            <w:vAlign w:val="center"/>
          </w:tcPr>
          <w:p w14:paraId="60611270">
            <w:pPr>
              <w:spacing w:line="360" w:lineRule="exact"/>
              <w:jc w:val="center"/>
              <w:outlineLvl w:val="0"/>
              <w:rPr>
                <w:rFonts w:ascii="宋体" w:hAnsi="宋体" w:cs="宋体"/>
                <w:color w:val="auto"/>
                <w:sz w:val="24"/>
                <w:highlight w:val="none"/>
              </w:rPr>
            </w:pPr>
            <w:bookmarkStart w:id="159" w:name="_Toc21923"/>
            <w:r>
              <w:rPr>
                <w:rFonts w:hint="eastAsia" w:ascii="宋体" w:hAnsi="宋体" w:cs="宋体"/>
                <w:color w:val="auto"/>
                <w:sz w:val="24"/>
                <w:highlight w:val="none"/>
              </w:rPr>
              <w:t>序号</w:t>
            </w:r>
            <w:bookmarkEnd w:id="159"/>
          </w:p>
        </w:tc>
        <w:tc>
          <w:tcPr>
            <w:tcW w:w="1200" w:type="dxa"/>
            <w:vAlign w:val="center"/>
          </w:tcPr>
          <w:p w14:paraId="2382224C">
            <w:pPr>
              <w:spacing w:line="360" w:lineRule="exact"/>
              <w:jc w:val="center"/>
              <w:outlineLvl w:val="0"/>
              <w:rPr>
                <w:rFonts w:ascii="宋体" w:hAnsi="宋体" w:cs="宋体"/>
                <w:color w:val="auto"/>
                <w:sz w:val="24"/>
                <w:highlight w:val="none"/>
              </w:rPr>
            </w:pPr>
            <w:bookmarkStart w:id="160" w:name="_Toc11124"/>
            <w:r>
              <w:rPr>
                <w:rFonts w:hint="eastAsia" w:ascii="宋体" w:hAnsi="宋体" w:cs="宋体"/>
                <w:color w:val="auto"/>
                <w:sz w:val="24"/>
                <w:highlight w:val="none"/>
              </w:rPr>
              <w:t>货物名称</w:t>
            </w:r>
            <w:bookmarkEnd w:id="160"/>
          </w:p>
        </w:tc>
        <w:tc>
          <w:tcPr>
            <w:tcW w:w="2941" w:type="dxa"/>
            <w:vAlign w:val="center"/>
          </w:tcPr>
          <w:p w14:paraId="0DD2DA13">
            <w:pPr>
              <w:spacing w:line="360" w:lineRule="exact"/>
              <w:jc w:val="center"/>
              <w:outlineLvl w:val="0"/>
              <w:rPr>
                <w:rFonts w:ascii="宋体" w:hAnsi="宋体" w:cs="宋体"/>
                <w:color w:val="auto"/>
                <w:sz w:val="24"/>
                <w:highlight w:val="none"/>
              </w:rPr>
            </w:pPr>
            <w:bookmarkStart w:id="161" w:name="_Toc7205"/>
            <w:r>
              <w:rPr>
                <w:rFonts w:hint="eastAsia" w:ascii="宋体" w:hAnsi="宋体" w:cs="宋体"/>
                <w:color w:val="auto"/>
                <w:sz w:val="24"/>
                <w:highlight w:val="none"/>
              </w:rPr>
              <w:t>招标文件规定的商务条款</w:t>
            </w:r>
            <w:bookmarkEnd w:id="161"/>
          </w:p>
        </w:tc>
        <w:tc>
          <w:tcPr>
            <w:tcW w:w="3090" w:type="dxa"/>
            <w:vAlign w:val="center"/>
          </w:tcPr>
          <w:p w14:paraId="47D8AB2B">
            <w:pPr>
              <w:spacing w:line="360" w:lineRule="exact"/>
              <w:jc w:val="center"/>
              <w:outlineLvl w:val="0"/>
              <w:rPr>
                <w:rFonts w:ascii="宋体" w:hAnsi="宋体" w:cs="宋体"/>
                <w:color w:val="auto"/>
                <w:sz w:val="24"/>
                <w:highlight w:val="none"/>
              </w:rPr>
            </w:pPr>
            <w:bookmarkStart w:id="162" w:name="_Toc2963"/>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对应的商务条款</w:t>
            </w:r>
            <w:bookmarkEnd w:id="162"/>
          </w:p>
        </w:tc>
        <w:tc>
          <w:tcPr>
            <w:tcW w:w="888" w:type="dxa"/>
            <w:vAlign w:val="center"/>
          </w:tcPr>
          <w:p w14:paraId="74745924">
            <w:pPr>
              <w:spacing w:line="360" w:lineRule="exact"/>
              <w:jc w:val="center"/>
              <w:outlineLvl w:val="0"/>
              <w:rPr>
                <w:rFonts w:ascii="宋体" w:hAnsi="宋体" w:cs="宋体"/>
                <w:color w:val="auto"/>
                <w:sz w:val="24"/>
                <w:highlight w:val="none"/>
              </w:rPr>
            </w:pPr>
            <w:bookmarkStart w:id="163" w:name="_Toc28921"/>
            <w:r>
              <w:rPr>
                <w:rFonts w:hint="eastAsia" w:ascii="宋体" w:hAnsi="宋体" w:cs="宋体"/>
                <w:color w:val="auto"/>
                <w:sz w:val="24"/>
                <w:highlight w:val="none"/>
              </w:rPr>
              <w:t>是否偏离</w:t>
            </w:r>
            <w:bookmarkEnd w:id="163"/>
          </w:p>
        </w:tc>
        <w:tc>
          <w:tcPr>
            <w:tcW w:w="748" w:type="dxa"/>
            <w:vAlign w:val="center"/>
          </w:tcPr>
          <w:p w14:paraId="24418F0D">
            <w:pPr>
              <w:spacing w:line="360" w:lineRule="exact"/>
              <w:jc w:val="center"/>
              <w:outlineLvl w:val="0"/>
              <w:rPr>
                <w:rFonts w:ascii="宋体" w:hAnsi="宋体" w:cs="宋体"/>
                <w:color w:val="auto"/>
                <w:sz w:val="24"/>
                <w:highlight w:val="none"/>
              </w:rPr>
            </w:pPr>
            <w:bookmarkStart w:id="164" w:name="_Toc32040"/>
            <w:r>
              <w:rPr>
                <w:rFonts w:hint="eastAsia" w:ascii="宋体" w:hAnsi="宋体" w:cs="宋体"/>
                <w:color w:val="auto"/>
                <w:sz w:val="24"/>
                <w:highlight w:val="none"/>
              </w:rPr>
              <w:t>备注</w:t>
            </w:r>
            <w:bookmarkEnd w:id="164"/>
          </w:p>
        </w:tc>
      </w:tr>
      <w:tr w14:paraId="5DD28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60" w:type="dxa"/>
          </w:tcPr>
          <w:p w14:paraId="64D594F9">
            <w:pPr>
              <w:spacing w:line="360" w:lineRule="exact"/>
              <w:outlineLvl w:val="0"/>
              <w:rPr>
                <w:rFonts w:ascii="宋体" w:hAnsi="宋体" w:cs="宋体"/>
                <w:color w:val="auto"/>
                <w:sz w:val="24"/>
                <w:highlight w:val="none"/>
              </w:rPr>
            </w:pPr>
          </w:p>
        </w:tc>
        <w:tc>
          <w:tcPr>
            <w:tcW w:w="1200" w:type="dxa"/>
          </w:tcPr>
          <w:p w14:paraId="0B785431">
            <w:pPr>
              <w:spacing w:line="360" w:lineRule="exact"/>
              <w:outlineLvl w:val="0"/>
              <w:rPr>
                <w:rFonts w:ascii="宋体" w:hAnsi="宋体" w:cs="宋体"/>
                <w:color w:val="auto"/>
                <w:sz w:val="24"/>
                <w:highlight w:val="none"/>
              </w:rPr>
            </w:pPr>
          </w:p>
        </w:tc>
        <w:tc>
          <w:tcPr>
            <w:tcW w:w="2941" w:type="dxa"/>
          </w:tcPr>
          <w:p w14:paraId="7805A69C">
            <w:pPr>
              <w:spacing w:line="360" w:lineRule="exact"/>
              <w:outlineLvl w:val="0"/>
              <w:rPr>
                <w:rFonts w:ascii="宋体" w:hAnsi="宋体" w:cs="宋体"/>
                <w:color w:val="auto"/>
                <w:sz w:val="24"/>
                <w:highlight w:val="none"/>
              </w:rPr>
            </w:pPr>
          </w:p>
        </w:tc>
        <w:tc>
          <w:tcPr>
            <w:tcW w:w="3090" w:type="dxa"/>
          </w:tcPr>
          <w:p w14:paraId="2D514527">
            <w:pPr>
              <w:spacing w:line="360" w:lineRule="exact"/>
              <w:outlineLvl w:val="0"/>
              <w:rPr>
                <w:rFonts w:ascii="宋体" w:hAnsi="宋体" w:cs="宋体"/>
                <w:color w:val="auto"/>
                <w:sz w:val="24"/>
                <w:highlight w:val="none"/>
              </w:rPr>
            </w:pPr>
          </w:p>
        </w:tc>
        <w:tc>
          <w:tcPr>
            <w:tcW w:w="888" w:type="dxa"/>
          </w:tcPr>
          <w:p w14:paraId="3D60BE9E">
            <w:pPr>
              <w:spacing w:line="360" w:lineRule="exact"/>
              <w:outlineLvl w:val="0"/>
              <w:rPr>
                <w:rFonts w:ascii="宋体" w:hAnsi="宋体" w:cs="宋体"/>
                <w:color w:val="auto"/>
                <w:sz w:val="24"/>
                <w:highlight w:val="none"/>
              </w:rPr>
            </w:pPr>
          </w:p>
        </w:tc>
        <w:tc>
          <w:tcPr>
            <w:tcW w:w="748" w:type="dxa"/>
          </w:tcPr>
          <w:p w14:paraId="7022CAFE">
            <w:pPr>
              <w:spacing w:line="360" w:lineRule="exact"/>
              <w:outlineLvl w:val="0"/>
              <w:rPr>
                <w:rFonts w:ascii="宋体" w:hAnsi="宋体" w:cs="宋体"/>
                <w:color w:val="auto"/>
                <w:sz w:val="24"/>
                <w:highlight w:val="none"/>
              </w:rPr>
            </w:pPr>
          </w:p>
        </w:tc>
      </w:tr>
      <w:tr w14:paraId="5B90E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60" w:type="dxa"/>
          </w:tcPr>
          <w:p w14:paraId="2CA10797">
            <w:pPr>
              <w:spacing w:line="360" w:lineRule="exact"/>
              <w:outlineLvl w:val="0"/>
              <w:rPr>
                <w:rFonts w:ascii="宋体" w:hAnsi="宋体" w:cs="宋体"/>
                <w:color w:val="auto"/>
                <w:sz w:val="24"/>
                <w:highlight w:val="none"/>
              </w:rPr>
            </w:pPr>
          </w:p>
        </w:tc>
        <w:tc>
          <w:tcPr>
            <w:tcW w:w="1200" w:type="dxa"/>
          </w:tcPr>
          <w:p w14:paraId="56B22B2A">
            <w:pPr>
              <w:spacing w:line="360" w:lineRule="exact"/>
              <w:outlineLvl w:val="0"/>
              <w:rPr>
                <w:rFonts w:ascii="宋体" w:hAnsi="宋体" w:cs="宋体"/>
                <w:color w:val="auto"/>
                <w:sz w:val="24"/>
                <w:highlight w:val="none"/>
              </w:rPr>
            </w:pPr>
          </w:p>
        </w:tc>
        <w:tc>
          <w:tcPr>
            <w:tcW w:w="2941" w:type="dxa"/>
          </w:tcPr>
          <w:p w14:paraId="5908F031">
            <w:pPr>
              <w:spacing w:line="360" w:lineRule="exact"/>
              <w:outlineLvl w:val="0"/>
              <w:rPr>
                <w:rFonts w:ascii="宋体" w:hAnsi="宋体" w:cs="宋体"/>
                <w:color w:val="auto"/>
                <w:sz w:val="24"/>
                <w:highlight w:val="none"/>
              </w:rPr>
            </w:pPr>
          </w:p>
        </w:tc>
        <w:tc>
          <w:tcPr>
            <w:tcW w:w="3090" w:type="dxa"/>
          </w:tcPr>
          <w:p w14:paraId="3D442EAD">
            <w:pPr>
              <w:spacing w:line="360" w:lineRule="exact"/>
              <w:outlineLvl w:val="0"/>
              <w:rPr>
                <w:rFonts w:ascii="宋体" w:hAnsi="宋体" w:cs="宋体"/>
                <w:color w:val="auto"/>
                <w:sz w:val="24"/>
                <w:highlight w:val="none"/>
              </w:rPr>
            </w:pPr>
          </w:p>
        </w:tc>
        <w:tc>
          <w:tcPr>
            <w:tcW w:w="888" w:type="dxa"/>
          </w:tcPr>
          <w:p w14:paraId="63CAA293">
            <w:pPr>
              <w:spacing w:line="360" w:lineRule="exact"/>
              <w:outlineLvl w:val="0"/>
              <w:rPr>
                <w:rFonts w:ascii="宋体" w:hAnsi="宋体" w:cs="宋体"/>
                <w:color w:val="auto"/>
                <w:sz w:val="24"/>
                <w:highlight w:val="none"/>
              </w:rPr>
            </w:pPr>
          </w:p>
        </w:tc>
        <w:tc>
          <w:tcPr>
            <w:tcW w:w="748" w:type="dxa"/>
          </w:tcPr>
          <w:p w14:paraId="0ED41BFD">
            <w:pPr>
              <w:spacing w:line="360" w:lineRule="exact"/>
              <w:outlineLvl w:val="0"/>
              <w:rPr>
                <w:rFonts w:ascii="宋体" w:hAnsi="宋体" w:cs="宋体"/>
                <w:color w:val="auto"/>
                <w:sz w:val="24"/>
                <w:highlight w:val="none"/>
              </w:rPr>
            </w:pPr>
          </w:p>
        </w:tc>
      </w:tr>
      <w:tr w14:paraId="09EA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60" w:type="dxa"/>
          </w:tcPr>
          <w:p w14:paraId="2350036E">
            <w:pPr>
              <w:spacing w:line="360" w:lineRule="exact"/>
              <w:outlineLvl w:val="0"/>
              <w:rPr>
                <w:rFonts w:ascii="宋体" w:hAnsi="宋体" w:cs="宋体"/>
                <w:color w:val="auto"/>
                <w:sz w:val="24"/>
                <w:highlight w:val="none"/>
              </w:rPr>
            </w:pPr>
          </w:p>
        </w:tc>
        <w:tc>
          <w:tcPr>
            <w:tcW w:w="1200" w:type="dxa"/>
          </w:tcPr>
          <w:p w14:paraId="65D89C60">
            <w:pPr>
              <w:spacing w:line="360" w:lineRule="exact"/>
              <w:outlineLvl w:val="0"/>
              <w:rPr>
                <w:rFonts w:ascii="宋体" w:hAnsi="宋体" w:cs="宋体"/>
                <w:color w:val="auto"/>
                <w:sz w:val="24"/>
                <w:highlight w:val="none"/>
              </w:rPr>
            </w:pPr>
          </w:p>
        </w:tc>
        <w:tc>
          <w:tcPr>
            <w:tcW w:w="2941" w:type="dxa"/>
          </w:tcPr>
          <w:p w14:paraId="0B49D90F">
            <w:pPr>
              <w:spacing w:line="360" w:lineRule="exact"/>
              <w:outlineLvl w:val="0"/>
              <w:rPr>
                <w:rFonts w:ascii="宋体" w:hAnsi="宋体" w:cs="宋体"/>
                <w:color w:val="auto"/>
                <w:sz w:val="24"/>
                <w:highlight w:val="none"/>
              </w:rPr>
            </w:pPr>
          </w:p>
        </w:tc>
        <w:tc>
          <w:tcPr>
            <w:tcW w:w="3090" w:type="dxa"/>
          </w:tcPr>
          <w:p w14:paraId="55241DC6">
            <w:pPr>
              <w:spacing w:line="360" w:lineRule="exact"/>
              <w:outlineLvl w:val="0"/>
              <w:rPr>
                <w:rFonts w:ascii="宋体" w:hAnsi="宋体" w:cs="宋体"/>
                <w:color w:val="auto"/>
                <w:sz w:val="24"/>
                <w:highlight w:val="none"/>
              </w:rPr>
            </w:pPr>
          </w:p>
        </w:tc>
        <w:tc>
          <w:tcPr>
            <w:tcW w:w="888" w:type="dxa"/>
          </w:tcPr>
          <w:p w14:paraId="27D63018">
            <w:pPr>
              <w:spacing w:line="360" w:lineRule="exact"/>
              <w:outlineLvl w:val="0"/>
              <w:rPr>
                <w:rFonts w:ascii="宋体" w:hAnsi="宋体" w:cs="宋体"/>
                <w:color w:val="auto"/>
                <w:sz w:val="24"/>
                <w:highlight w:val="none"/>
              </w:rPr>
            </w:pPr>
          </w:p>
        </w:tc>
        <w:tc>
          <w:tcPr>
            <w:tcW w:w="748" w:type="dxa"/>
          </w:tcPr>
          <w:p w14:paraId="775BF28A">
            <w:pPr>
              <w:spacing w:line="360" w:lineRule="exact"/>
              <w:outlineLvl w:val="0"/>
              <w:rPr>
                <w:rFonts w:ascii="宋体" w:hAnsi="宋体" w:cs="宋体"/>
                <w:color w:val="auto"/>
                <w:sz w:val="24"/>
                <w:highlight w:val="none"/>
              </w:rPr>
            </w:pPr>
          </w:p>
        </w:tc>
      </w:tr>
    </w:tbl>
    <w:p w14:paraId="07D505F2">
      <w:pPr>
        <w:spacing w:line="360" w:lineRule="auto"/>
        <w:rPr>
          <w:rFonts w:ascii="宋体" w:hAnsi="宋体" w:cs="宋体"/>
          <w:color w:val="auto"/>
          <w:sz w:val="24"/>
          <w:highlight w:val="none"/>
        </w:rPr>
      </w:pPr>
      <w:r>
        <w:rPr>
          <w:rFonts w:hint="eastAsia" w:ascii="宋体" w:hAnsi="宋体" w:cs="宋体"/>
          <w:color w:val="auto"/>
          <w:sz w:val="24"/>
          <w:highlight w:val="none"/>
        </w:rPr>
        <w:t>说明：</w:t>
      </w:r>
    </w:p>
    <w:p w14:paraId="08F8DA4D">
      <w:pPr>
        <w:pStyle w:val="8"/>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1.商务条款均应根据</w:t>
      </w:r>
      <w:r>
        <w:rPr>
          <w:rFonts w:hint="eastAsia" w:cs="宋体"/>
          <w:color w:val="auto"/>
          <w:sz w:val="24"/>
          <w:highlight w:val="none"/>
          <w:lang w:eastAsia="zh-CN"/>
        </w:rPr>
        <w:t>响应文件</w:t>
      </w:r>
      <w:r>
        <w:rPr>
          <w:rFonts w:hint="eastAsia" w:ascii="宋体" w:hAnsi="宋体" w:eastAsia="宋体" w:cs="宋体"/>
          <w:color w:val="auto"/>
          <w:sz w:val="24"/>
          <w:highlight w:val="none"/>
        </w:rPr>
        <w:t>对招标文件的偏离情况相对应地填列。</w:t>
      </w:r>
    </w:p>
    <w:p w14:paraId="2C611C82">
      <w:pPr>
        <w:pStyle w:val="8"/>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2.商务条款可填写</w:t>
      </w:r>
      <w:r>
        <w:rPr>
          <w:rFonts w:hint="eastAsia" w:ascii="宋体" w:hAnsi="宋体" w:eastAsia="宋体" w:cs="宋体"/>
          <w:b/>
          <w:bCs/>
          <w:color w:val="auto"/>
          <w:sz w:val="24"/>
          <w:highlight w:val="none"/>
        </w:rPr>
        <w:t>付款条件、交货时间、交货方式</w:t>
      </w:r>
      <w:r>
        <w:rPr>
          <w:rFonts w:hint="eastAsia" w:ascii="宋体" w:hAnsi="宋体" w:eastAsia="宋体" w:cs="宋体"/>
          <w:color w:val="auto"/>
          <w:sz w:val="24"/>
          <w:highlight w:val="none"/>
        </w:rPr>
        <w:t>等重要条款方面的偏离情况，但不限于以上条款。</w:t>
      </w:r>
    </w:p>
    <w:p w14:paraId="4062DAE3">
      <w:pPr>
        <w:spacing w:line="360" w:lineRule="auto"/>
        <w:ind w:firstLine="480" w:firstLineChars="200"/>
        <w:outlineLvl w:val="0"/>
        <w:rPr>
          <w:rFonts w:ascii="宋体" w:hAnsi="宋体" w:cs="宋体"/>
          <w:color w:val="auto"/>
          <w:sz w:val="24"/>
          <w:highlight w:val="none"/>
        </w:rPr>
      </w:pPr>
      <w:bookmarkStart w:id="165" w:name="_Toc23843"/>
      <w:r>
        <w:rPr>
          <w:rFonts w:hint="eastAsia" w:ascii="宋体" w:hAnsi="宋体" w:cs="宋体"/>
          <w:color w:val="auto"/>
          <w:sz w:val="24"/>
          <w:highlight w:val="none"/>
          <w:lang w:val="en-US" w:eastAsia="zh-CN"/>
        </w:rPr>
        <w:t>3</w:t>
      </w:r>
      <w:r>
        <w:rPr>
          <w:rFonts w:hint="eastAsia" w:ascii="宋体" w:hAnsi="宋体" w:cs="宋体"/>
          <w:color w:val="auto"/>
          <w:sz w:val="24"/>
          <w:highlight w:val="none"/>
        </w:rPr>
        <w:t>.如“是否偏离”填写是，</w:t>
      </w:r>
      <w:r>
        <w:rPr>
          <w:rFonts w:hint="eastAsia" w:ascii="宋体" w:hAnsi="宋体" w:cs="宋体"/>
          <w:color w:val="auto"/>
          <w:sz w:val="24"/>
          <w:highlight w:val="none"/>
          <w:lang w:eastAsia="zh-CN"/>
        </w:rPr>
        <w:t>需</w:t>
      </w:r>
      <w:r>
        <w:rPr>
          <w:rFonts w:hint="eastAsia" w:ascii="宋体" w:hAnsi="宋体" w:cs="宋体"/>
          <w:color w:val="auto"/>
          <w:sz w:val="24"/>
          <w:highlight w:val="none"/>
        </w:rPr>
        <w:t>在备注栏须</w:t>
      </w:r>
      <w:r>
        <w:rPr>
          <w:rFonts w:hint="eastAsia" w:ascii="宋体" w:hAnsi="宋体" w:cs="宋体"/>
          <w:color w:val="auto"/>
          <w:sz w:val="24"/>
          <w:highlight w:val="none"/>
          <w:lang w:eastAsia="zh-CN"/>
        </w:rPr>
        <w:t>明确</w:t>
      </w:r>
      <w:r>
        <w:rPr>
          <w:rFonts w:hint="eastAsia" w:ascii="宋体" w:hAnsi="宋体" w:cs="宋体"/>
          <w:color w:val="auto"/>
          <w:sz w:val="24"/>
          <w:highlight w:val="none"/>
        </w:rPr>
        <w:t>正偏离或负偏离</w:t>
      </w:r>
      <w:r>
        <w:rPr>
          <w:rFonts w:hint="eastAsia" w:ascii="宋体" w:hAnsi="宋体" w:cs="宋体"/>
          <w:color w:val="auto"/>
          <w:sz w:val="24"/>
          <w:highlight w:val="none"/>
          <w:lang w:eastAsia="zh-CN"/>
        </w:rPr>
        <w:t>；</w:t>
      </w:r>
      <w:r>
        <w:rPr>
          <w:rFonts w:hint="eastAsia" w:ascii="宋体" w:hAnsi="宋体" w:cs="宋体"/>
          <w:color w:val="auto"/>
          <w:sz w:val="24"/>
          <w:highlight w:val="none"/>
        </w:rPr>
        <w:t>如“是否偏离”填否</w:t>
      </w:r>
      <w:r>
        <w:rPr>
          <w:rFonts w:hint="eastAsia" w:ascii="宋体" w:hAnsi="宋体" w:cs="宋体"/>
          <w:color w:val="auto"/>
          <w:sz w:val="24"/>
          <w:highlight w:val="none"/>
          <w:lang w:eastAsia="zh-CN"/>
        </w:rPr>
        <w:t>，</w:t>
      </w:r>
      <w:r>
        <w:rPr>
          <w:rFonts w:hint="eastAsia" w:ascii="宋体" w:hAnsi="宋体" w:cs="宋体"/>
          <w:color w:val="auto"/>
          <w:sz w:val="24"/>
          <w:highlight w:val="none"/>
        </w:rPr>
        <w:t>备注栏填写无。</w:t>
      </w:r>
      <w:bookmarkEnd w:id="165"/>
    </w:p>
    <w:p w14:paraId="55FEC3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.表内如果填列不全，可另外附页说明并按规定签字和加盖公章。</w:t>
      </w:r>
    </w:p>
    <w:p w14:paraId="57E76CD3">
      <w:pPr>
        <w:spacing w:line="360" w:lineRule="auto"/>
        <w:ind w:firstLine="480" w:firstLineChars="200"/>
        <w:outlineLvl w:val="0"/>
        <w:rPr>
          <w:rFonts w:hint="eastAsia" w:ascii="宋体" w:hAnsi="宋体" w:cs="宋体"/>
          <w:color w:val="auto"/>
          <w:sz w:val="24"/>
          <w:highlight w:val="none"/>
        </w:rPr>
      </w:pPr>
      <w:bookmarkStart w:id="166" w:name="_Toc17035"/>
      <w:r>
        <w:rPr>
          <w:rFonts w:hint="eastAsia" w:ascii="宋体" w:hAnsi="宋体" w:cs="宋体"/>
          <w:color w:val="auto"/>
          <w:sz w:val="24"/>
          <w:highlight w:val="none"/>
          <w:lang w:val="en-US" w:eastAsia="zh-CN"/>
        </w:rPr>
        <w:t>5</w:t>
      </w:r>
      <w:r>
        <w:rPr>
          <w:rFonts w:hint="eastAsia" w:ascii="宋体" w:hAnsi="宋体" w:cs="宋体"/>
          <w:color w:val="auto"/>
          <w:sz w:val="24"/>
          <w:highlight w:val="none"/>
        </w:rPr>
        <w:t>.此表可根据需要自行拉长加宽。</w:t>
      </w:r>
      <w:bookmarkEnd w:id="166"/>
    </w:p>
    <w:p w14:paraId="6074FD8D">
      <w:pPr>
        <w:spacing w:line="360" w:lineRule="auto"/>
        <w:ind w:firstLine="480" w:firstLineChars="200"/>
        <w:outlineLvl w:val="0"/>
        <w:rPr>
          <w:rFonts w:ascii="宋体" w:hAnsi="宋体" w:cs="宋体"/>
          <w:color w:val="auto"/>
          <w:sz w:val="24"/>
          <w:highlight w:val="none"/>
        </w:rPr>
      </w:pPr>
    </w:p>
    <w:p w14:paraId="736918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全称（公章）：</w:t>
      </w:r>
    </w:p>
    <w:p w14:paraId="4D43D5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单位负责人或授权代理人（签字）：</w:t>
      </w:r>
    </w:p>
    <w:p w14:paraId="4313C4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时间：年月日</w:t>
      </w:r>
    </w:p>
    <w:p w14:paraId="7D46B6DF">
      <w:pPr>
        <w:pStyle w:val="13"/>
        <w:spacing w:line="360" w:lineRule="auto"/>
        <w:outlineLvl w:val="0"/>
        <w:rPr>
          <w:rFonts w:ascii="宋体" w:hAnsi="宋体" w:cs="宋体"/>
          <w:color w:val="auto"/>
          <w:szCs w:val="24"/>
          <w:highlight w:val="none"/>
        </w:rPr>
        <w:sectPr>
          <w:pgSz w:w="11906" w:h="16838"/>
          <w:pgMar w:top="1361" w:right="1304" w:bottom="1247" w:left="1304" w:header="680" w:footer="680" w:gutter="0"/>
          <w:pgBorders>
            <w:top w:val="none" w:sz="0" w:space="0"/>
            <w:left w:val="none" w:sz="0" w:space="0"/>
            <w:bottom w:val="none" w:sz="0" w:space="0"/>
            <w:right w:val="none" w:sz="0" w:space="0"/>
          </w:pgBorders>
          <w:pgNumType w:fmt="decimal"/>
          <w:cols w:space="720" w:num="1"/>
          <w:docGrid w:linePitch="312" w:charSpace="0"/>
        </w:sectPr>
      </w:pPr>
    </w:p>
    <w:bookmarkEnd w:id="152"/>
    <w:bookmarkEnd w:id="153"/>
    <w:bookmarkEnd w:id="154"/>
    <w:bookmarkEnd w:id="155"/>
    <w:bookmarkEnd w:id="156"/>
    <w:p w14:paraId="417DD869">
      <w:pPr>
        <w:adjustRightInd w:val="0"/>
        <w:snapToGrid w:val="0"/>
        <w:spacing w:line="300" w:lineRule="auto"/>
        <w:jc w:val="center"/>
        <w:outlineLvl w:val="0"/>
        <w:rPr>
          <w:b/>
          <w:bCs/>
          <w:sz w:val="32"/>
          <w:szCs w:val="32"/>
          <w:highlight w:val="none"/>
          <w:lang w:eastAsia="zh-CN"/>
        </w:rPr>
      </w:pPr>
      <w:bookmarkStart w:id="167" w:name="_Toc350070708"/>
      <w:bookmarkStart w:id="168" w:name="_Toc409424360"/>
      <w:bookmarkStart w:id="169" w:name="_Toc3115"/>
      <w:bookmarkStart w:id="170" w:name="_Toc2426"/>
      <w:bookmarkStart w:id="171" w:name="_Toc351644326"/>
      <w:bookmarkStart w:id="172" w:name="_Toc409424421"/>
      <w:bookmarkStart w:id="173" w:name="_Toc468267493"/>
      <w:r>
        <w:rPr>
          <w:rFonts w:hint="eastAsia"/>
          <w:b/>
          <w:bCs/>
          <w:sz w:val="32"/>
          <w:szCs w:val="32"/>
          <w:highlight w:val="none"/>
          <w:lang w:eastAsia="zh-CN"/>
        </w:rPr>
        <w:t>2.技术规格偏离表</w:t>
      </w:r>
    </w:p>
    <w:p w14:paraId="7D13A6C8">
      <w:pPr>
        <w:adjustRightInd w:val="0"/>
        <w:snapToGrid w:val="0"/>
        <w:spacing w:line="300" w:lineRule="auto"/>
        <w:rPr>
          <w:sz w:val="24"/>
          <w:szCs w:val="24"/>
          <w:highlight w:val="none"/>
          <w:u w:val="single"/>
        </w:rPr>
      </w:pPr>
      <w:r>
        <w:rPr>
          <w:rFonts w:hint="eastAsia"/>
          <w:sz w:val="24"/>
          <w:szCs w:val="24"/>
          <w:highlight w:val="none"/>
        </w:rPr>
        <w:t xml:space="preserve">项目名称： </w:t>
      </w:r>
      <w:r>
        <w:rPr>
          <w:rFonts w:hint="eastAsia"/>
          <w:sz w:val="24"/>
          <w:szCs w:val="24"/>
          <w:highlight w:val="none"/>
          <w:u w:val="single"/>
        </w:rPr>
        <w:t xml:space="preserve">                       </w:t>
      </w:r>
    </w:p>
    <w:p w14:paraId="2AC8BE39">
      <w:pPr>
        <w:adjustRightInd w:val="0"/>
        <w:snapToGrid w:val="0"/>
        <w:spacing w:line="300" w:lineRule="auto"/>
        <w:rPr>
          <w:snapToGrid w:val="0"/>
          <w:sz w:val="24"/>
          <w:szCs w:val="24"/>
          <w:highlight w:val="none"/>
        </w:rPr>
      </w:pPr>
      <w:r>
        <w:rPr>
          <w:rFonts w:hint="eastAsia"/>
          <w:sz w:val="24"/>
          <w:szCs w:val="24"/>
          <w:highlight w:val="none"/>
          <w:lang w:eastAsia="zh-CN"/>
        </w:rPr>
        <w:t>项目</w:t>
      </w:r>
      <w:r>
        <w:rPr>
          <w:rFonts w:hint="eastAsia"/>
          <w:sz w:val="24"/>
          <w:szCs w:val="24"/>
          <w:highlight w:val="none"/>
        </w:rPr>
        <w:t>编号：</w:t>
      </w:r>
      <w:r>
        <w:rPr>
          <w:rFonts w:hint="eastAsia"/>
          <w:i/>
          <w:iCs/>
          <w:sz w:val="24"/>
          <w:szCs w:val="24"/>
          <w:highlight w:val="none"/>
        </w:rPr>
        <w:t xml:space="preserve"> </w:t>
      </w:r>
      <w:r>
        <w:rPr>
          <w:rFonts w:hint="eastAsia"/>
          <w:sz w:val="24"/>
          <w:szCs w:val="24"/>
          <w:highlight w:val="none"/>
          <w:u w:val="single"/>
        </w:rPr>
        <w:t xml:space="preserve">                       </w:t>
      </w:r>
    </w:p>
    <w:tbl>
      <w:tblPr>
        <w:tblStyle w:val="26"/>
        <w:tblW w:w="9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352"/>
        <w:gridCol w:w="2126"/>
        <w:gridCol w:w="1644"/>
        <w:gridCol w:w="2165"/>
      </w:tblGrid>
      <w:tr w14:paraId="7BA5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0" w:type="dxa"/>
            <w:vAlign w:val="center"/>
          </w:tcPr>
          <w:p w14:paraId="4D18607E">
            <w:pPr>
              <w:jc w:val="center"/>
              <w:rPr>
                <w:b/>
                <w:sz w:val="24"/>
                <w:szCs w:val="24"/>
                <w:highlight w:val="none"/>
              </w:rPr>
            </w:pPr>
            <w:r>
              <w:rPr>
                <w:rFonts w:hint="eastAsia"/>
                <w:b/>
                <w:sz w:val="24"/>
                <w:szCs w:val="24"/>
                <w:highlight w:val="none"/>
              </w:rPr>
              <w:t>序号</w:t>
            </w:r>
          </w:p>
        </w:tc>
        <w:tc>
          <w:tcPr>
            <w:tcW w:w="2352" w:type="dxa"/>
            <w:vAlign w:val="center"/>
          </w:tcPr>
          <w:p w14:paraId="52BC787F">
            <w:pPr>
              <w:jc w:val="center"/>
              <w:rPr>
                <w:b/>
                <w:sz w:val="24"/>
                <w:szCs w:val="24"/>
                <w:highlight w:val="none"/>
                <w:lang w:eastAsia="zh-CN"/>
              </w:rPr>
            </w:pPr>
            <w:r>
              <w:rPr>
                <w:rFonts w:hint="eastAsia"/>
                <w:b/>
                <w:sz w:val="24"/>
                <w:szCs w:val="24"/>
                <w:highlight w:val="none"/>
                <w:lang w:eastAsia="zh-CN"/>
              </w:rPr>
              <w:t>名称</w:t>
            </w:r>
          </w:p>
        </w:tc>
        <w:tc>
          <w:tcPr>
            <w:tcW w:w="2126" w:type="dxa"/>
            <w:vAlign w:val="center"/>
          </w:tcPr>
          <w:p w14:paraId="049B49E2">
            <w:pPr>
              <w:jc w:val="center"/>
              <w:rPr>
                <w:b/>
                <w:sz w:val="24"/>
                <w:szCs w:val="24"/>
                <w:highlight w:val="none"/>
              </w:rPr>
            </w:pPr>
            <w:r>
              <w:rPr>
                <w:rFonts w:hint="eastAsia"/>
                <w:b/>
                <w:sz w:val="24"/>
                <w:szCs w:val="24"/>
                <w:highlight w:val="none"/>
                <w:lang w:eastAsia="zh-CN"/>
              </w:rPr>
              <w:t>磋商</w:t>
            </w:r>
            <w:r>
              <w:rPr>
                <w:rFonts w:hint="eastAsia"/>
                <w:b/>
                <w:sz w:val="24"/>
                <w:szCs w:val="24"/>
                <w:highlight w:val="none"/>
              </w:rPr>
              <w:t>文件要求</w:t>
            </w:r>
          </w:p>
        </w:tc>
        <w:tc>
          <w:tcPr>
            <w:tcW w:w="1644" w:type="dxa"/>
            <w:vAlign w:val="center"/>
          </w:tcPr>
          <w:p w14:paraId="07FFBCE1">
            <w:pPr>
              <w:jc w:val="center"/>
              <w:rPr>
                <w:b/>
                <w:sz w:val="24"/>
                <w:szCs w:val="24"/>
                <w:highlight w:val="none"/>
              </w:rPr>
            </w:pPr>
            <w:r>
              <w:rPr>
                <w:rFonts w:hint="eastAsia"/>
                <w:b/>
                <w:bCs/>
                <w:sz w:val="24"/>
                <w:szCs w:val="24"/>
                <w:highlight w:val="none"/>
                <w:lang w:eastAsia="zh-CN"/>
              </w:rPr>
              <w:t>响应</w:t>
            </w:r>
            <w:r>
              <w:rPr>
                <w:rFonts w:hint="eastAsia"/>
                <w:b/>
                <w:bCs/>
                <w:sz w:val="24"/>
                <w:szCs w:val="24"/>
                <w:highlight w:val="none"/>
              </w:rPr>
              <w:t>文件内容</w:t>
            </w:r>
          </w:p>
        </w:tc>
        <w:tc>
          <w:tcPr>
            <w:tcW w:w="2165" w:type="dxa"/>
            <w:vAlign w:val="center"/>
          </w:tcPr>
          <w:p w14:paraId="5B09AE2E">
            <w:pPr>
              <w:ind w:left="335" w:hanging="335" w:hangingChars="139"/>
              <w:jc w:val="center"/>
              <w:rPr>
                <w:b/>
                <w:sz w:val="24"/>
                <w:szCs w:val="24"/>
                <w:highlight w:val="none"/>
              </w:rPr>
            </w:pPr>
            <w:r>
              <w:rPr>
                <w:rFonts w:hint="eastAsia"/>
                <w:b/>
                <w:sz w:val="24"/>
                <w:szCs w:val="24"/>
                <w:highlight w:val="none"/>
              </w:rPr>
              <w:t>偏离情况</w:t>
            </w:r>
          </w:p>
        </w:tc>
      </w:tr>
      <w:tr w14:paraId="57D8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20" w:type="dxa"/>
            <w:vAlign w:val="center"/>
          </w:tcPr>
          <w:p w14:paraId="1DB20D3A">
            <w:pPr>
              <w:spacing w:line="360" w:lineRule="auto"/>
              <w:jc w:val="center"/>
              <w:rPr>
                <w:sz w:val="24"/>
                <w:szCs w:val="24"/>
                <w:highlight w:val="none"/>
              </w:rPr>
            </w:pPr>
          </w:p>
        </w:tc>
        <w:tc>
          <w:tcPr>
            <w:tcW w:w="2352" w:type="dxa"/>
            <w:vAlign w:val="center"/>
          </w:tcPr>
          <w:p w14:paraId="0896080F">
            <w:pPr>
              <w:spacing w:line="360" w:lineRule="auto"/>
              <w:jc w:val="center"/>
              <w:rPr>
                <w:sz w:val="24"/>
                <w:szCs w:val="24"/>
                <w:highlight w:val="none"/>
              </w:rPr>
            </w:pPr>
          </w:p>
        </w:tc>
        <w:tc>
          <w:tcPr>
            <w:tcW w:w="2126" w:type="dxa"/>
            <w:vAlign w:val="center"/>
          </w:tcPr>
          <w:p w14:paraId="2C919BB1">
            <w:pPr>
              <w:spacing w:line="360" w:lineRule="auto"/>
              <w:jc w:val="center"/>
              <w:rPr>
                <w:sz w:val="24"/>
                <w:szCs w:val="24"/>
                <w:highlight w:val="none"/>
              </w:rPr>
            </w:pPr>
          </w:p>
        </w:tc>
        <w:tc>
          <w:tcPr>
            <w:tcW w:w="1644" w:type="dxa"/>
            <w:vAlign w:val="center"/>
          </w:tcPr>
          <w:p w14:paraId="5AA814B5">
            <w:pPr>
              <w:spacing w:line="360" w:lineRule="auto"/>
              <w:jc w:val="center"/>
              <w:rPr>
                <w:sz w:val="24"/>
                <w:szCs w:val="24"/>
                <w:highlight w:val="none"/>
              </w:rPr>
            </w:pPr>
          </w:p>
        </w:tc>
        <w:tc>
          <w:tcPr>
            <w:tcW w:w="2165" w:type="dxa"/>
            <w:vAlign w:val="center"/>
          </w:tcPr>
          <w:p w14:paraId="548C4245">
            <w:pPr>
              <w:spacing w:line="360" w:lineRule="auto"/>
              <w:jc w:val="center"/>
              <w:rPr>
                <w:sz w:val="24"/>
                <w:szCs w:val="24"/>
                <w:highlight w:val="none"/>
              </w:rPr>
            </w:pPr>
          </w:p>
        </w:tc>
      </w:tr>
      <w:tr w14:paraId="60CA4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20" w:type="dxa"/>
            <w:vAlign w:val="center"/>
          </w:tcPr>
          <w:p w14:paraId="4B2E01CF">
            <w:pPr>
              <w:spacing w:line="360" w:lineRule="auto"/>
              <w:jc w:val="center"/>
              <w:rPr>
                <w:sz w:val="24"/>
                <w:szCs w:val="24"/>
                <w:highlight w:val="none"/>
              </w:rPr>
            </w:pPr>
          </w:p>
        </w:tc>
        <w:tc>
          <w:tcPr>
            <w:tcW w:w="2352" w:type="dxa"/>
            <w:vAlign w:val="center"/>
          </w:tcPr>
          <w:p w14:paraId="6609F6E8">
            <w:pPr>
              <w:spacing w:line="360" w:lineRule="auto"/>
              <w:jc w:val="center"/>
              <w:rPr>
                <w:sz w:val="24"/>
                <w:szCs w:val="24"/>
                <w:highlight w:val="none"/>
              </w:rPr>
            </w:pPr>
          </w:p>
        </w:tc>
        <w:tc>
          <w:tcPr>
            <w:tcW w:w="2126" w:type="dxa"/>
            <w:vAlign w:val="center"/>
          </w:tcPr>
          <w:p w14:paraId="03C0DBD0">
            <w:pPr>
              <w:spacing w:line="360" w:lineRule="auto"/>
              <w:jc w:val="center"/>
              <w:rPr>
                <w:sz w:val="24"/>
                <w:szCs w:val="24"/>
                <w:highlight w:val="none"/>
              </w:rPr>
            </w:pPr>
          </w:p>
        </w:tc>
        <w:tc>
          <w:tcPr>
            <w:tcW w:w="1644" w:type="dxa"/>
            <w:vAlign w:val="center"/>
          </w:tcPr>
          <w:p w14:paraId="08E771E5">
            <w:pPr>
              <w:spacing w:line="360" w:lineRule="auto"/>
              <w:jc w:val="center"/>
              <w:rPr>
                <w:sz w:val="24"/>
                <w:szCs w:val="24"/>
                <w:highlight w:val="none"/>
              </w:rPr>
            </w:pPr>
          </w:p>
        </w:tc>
        <w:tc>
          <w:tcPr>
            <w:tcW w:w="2165" w:type="dxa"/>
            <w:vAlign w:val="center"/>
          </w:tcPr>
          <w:p w14:paraId="6C6DD958">
            <w:pPr>
              <w:spacing w:line="360" w:lineRule="auto"/>
              <w:jc w:val="center"/>
              <w:rPr>
                <w:sz w:val="24"/>
                <w:szCs w:val="24"/>
                <w:highlight w:val="none"/>
              </w:rPr>
            </w:pPr>
          </w:p>
        </w:tc>
      </w:tr>
      <w:tr w14:paraId="4D291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20" w:type="dxa"/>
            <w:vAlign w:val="center"/>
          </w:tcPr>
          <w:p w14:paraId="58880265">
            <w:pPr>
              <w:spacing w:line="360" w:lineRule="auto"/>
              <w:jc w:val="center"/>
              <w:rPr>
                <w:sz w:val="24"/>
                <w:szCs w:val="24"/>
                <w:highlight w:val="none"/>
              </w:rPr>
            </w:pPr>
          </w:p>
        </w:tc>
        <w:tc>
          <w:tcPr>
            <w:tcW w:w="2352" w:type="dxa"/>
            <w:vAlign w:val="center"/>
          </w:tcPr>
          <w:p w14:paraId="4C78629D">
            <w:pPr>
              <w:spacing w:line="360" w:lineRule="auto"/>
              <w:jc w:val="center"/>
              <w:rPr>
                <w:sz w:val="24"/>
                <w:szCs w:val="24"/>
                <w:highlight w:val="none"/>
              </w:rPr>
            </w:pPr>
          </w:p>
        </w:tc>
        <w:tc>
          <w:tcPr>
            <w:tcW w:w="2126" w:type="dxa"/>
            <w:vAlign w:val="center"/>
          </w:tcPr>
          <w:p w14:paraId="4B10B9B8">
            <w:pPr>
              <w:spacing w:line="360" w:lineRule="auto"/>
              <w:jc w:val="center"/>
              <w:rPr>
                <w:sz w:val="24"/>
                <w:szCs w:val="24"/>
                <w:highlight w:val="none"/>
              </w:rPr>
            </w:pPr>
          </w:p>
        </w:tc>
        <w:tc>
          <w:tcPr>
            <w:tcW w:w="1644" w:type="dxa"/>
            <w:vAlign w:val="center"/>
          </w:tcPr>
          <w:p w14:paraId="0AB6688C">
            <w:pPr>
              <w:spacing w:line="360" w:lineRule="auto"/>
              <w:jc w:val="center"/>
              <w:rPr>
                <w:sz w:val="24"/>
                <w:szCs w:val="24"/>
                <w:highlight w:val="none"/>
              </w:rPr>
            </w:pPr>
          </w:p>
        </w:tc>
        <w:tc>
          <w:tcPr>
            <w:tcW w:w="2165" w:type="dxa"/>
            <w:vAlign w:val="center"/>
          </w:tcPr>
          <w:p w14:paraId="5E9A936F">
            <w:pPr>
              <w:spacing w:line="360" w:lineRule="auto"/>
              <w:jc w:val="center"/>
              <w:rPr>
                <w:sz w:val="24"/>
                <w:szCs w:val="24"/>
                <w:highlight w:val="none"/>
              </w:rPr>
            </w:pPr>
          </w:p>
        </w:tc>
      </w:tr>
      <w:tr w14:paraId="701A4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20" w:type="dxa"/>
            <w:vAlign w:val="center"/>
          </w:tcPr>
          <w:p w14:paraId="09DFFABD">
            <w:pPr>
              <w:spacing w:line="360" w:lineRule="auto"/>
              <w:jc w:val="center"/>
              <w:rPr>
                <w:sz w:val="24"/>
                <w:szCs w:val="24"/>
                <w:highlight w:val="none"/>
              </w:rPr>
            </w:pPr>
          </w:p>
        </w:tc>
        <w:tc>
          <w:tcPr>
            <w:tcW w:w="2352" w:type="dxa"/>
            <w:vAlign w:val="center"/>
          </w:tcPr>
          <w:p w14:paraId="13A28BB0">
            <w:pPr>
              <w:spacing w:line="360" w:lineRule="auto"/>
              <w:jc w:val="center"/>
              <w:rPr>
                <w:sz w:val="24"/>
                <w:szCs w:val="24"/>
                <w:highlight w:val="none"/>
              </w:rPr>
            </w:pPr>
          </w:p>
        </w:tc>
        <w:tc>
          <w:tcPr>
            <w:tcW w:w="2126" w:type="dxa"/>
            <w:vAlign w:val="center"/>
          </w:tcPr>
          <w:p w14:paraId="0EE380F7">
            <w:pPr>
              <w:spacing w:line="360" w:lineRule="auto"/>
              <w:jc w:val="center"/>
              <w:rPr>
                <w:sz w:val="24"/>
                <w:szCs w:val="24"/>
                <w:highlight w:val="none"/>
              </w:rPr>
            </w:pPr>
          </w:p>
        </w:tc>
        <w:tc>
          <w:tcPr>
            <w:tcW w:w="1644" w:type="dxa"/>
            <w:vAlign w:val="center"/>
          </w:tcPr>
          <w:p w14:paraId="62201938">
            <w:pPr>
              <w:spacing w:line="360" w:lineRule="auto"/>
              <w:jc w:val="center"/>
              <w:rPr>
                <w:sz w:val="24"/>
                <w:szCs w:val="24"/>
                <w:highlight w:val="none"/>
              </w:rPr>
            </w:pPr>
          </w:p>
        </w:tc>
        <w:tc>
          <w:tcPr>
            <w:tcW w:w="2165" w:type="dxa"/>
            <w:vAlign w:val="center"/>
          </w:tcPr>
          <w:p w14:paraId="07143C8E">
            <w:pPr>
              <w:spacing w:line="360" w:lineRule="auto"/>
              <w:jc w:val="center"/>
              <w:rPr>
                <w:sz w:val="24"/>
                <w:szCs w:val="24"/>
                <w:highlight w:val="none"/>
              </w:rPr>
            </w:pPr>
          </w:p>
        </w:tc>
      </w:tr>
      <w:tr w14:paraId="09A9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20" w:type="dxa"/>
            <w:vAlign w:val="center"/>
          </w:tcPr>
          <w:p w14:paraId="2F4D766B">
            <w:pPr>
              <w:spacing w:line="360" w:lineRule="auto"/>
              <w:jc w:val="center"/>
              <w:rPr>
                <w:sz w:val="24"/>
                <w:szCs w:val="24"/>
                <w:highlight w:val="none"/>
              </w:rPr>
            </w:pPr>
          </w:p>
        </w:tc>
        <w:tc>
          <w:tcPr>
            <w:tcW w:w="2352" w:type="dxa"/>
            <w:vAlign w:val="center"/>
          </w:tcPr>
          <w:p w14:paraId="5B3E9629">
            <w:pPr>
              <w:spacing w:line="360" w:lineRule="auto"/>
              <w:jc w:val="center"/>
              <w:rPr>
                <w:sz w:val="24"/>
                <w:szCs w:val="24"/>
                <w:highlight w:val="none"/>
              </w:rPr>
            </w:pPr>
          </w:p>
        </w:tc>
        <w:tc>
          <w:tcPr>
            <w:tcW w:w="2126" w:type="dxa"/>
            <w:vAlign w:val="center"/>
          </w:tcPr>
          <w:p w14:paraId="3A7CE9BF">
            <w:pPr>
              <w:spacing w:line="360" w:lineRule="auto"/>
              <w:jc w:val="center"/>
              <w:rPr>
                <w:sz w:val="24"/>
                <w:szCs w:val="24"/>
                <w:highlight w:val="none"/>
              </w:rPr>
            </w:pPr>
          </w:p>
        </w:tc>
        <w:tc>
          <w:tcPr>
            <w:tcW w:w="1644" w:type="dxa"/>
            <w:vAlign w:val="center"/>
          </w:tcPr>
          <w:p w14:paraId="678132A8">
            <w:pPr>
              <w:spacing w:line="360" w:lineRule="auto"/>
              <w:jc w:val="center"/>
              <w:rPr>
                <w:sz w:val="24"/>
                <w:szCs w:val="24"/>
                <w:highlight w:val="none"/>
              </w:rPr>
            </w:pPr>
          </w:p>
        </w:tc>
        <w:tc>
          <w:tcPr>
            <w:tcW w:w="2165" w:type="dxa"/>
            <w:vAlign w:val="center"/>
          </w:tcPr>
          <w:p w14:paraId="41359D1C">
            <w:pPr>
              <w:spacing w:line="360" w:lineRule="auto"/>
              <w:jc w:val="center"/>
              <w:rPr>
                <w:sz w:val="24"/>
                <w:szCs w:val="24"/>
                <w:highlight w:val="none"/>
              </w:rPr>
            </w:pPr>
          </w:p>
        </w:tc>
      </w:tr>
    </w:tbl>
    <w:p w14:paraId="38574F47">
      <w:pPr>
        <w:pStyle w:val="10"/>
        <w:snapToGrid w:val="0"/>
        <w:spacing w:line="300" w:lineRule="auto"/>
        <w:ind w:firstLine="0"/>
        <w:rPr>
          <w:snapToGrid w:val="0"/>
          <w:sz w:val="24"/>
          <w:szCs w:val="24"/>
          <w:highlight w:val="none"/>
        </w:rPr>
      </w:pPr>
    </w:p>
    <w:p w14:paraId="707D90B7">
      <w:pPr>
        <w:spacing w:beforeLines="50" w:line="288" w:lineRule="auto"/>
        <w:rPr>
          <w:sz w:val="24"/>
          <w:szCs w:val="24"/>
          <w:highlight w:val="none"/>
        </w:rPr>
      </w:pPr>
      <w:r>
        <w:rPr>
          <w:rFonts w:hint="eastAsia"/>
          <w:sz w:val="24"/>
          <w:szCs w:val="24"/>
          <w:highlight w:val="none"/>
        </w:rPr>
        <w:t>注明：</w:t>
      </w:r>
    </w:p>
    <w:p w14:paraId="06F0B8D6">
      <w:pPr>
        <w:pStyle w:val="69"/>
        <w:numPr>
          <w:ilvl w:val="0"/>
          <w:numId w:val="6"/>
        </w:numPr>
        <w:spacing w:line="288" w:lineRule="auto"/>
        <w:ind w:left="420" w:hanging="420"/>
        <w:rPr>
          <w:sz w:val="24"/>
          <w:szCs w:val="24"/>
          <w:highlight w:val="none"/>
        </w:rPr>
      </w:pPr>
      <w:r>
        <w:rPr>
          <w:rFonts w:hint="eastAsia"/>
          <w:bCs/>
          <w:sz w:val="24"/>
          <w:szCs w:val="24"/>
          <w:highlight w:val="none"/>
        </w:rPr>
        <w:t>偏离情况项填写“正</w:t>
      </w:r>
      <w:r>
        <w:rPr>
          <w:rFonts w:hint="eastAsia"/>
          <w:bCs/>
          <w:sz w:val="24"/>
          <w:szCs w:val="24"/>
          <w:highlight w:val="none"/>
          <w:lang w:eastAsia="zh-CN"/>
        </w:rPr>
        <w:t>偏离</w:t>
      </w:r>
      <w:r>
        <w:rPr>
          <w:rFonts w:hint="eastAsia"/>
          <w:bCs/>
          <w:sz w:val="24"/>
          <w:szCs w:val="24"/>
          <w:highlight w:val="none"/>
        </w:rPr>
        <w:t>”或“无</w:t>
      </w:r>
      <w:r>
        <w:rPr>
          <w:rFonts w:hint="eastAsia"/>
          <w:bCs/>
          <w:sz w:val="24"/>
          <w:szCs w:val="24"/>
          <w:highlight w:val="none"/>
          <w:lang w:eastAsia="zh-CN"/>
        </w:rPr>
        <w:t>偏离</w:t>
      </w:r>
      <w:r>
        <w:rPr>
          <w:rFonts w:hint="eastAsia"/>
          <w:bCs/>
          <w:sz w:val="24"/>
          <w:szCs w:val="24"/>
          <w:highlight w:val="none"/>
        </w:rPr>
        <w:t>”。</w:t>
      </w:r>
    </w:p>
    <w:p w14:paraId="538DC4F7">
      <w:pPr>
        <w:pStyle w:val="69"/>
        <w:numPr>
          <w:ilvl w:val="0"/>
          <w:numId w:val="6"/>
        </w:numPr>
        <w:spacing w:line="288" w:lineRule="auto"/>
        <w:ind w:left="420" w:hanging="420"/>
        <w:rPr>
          <w:bCs/>
          <w:sz w:val="24"/>
          <w:szCs w:val="24"/>
          <w:highlight w:val="none"/>
        </w:rPr>
      </w:pPr>
      <w:r>
        <w:rPr>
          <w:rFonts w:hint="eastAsia"/>
          <w:bCs/>
          <w:sz w:val="24"/>
          <w:szCs w:val="24"/>
          <w:highlight w:val="none"/>
        </w:rPr>
        <w:t>供应商应按照</w:t>
      </w:r>
      <w:r>
        <w:rPr>
          <w:rFonts w:hint="eastAsia"/>
          <w:bCs/>
          <w:sz w:val="24"/>
          <w:szCs w:val="24"/>
          <w:highlight w:val="none"/>
          <w:lang w:eastAsia="zh-CN"/>
        </w:rPr>
        <w:t>采购</w:t>
      </w:r>
      <w:r>
        <w:rPr>
          <w:rFonts w:hint="eastAsia"/>
          <w:bCs/>
          <w:sz w:val="24"/>
          <w:szCs w:val="24"/>
          <w:highlight w:val="none"/>
        </w:rPr>
        <w:t>文件要求，对响应有偏离的，</w:t>
      </w:r>
      <w:r>
        <w:rPr>
          <w:rFonts w:hint="eastAsia"/>
          <w:bCs/>
          <w:sz w:val="24"/>
          <w:szCs w:val="24"/>
          <w:highlight w:val="none"/>
          <w:lang w:eastAsia="zh-CN"/>
        </w:rPr>
        <w:t>说明</w:t>
      </w:r>
      <w:r>
        <w:rPr>
          <w:rFonts w:hint="eastAsia"/>
          <w:bCs/>
          <w:sz w:val="24"/>
          <w:szCs w:val="24"/>
          <w:highlight w:val="none"/>
        </w:rPr>
        <w:t>偏离的内容</w:t>
      </w:r>
      <w:r>
        <w:rPr>
          <w:rFonts w:hint="eastAsia"/>
          <w:bCs/>
          <w:sz w:val="24"/>
          <w:szCs w:val="24"/>
          <w:highlight w:val="none"/>
          <w:lang w:eastAsia="zh-CN"/>
        </w:rPr>
        <w:t>。</w:t>
      </w:r>
    </w:p>
    <w:p w14:paraId="6AA5E0C7">
      <w:pPr>
        <w:pStyle w:val="69"/>
        <w:numPr>
          <w:ilvl w:val="0"/>
          <w:numId w:val="6"/>
        </w:numPr>
        <w:spacing w:line="288" w:lineRule="auto"/>
        <w:ind w:left="420" w:hanging="420"/>
        <w:rPr>
          <w:bCs/>
          <w:sz w:val="24"/>
          <w:szCs w:val="24"/>
          <w:highlight w:val="none"/>
          <w:lang w:eastAsia="zh-CN"/>
        </w:rPr>
      </w:pPr>
      <w:r>
        <w:rPr>
          <w:rFonts w:hint="eastAsia"/>
          <w:bCs/>
          <w:sz w:val="24"/>
          <w:szCs w:val="24"/>
          <w:highlight w:val="none"/>
          <w:lang w:eastAsia="zh-CN"/>
        </w:rPr>
        <w:t>如在偏离情况中填写“正偏离”，</w:t>
      </w:r>
      <w:r>
        <w:rPr>
          <w:rFonts w:hint="eastAsia"/>
          <w:bCs/>
          <w:sz w:val="24"/>
          <w:szCs w:val="24"/>
          <w:highlight w:val="none"/>
        </w:rPr>
        <w:t>后附相关证明材料</w:t>
      </w:r>
      <w:r>
        <w:rPr>
          <w:rFonts w:hint="eastAsia"/>
          <w:bCs/>
          <w:sz w:val="24"/>
          <w:szCs w:val="24"/>
          <w:highlight w:val="none"/>
          <w:lang w:eastAsia="zh-CN"/>
        </w:rPr>
        <w:t>。</w:t>
      </w:r>
    </w:p>
    <w:p w14:paraId="34401884">
      <w:pPr>
        <w:pStyle w:val="10"/>
        <w:snapToGrid w:val="0"/>
        <w:spacing w:line="300" w:lineRule="auto"/>
        <w:ind w:firstLine="0"/>
        <w:rPr>
          <w:b/>
          <w:bCs/>
          <w:snapToGrid w:val="0"/>
          <w:sz w:val="24"/>
          <w:szCs w:val="24"/>
          <w:highlight w:val="none"/>
        </w:rPr>
      </w:pPr>
    </w:p>
    <w:p w14:paraId="344E701A">
      <w:pPr>
        <w:pStyle w:val="10"/>
        <w:snapToGrid w:val="0"/>
        <w:spacing w:line="300" w:lineRule="auto"/>
        <w:ind w:firstLine="0"/>
        <w:rPr>
          <w:b/>
          <w:bCs/>
          <w:snapToGrid w:val="0"/>
          <w:sz w:val="24"/>
          <w:szCs w:val="24"/>
          <w:highlight w:val="none"/>
        </w:rPr>
      </w:pPr>
    </w:p>
    <w:p w14:paraId="21A80772">
      <w:pPr>
        <w:rPr>
          <w:highlight w:val="none"/>
        </w:rPr>
      </w:pPr>
    </w:p>
    <w:p w14:paraId="76F81CAF">
      <w:pPr>
        <w:pStyle w:val="9"/>
        <w:tabs>
          <w:tab w:val="left" w:pos="7321"/>
        </w:tabs>
        <w:wordWrap w:val="0"/>
        <w:spacing w:before="36"/>
        <w:ind w:left="2701"/>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供应商</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r>
        <w:rPr>
          <w:rFonts w:hint="eastAsia"/>
          <w:sz w:val="24"/>
          <w:szCs w:val="24"/>
          <w:highlight w:val="none"/>
        </w:rPr>
        <w:t>盖公章</w:t>
      </w:r>
      <w:r>
        <w:rPr>
          <w:rFonts w:hint="eastAsia"/>
          <w:color w:val="000000" w:themeColor="text1"/>
          <w:sz w:val="24"/>
          <w:szCs w:val="24"/>
          <w:highlight w:val="none"/>
          <w14:textFill>
            <w14:solidFill>
              <w14:schemeClr w14:val="tx1"/>
            </w14:solidFill>
          </w14:textFill>
        </w:rPr>
        <w:t>）</w:t>
      </w:r>
    </w:p>
    <w:p w14:paraId="4E9655F9">
      <w:pPr>
        <w:pStyle w:val="9"/>
        <w:wordWrap w:val="0"/>
        <w:spacing w:before="12"/>
        <w:rPr>
          <w:color w:val="000000" w:themeColor="text1"/>
          <w:sz w:val="24"/>
          <w:szCs w:val="24"/>
          <w:highlight w:val="none"/>
          <w14:textFill>
            <w14:solidFill>
              <w14:schemeClr w14:val="tx1"/>
            </w14:solidFill>
          </w14:textFill>
        </w:rPr>
      </w:pPr>
    </w:p>
    <w:p w14:paraId="0E1CB71B">
      <w:pPr>
        <w:pStyle w:val="9"/>
        <w:tabs>
          <w:tab w:val="left" w:pos="6481"/>
        </w:tabs>
        <w:wordWrap w:val="0"/>
        <w:spacing w:before="37"/>
        <w:ind w:left="2701"/>
        <w:rPr>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法定代表人或其委托代理人：</w:t>
      </w:r>
      <w:r>
        <w:rPr>
          <w:rFonts w:hint="eastAsia"/>
          <w:color w:val="000000" w:themeColor="text1"/>
          <w:sz w:val="24"/>
          <w:szCs w:val="24"/>
          <w:highlight w:val="none"/>
          <w:u w:val="single"/>
          <w:lang w:eastAsia="zh-CN"/>
          <w14:textFill>
            <w14:solidFill>
              <w14:schemeClr w14:val="tx1"/>
            </w14:solidFill>
          </w14:textFill>
        </w:rPr>
        <w:t xml:space="preserve"> </w:t>
      </w:r>
      <w:r>
        <w:rPr>
          <w:rFonts w:hint="eastAsia"/>
          <w:color w:val="000000" w:themeColor="text1"/>
          <w:sz w:val="24"/>
          <w:szCs w:val="24"/>
          <w:highlight w:val="none"/>
          <w:u w:val="single"/>
          <w:lang w:eastAsia="zh-CN"/>
          <w14:textFill>
            <w14:solidFill>
              <w14:schemeClr w14:val="tx1"/>
            </w14:solidFill>
          </w14:textFill>
        </w:rPr>
        <w:tab/>
      </w:r>
      <w:r>
        <w:rPr>
          <w:rFonts w:hint="eastAsia"/>
          <w:color w:val="000000" w:themeColor="text1"/>
          <w:sz w:val="24"/>
          <w:szCs w:val="24"/>
          <w:highlight w:val="none"/>
          <w:lang w:eastAsia="zh-CN"/>
          <w14:textFill>
            <w14:solidFill>
              <w14:schemeClr w14:val="tx1"/>
            </w14:solidFill>
          </w14:textFill>
        </w:rPr>
        <w:t>（签字）</w:t>
      </w:r>
    </w:p>
    <w:p w14:paraId="65A38F2D">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2B7A94B0">
      <w:pPr>
        <w:pStyle w:val="3"/>
        <w:spacing w:before="0" w:after="0" w:line="300" w:lineRule="auto"/>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lang w:val="zh-CN" w:eastAsia="zh-CN"/>
        </w:rPr>
        <w:t>、资格审查资料</w:t>
      </w:r>
      <w:bookmarkEnd w:id="167"/>
      <w:bookmarkEnd w:id="168"/>
      <w:bookmarkEnd w:id="169"/>
      <w:bookmarkEnd w:id="170"/>
      <w:bookmarkEnd w:id="171"/>
      <w:bookmarkEnd w:id="172"/>
      <w:bookmarkEnd w:id="173"/>
    </w:p>
    <w:p w14:paraId="3F2A2C42">
      <w:pPr>
        <w:pStyle w:val="4"/>
        <w:spacing w:before="0" w:after="0" w:line="300" w:lineRule="auto"/>
        <w:jc w:val="center"/>
        <w:rPr>
          <w:rFonts w:hint="eastAsia" w:ascii="宋体" w:hAnsi="宋体" w:eastAsia="宋体" w:cs="宋体"/>
          <w:color w:val="auto"/>
          <w:highlight w:val="none"/>
        </w:rPr>
      </w:pPr>
      <w:bookmarkStart w:id="174" w:name="_Toc468267494"/>
      <w:bookmarkStart w:id="175" w:name="_Toc31143"/>
      <w:bookmarkStart w:id="176" w:name="_Toc17987"/>
      <w:bookmarkStart w:id="177" w:name="_Toc409424361"/>
      <w:bookmarkStart w:id="178" w:name="_Toc409424422"/>
      <w:r>
        <w:rPr>
          <w:rFonts w:hint="eastAsia" w:ascii="宋体" w:hAnsi="宋体" w:eastAsia="宋体" w:cs="宋体"/>
          <w:color w:val="auto"/>
          <w:highlight w:val="none"/>
        </w:rPr>
        <w:t>（一）</w:t>
      </w:r>
      <w:bookmarkEnd w:id="174"/>
      <w:r>
        <w:rPr>
          <w:rFonts w:hint="eastAsia" w:ascii="宋体" w:hAnsi="宋体" w:cs="宋体"/>
          <w:color w:val="auto"/>
          <w:highlight w:val="none"/>
          <w:lang w:eastAsia="zh-CN"/>
        </w:rPr>
        <w:t>供应商</w:t>
      </w:r>
      <w:r>
        <w:rPr>
          <w:rFonts w:hint="eastAsia" w:ascii="宋体" w:hAnsi="宋体" w:eastAsia="宋体" w:cs="宋体"/>
          <w:color w:val="auto"/>
          <w:highlight w:val="none"/>
        </w:rPr>
        <w:t>基本情况表</w:t>
      </w:r>
      <w:bookmarkEnd w:id="175"/>
      <w:bookmarkEnd w:id="176"/>
    </w:p>
    <w:bookmarkEnd w:id="177"/>
    <w:bookmarkEnd w:id="178"/>
    <w:tbl>
      <w:tblPr>
        <w:tblStyle w:val="26"/>
        <w:tblW w:w="8925"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3"/>
        <w:gridCol w:w="943"/>
        <w:gridCol w:w="2408"/>
        <w:gridCol w:w="1134"/>
        <w:gridCol w:w="2267"/>
      </w:tblGrid>
      <w:tr w14:paraId="4A2FC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174" w:type="dxa"/>
            <w:tcBorders>
              <w:top w:val="single" w:color="000000" w:sz="4" w:space="0"/>
              <w:left w:val="single" w:color="000000" w:sz="4" w:space="0"/>
              <w:bottom w:val="single" w:color="000000" w:sz="4" w:space="0"/>
              <w:right w:val="single" w:color="000000" w:sz="4" w:space="0"/>
            </w:tcBorders>
          </w:tcPr>
          <w:p w14:paraId="48B19AA3">
            <w:pPr>
              <w:pStyle w:val="67"/>
              <w:spacing w:before="107" w:line="240" w:lineRule="auto"/>
              <w:ind w:left="118" w:right="116"/>
              <w:jc w:val="center"/>
              <w:rPr>
                <w:rFonts w:hint="eastAsia" w:ascii="宋体" w:hAnsi="宋体" w:eastAsia="宋体" w:cs="宋体"/>
                <w:color w:val="auto"/>
                <w:sz w:val="24"/>
                <w:szCs w:val="24"/>
                <w:highlight w:val="none"/>
                <w:lang w:eastAsia="en-US"/>
              </w:rPr>
            </w:pP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名称</w:t>
            </w:r>
          </w:p>
        </w:tc>
        <w:tc>
          <w:tcPr>
            <w:tcW w:w="6758" w:type="dxa"/>
            <w:gridSpan w:val="4"/>
            <w:tcBorders>
              <w:top w:val="single" w:color="000000" w:sz="4" w:space="0"/>
              <w:left w:val="single" w:color="000000" w:sz="4" w:space="0"/>
              <w:bottom w:val="single" w:color="000000" w:sz="4" w:space="0"/>
              <w:right w:val="single" w:color="000000" w:sz="4" w:space="0"/>
            </w:tcBorders>
          </w:tcPr>
          <w:p w14:paraId="7937316B">
            <w:pPr>
              <w:spacing w:line="240" w:lineRule="auto"/>
              <w:rPr>
                <w:rFonts w:hint="eastAsia" w:ascii="宋体" w:hAnsi="宋体" w:eastAsia="宋体" w:cs="宋体"/>
                <w:color w:val="auto"/>
                <w:sz w:val="24"/>
                <w:szCs w:val="24"/>
                <w:highlight w:val="none"/>
                <w:lang w:eastAsia="en-US"/>
              </w:rPr>
            </w:pPr>
          </w:p>
        </w:tc>
      </w:tr>
      <w:tr w14:paraId="2A80C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174" w:type="dxa"/>
            <w:tcBorders>
              <w:top w:val="single" w:color="000000" w:sz="4" w:space="0"/>
              <w:left w:val="single" w:color="000000" w:sz="4" w:space="0"/>
              <w:bottom w:val="single" w:color="000000" w:sz="4" w:space="0"/>
              <w:right w:val="single" w:color="000000" w:sz="4" w:space="0"/>
            </w:tcBorders>
          </w:tcPr>
          <w:p w14:paraId="204FFADB">
            <w:pPr>
              <w:pStyle w:val="67"/>
              <w:spacing w:before="107" w:line="240" w:lineRule="auto"/>
              <w:ind w:left="116" w:right="116"/>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注册资金</w:t>
            </w:r>
          </w:p>
        </w:tc>
        <w:tc>
          <w:tcPr>
            <w:tcW w:w="3354" w:type="dxa"/>
            <w:gridSpan w:val="2"/>
            <w:tcBorders>
              <w:top w:val="single" w:color="000000" w:sz="4" w:space="0"/>
              <w:left w:val="single" w:color="000000" w:sz="4" w:space="0"/>
              <w:bottom w:val="single" w:color="000000" w:sz="4" w:space="0"/>
              <w:right w:val="single" w:color="000000" w:sz="4" w:space="0"/>
            </w:tcBorders>
          </w:tcPr>
          <w:p w14:paraId="7FA4C1F5">
            <w:pPr>
              <w:spacing w:line="240" w:lineRule="auto"/>
              <w:rPr>
                <w:rFonts w:hint="eastAsia" w:ascii="宋体" w:hAnsi="宋体" w:eastAsia="宋体" w:cs="宋体"/>
                <w:color w:val="auto"/>
                <w:sz w:val="24"/>
                <w:szCs w:val="24"/>
                <w:highlight w:val="none"/>
                <w:lang w:eastAsia="en-US"/>
              </w:rPr>
            </w:pPr>
          </w:p>
        </w:tc>
        <w:tc>
          <w:tcPr>
            <w:tcW w:w="1135" w:type="dxa"/>
            <w:tcBorders>
              <w:top w:val="single" w:color="000000" w:sz="4" w:space="0"/>
              <w:left w:val="single" w:color="000000" w:sz="4" w:space="0"/>
              <w:bottom w:val="single" w:color="000000" w:sz="4" w:space="0"/>
              <w:right w:val="single" w:color="000000" w:sz="4" w:space="0"/>
            </w:tcBorders>
          </w:tcPr>
          <w:p w14:paraId="34DF3D08">
            <w:pPr>
              <w:pStyle w:val="67"/>
              <w:spacing w:before="107" w:line="240" w:lineRule="auto"/>
              <w:ind w:left="122" w:right="122"/>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成立时间</w:t>
            </w:r>
          </w:p>
        </w:tc>
        <w:tc>
          <w:tcPr>
            <w:tcW w:w="2269" w:type="dxa"/>
            <w:tcBorders>
              <w:top w:val="single" w:color="000000" w:sz="4" w:space="0"/>
              <w:left w:val="single" w:color="000000" w:sz="4" w:space="0"/>
              <w:bottom w:val="single" w:color="000000" w:sz="4" w:space="0"/>
              <w:right w:val="single" w:color="000000" w:sz="4" w:space="0"/>
            </w:tcBorders>
          </w:tcPr>
          <w:p w14:paraId="26801E02">
            <w:pPr>
              <w:spacing w:line="240" w:lineRule="auto"/>
              <w:rPr>
                <w:rFonts w:hint="eastAsia" w:ascii="宋体" w:hAnsi="宋体" w:eastAsia="宋体" w:cs="宋体"/>
                <w:color w:val="auto"/>
                <w:sz w:val="24"/>
                <w:szCs w:val="24"/>
                <w:highlight w:val="none"/>
                <w:lang w:eastAsia="en-US"/>
              </w:rPr>
            </w:pPr>
          </w:p>
        </w:tc>
      </w:tr>
      <w:tr w14:paraId="590D1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174" w:type="dxa"/>
            <w:tcBorders>
              <w:top w:val="single" w:color="000000" w:sz="4" w:space="0"/>
              <w:left w:val="single" w:color="000000" w:sz="4" w:space="0"/>
              <w:bottom w:val="single" w:color="000000" w:sz="4" w:space="0"/>
              <w:right w:val="single" w:color="000000" w:sz="4" w:space="0"/>
            </w:tcBorders>
          </w:tcPr>
          <w:p w14:paraId="6F72FF06">
            <w:pPr>
              <w:pStyle w:val="67"/>
              <w:spacing w:before="107" w:line="240" w:lineRule="auto"/>
              <w:ind w:left="118" w:right="116"/>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注册地址</w:t>
            </w:r>
          </w:p>
        </w:tc>
        <w:tc>
          <w:tcPr>
            <w:tcW w:w="6758" w:type="dxa"/>
            <w:gridSpan w:val="4"/>
            <w:tcBorders>
              <w:top w:val="single" w:color="000000" w:sz="4" w:space="0"/>
              <w:left w:val="single" w:color="000000" w:sz="4" w:space="0"/>
              <w:bottom w:val="single" w:color="000000" w:sz="4" w:space="0"/>
              <w:right w:val="single" w:color="000000" w:sz="4" w:space="0"/>
            </w:tcBorders>
          </w:tcPr>
          <w:p w14:paraId="01F9C382">
            <w:pPr>
              <w:spacing w:line="240" w:lineRule="auto"/>
              <w:rPr>
                <w:rFonts w:hint="eastAsia" w:ascii="宋体" w:hAnsi="宋体" w:eastAsia="宋体" w:cs="宋体"/>
                <w:color w:val="auto"/>
                <w:sz w:val="24"/>
                <w:szCs w:val="24"/>
                <w:highlight w:val="none"/>
                <w:lang w:eastAsia="en-US"/>
              </w:rPr>
            </w:pPr>
          </w:p>
        </w:tc>
      </w:tr>
      <w:tr w14:paraId="4EA62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174" w:type="dxa"/>
            <w:tcBorders>
              <w:top w:val="single" w:color="000000" w:sz="4" w:space="0"/>
              <w:left w:val="single" w:color="000000" w:sz="4" w:space="0"/>
              <w:bottom w:val="single" w:color="000000" w:sz="4" w:space="0"/>
              <w:right w:val="single" w:color="000000" w:sz="4" w:space="0"/>
            </w:tcBorders>
          </w:tcPr>
          <w:p w14:paraId="4E39B0C4">
            <w:pPr>
              <w:pStyle w:val="67"/>
              <w:spacing w:before="108" w:line="240" w:lineRule="auto"/>
              <w:ind w:left="118" w:right="116"/>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邮政编码</w:t>
            </w:r>
          </w:p>
        </w:tc>
        <w:tc>
          <w:tcPr>
            <w:tcW w:w="3354" w:type="dxa"/>
            <w:gridSpan w:val="2"/>
            <w:tcBorders>
              <w:top w:val="single" w:color="000000" w:sz="4" w:space="0"/>
              <w:left w:val="single" w:color="000000" w:sz="4" w:space="0"/>
              <w:bottom w:val="single" w:color="000000" w:sz="4" w:space="0"/>
              <w:right w:val="single" w:color="000000" w:sz="4" w:space="0"/>
            </w:tcBorders>
          </w:tcPr>
          <w:p w14:paraId="3DF3A085">
            <w:pPr>
              <w:spacing w:line="240" w:lineRule="auto"/>
              <w:rPr>
                <w:rFonts w:hint="eastAsia" w:ascii="宋体" w:hAnsi="宋体" w:eastAsia="宋体" w:cs="宋体"/>
                <w:color w:val="auto"/>
                <w:sz w:val="24"/>
                <w:szCs w:val="24"/>
                <w:highlight w:val="none"/>
                <w:lang w:eastAsia="en-US"/>
              </w:rPr>
            </w:pPr>
          </w:p>
        </w:tc>
        <w:tc>
          <w:tcPr>
            <w:tcW w:w="1135" w:type="dxa"/>
            <w:tcBorders>
              <w:top w:val="single" w:color="000000" w:sz="4" w:space="0"/>
              <w:left w:val="single" w:color="000000" w:sz="4" w:space="0"/>
              <w:bottom w:val="single" w:color="000000" w:sz="4" w:space="0"/>
              <w:right w:val="single" w:color="000000" w:sz="4" w:space="0"/>
            </w:tcBorders>
          </w:tcPr>
          <w:p w14:paraId="2CF69FE6">
            <w:pPr>
              <w:pStyle w:val="67"/>
              <w:spacing w:before="108" w:line="240" w:lineRule="auto"/>
              <w:ind w:left="122" w:right="122"/>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员工总数</w:t>
            </w:r>
          </w:p>
        </w:tc>
        <w:tc>
          <w:tcPr>
            <w:tcW w:w="2269" w:type="dxa"/>
            <w:tcBorders>
              <w:top w:val="single" w:color="000000" w:sz="4" w:space="0"/>
              <w:left w:val="single" w:color="000000" w:sz="4" w:space="0"/>
              <w:bottom w:val="single" w:color="000000" w:sz="4" w:space="0"/>
              <w:right w:val="single" w:color="000000" w:sz="4" w:space="0"/>
            </w:tcBorders>
          </w:tcPr>
          <w:p w14:paraId="2A1E99D9">
            <w:pPr>
              <w:spacing w:line="240" w:lineRule="auto"/>
              <w:rPr>
                <w:rFonts w:hint="eastAsia" w:ascii="宋体" w:hAnsi="宋体" w:eastAsia="宋体" w:cs="宋体"/>
                <w:color w:val="auto"/>
                <w:sz w:val="24"/>
                <w:szCs w:val="24"/>
                <w:highlight w:val="none"/>
                <w:lang w:eastAsia="en-US"/>
              </w:rPr>
            </w:pPr>
          </w:p>
        </w:tc>
      </w:tr>
      <w:tr w14:paraId="019B7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174" w:type="dxa"/>
            <w:vMerge w:val="restart"/>
            <w:tcBorders>
              <w:top w:val="single" w:color="000000" w:sz="4" w:space="0"/>
              <w:left w:val="single" w:color="000000" w:sz="4" w:space="0"/>
              <w:bottom w:val="single" w:color="000000" w:sz="4" w:space="0"/>
              <w:right w:val="single" w:color="000000" w:sz="4" w:space="0"/>
            </w:tcBorders>
          </w:tcPr>
          <w:p w14:paraId="2CAF0281">
            <w:pPr>
              <w:pStyle w:val="67"/>
              <w:spacing w:before="5" w:line="240" w:lineRule="auto"/>
              <w:rPr>
                <w:rFonts w:hint="eastAsia" w:ascii="宋体" w:hAnsi="宋体" w:eastAsia="宋体" w:cs="宋体"/>
                <w:color w:val="auto"/>
                <w:sz w:val="24"/>
                <w:szCs w:val="24"/>
                <w:highlight w:val="none"/>
                <w:lang w:eastAsia="en-US"/>
              </w:rPr>
            </w:pPr>
          </w:p>
          <w:p w14:paraId="3A6AA13E">
            <w:pPr>
              <w:pStyle w:val="67"/>
              <w:spacing w:before="1" w:line="240" w:lineRule="auto"/>
              <w:ind w:left="662"/>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联系方式</w:t>
            </w:r>
          </w:p>
        </w:tc>
        <w:tc>
          <w:tcPr>
            <w:tcW w:w="944" w:type="dxa"/>
            <w:tcBorders>
              <w:top w:val="single" w:color="000000" w:sz="4" w:space="0"/>
              <w:left w:val="single" w:color="000000" w:sz="4" w:space="0"/>
              <w:bottom w:val="single" w:color="000000" w:sz="4" w:space="0"/>
              <w:right w:val="single" w:color="000000" w:sz="4" w:space="0"/>
            </w:tcBorders>
          </w:tcPr>
          <w:p w14:paraId="1B41C38C">
            <w:pPr>
              <w:pStyle w:val="67"/>
              <w:spacing w:before="107" w:line="240" w:lineRule="auto"/>
              <w:ind w:left="131" w:right="132"/>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联系人</w:t>
            </w:r>
          </w:p>
        </w:tc>
        <w:tc>
          <w:tcPr>
            <w:tcW w:w="2410" w:type="dxa"/>
            <w:tcBorders>
              <w:top w:val="single" w:color="000000" w:sz="4" w:space="0"/>
              <w:left w:val="single" w:color="000000" w:sz="4" w:space="0"/>
              <w:bottom w:val="single" w:color="000000" w:sz="4" w:space="0"/>
              <w:right w:val="single" w:color="000000" w:sz="4" w:space="0"/>
            </w:tcBorders>
          </w:tcPr>
          <w:p w14:paraId="68F6E15F">
            <w:pPr>
              <w:spacing w:line="240" w:lineRule="auto"/>
              <w:rPr>
                <w:rFonts w:hint="eastAsia" w:ascii="宋体" w:hAnsi="宋体" w:eastAsia="宋体" w:cs="宋体"/>
                <w:color w:val="auto"/>
                <w:sz w:val="24"/>
                <w:szCs w:val="24"/>
                <w:highlight w:val="none"/>
                <w:lang w:eastAsia="en-US"/>
              </w:rPr>
            </w:pPr>
          </w:p>
        </w:tc>
        <w:tc>
          <w:tcPr>
            <w:tcW w:w="1135" w:type="dxa"/>
            <w:tcBorders>
              <w:top w:val="single" w:color="000000" w:sz="4" w:space="0"/>
              <w:left w:val="single" w:color="000000" w:sz="4" w:space="0"/>
              <w:bottom w:val="single" w:color="000000" w:sz="4" w:space="0"/>
              <w:right w:val="single" w:color="000000" w:sz="4" w:space="0"/>
            </w:tcBorders>
          </w:tcPr>
          <w:p w14:paraId="3C4152E9">
            <w:pPr>
              <w:pStyle w:val="67"/>
              <w:spacing w:before="107" w:line="240" w:lineRule="auto"/>
              <w:ind w:left="122" w:right="12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电话</w:t>
            </w:r>
          </w:p>
        </w:tc>
        <w:tc>
          <w:tcPr>
            <w:tcW w:w="2269" w:type="dxa"/>
            <w:tcBorders>
              <w:top w:val="single" w:color="000000" w:sz="4" w:space="0"/>
              <w:left w:val="single" w:color="000000" w:sz="4" w:space="0"/>
              <w:bottom w:val="single" w:color="000000" w:sz="4" w:space="0"/>
              <w:right w:val="single" w:color="000000" w:sz="4" w:space="0"/>
            </w:tcBorders>
          </w:tcPr>
          <w:p w14:paraId="64D2BB2D">
            <w:pPr>
              <w:spacing w:line="240" w:lineRule="auto"/>
              <w:rPr>
                <w:rFonts w:hint="eastAsia" w:ascii="宋体" w:hAnsi="宋体" w:eastAsia="宋体" w:cs="宋体"/>
                <w:color w:val="auto"/>
                <w:sz w:val="24"/>
                <w:szCs w:val="24"/>
                <w:highlight w:val="none"/>
                <w:lang w:eastAsia="en-US"/>
              </w:rPr>
            </w:pPr>
          </w:p>
        </w:tc>
      </w:tr>
      <w:tr w14:paraId="4E8E8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174" w:type="dxa"/>
            <w:vMerge w:val="continue"/>
            <w:tcBorders>
              <w:top w:val="single" w:color="000000" w:sz="4" w:space="0"/>
              <w:left w:val="single" w:color="000000" w:sz="4" w:space="0"/>
              <w:bottom w:val="single" w:color="000000" w:sz="4" w:space="0"/>
              <w:right w:val="single" w:color="000000" w:sz="4" w:space="0"/>
            </w:tcBorders>
            <w:vAlign w:val="center"/>
          </w:tcPr>
          <w:p w14:paraId="47580CE5">
            <w:pPr>
              <w:widowControl/>
              <w:spacing w:line="240" w:lineRule="auto"/>
              <w:rPr>
                <w:rFonts w:hint="eastAsia" w:ascii="宋体" w:hAnsi="宋体" w:eastAsia="宋体" w:cs="宋体"/>
                <w:color w:val="auto"/>
                <w:sz w:val="24"/>
                <w:szCs w:val="24"/>
                <w:highlight w:val="none"/>
                <w:lang w:eastAsia="en-US"/>
              </w:rPr>
            </w:pPr>
          </w:p>
        </w:tc>
        <w:tc>
          <w:tcPr>
            <w:tcW w:w="944" w:type="dxa"/>
            <w:tcBorders>
              <w:top w:val="single" w:color="000000" w:sz="4" w:space="0"/>
              <w:left w:val="single" w:color="000000" w:sz="4" w:space="0"/>
              <w:bottom w:val="single" w:color="000000" w:sz="4" w:space="0"/>
              <w:right w:val="single" w:color="000000" w:sz="4" w:space="0"/>
            </w:tcBorders>
          </w:tcPr>
          <w:p w14:paraId="3E54A4A9">
            <w:pPr>
              <w:pStyle w:val="67"/>
              <w:spacing w:before="107" w:line="240" w:lineRule="auto"/>
              <w:ind w:left="131" w:right="132"/>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网址</w:t>
            </w:r>
          </w:p>
        </w:tc>
        <w:tc>
          <w:tcPr>
            <w:tcW w:w="2410" w:type="dxa"/>
            <w:tcBorders>
              <w:top w:val="single" w:color="000000" w:sz="4" w:space="0"/>
              <w:left w:val="single" w:color="000000" w:sz="4" w:space="0"/>
              <w:bottom w:val="single" w:color="000000" w:sz="4" w:space="0"/>
              <w:right w:val="single" w:color="000000" w:sz="4" w:space="0"/>
            </w:tcBorders>
          </w:tcPr>
          <w:p w14:paraId="1447E977">
            <w:pPr>
              <w:spacing w:line="240" w:lineRule="auto"/>
              <w:rPr>
                <w:rFonts w:hint="eastAsia" w:ascii="宋体" w:hAnsi="宋体" w:eastAsia="宋体" w:cs="宋体"/>
                <w:color w:val="auto"/>
                <w:sz w:val="24"/>
                <w:szCs w:val="24"/>
                <w:highlight w:val="none"/>
                <w:lang w:eastAsia="en-US"/>
              </w:rPr>
            </w:pPr>
          </w:p>
        </w:tc>
        <w:tc>
          <w:tcPr>
            <w:tcW w:w="1135" w:type="dxa"/>
            <w:tcBorders>
              <w:top w:val="single" w:color="000000" w:sz="4" w:space="0"/>
              <w:left w:val="single" w:color="000000" w:sz="4" w:space="0"/>
              <w:bottom w:val="single" w:color="000000" w:sz="4" w:space="0"/>
              <w:right w:val="single" w:color="000000" w:sz="4" w:space="0"/>
            </w:tcBorders>
          </w:tcPr>
          <w:p w14:paraId="06F9270C">
            <w:pPr>
              <w:pStyle w:val="67"/>
              <w:spacing w:before="107" w:line="240" w:lineRule="auto"/>
              <w:ind w:left="122" w:right="12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传真</w:t>
            </w:r>
          </w:p>
        </w:tc>
        <w:tc>
          <w:tcPr>
            <w:tcW w:w="2269" w:type="dxa"/>
            <w:tcBorders>
              <w:top w:val="single" w:color="000000" w:sz="4" w:space="0"/>
              <w:left w:val="single" w:color="000000" w:sz="4" w:space="0"/>
              <w:bottom w:val="single" w:color="000000" w:sz="4" w:space="0"/>
              <w:right w:val="single" w:color="000000" w:sz="4" w:space="0"/>
            </w:tcBorders>
          </w:tcPr>
          <w:p w14:paraId="67F89F70">
            <w:pPr>
              <w:spacing w:line="240" w:lineRule="auto"/>
              <w:rPr>
                <w:rFonts w:hint="eastAsia" w:ascii="宋体" w:hAnsi="宋体" w:eastAsia="宋体" w:cs="宋体"/>
                <w:color w:val="auto"/>
                <w:sz w:val="24"/>
                <w:szCs w:val="24"/>
                <w:highlight w:val="none"/>
                <w:lang w:eastAsia="en-US"/>
              </w:rPr>
            </w:pPr>
          </w:p>
        </w:tc>
      </w:tr>
      <w:tr w14:paraId="7B71D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2174" w:type="dxa"/>
            <w:tcBorders>
              <w:top w:val="single" w:color="000000" w:sz="4" w:space="0"/>
              <w:left w:val="single" w:color="000000" w:sz="4" w:space="0"/>
              <w:bottom w:val="single" w:color="000000" w:sz="4" w:space="0"/>
              <w:right w:val="single" w:color="000000" w:sz="4" w:space="0"/>
            </w:tcBorders>
          </w:tcPr>
          <w:p w14:paraId="5F8743FB">
            <w:pPr>
              <w:pStyle w:val="67"/>
              <w:keepNext w:val="0"/>
              <w:keepLines w:val="0"/>
              <w:pageBreakBefore w:val="0"/>
              <w:widowControl w:val="0"/>
              <w:kinsoku/>
              <w:wordWrap/>
              <w:overflowPunct/>
              <w:topLinePunct w:val="0"/>
              <w:autoSpaceDE/>
              <w:autoSpaceDN/>
              <w:bidi w:val="0"/>
              <w:adjustRightInd/>
              <w:snapToGrid/>
              <w:spacing w:before="107" w:line="240" w:lineRule="exact"/>
              <w:ind w:left="118" w:right="113"/>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7F3DC7EF">
            <w:pPr>
              <w:pStyle w:val="67"/>
              <w:keepNext w:val="0"/>
              <w:keepLines w:val="0"/>
              <w:pageBreakBefore w:val="0"/>
              <w:widowControl w:val="0"/>
              <w:kinsoku/>
              <w:wordWrap/>
              <w:overflowPunct/>
              <w:topLinePunct w:val="0"/>
              <w:autoSpaceDE/>
              <w:autoSpaceDN/>
              <w:bidi w:val="0"/>
              <w:adjustRightInd/>
              <w:snapToGrid/>
              <w:spacing w:before="166" w:line="240" w:lineRule="exact"/>
              <w:ind w:left="13" w:right="113"/>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w:t>
            </w:r>
          </w:p>
        </w:tc>
        <w:tc>
          <w:tcPr>
            <w:tcW w:w="944" w:type="dxa"/>
            <w:tcBorders>
              <w:top w:val="single" w:color="000000" w:sz="4" w:space="0"/>
              <w:left w:val="single" w:color="000000" w:sz="4" w:space="0"/>
              <w:bottom w:val="single" w:color="000000" w:sz="4" w:space="0"/>
              <w:right w:val="single" w:color="000000" w:sz="4" w:space="0"/>
            </w:tcBorders>
          </w:tcPr>
          <w:p w14:paraId="20758DDB">
            <w:pPr>
              <w:pStyle w:val="67"/>
              <w:spacing w:before="1" w:line="240" w:lineRule="auto"/>
              <w:rPr>
                <w:rFonts w:hint="eastAsia" w:ascii="宋体" w:hAnsi="宋体" w:eastAsia="宋体" w:cs="宋体"/>
                <w:color w:val="auto"/>
                <w:sz w:val="24"/>
                <w:szCs w:val="24"/>
                <w:highlight w:val="none"/>
              </w:rPr>
            </w:pPr>
          </w:p>
          <w:p w14:paraId="01A427DF">
            <w:pPr>
              <w:pStyle w:val="67"/>
              <w:spacing w:line="240" w:lineRule="auto"/>
              <w:ind w:left="131" w:right="132"/>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姓名</w:t>
            </w:r>
          </w:p>
        </w:tc>
        <w:tc>
          <w:tcPr>
            <w:tcW w:w="2410" w:type="dxa"/>
            <w:tcBorders>
              <w:top w:val="single" w:color="000000" w:sz="4" w:space="0"/>
              <w:left w:val="single" w:color="000000" w:sz="4" w:space="0"/>
              <w:bottom w:val="single" w:color="000000" w:sz="4" w:space="0"/>
              <w:right w:val="single" w:color="000000" w:sz="4" w:space="0"/>
            </w:tcBorders>
          </w:tcPr>
          <w:p w14:paraId="19AC47F9">
            <w:pPr>
              <w:spacing w:line="240" w:lineRule="auto"/>
              <w:rPr>
                <w:rFonts w:hint="eastAsia" w:ascii="宋体" w:hAnsi="宋体" w:eastAsia="宋体" w:cs="宋体"/>
                <w:color w:val="auto"/>
                <w:sz w:val="24"/>
                <w:szCs w:val="24"/>
                <w:highlight w:val="none"/>
                <w:lang w:eastAsia="en-US"/>
              </w:rPr>
            </w:pPr>
          </w:p>
        </w:tc>
        <w:tc>
          <w:tcPr>
            <w:tcW w:w="1135" w:type="dxa"/>
            <w:tcBorders>
              <w:top w:val="single" w:color="000000" w:sz="4" w:space="0"/>
              <w:left w:val="single" w:color="000000" w:sz="4" w:space="0"/>
              <w:bottom w:val="single" w:color="000000" w:sz="4" w:space="0"/>
              <w:right w:val="single" w:color="000000" w:sz="4" w:space="0"/>
            </w:tcBorders>
          </w:tcPr>
          <w:p w14:paraId="632E612E">
            <w:pPr>
              <w:pStyle w:val="67"/>
              <w:spacing w:before="1" w:line="240" w:lineRule="auto"/>
              <w:rPr>
                <w:rFonts w:hint="eastAsia" w:ascii="宋体" w:hAnsi="宋体" w:eastAsia="宋体" w:cs="宋体"/>
                <w:color w:val="auto"/>
                <w:sz w:val="24"/>
                <w:szCs w:val="24"/>
                <w:highlight w:val="none"/>
                <w:lang w:eastAsia="en-US"/>
              </w:rPr>
            </w:pPr>
          </w:p>
          <w:p w14:paraId="51096252">
            <w:pPr>
              <w:pStyle w:val="67"/>
              <w:spacing w:line="240" w:lineRule="auto"/>
              <w:ind w:left="122" w:right="12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电话</w:t>
            </w:r>
          </w:p>
        </w:tc>
        <w:tc>
          <w:tcPr>
            <w:tcW w:w="2269" w:type="dxa"/>
            <w:tcBorders>
              <w:top w:val="single" w:color="000000" w:sz="4" w:space="0"/>
              <w:left w:val="single" w:color="000000" w:sz="4" w:space="0"/>
              <w:bottom w:val="single" w:color="000000" w:sz="4" w:space="0"/>
              <w:right w:val="single" w:color="000000" w:sz="4" w:space="0"/>
            </w:tcBorders>
          </w:tcPr>
          <w:p w14:paraId="002DA894">
            <w:pPr>
              <w:spacing w:line="240" w:lineRule="auto"/>
              <w:rPr>
                <w:rFonts w:hint="eastAsia" w:ascii="宋体" w:hAnsi="宋体" w:eastAsia="宋体" w:cs="宋体"/>
                <w:color w:val="auto"/>
                <w:sz w:val="24"/>
                <w:szCs w:val="24"/>
                <w:highlight w:val="none"/>
                <w:lang w:eastAsia="en-US"/>
              </w:rPr>
            </w:pPr>
          </w:p>
        </w:tc>
      </w:tr>
      <w:tr w14:paraId="02B8F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174" w:type="dxa"/>
            <w:tcBorders>
              <w:top w:val="single" w:color="000000" w:sz="4" w:space="0"/>
              <w:left w:val="single" w:color="000000" w:sz="4" w:space="0"/>
              <w:bottom w:val="single" w:color="000000" w:sz="4" w:space="0"/>
              <w:right w:val="single" w:color="000000" w:sz="4" w:space="0"/>
            </w:tcBorders>
            <w:vAlign w:val="top"/>
          </w:tcPr>
          <w:p w14:paraId="11D59C84">
            <w:pPr>
              <w:pStyle w:val="67"/>
              <w:spacing w:before="107" w:line="240" w:lineRule="auto"/>
              <w:ind w:left="118" w:right="116"/>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基本账户开户银行</w:t>
            </w:r>
          </w:p>
        </w:tc>
        <w:tc>
          <w:tcPr>
            <w:tcW w:w="6758" w:type="dxa"/>
            <w:gridSpan w:val="4"/>
            <w:tcBorders>
              <w:top w:val="single" w:color="000000" w:sz="4" w:space="0"/>
              <w:left w:val="single" w:color="000000" w:sz="4" w:space="0"/>
              <w:bottom w:val="single" w:color="000000" w:sz="4" w:space="0"/>
              <w:right w:val="single" w:color="000000" w:sz="4" w:space="0"/>
            </w:tcBorders>
            <w:vAlign w:val="top"/>
          </w:tcPr>
          <w:p w14:paraId="390F8785">
            <w:pPr>
              <w:spacing w:line="240" w:lineRule="auto"/>
              <w:rPr>
                <w:rFonts w:hint="eastAsia" w:ascii="宋体" w:hAnsi="宋体" w:eastAsia="宋体" w:cs="宋体"/>
                <w:color w:val="auto"/>
                <w:sz w:val="24"/>
                <w:szCs w:val="24"/>
                <w:highlight w:val="none"/>
                <w:lang w:eastAsia="en-US"/>
              </w:rPr>
            </w:pPr>
          </w:p>
        </w:tc>
      </w:tr>
      <w:tr w14:paraId="0AE63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174" w:type="dxa"/>
            <w:tcBorders>
              <w:top w:val="single" w:color="000000" w:sz="4" w:space="0"/>
              <w:left w:val="single" w:color="000000" w:sz="4" w:space="0"/>
              <w:bottom w:val="single" w:color="000000" w:sz="4" w:space="0"/>
              <w:right w:val="single" w:color="000000" w:sz="4" w:space="0"/>
            </w:tcBorders>
            <w:vAlign w:val="top"/>
          </w:tcPr>
          <w:p w14:paraId="59727522">
            <w:pPr>
              <w:pStyle w:val="67"/>
              <w:spacing w:before="107" w:line="240" w:lineRule="auto"/>
              <w:ind w:left="118" w:right="116"/>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基本账户银行账号</w:t>
            </w:r>
          </w:p>
        </w:tc>
        <w:tc>
          <w:tcPr>
            <w:tcW w:w="6758" w:type="dxa"/>
            <w:gridSpan w:val="4"/>
            <w:tcBorders>
              <w:top w:val="single" w:color="000000" w:sz="4" w:space="0"/>
              <w:left w:val="single" w:color="000000" w:sz="4" w:space="0"/>
              <w:bottom w:val="single" w:color="000000" w:sz="4" w:space="0"/>
              <w:right w:val="single" w:color="000000" w:sz="4" w:space="0"/>
            </w:tcBorders>
            <w:vAlign w:val="top"/>
          </w:tcPr>
          <w:p w14:paraId="59BD67DD">
            <w:pPr>
              <w:spacing w:line="240" w:lineRule="auto"/>
              <w:rPr>
                <w:rFonts w:hint="eastAsia" w:ascii="宋体" w:hAnsi="宋体" w:eastAsia="宋体" w:cs="宋体"/>
                <w:color w:val="auto"/>
                <w:sz w:val="24"/>
                <w:szCs w:val="24"/>
                <w:highlight w:val="none"/>
                <w:lang w:eastAsia="en-US"/>
              </w:rPr>
            </w:pPr>
          </w:p>
        </w:tc>
      </w:tr>
      <w:tr w14:paraId="73436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9" w:hRule="exact"/>
        </w:trPr>
        <w:tc>
          <w:tcPr>
            <w:tcW w:w="2174" w:type="dxa"/>
            <w:tcBorders>
              <w:top w:val="single" w:color="000000" w:sz="4" w:space="0"/>
              <w:left w:val="single" w:color="000000" w:sz="4" w:space="0"/>
              <w:bottom w:val="single" w:color="000000" w:sz="4" w:space="0"/>
              <w:right w:val="single" w:color="000000" w:sz="4" w:space="0"/>
            </w:tcBorders>
            <w:vAlign w:val="center"/>
          </w:tcPr>
          <w:p w14:paraId="04F79D3A">
            <w:pPr>
              <w:pStyle w:val="67"/>
              <w:spacing w:before="38" w:line="240" w:lineRule="auto"/>
              <w:ind w:left="116" w:right="116"/>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经营范围</w:t>
            </w:r>
          </w:p>
        </w:tc>
        <w:tc>
          <w:tcPr>
            <w:tcW w:w="6758" w:type="dxa"/>
            <w:gridSpan w:val="4"/>
            <w:tcBorders>
              <w:top w:val="single" w:color="000000" w:sz="4" w:space="0"/>
              <w:left w:val="single" w:color="000000" w:sz="4" w:space="0"/>
              <w:bottom w:val="single" w:color="000000" w:sz="4" w:space="0"/>
              <w:right w:val="single" w:color="000000" w:sz="4" w:space="0"/>
            </w:tcBorders>
          </w:tcPr>
          <w:p w14:paraId="151C1158">
            <w:pPr>
              <w:spacing w:line="240" w:lineRule="auto"/>
              <w:rPr>
                <w:rFonts w:hint="eastAsia" w:ascii="宋体" w:hAnsi="宋体" w:eastAsia="宋体" w:cs="宋体"/>
                <w:color w:val="auto"/>
                <w:sz w:val="24"/>
                <w:szCs w:val="24"/>
                <w:highlight w:val="none"/>
                <w:lang w:eastAsia="en-US"/>
              </w:rPr>
            </w:pPr>
          </w:p>
        </w:tc>
      </w:tr>
      <w:tr w14:paraId="0BFB4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exact"/>
        </w:trPr>
        <w:tc>
          <w:tcPr>
            <w:tcW w:w="2174" w:type="dxa"/>
            <w:tcBorders>
              <w:top w:val="single" w:color="000000" w:sz="4" w:space="0"/>
              <w:left w:val="single" w:color="000000" w:sz="4" w:space="0"/>
              <w:bottom w:val="single" w:color="000000" w:sz="4" w:space="0"/>
              <w:right w:val="single" w:color="000000" w:sz="4" w:space="0"/>
            </w:tcBorders>
            <w:vAlign w:val="center"/>
          </w:tcPr>
          <w:p w14:paraId="77C62FC0">
            <w:pPr>
              <w:pStyle w:val="67"/>
              <w:spacing w:before="107" w:line="240" w:lineRule="auto"/>
              <w:ind w:left="116" w:right="116"/>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备注</w:t>
            </w:r>
          </w:p>
        </w:tc>
        <w:tc>
          <w:tcPr>
            <w:tcW w:w="6758" w:type="dxa"/>
            <w:gridSpan w:val="4"/>
            <w:tcBorders>
              <w:top w:val="single" w:color="000000" w:sz="4" w:space="0"/>
              <w:left w:val="single" w:color="000000" w:sz="4" w:space="0"/>
              <w:bottom w:val="single" w:color="000000" w:sz="4" w:space="0"/>
              <w:right w:val="single" w:color="000000" w:sz="4" w:space="0"/>
            </w:tcBorders>
          </w:tcPr>
          <w:p w14:paraId="269F877E">
            <w:pPr>
              <w:spacing w:line="240" w:lineRule="auto"/>
              <w:rPr>
                <w:rFonts w:hint="eastAsia" w:ascii="宋体" w:hAnsi="宋体" w:eastAsia="宋体" w:cs="宋体"/>
                <w:color w:val="auto"/>
                <w:sz w:val="24"/>
                <w:szCs w:val="24"/>
                <w:highlight w:val="none"/>
                <w:lang w:eastAsia="en-US"/>
              </w:rPr>
            </w:pPr>
          </w:p>
        </w:tc>
      </w:tr>
    </w:tbl>
    <w:p w14:paraId="714568D1">
      <w:pPr>
        <w:pStyle w:val="68"/>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注：1. </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应在本表后附</w:t>
      </w:r>
      <w:r>
        <w:rPr>
          <w:rFonts w:hint="eastAsia" w:ascii="宋体" w:hAnsi="宋体" w:eastAsia="宋体" w:cs="宋体"/>
          <w:color w:val="auto"/>
          <w:sz w:val="24"/>
          <w:szCs w:val="24"/>
          <w:highlight w:val="none"/>
          <w:lang w:val="en-US" w:eastAsia="zh-CN"/>
        </w:rPr>
        <w:t>营业执照(副本)等</w:t>
      </w:r>
      <w:r>
        <w:rPr>
          <w:rFonts w:hint="eastAsia" w:ascii="宋体" w:hAnsi="宋体" w:eastAsia="宋体" w:cs="宋体"/>
          <w:color w:val="auto"/>
          <w:sz w:val="24"/>
          <w:szCs w:val="24"/>
          <w:highlight w:val="none"/>
          <w:lang w:eastAsia="zh-CN"/>
        </w:rPr>
        <w:t>相关证明材料。</w:t>
      </w:r>
      <w:bookmarkStart w:id="179" w:name="_bookmark165"/>
      <w:bookmarkEnd w:id="179"/>
    </w:p>
    <w:p w14:paraId="4D3C3714">
      <w:pPr>
        <w:spacing w:line="300" w:lineRule="auto"/>
        <w:rPr>
          <w:rFonts w:hint="eastAsia" w:ascii="宋体" w:hAnsi="宋体" w:eastAsia="宋体" w:cs="宋体"/>
          <w:color w:val="auto"/>
          <w:sz w:val="20"/>
          <w:szCs w:val="20"/>
          <w:highlight w:val="none"/>
        </w:rPr>
      </w:pPr>
    </w:p>
    <w:p w14:paraId="7CD8E548">
      <w:pPr>
        <w:rPr>
          <w:rFonts w:hint="eastAsia" w:ascii="宋体" w:hAnsi="宋体" w:eastAsia="宋体" w:cs="宋体"/>
          <w:color w:val="auto"/>
          <w:highlight w:val="none"/>
        </w:rPr>
      </w:pPr>
      <w:bookmarkStart w:id="180" w:name="_Toc409424362"/>
      <w:bookmarkStart w:id="181" w:name="_Toc409424423"/>
      <w:bookmarkStart w:id="182" w:name="_Toc350070710"/>
      <w:bookmarkStart w:id="183" w:name="_Toc468267496"/>
      <w:bookmarkStart w:id="184" w:name="_Toc351644328"/>
      <w:r>
        <w:rPr>
          <w:rFonts w:hint="eastAsia" w:ascii="宋体" w:hAnsi="宋体" w:eastAsia="宋体" w:cs="宋体"/>
          <w:color w:val="auto"/>
          <w:highlight w:val="none"/>
        </w:rPr>
        <w:br w:type="page"/>
      </w:r>
    </w:p>
    <w:p w14:paraId="7692423F">
      <w:pPr>
        <w:pStyle w:val="4"/>
        <w:spacing w:before="0" w:after="0" w:line="300" w:lineRule="auto"/>
        <w:jc w:val="center"/>
        <w:rPr>
          <w:rFonts w:hint="eastAsia" w:ascii="宋体" w:hAnsi="宋体" w:eastAsia="宋体" w:cs="宋体"/>
          <w:color w:val="auto"/>
          <w:highlight w:val="none"/>
        </w:rPr>
      </w:pPr>
      <w:bookmarkStart w:id="185" w:name="_Toc29780"/>
      <w:bookmarkStart w:id="186" w:name="_Toc6884"/>
      <w:r>
        <w:rPr>
          <w:rFonts w:hint="eastAsia" w:ascii="宋体" w:hAnsi="宋体" w:cs="宋体"/>
          <w:color w:val="auto"/>
          <w:highlight w:val="none"/>
          <w:lang w:val="en-US" w:eastAsia="zh-CN"/>
        </w:rPr>
        <w:t>（二）、供应商</w:t>
      </w:r>
      <w:r>
        <w:rPr>
          <w:rFonts w:hint="eastAsia" w:ascii="宋体" w:hAnsi="宋体" w:eastAsia="宋体" w:cs="宋体"/>
          <w:color w:val="auto"/>
          <w:highlight w:val="none"/>
          <w:lang w:val="en-US" w:eastAsia="zh-CN"/>
        </w:rPr>
        <w:t>已完成类似项目情况</w:t>
      </w:r>
      <w:bookmarkEnd w:id="185"/>
      <w:bookmarkEnd w:id="186"/>
    </w:p>
    <w:tbl>
      <w:tblPr>
        <w:tblStyle w:val="26"/>
        <w:tblW w:w="9850" w:type="dxa"/>
        <w:tblInd w:w="-30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833"/>
        <w:gridCol w:w="1918"/>
        <w:gridCol w:w="2405"/>
        <w:gridCol w:w="2275"/>
        <w:gridCol w:w="1260"/>
        <w:gridCol w:w="1159"/>
      </w:tblGrid>
      <w:tr w14:paraId="6270176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104" w:hRule="atLeast"/>
        </w:trPr>
        <w:tc>
          <w:tcPr>
            <w:tcW w:w="8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D9030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序号</w:t>
            </w:r>
          </w:p>
        </w:tc>
        <w:tc>
          <w:tcPr>
            <w:tcW w:w="1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27FC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起止时间</w:t>
            </w: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A358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项目概况</w:t>
            </w: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EC75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cs="宋体"/>
                <w:b w:val="0"/>
                <w:bCs w:val="0"/>
                <w:caps w:val="0"/>
                <w:color w:val="auto"/>
                <w:kern w:val="0"/>
                <w:sz w:val="24"/>
                <w:szCs w:val="24"/>
                <w:highlight w:val="none"/>
                <w:vertAlign w:val="baseline"/>
                <w:lang w:val="en-US" w:eastAsia="zh-CN" w:bidi="ar"/>
              </w:rPr>
              <w:t>采购人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38E5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完成情况</w:t>
            </w: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9D58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备注</w:t>
            </w:r>
          </w:p>
        </w:tc>
      </w:tr>
      <w:tr w14:paraId="654CE0E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0" w:hRule="atLeast"/>
        </w:trPr>
        <w:tc>
          <w:tcPr>
            <w:tcW w:w="833" w:type="dxa"/>
            <w:tcBorders>
              <w:top w:val="single" w:color="auto" w:sz="4" w:space="0"/>
              <w:left w:val="single" w:color="auto" w:sz="4" w:space="0"/>
              <w:bottom w:val="single" w:color="auto" w:sz="4" w:space="0"/>
              <w:right w:val="single" w:color="auto" w:sz="4" w:space="0"/>
            </w:tcBorders>
            <w:shd w:val="clear" w:color="auto" w:fill="auto"/>
            <w:noWrap/>
            <w:vAlign w:val="top"/>
          </w:tcPr>
          <w:p w14:paraId="7F9739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C810B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B0F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A20E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8B817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968A5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5C9F458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0" w:hRule="atLeast"/>
        </w:trPr>
        <w:tc>
          <w:tcPr>
            <w:tcW w:w="833" w:type="dxa"/>
            <w:tcBorders>
              <w:top w:val="single" w:color="auto" w:sz="4" w:space="0"/>
              <w:left w:val="single" w:color="auto" w:sz="4" w:space="0"/>
              <w:bottom w:val="single" w:color="auto" w:sz="4" w:space="0"/>
              <w:right w:val="single" w:color="auto" w:sz="4" w:space="0"/>
            </w:tcBorders>
            <w:shd w:val="clear" w:color="auto" w:fill="auto"/>
            <w:noWrap/>
            <w:vAlign w:val="top"/>
          </w:tcPr>
          <w:p w14:paraId="45ED788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083E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AD4F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4086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F630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4BC5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5EE8BE1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0" w:hRule="atLeast"/>
        </w:trPr>
        <w:tc>
          <w:tcPr>
            <w:tcW w:w="833" w:type="dxa"/>
            <w:tcBorders>
              <w:top w:val="single" w:color="auto" w:sz="4" w:space="0"/>
              <w:left w:val="single" w:color="auto" w:sz="4" w:space="0"/>
              <w:bottom w:val="single" w:color="auto" w:sz="4" w:space="0"/>
              <w:right w:val="single" w:color="auto" w:sz="4" w:space="0"/>
            </w:tcBorders>
            <w:shd w:val="clear" w:color="auto" w:fill="auto"/>
            <w:noWrap/>
            <w:vAlign w:val="top"/>
          </w:tcPr>
          <w:p w14:paraId="3CD453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C0523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E1AC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61FD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AC91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8B1A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47B031E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0" w:hRule="atLeast"/>
        </w:trPr>
        <w:tc>
          <w:tcPr>
            <w:tcW w:w="833" w:type="dxa"/>
            <w:tcBorders>
              <w:top w:val="single" w:color="auto" w:sz="4" w:space="0"/>
              <w:left w:val="single" w:color="auto" w:sz="4" w:space="0"/>
              <w:bottom w:val="single" w:color="auto" w:sz="4" w:space="0"/>
              <w:right w:val="single" w:color="auto" w:sz="4" w:space="0"/>
            </w:tcBorders>
            <w:shd w:val="clear" w:color="auto" w:fill="auto"/>
            <w:noWrap/>
            <w:vAlign w:val="top"/>
          </w:tcPr>
          <w:p w14:paraId="6E23407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167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A8FA9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BE47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9C775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D92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0DBA653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0" w:hRule="atLeast"/>
        </w:trPr>
        <w:tc>
          <w:tcPr>
            <w:tcW w:w="833" w:type="dxa"/>
            <w:tcBorders>
              <w:top w:val="single" w:color="auto" w:sz="4" w:space="0"/>
              <w:left w:val="single" w:color="auto" w:sz="4" w:space="0"/>
              <w:bottom w:val="single" w:color="auto" w:sz="4" w:space="0"/>
              <w:right w:val="single" w:color="auto" w:sz="4" w:space="0"/>
            </w:tcBorders>
            <w:shd w:val="clear" w:color="auto" w:fill="auto"/>
            <w:noWrap/>
            <w:vAlign w:val="top"/>
          </w:tcPr>
          <w:p w14:paraId="228D522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8C65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29A8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1C0C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0E83F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DBA9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4F780A5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0" w:hRule="atLeast"/>
        </w:trPr>
        <w:tc>
          <w:tcPr>
            <w:tcW w:w="833" w:type="dxa"/>
            <w:tcBorders>
              <w:top w:val="single" w:color="auto" w:sz="4" w:space="0"/>
              <w:left w:val="single" w:color="auto" w:sz="4" w:space="0"/>
              <w:bottom w:val="single" w:color="auto" w:sz="4" w:space="0"/>
              <w:right w:val="single" w:color="auto" w:sz="4" w:space="0"/>
            </w:tcBorders>
            <w:shd w:val="clear" w:color="auto" w:fill="auto"/>
            <w:noWrap/>
            <w:vAlign w:val="top"/>
          </w:tcPr>
          <w:p w14:paraId="44C4F7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0BC1F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FD88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7C83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F9100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FBD2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2EF9452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0" w:hRule="atLeast"/>
        </w:trPr>
        <w:tc>
          <w:tcPr>
            <w:tcW w:w="833" w:type="dxa"/>
            <w:tcBorders>
              <w:top w:val="single" w:color="auto" w:sz="4" w:space="0"/>
              <w:left w:val="single" w:color="auto" w:sz="4" w:space="0"/>
              <w:bottom w:val="single" w:color="auto" w:sz="4" w:space="0"/>
              <w:right w:val="single" w:color="auto" w:sz="4" w:space="0"/>
            </w:tcBorders>
            <w:shd w:val="clear" w:color="auto" w:fill="auto"/>
            <w:noWrap/>
            <w:vAlign w:val="top"/>
          </w:tcPr>
          <w:p w14:paraId="6EFBCEB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C6136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657A3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7B4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2FB3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A25B3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6757409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0" w:hRule="atLeast"/>
        </w:trPr>
        <w:tc>
          <w:tcPr>
            <w:tcW w:w="833" w:type="dxa"/>
            <w:tcBorders>
              <w:top w:val="single" w:color="auto" w:sz="4" w:space="0"/>
              <w:left w:val="single" w:color="auto" w:sz="4" w:space="0"/>
              <w:bottom w:val="single" w:color="auto" w:sz="4" w:space="0"/>
              <w:right w:val="single" w:color="auto" w:sz="4" w:space="0"/>
            </w:tcBorders>
            <w:shd w:val="clear" w:color="auto" w:fill="auto"/>
            <w:noWrap/>
            <w:vAlign w:val="top"/>
          </w:tcPr>
          <w:p w14:paraId="7DC5647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A07AC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E99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938D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3939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8B9C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bl>
    <w:p w14:paraId="0EBC53AC">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注：1、</w:t>
      </w:r>
      <w:r>
        <w:rPr>
          <w:rFonts w:hint="eastAsia" w:ascii="宋体" w:hAnsi="宋体" w:cs="宋体"/>
          <w:b w:val="0"/>
          <w:bCs w:val="0"/>
          <w:caps w:val="0"/>
          <w:color w:val="auto"/>
          <w:kern w:val="0"/>
          <w:sz w:val="24"/>
          <w:szCs w:val="24"/>
          <w:highlight w:val="none"/>
          <w:vertAlign w:val="baseline"/>
          <w:lang w:val="en-US" w:eastAsia="zh-CN" w:bidi="ar"/>
        </w:rPr>
        <w:t>供应商</w:t>
      </w:r>
      <w:r>
        <w:rPr>
          <w:rFonts w:hint="eastAsia" w:ascii="宋体" w:hAnsi="宋体" w:eastAsia="宋体" w:cs="宋体"/>
          <w:b w:val="0"/>
          <w:bCs w:val="0"/>
          <w:caps w:val="0"/>
          <w:color w:val="auto"/>
          <w:kern w:val="0"/>
          <w:sz w:val="24"/>
          <w:szCs w:val="24"/>
          <w:highlight w:val="none"/>
          <w:vertAlign w:val="baseline"/>
          <w:lang w:val="en-US" w:eastAsia="zh-CN" w:bidi="ar"/>
        </w:rPr>
        <w:t>应将近年内已完成的类似项目情况填入本表中。</w:t>
      </w:r>
    </w:p>
    <w:p w14:paraId="7E0BEDC4">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480" w:firstLineChars="200"/>
        <w:jc w:val="left"/>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2、项目概况包括：项目名称、规模、金额等。</w:t>
      </w:r>
    </w:p>
    <w:p w14:paraId="734097D5">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360" w:lineRule="auto"/>
        <w:ind w:left="0" w:right="0" w:firstLine="480" w:firstLineChars="200"/>
        <w:jc w:val="left"/>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3、</w:t>
      </w:r>
      <w:r>
        <w:rPr>
          <w:rFonts w:hint="eastAsia" w:ascii="宋体" w:hAnsi="宋体" w:cs="宋体"/>
          <w:b w:val="0"/>
          <w:bCs w:val="0"/>
          <w:caps w:val="0"/>
          <w:color w:val="auto"/>
          <w:kern w:val="0"/>
          <w:sz w:val="24"/>
          <w:szCs w:val="24"/>
          <w:highlight w:val="none"/>
          <w:vertAlign w:val="baseline"/>
          <w:lang w:val="en-US" w:eastAsia="zh-CN" w:bidi="ar"/>
        </w:rPr>
        <w:t>供应商</w:t>
      </w:r>
      <w:r>
        <w:rPr>
          <w:rFonts w:hint="eastAsia" w:ascii="宋体" w:hAnsi="宋体" w:eastAsia="宋体" w:cs="宋体"/>
          <w:b w:val="0"/>
          <w:bCs w:val="0"/>
          <w:caps w:val="0"/>
          <w:color w:val="auto"/>
          <w:kern w:val="0"/>
          <w:sz w:val="24"/>
          <w:szCs w:val="24"/>
          <w:highlight w:val="none"/>
          <w:vertAlign w:val="baseline"/>
          <w:lang w:val="en-US" w:eastAsia="zh-CN" w:bidi="ar"/>
        </w:rPr>
        <w:t>应随本表出具所填项目的合同协议书或中标通知书等证明材料的</w:t>
      </w:r>
      <w:r>
        <w:rPr>
          <w:rFonts w:hint="eastAsia" w:ascii="宋体" w:hAnsi="宋体" w:cs="宋体"/>
          <w:b w:val="0"/>
          <w:bCs w:val="0"/>
          <w:caps w:val="0"/>
          <w:color w:val="auto"/>
          <w:kern w:val="0"/>
          <w:sz w:val="24"/>
          <w:szCs w:val="24"/>
          <w:highlight w:val="none"/>
          <w:vertAlign w:val="baseline"/>
          <w:lang w:val="en-US" w:eastAsia="zh-CN" w:bidi="ar"/>
        </w:rPr>
        <w:t>扫描</w:t>
      </w:r>
      <w:r>
        <w:rPr>
          <w:rFonts w:hint="eastAsia" w:ascii="宋体" w:hAnsi="宋体" w:eastAsia="宋体" w:cs="宋体"/>
          <w:b w:val="0"/>
          <w:bCs w:val="0"/>
          <w:caps w:val="0"/>
          <w:color w:val="auto"/>
          <w:kern w:val="0"/>
          <w:sz w:val="24"/>
          <w:szCs w:val="24"/>
          <w:highlight w:val="none"/>
          <w:vertAlign w:val="baseline"/>
          <w:lang w:val="en-US" w:eastAsia="zh-CN" w:bidi="ar"/>
        </w:rPr>
        <w:t>件，否则，采购人将不考虑</w:t>
      </w:r>
      <w:r>
        <w:rPr>
          <w:rFonts w:hint="eastAsia" w:ascii="宋体" w:hAnsi="宋体" w:cs="宋体"/>
          <w:b w:val="0"/>
          <w:bCs w:val="0"/>
          <w:caps w:val="0"/>
          <w:color w:val="000000"/>
          <w:kern w:val="0"/>
          <w:sz w:val="24"/>
          <w:szCs w:val="24"/>
          <w:highlight w:val="none"/>
          <w:vertAlign w:val="baseline"/>
          <w:lang w:val="en-US" w:eastAsia="zh-CN" w:bidi="ar"/>
        </w:rPr>
        <w:t>供应商</w:t>
      </w:r>
      <w:r>
        <w:rPr>
          <w:rFonts w:hint="eastAsia" w:ascii="宋体" w:hAnsi="宋体" w:eastAsia="宋体" w:cs="宋体"/>
          <w:b w:val="0"/>
          <w:bCs w:val="0"/>
          <w:caps w:val="0"/>
          <w:color w:val="auto"/>
          <w:kern w:val="0"/>
          <w:sz w:val="24"/>
          <w:szCs w:val="24"/>
          <w:highlight w:val="none"/>
          <w:vertAlign w:val="baseline"/>
          <w:lang w:val="en-US" w:eastAsia="zh-CN" w:bidi="ar"/>
        </w:rPr>
        <w:t>所填项目的业绩。</w:t>
      </w:r>
    </w:p>
    <w:p w14:paraId="1DD7962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0"/>
          <w:szCs w:val="21"/>
          <w:highlight w:val="none"/>
          <w:vertAlign w:val="baseline"/>
          <w:lang w:bidi="ar"/>
        </w:rPr>
      </w:pPr>
    </w:p>
    <w:p w14:paraId="58DEE4F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418" w:rightChars="-199" w:firstLine="0"/>
        <w:jc w:val="left"/>
        <w:outlineLvl w:val="9"/>
        <w:rPr>
          <w:rFonts w:hint="eastAsia" w:ascii="宋体" w:hAnsi="宋体" w:eastAsia="宋体" w:cs="宋体"/>
          <w:caps w:val="0"/>
          <w:color w:val="auto"/>
          <w:kern w:val="0"/>
          <w:sz w:val="28"/>
          <w:szCs w:val="28"/>
          <w:highlight w:val="none"/>
          <w:vertAlign w:val="baseline"/>
          <w:lang w:bidi="ar"/>
        </w:rPr>
      </w:pPr>
    </w:p>
    <w:p w14:paraId="0E91F374">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0"/>
          <w:szCs w:val="21"/>
          <w:highlight w:val="none"/>
          <w:vertAlign w:val="baseline"/>
          <w:lang w:bidi="ar"/>
        </w:rPr>
      </w:pPr>
      <w:r>
        <w:rPr>
          <w:rFonts w:hint="eastAsia" w:ascii="宋体" w:hAnsi="宋体" w:eastAsia="宋体" w:cs="宋体"/>
          <w:b w:val="0"/>
          <w:bCs w:val="0"/>
          <w:caps w:val="0"/>
          <w:color w:val="auto"/>
          <w:kern w:val="0"/>
          <w:sz w:val="28"/>
          <w:szCs w:val="28"/>
          <w:highlight w:val="none"/>
          <w:vertAlign w:val="baseline"/>
          <w:lang w:val="en-US" w:eastAsia="zh-CN" w:bidi="ar"/>
        </w:rPr>
        <w:br w:type="page"/>
      </w:r>
    </w:p>
    <w:p w14:paraId="047B995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w:t>
      </w:r>
      <w:r>
        <w:rPr>
          <w:rFonts w:hint="eastAsia" w:ascii="宋体" w:hAnsi="宋体" w:cs="宋体"/>
          <w:b/>
          <w:bCs/>
          <w:color w:val="auto"/>
          <w:kern w:val="2"/>
          <w:sz w:val="32"/>
          <w:szCs w:val="32"/>
          <w:highlight w:val="none"/>
          <w:lang w:val="en-US" w:eastAsia="zh-CN" w:bidi="ar-SA"/>
        </w:rPr>
        <w:t>三</w:t>
      </w:r>
      <w:r>
        <w:rPr>
          <w:rFonts w:hint="eastAsia" w:ascii="宋体" w:hAnsi="宋体" w:eastAsia="宋体" w:cs="宋体"/>
          <w:b/>
          <w:bCs/>
          <w:color w:val="auto"/>
          <w:kern w:val="2"/>
          <w:sz w:val="32"/>
          <w:szCs w:val="32"/>
          <w:highlight w:val="none"/>
          <w:lang w:val="en-US" w:eastAsia="zh-CN" w:bidi="ar-SA"/>
        </w:rPr>
        <w:t>) 近年财务状况</w:t>
      </w:r>
    </w:p>
    <w:p w14:paraId="0A239CE6">
      <w:pPr>
        <w:widowControl/>
        <w:spacing w:line="360" w:lineRule="auto"/>
        <w:ind w:firstLine="480" w:firstLineChars="200"/>
        <w:rPr>
          <w:rFonts w:ascii="宋体" w:hAnsi="宋体" w:cs="宋体"/>
          <w:kern w:val="0"/>
          <w:sz w:val="24"/>
          <w:highlight w:val="none"/>
          <w:lang w:bidi="ar"/>
        </w:rPr>
      </w:pPr>
      <w:r>
        <w:rPr>
          <w:rFonts w:hint="eastAsia" w:ascii="宋体" w:hAnsi="宋体" w:cs="宋体"/>
          <w:kern w:val="0"/>
          <w:sz w:val="24"/>
          <w:highlight w:val="none"/>
          <w:lang w:bidi="ar"/>
        </w:rPr>
        <w:t>供应商近一年度（202</w:t>
      </w:r>
      <w:r>
        <w:rPr>
          <w:rFonts w:hint="eastAsia" w:ascii="宋体" w:hAnsi="宋体" w:cs="宋体"/>
          <w:kern w:val="0"/>
          <w:sz w:val="24"/>
          <w:highlight w:val="none"/>
          <w:lang w:val="en-US" w:eastAsia="zh-CN" w:bidi="ar"/>
        </w:rPr>
        <w:t>4</w:t>
      </w:r>
      <w:r>
        <w:rPr>
          <w:rFonts w:hint="eastAsia" w:ascii="宋体" w:hAnsi="宋体" w:cs="宋体"/>
          <w:kern w:val="0"/>
          <w:sz w:val="24"/>
          <w:highlight w:val="none"/>
          <w:lang w:bidi="ar"/>
        </w:rPr>
        <w:t>年度）财务状况良好，具有经会计师事务所或审计机构出具的财务审计报告。</w:t>
      </w:r>
    </w:p>
    <w:p w14:paraId="11AE966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b w:val="0"/>
          <w:bCs w:val="0"/>
          <w:caps w:val="0"/>
          <w:color w:val="auto"/>
          <w:kern w:val="0"/>
          <w:sz w:val="24"/>
          <w:szCs w:val="24"/>
          <w:highlight w:val="none"/>
          <w:shd w:val="clear" w:fill="FFFFFF"/>
          <w:vertAlign w:val="baseline"/>
          <w:lang w:val="en-US" w:eastAsia="zh-CN" w:bidi="ar"/>
        </w:rPr>
      </w:pPr>
      <w:r>
        <w:rPr>
          <w:rFonts w:hint="eastAsia" w:ascii="宋体" w:hAnsi="宋体" w:cs="宋体"/>
          <w:b w:val="0"/>
          <w:bCs w:val="0"/>
          <w:caps w:val="0"/>
          <w:color w:val="auto"/>
          <w:kern w:val="0"/>
          <w:sz w:val="24"/>
          <w:szCs w:val="24"/>
          <w:highlight w:val="none"/>
          <w:shd w:val="clear" w:fill="FFFFFF"/>
          <w:vertAlign w:val="baseline"/>
          <w:lang w:val="en-US" w:eastAsia="zh-CN" w:bidi="ar"/>
        </w:rPr>
        <w:t>（若为2024年12月31日以后新成立的公司无财务审计报告的，需提供自成立之日起至今的财务报表及财务状况良好承诺书）</w:t>
      </w:r>
    </w:p>
    <w:p w14:paraId="1B59F59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b w:val="0"/>
          <w:bCs w:val="0"/>
          <w:caps w:val="0"/>
          <w:color w:val="auto"/>
          <w:kern w:val="0"/>
          <w:sz w:val="24"/>
          <w:szCs w:val="24"/>
          <w:highlight w:val="none"/>
          <w:shd w:val="clear" w:fill="FFFFFF"/>
          <w:vertAlign w:val="baseline"/>
          <w:lang w:val="en-US" w:eastAsia="zh-CN" w:bidi="ar"/>
        </w:rPr>
      </w:pPr>
    </w:p>
    <w:p w14:paraId="2EE29DD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p>
    <w:p w14:paraId="473BBB7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p>
    <w:p w14:paraId="3AA3A26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caps w:val="0"/>
          <w:color w:val="auto"/>
          <w:sz w:val="24"/>
          <w:szCs w:val="24"/>
          <w:highlight w:val="none"/>
          <w:vertAlign w:val="baseline"/>
          <w:lang w:val="zh-CN"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承诺书格式如下：</w:t>
      </w:r>
    </w:p>
    <w:p w14:paraId="6CF34E3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80" w:firstLineChars="200"/>
        <w:jc w:val="center"/>
        <w:outlineLvl w:val="9"/>
        <w:rPr>
          <w:rFonts w:hint="eastAsia" w:ascii="宋体" w:hAnsi="宋体" w:eastAsia="宋体" w:cs="宋体"/>
          <w:caps w:val="0"/>
          <w:color w:val="auto"/>
          <w:sz w:val="24"/>
          <w:szCs w:val="24"/>
          <w:highlight w:val="none"/>
          <w:vertAlign w:val="baseline"/>
          <w:lang w:val="zh-CN" w:eastAsia="zh-CN" w:bidi="ar"/>
        </w:rPr>
      </w:pPr>
      <w:r>
        <w:rPr>
          <w:rFonts w:hint="eastAsia" w:ascii="宋体" w:hAnsi="宋体" w:eastAsia="宋体" w:cs="宋体"/>
          <w:b w:val="0"/>
          <w:bCs w:val="0"/>
          <w:caps w:val="0"/>
          <w:color w:val="auto"/>
          <w:kern w:val="0"/>
          <w:sz w:val="24"/>
          <w:szCs w:val="24"/>
          <w:highlight w:val="none"/>
          <w:vertAlign w:val="baseline"/>
          <w:lang w:val="zh-CN" w:eastAsia="zh-CN" w:bidi="ar"/>
        </w:rPr>
        <w:t>承 诺 书</w:t>
      </w:r>
    </w:p>
    <w:p w14:paraId="48DB2EF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80" w:firstLineChars="200"/>
        <w:jc w:val="center"/>
        <w:outlineLvl w:val="9"/>
        <w:rPr>
          <w:rFonts w:hint="eastAsia" w:ascii="宋体" w:hAnsi="宋体" w:eastAsia="宋体" w:cs="宋体"/>
          <w:caps w:val="0"/>
          <w:color w:val="auto"/>
          <w:sz w:val="24"/>
          <w:szCs w:val="24"/>
          <w:highlight w:val="none"/>
          <w:vertAlign w:val="baseline"/>
          <w:lang w:val="zh-CN" w:eastAsia="zh-CN" w:bidi="ar"/>
        </w:rPr>
      </w:pPr>
    </w:p>
    <w:p w14:paraId="2B4E7F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80" w:firstLineChars="200"/>
        <w:jc w:val="left"/>
        <w:outlineLvl w:val="9"/>
        <w:rPr>
          <w:rFonts w:hint="eastAsia" w:ascii="宋体" w:hAnsi="宋体" w:eastAsia="宋体" w:cs="宋体"/>
          <w:caps w:val="0"/>
          <w:color w:val="auto"/>
          <w:sz w:val="24"/>
          <w:szCs w:val="24"/>
          <w:highlight w:val="none"/>
          <w:vertAlign w:val="baseline"/>
          <w:lang w:val="zh-CN" w:eastAsia="zh-CN" w:bidi="ar"/>
        </w:rPr>
      </w:pPr>
      <w:r>
        <w:rPr>
          <w:rFonts w:hint="eastAsia" w:ascii="宋体" w:hAnsi="宋体" w:eastAsia="宋体" w:cs="宋体"/>
          <w:b w:val="0"/>
          <w:bCs w:val="0"/>
          <w:caps w:val="0"/>
          <w:color w:val="auto"/>
          <w:kern w:val="0"/>
          <w:sz w:val="24"/>
          <w:szCs w:val="24"/>
          <w:highlight w:val="none"/>
          <w:vertAlign w:val="baseline"/>
          <w:lang w:val="zh-CN" w:eastAsia="zh-CN" w:bidi="ar"/>
        </w:rPr>
        <w:t>致： (采购人）</w:t>
      </w:r>
    </w:p>
    <w:p w14:paraId="0F55B68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80" w:firstLineChars="200"/>
        <w:jc w:val="left"/>
        <w:outlineLvl w:val="9"/>
        <w:rPr>
          <w:rFonts w:hint="eastAsia" w:ascii="宋体" w:hAnsi="宋体" w:eastAsia="宋体" w:cs="宋体"/>
          <w:caps w:val="0"/>
          <w:color w:val="auto"/>
          <w:sz w:val="24"/>
          <w:szCs w:val="24"/>
          <w:highlight w:val="none"/>
          <w:vertAlign w:val="baseline"/>
          <w:lang w:val="zh-CN" w:eastAsia="zh-CN" w:bidi="ar"/>
        </w:rPr>
      </w:pPr>
      <w:r>
        <w:rPr>
          <w:rFonts w:hint="eastAsia" w:ascii="宋体" w:hAnsi="宋体" w:eastAsia="宋体" w:cs="宋体"/>
          <w:b w:val="0"/>
          <w:bCs w:val="0"/>
          <w:caps w:val="0"/>
          <w:color w:val="auto"/>
          <w:kern w:val="0"/>
          <w:sz w:val="24"/>
          <w:szCs w:val="24"/>
          <w:highlight w:val="none"/>
          <w:vertAlign w:val="baseline"/>
          <w:lang w:val="zh-CN" w:eastAsia="zh-CN" w:bidi="ar"/>
        </w:rPr>
        <w:t xml:space="preserve">     我公司承诺</w:t>
      </w:r>
      <w:r>
        <w:rPr>
          <w:rFonts w:hint="eastAsia" w:ascii="宋体" w:hAnsi="宋体" w:eastAsia="宋体" w:cs="宋体"/>
          <w:b w:val="0"/>
          <w:bCs w:val="0"/>
          <w:caps w:val="0"/>
          <w:color w:val="auto"/>
          <w:kern w:val="0"/>
          <w:sz w:val="24"/>
          <w:szCs w:val="24"/>
          <w:highlight w:val="none"/>
          <w:vertAlign w:val="baseline"/>
          <w:lang w:val="en-US" w:eastAsia="zh-CN" w:bidi="ar"/>
        </w:rPr>
        <w:t>自我司成立之日（ 年  月  日）起至今财务状况良好</w:t>
      </w:r>
      <w:r>
        <w:rPr>
          <w:rFonts w:hint="eastAsia" w:ascii="宋体" w:hAnsi="宋体" w:eastAsia="宋体" w:cs="宋体"/>
          <w:b w:val="0"/>
          <w:bCs w:val="0"/>
          <w:caps w:val="0"/>
          <w:color w:val="auto"/>
          <w:kern w:val="0"/>
          <w:sz w:val="24"/>
          <w:szCs w:val="24"/>
          <w:highlight w:val="none"/>
          <w:vertAlign w:val="baseline"/>
          <w:lang w:val="zh-CN" w:eastAsia="zh-CN" w:bidi="ar"/>
        </w:rPr>
        <w:t>。</w:t>
      </w:r>
    </w:p>
    <w:p w14:paraId="608E61D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80" w:firstLineChars="200"/>
        <w:jc w:val="left"/>
        <w:outlineLvl w:val="9"/>
        <w:rPr>
          <w:rFonts w:hint="eastAsia" w:ascii="宋体" w:hAnsi="宋体" w:eastAsia="宋体" w:cs="宋体"/>
          <w:caps w:val="0"/>
          <w:color w:val="auto"/>
          <w:sz w:val="24"/>
          <w:szCs w:val="24"/>
          <w:highlight w:val="none"/>
          <w:vertAlign w:val="baseline"/>
          <w:lang w:val="zh-CN" w:eastAsia="zh-CN" w:bidi="ar"/>
        </w:rPr>
      </w:pPr>
      <w:r>
        <w:rPr>
          <w:rFonts w:hint="eastAsia" w:ascii="宋体" w:hAnsi="宋体" w:eastAsia="宋体" w:cs="宋体"/>
          <w:b w:val="0"/>
          <w:bCs w:val="0"/>
          <w:caps w:val="0"/>
          <w:color w:val="auto"/>
          <w:kern w:val="0"/>
          <w:sz w:val="24"/>
          <w:szCs w:val="24"/>
          <w:highlight w:val="none"/>
          <w:vertAlign w:val="baseline"/>
          <w:lang w:val="zh-CN" w:eastAsia="zh-CN" w:bidi="ar"/>
        </w:rPr>
        <w:t xml:space="preserve">     特此承诺。</w:t>
      </w:r>
    </w:p>
    <w:p w14:paraId="635EE4D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80" w:firstLineChars="200"/>
        <w:jc w:val="left"/>
        <w:outlineLvl w:val="9"/>
        <w:rPr>
          <w:rFonts w:hint="eastAsia" w:ascii="宋体" w:hAnsi="宋体" w:eastAsia="宋体" w:cs="宋体"/>
          <w:caps w:val="0"/>
          <w:color w:val="auto"/>
          <w:sz w:val="24"/>
          <w:szCs w:val="24"/>
          <w:highlight w:val="none"/>
          <w:vertAlign w:val="baseline"/>
          <w:lang w:val="zh-CN" w:eastAsia="zh-CN" w:bidi="ar"/>
        </w:rPr>
      </w:pPr>
    </w:p>
    <w:p w14:paraId="7EC7DA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80" w:firstLineChars="200"/>
        <w:jc w:val="left"/>
        <w:outlineLvl w:val="9"/>
        <w:rPr>
          <w:rFonts w:hint="eastAsia" w:ascii="宋体" w:hAnsi="宋体" w:eastAsia="宋体" w:cs="宋体"/>
          <w:caps w:val="0"/>
          <w:color w:val="auto"/>
          <w:sz w:val="24"/>
          <w:szCs w:val="24"/>
          <w:highlight w:val="none"/>
          <w:vertAlign w:val="baseline"/>
          <w:lang w:val="zh-CN" w:eastAsia="zh-CN" w:bidi="ar"/>
        </w:rPr>
      </w:pPr>
    </w:p>
    <w:p w14:paraId="24CB74F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80" w:firstLineChars="200"/>
        <w:jc w:val="left"/>
        <w:outlineLvl w:val="9"/>
        <w:rPr>
          <w:rFonts w:hint="eastAsia" w:ascii="宋体" w:hAnsi="宋体" w:eastAsia="宋体" w:cs="宋体"/>
          <w:caps w:val="0"/>
          <w:color w:val="auto"/>
          <w:sz w:val="24"/>
          <w:szCs w:val="24"/>
          <w:highlight w:val="none"/>
          <w:vertAlign w:val="baseline"/>
          <w:lang w:val="zh-CN" w:eastAsia="zh-CN" w:bidi="ar"/>
        </w:rPr>
      </w:pPr>
    </w:p>
    <w:p w14:paraId="1A7E363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zh-CN" w:eastAsia="zh-CN" w:bidi="ar"/>
        </w:rPr>
      </w:pPr>
    </w:p>
    <w:p w14:paraId="2814D95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zh-CN" w:eastAsia="zh-CN" w:bidi="ar"/>
        </w:rPr>
      </w:pPr>
    </w:p>
    <w:p w14:paraId="21C1DF2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auto"/>
          <w:sz w:val="24"/>
          <w:szCs w:val="24"/>
          <w:highlight w:val="none"/>
          <w:vertAlign w:val="baseline"/>
          <w:lang w:val="zh-CN" w:eastAsia="zh-CN" w:bidi="ar"/>
        </w:rPr>
      </w:pPr>
      <w:r>
        <w:rPr>
          <w:rFonts w:hint="eastAsia" w:ascii="宋体" w:hAnsi="宋体" w:eastAsia="宋体" w:cs="宋体"/>
          <w:b w:val="0"/>
          <w:bCs w:val="0"/>
          <w:caps w:val="0"/>
          <w:color w:val="auto"/>
          <w:kern w:val="0"/>
          <w:sz w:val="24"/>
          <w:szCs w:val="24"/>
          <w:highlight w:val="none"/>
          <w:vertAlign w:val="baseline"/>
          <w:lang w:val="zh-CN" w:eastAsia="zh-CN" w:bidi="ar"/>
        </w:rPr>
        <w:t>供</w:t>
      </w:r>
      <w:r>
        <w:rPr>
          <w:rFonts w:hint="eastAsia" w:ascii="宋体" w:hAnsi="宋体" w:eastAsia="宋体" w:cs="宋体"/>
          <w:b w:val="0"/>
          <w:bCs w:val="0"/>
          <w:caps w:val="0"/>
          <w:color w:val="auto"/>
          <w:kern w:val="0"/>
          <w:sz w:val="24"/>
          <w:szCs w:val="24"/>
          <w:highlight w:val="none"/>
          <w:vertAlign w:val="baseline"/>
          <w:lang w:val="en-US" w:eastAsia="zh-CN" w:bidi="ar"/>
        </w:rPr>
        <w:t xml:space="preserve"> </w:t>
      </w:r>
      <w:r>
        <w:rPr>
          <w:rFonts w:hint="eastAsia" w:ascii="宋体" w:hAnsi="宋体" w:eastAsia="宋体" w:cs="宋体"/>
          <w:b w:val="0"/>
          <w:bCs w:val="0"/>
          <w:caps w:val="0"/>
          <w:color w:val="auto"/>
          <w:kern w:val="0"/>
          <w:sz w:val="24"/>
          <w:szCs w:val="24"/>
          <w:highlight w:val="none"/>
          <w:vertAlign w:val="baseline"/>
          <w:lang w:val="zh-CN" w:eastAsia="zh-CN" w:bidi="ar"/>
        </w:rPr>
        <w:t>应</w:t>
      </w:r>
      <w:r>
        <w:rPr>
          <w:rFonts w:hint="eastAsia" w:ascii="宋体" w:hAnsi="宋体" w:eastAsia="宋体" w:cs="宋体"/>
          <w:b w:val="0"/>
          <w:bCs w:val="0"/>
          <w:caps w:val="0"/>
          <w:color w:val="auto"/>
          <w:kern w:val="0"/>
          <w:sz w:val="24"/>
          <w:szCs w:val="24"/>
          <w:highlight w:val="none"/>
          <w:vertAlign w:val="baseline"/>
          <w:lang w:val="en-US" w:eastAsia="zh-CN" w:bidi="ar"/>
        </w:rPr>
        <w:t xml:space="preserve"> </w:t>
      </w:r>
      <w:r>
        <w:rPr>
          <w:rFonts w:hint="eastAsia" w:ascii="宋体" w:hAnsi="宋体" w:eastAsia="宋体" w:cs="宋体"/>
          <w:b w:val="0"/>
          <w:bCs w:val="0"/>
          <w:caps w:val="0"/>
          <w:color w:val="auto"/>
          <w:kern w:val="0"/>
          <w:sz w:val="24"/>
          <w:szCs w:val="24"/>
          <w:highlight w:val="none"/>
          <w:vertAlign w:val="baseline"/>
          <w:lang w:val="zh-CN" w:eastAsia="zh-CN" w:bidi="ar"/>
        </w:rPr>
        <w:t xml:space="preserve">商：                             </w:t>
      </w:r>
      <w:r>
        <w:rPr>
          <w:rFonts w:hint="eastAsia" w:ascii="宋体" w:hAnsi="宋体" w:eastAsia="宋体" w:cs="宋体"/>
          <w:b w:val="0"/>
          <w:bCs w:val="0"/>
          <w:caps w:val="0"/>
          <w:color w:val="auto"/>
          <w:kern w:val="0"/>
          <w:sz w:val="24"/>
          <w:szCs w:val="24"/>
          <w:highlight w:val="none"/>
          <w:vertAlign w:val="baseline"/>
          <w:lang w:val="en-US" w:eastAsia="zh-CN" w:bidi="ar"/>
        </w:rPr>
        <w:t xml:space="preserve">  </w:t>
      </w:r>
      <w:r>
        <w:rPr>
          <w:rFonts w:hint="eastAsia" w:ascii="宋体" w:hAnsi="宋体" w:eastAsia="宋体" w:cs="宋体"/>
          <w:b w:val="0"/>
          <w:bCs w:val="0"/>
          <w:caps w:val="0"/>
          <w:color w:val="auto"/>
          <w:kern w:val="0"/>
          <w:sz w:val="24"/>
          <w:szCs w:val="24"/>
          <w:highlight w:val="none"/>
          <w:vertAlign w:val="baseline"/>
          <w:lang w:val="zh-CN" w:eastAsia="zh-CN" w:bidi="ar"/>
        </w:rPr>
        <w:t>（盖单位章）</w:t>
      </w:r>
    </w:p>
    <w:p w14:paraId="2866AD6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auto"/>
          <w:sz w:val="24"/>
          <w:szCs w:val="24"/>
          <w:highlight w:val="none"/>
          <w:vertAlign w:val="baseline"/>
          <w:lang w:val="zh-CN" w:eastAsia="zh-CN" w:bidi="ar"/>
        </w:rPr>
      </w:pPr>
      <w:r>
        <w:rPr>
          <w:rFonts w:hint="eastAsia" w:ascii="宋体" w:hAnsi="宋体" w:eastAsia="宋体" w:cs="宋体"/>
          <w:b w:val="0"/>
          <w:bCs w:val="0"/>
          <w:caps w:val="0"/>
          <w:color w:val="auto"/>
          <w:kern w:val="0"/>
          <w:sz w:val="24"/>
          <w:szCs w:val="24"/>
          <w:highlight w:val="none"/>
          <w:vertAlign w:val="baseline"/>
          <w:lang w:val="zh-CN" w:eastAsia="zh-CN" w:bidi="ar"/>
        </w:rPr>
        <w:t>法定代表人或其委托代理人：               （签字或盖章）</w:t>
      </w:r>
    </w:p>
    <w:p w14:paraId="4CB840E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auto"/>
          <w:sz w:val="24"/>
          <w:szCs w:val="24"/>
          <w:highlight w:val="none"/>
          <w:vertAlign w:val="baseline"/>
          <w:lang w:val="zh-CN" w:eastAsia="zh-CN" w:bidi="ar"/>
        </w:rPr>
      </w:pPr>
      <w:r>
        <w:rPr>
          <w:rFonts w:hint="eastAsia" w:ascii="宋体" w:hAnsi="宋体" w:eastAsia="宋体" w:cs="宋体"/>
          <w:b w:val="0"/>
          <w:bCs w:val="0"/>
          <w:caps w:val="0"/>
          <w:color w:val="auto"/>
          <w:kern w:val="0"/>
          <w:sz w:val="24"/>
          <w:szCs w:val="24"/>
          <w:highlight w:val="none"/>
          <w:vertAlign w:val="baseline"/>
          <w:lang w:val="zh-CN" w:eastAsia="zh-CN" w:bidi="ar"/>
        </w:rPr>
        <w:t xml:space="preserve">                                     年        月        日</w:t>
      </w:r>
    </w:p>
    <w:p w14:paraId="45F2509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right="0"/>
        <w:jc w:val="left"/>
        <w:outlineLvl w:val="9"/>
        <w:rPr>
          <w:rFonts w:hint="eastAsia" w:ascii="宋体" w:hAnsi="宋体" w:eastAsia="宋体" w:cs="宋体"/>
          <w:caps w:val="0"/>
          <w:color w:val="auto"/>
          <w:sz w:val="24"/>
          <w:szCs w:val="24"/>
          <w:highlight w:val="none"/>
          <w:vertAlign w:val="baseline"/>
          <w:lang w:bidi="ar"/>
        </w:rPr>
      </w:pPr>
    </w:p>
    <w:p w14:paraId="0938BCC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120" w:afterAutospacing="0" w:line="440" w:lineRule="exact"/>
        <w:ind w:left="0" w:right="0" w:firstLine="480"/>
        <w:jc w:val="center"/>
        <w:outlineLvl w:val="9"/>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val="0"/>
          <w:bCs w:val="0"/>
          <w:caps w:val="0"/>
          <w:color w:val="auto"/>
          <w:kern w:val="2"/>
          <w:sz w:val="21"/>
          <w:szCs w:val="21"/>
          <w:highlight w:val="none"/>
          <w:vertAlign w:val="baseline"/>
          <w:lang w:val="en-US" w:eastAsia="zh-CN" w:bidi="ar"/>
        </w:rPr>
        <w:br w:type="page"/>
      </w:r>
      <w:r>
        <w:rPr>
          <w:rFonts w:hint="eastAsia" w:ascii="宋体" w:hAnsi="宋体" w:eastAsia="宋体" w:cs="宋体"/>
          <w:b/>
          <w:bCs/>
          <w:color w:val="auto"/>
          <w:kern w:val="2"/>
          <w:sz w:val="32"/>
          <w:szCs w:val="32"/>
          <w:highlight w:val="none"/>
          <w:lang w:val="en-US" w:eastAsia="zh-CN" w:bidi="ar-SA"/>
        </w:rPr>
        <w:t>（</w:t>
      </w:r>
      <w:r>
        <w:rPr>
          <w:rFonts w:hint="eastAsia" w:ascii="宋体" w:hAnsi="宋体" w:cs="宋体"/>
          <w:b/>
          <w:bCs/>
          <w:color w:val="auto"/>
          <w:kern w:val="2"/>
          <w:sz w:val="32"/>
          <w:szCs w:val="32"/>
          <w:highlight w:val="none"/>
          <w:lang w:val="en-US" w:eastAsia="zh-CN" w:bidi="ar-SA"/>
        </w:rPr>
        <w:t>四</w:t>
      </w:r>
      <w:r>
        <w:rPr>
          <w:rFonts w:hint="eastAsia" w:ascii="宋体" w:hAnsi="宋体" w:eastAsia="宋体" w:cs="宋体"/>
          <w:b/>
          <w:bCs/>
          <w:color w:val="auto"/>
          <w:kern w:val="2"/>
          <w:sz w:val="32"/>
          <w:szCs w:val="32"/>
          <w:highlight w:val="none"/>
          <w:lang w:val="en-US" w:eastAsia="zh-CN" w:bidi="ar-SA"/>
        </w:rPr>
        <w:t>）依法缴纳税收</w:t>
      </w:r>
      <w:r>
        <w:rPr>
          <w:rFonts w:hint="eastAsia" w:ascii="宋体" w:hAnsi="宋体" w:cs="宋体"/>
          <w:b/>
          <w:bCs/>
          <w:color w:val="auto"/>
          <w:kern w:val="2"/>
          <w:sz w:val="32"/>
          <w:szCs w:val="32"/>
          <w:highlight w:val="none"/>
          <w:lang w:val="en-US" w:eastAsia="zh-CN" w:bidi="ar-SA"/>
        </w:rPr>
        <w:t>和社会保障资金</w:t>
      </w:r>
      <w:r>
        <w:rPr>
          <w:rFonts w:hint="eastAsia" w:ascii="宋体" w:hAnsi="宋体" w:eastAsia="宋体" w:cs="宋体"/>
          <w:b/>
          <w:bCs/>
          <w:color w:val="auto"/>
          <w:kern w:val="2"/>
          <w:sz w:val="32"/>
          <w:szCs w:val="32"/>
          <w:highlight w:val="none"/>
          <w:lang w:val="en-US" w:eastAsia="zh-CN" w:bidi="ar-SA"/>
        </w:rPr>
        <w:t>的证明</w:t>
      </w:r>
    </w:p>
    <w:p w14:paraId="3E942744">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240" w:lineRule="auto"/>
        <w:ind w:left="0" w:right="-57" w:rightChars="-27" w:firstLine="0"/>
        <w:jc w:val="left"/>
        <w:outlineLvl w:val="9"/>
        <w:rPr>
          <w:rFonts w:hint="eastAsia" w:ascii="宋体" w:hAnsi="宋体" w:eastAsia="宋体" w:cs="宋体"/>
          <w:caps w:val="0"/>
          <w:color w:val="auto"/>
          <w:sz w:val="24"/>
          <w:szCs w:val="24"/>
          <w:highlight w:val="none"/>
          <w:vertAlign w:val="baseline"/>
          <w:lang w:bidi="ar"/>
        </w:rPr>
      </w:pPr>
    </w:p>
    <w:p w14:paraId="6FCE3727">
      <w:pPr>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br w:type="page"/>
      </w:r>
    </w:p>
    <w:p w14:paraId="4DC5DE0B">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360" w:lineRule="auto"/>
        <w:ind w:left="0" w:right="-57" w:rightChars="-27" w:firstLine="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依法缴纳税收</w:t>
      </w:r>
    </w:p>
    <w:p w14:paraId="1E92DF66">
      <w:pPr>
        <w:widowControl/>
        <w:spacing w:line="360" w:lineRule="auto"/>
        <w:ind w:firstLine="480" w:firstLineChars="200"/>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1、</w:t>
      </w:r>
      <w:r>
        <w:rPr>
          <w:rFonts w:hint="eastAsia" w:ascii="宋体" w:hAnsi="宋体" w:cs="宋体"/>
          <w:kern w:val="0"/>
          <w:sz w:val="24"/>
          <w:highlight w:val="none"/>
          <w:lang w:bidi="ar"/>
        </w:rPr>
        <w:t>供应商2024年0</w:t>
      </w:r>
      <w:r>
        <w:rPr>
          <w:rFonts w:hint="eastAsia" w:ascii="宋体" w:hAnsi="宋体" w:cs="宋体"/>
          <w:kern w:val="0"/>
          <w:sz w:val="24"/>
          <w:highlight w:val="none"/>
          <w:lang w:val="en-US" w:eastAsia="zh-CN" w:bidi="ar"/>
        </w:rPr>
        <w:t>6</w:t>
      </w:r>
      <w:r>
        <w:rPr>
          <w:rFonts w:hint="eastAsia" w:ascii="宋体" w:hAnsi="宋体" w:cs="宋体"/>
          <w:kern w:val="0"/>
          <w:sz w:val="24"/>
          <w:highlight w:val="none"/>
          <w:lang w:bidi="ar"/>
        </w:rPr>
        <w:t>月至投标截止时间前任意一个月具有依法缴纳税收的良好记录；</w:t>
      </w:r>
    </w:p>
    <w:p w14:paraId="2D90CCD5">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360" w:lineRule="auto"/>
        <w:ind w:left="0" w:right="-57" w:rightChars="-27" w:firstLine="480" w:firstLineChars="20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2、依法免税的</w:t>
      </w:r>
      <w:r>
        <w:rPr>
          <w:rFonts w:hint="eastAsia" w:ascii="宋体" w:hAnsi="宋体" w:cs="宋体"/>
          <w:b w:val="0"/>
          <w:bCs w:val="0"/>
          <w:caps w:val="0"/>
          <w:color w:val="auto"/>
          <w:kern w:val="0"/>
          <w:sz w:val="24"/>
          <w:szCs w:val="24"/>
          <w:highlight w:val="none"/>
          <w:vertAlign w:val="baseline"/>
          <w:lang w:val="en-US" w:eastAsia="zh-CN" w:bidi="ar"/>
        </w:rPr>
        <w:t>供应商</w:t>
      </w:r>
      <w:r>
        <w:rPr>
          <w:rFonts w:hint="eastAsia" w:ascii="宋体" w:hAnsi="宋体" w:eastAsia="宋体" w:cs="宋体"/>
          <w:b w:val="0"/>
          <w:bCs w:val="0"/>
          <w:caps w:val="0"/>
          <w:color w:val="auto"/>
          <w:kern w:val="0"/>
          <w:sz w:val="24"/>
          <w:szCs w:val="24"/>
          <w:highlight w:val="none"/>
          <w:vertAlign w:val="baseline"/>
          <w:lang w:val="en-US" w:eastAsia="zh-CN" w:bidi="ar"/>
        </w:rPr>
        <w:t>，应提供相应文件证明其依法免税。</w:t>
      </w:r>
      <w:bookmarkStart w:id="187" w:name="_Toc16271"/>
      <w:bookmarkStart w:id="188" w:name="_Toc2794"/>
      <w:bookmarkStart w:id="189" w:name="_Toc532560555"/>
    </w:p>
    <w:p w14:paraId="605EE4F0">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360" w:lineRule="auto"/>
        <w:ind w:left="0" w:right="-57" w:rightChars="-27" w:firstLine="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bookmarkStart w:id="190" w:name="_Toc8555"/>
      <w:bookmarkStart w:id="191" w:name="_Toc7021491"/>
    </w:p>
    <w:p w14:paraId="6F827871">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360" w:lineRule="auto"/>
        <w:ind w:left="0" w:right="-57" w:rightChars="-27" w:firstLine="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p>
    <w:p w14:paraId="45BB124F">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360" w:lineRule="auto"/>
        <w:ind w:left="0" w:right="-57" w:rightChars="-27" w:firstLine="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p>
    <w:p w14:paraId="034996A9">
      <w:pPr>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br w:type="page"/>
      </w:r>
    </w:p>
    <w:p w14:paraId="35EA9464">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360" w:lineRule="auto"/>
        <w:ind w:left="0" w:right="-57" w:rightChars="-27"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社会保障资金缴纳记录</w:t>
      </w:r>
      <w:bookmarkEnd w:id="187"/>
      <w:bookmarkEnd w:id="188"/>
      <w:bookmarkEnd w:id="189"/>
      <w:bookmarkEnd w:id="190"/>
      <w:bookmarkEnd w:id="191"/>
    </w:p>
    <w:p w14:paraId="64A05B2C">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360" w:lineRule="auto"/>
        <w:ind w:left="420" w:leftChars="200" w:right="-57" w:rightChars="-27" w:firstLine="0"/>
        <w:jc w:val="left"/>
        <w:outlineLvl w:val="9"/>
        <w:rPr>
          <w:rFonts w:hint="eastAsia" w:ascii="宋体" w:hAnsi="宋体" w:eastAsia="宋体" w:cs="宋体"/>
          <w:caps w:val="0"/>
          <w:color w:val="auto"/>
          <w:sz w:val="24"/>
          <w:szCs w:val="24"/>
          <w:highlight w:val="none"/>
          <w:vertAlign w:val="baseline"/>
          <w:lang w:bidi="ar"/>
        </w:rPr>
      </w:pPr>
    </w:p>
    <w:p w14:paraId="3E877B2F">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360" w:lineRule="auto"/>
        <w:ind w:left="0" w:right="-57" w:rightChars="-27" w:firstLine="480" w:firstLineChars="20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1、</w:t>
      </w:r>
      <w:r>
        <w:rPr>
          <w:rFonts w:hint="eastAsia" w:ascii="宋体" w:hAnsi="宋体" w:cs="宋体"/>
          <w:kern w:val="0"/>
          <w:sz w:val="24"/>
          <w:highlight w:val="none"/>
          <w:lang w:bidi="ar"/>
        </w:rPr>
        <w:t>依法缴纳社会保障资金证明：供应商20</w:t>
      </w:r>
      <w:r>
        <w:rPr>
          <w:rFonts w:hint="eastAsia" w:ascii="宋体" w:hAnsi="宋体" w:cs="宋体"/>
          <w:kern w:val="0"/>
          <w:sz w:val="24"/>
          <w:highlight w:val="none"/>
          <w:lang w:val="en-US" w:eastAsia="zh-CN" w:bidi="ar"/>
        </w:rPr>
        <w:t>24</w:t>
      </w:r>
      <w:r>
        <w:rPr>
          <w:rFonts w:hint="eastAsia" w:ascii="宋体" w:hAnsi="宋体" w:cs="宋体"/>
          <w:kern w:val="0"/>
          <w:sz w:val="24"/>
          <w:highlight w:val="none"/>
          <w:lang w:bidi="ar"/>
        </w:rPr>
        <w:t>年0</w:t>
      </w:r>
      <w:r>
        <w:rPr>
          <w:rFonts w:hint="eastAsia" w:ascii="宋体" w:hAnsi="宋体" w:cs="宋体"/>
          <w:kern w:val="0"/>
          <w:sz w:val="24"/>
          <w:highlight w:val="none"/>
          <w:lang w:val="en-US" w:eastAsia="zh-CN" w:bidi="ar"/>
        </w:rPr>
        <w:t>6</w:t>
      </w:r>
      <w:r>
        <w:rPr>
          <w:rFonts w:hint="eastAsia" w:ascii="宋体" w:hAnsi="宋体" w:cs="宋体"/>
          <w:kern w:val="0"/>
          <w:sz w:val="24"/>
          <w:highlight w:val="none"/>
          <w:lang w:bidi="ar"/>
        </w:rPr>
        <w:t>月至投标截止时间前任意一个月具有依法缴纳社会保障资金的良好记录；</w:t>
      </w:r>
    </w:p>
    <w:p w14:paraId="69BFE9F9">
      <w:pPr>
        <w:pStyle w:val="4"/>
        <w:spacing w:before="0" w:after="0" w:line="360" w:lineRule="auto"/>
        <w:ind w:firstLine="480" w:firstLineChars="200"/>
        <w:jc w:val="left"/>
        <w:rPr>
          <w:rFonts w:hint="eastAsia" w:ascii="宋体" w:hAnsi="宋体" w:eastAsia="宋体" w:cs="宋体"/>
          <w:b w:val="0"/>
          <w:bCs w:val="0"/>
          <w:caps w:val="0"/>
          <w:color w:val="auto"/>
          <w:kern w:val="0"/>
          <w:sz w:val="24"/>
          <w:szCs w:val="24"/>
          <w:highlight w:val="none"/>
          <w:vertAlign w:val="baseline"/>
          <w:lang w:val="en-US" w:eastAsia="zh-CN" w:bidi="ar"/>
        </w:rPr>
      </w:pPr>
      <w:bookmarkStart w:id="192" w:name="_Toc7619"/>
      <w:bookmarkStart w:id="193" w:name="_Toc24521"/>
      <w:r>
        <w:rPr>
          <w:rFonts w:hint="eastAsia" w:ascii="宋体" w:hAnsi="宋体" w:eastAsia="宋体" w:cs="宋体"/>
          <w:b w:val="0"/>
          <w:bCs w:val="0"/>
          <w:caps w:val="0"/>
          <w:color w:val="auto"/>
          <w:kern w:val="0"/>
          <w:sz w:val="24"/>
          <w:szCs w:val="24"/>
          <w:highlight w:val="none"/>
          <w:vertAlign w:val="baseline"/>
          <w:lang w:val="en-US" w:eastAsia="zh-CN" w:bidi="ar"/>
        </w:rPr>
        <w:t>2、不需要缴纳社会保障资金的</w:t>
      </w:r>
      <w:r>
        <w:rPr>
          <w:rFonts w:hint="eastAsia" w:ascii="宋体" w:hAnsi="宋体" w:cs="宋体"/>
          <w:b w:val="0"/>
          <w:bCs w:val="0"/>
          <w:caps w:val="0"/>
          <w:color w:val="auto"/>
          <w:kern w:val="0"/>
          <w:sz w:val="24"/>
          <w:szCs w:val="24"/>
          <w:highlight w:val="none"/>
          <w:vertAlign w:val="baseline"/>
          <w:lang w:val="en-US" w:eastAsia="zh-CN" w:bidi="ar"/>
        </w:rPr>
        <w:t>供应商</w:t>
      </w:r>
      <w:r>
        <w:rPr>
          <w:rFonts w:hint="eastAsia" w:ascii="宋体" w:hAnsi="宋体" w:eastAsia="宋体" w:cs="宋体"/>
          <w:b w:val="0"/>
          <w:bCs w:val="0"/>
          <w:caps w:val="0"/>
          <w:color w:val="auto"/>
          <w:kern w:val="0"/>
          <w:sz w:val="24"/>
          <w:szCs w:val="24"/>
          <w:highlight w:val="none"/>
          <w:vertAlign w:val="baseline"/>
          <w:lang w:val="en-US" w:eastAsia="zh-CN" w:bidi="ar"/>
        </w:rPr>
        <w:t>，应提供相应文件证明其不需要缴纳社会保障资金。</w:t>
      </w:r>
      <w:bookmarkEnd w:id="192"/>
      <w:bookmarkEnd w:id="193"/>
    </w:p>
    <w:p w14:paraId="0FE73BE5">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60C85AE4">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584C1ACC">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38CD8BF8">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2CEC972E">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7C5A5A54">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47C0122F">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393185EF">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054D3F49">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6799166B">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47760D0C">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1B04A280">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6E7CFA2C">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4F436F17">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7A84B48B">
      <w:pPr>
        <w:rPr>
          <w:rFonts w:hint="eastAsia" w:ascii="宋体" w:hAnsi="宋体" w:eastAsia="宋体" w:cs="宋体"/>
          <w:b w:val="0"/>
          <w:bCs w:val="0"/>
          <w:caps w:val="0"/>
          <w:color w:val="auto"/>
          <w:kern w:val="0"/>
          <w:sz w:val="21"/>
          <w:szCs w:val="21"/>
          <w:highlight w:val="none"/>
          <w:vertAlign w:val="baseline"/>
          <w:lang w:val="en-US" w:eastAsia="zh-CN" w:bidi="ar"/>
        </w:rPr>
      </w:pPr>
    </w:p>
    <w:p w14:paraId="4D50206B">
      <w:pPr>
        <w:pStyle w:val="45"/>
        <w:widowControl w:val="0"/>
        <w:numPr>
          <w:ilvl w:val="0"/>
          <w:numId w:val="0"/>
        </w:numPr>
        <w:spacing w:line="360" w:lineRule="auto"/>
        <w:jc w:val="both"/>
        <w:rPr>
          <w:rFonts w:hint="eastAsia" w:ascii="宋体" w:hAnsi="宋体" w:eastAsia="宋体" w:cs="宋体"/>
          <w:b w:val="0"/>
          <w:bCs w:val="0"/>
          <w:caps w:val="0"/>
          <w:color w:val="auto"/>
          <w:kern w:val="0"/>
          <w:sz w:val="21"/>
          <w:szCs w:val="21"/>
          <w:highlight w:val="none"/>
          <w:vertAlign w:val="baseline"/>
          <w:lang w:val="en-US" w:eastAsia="zh-CN" w:bidi="ar"/>
        </w:rPr>
      </w:pPr>
    </w:p>
    <w:bookmarkEnd w:id="180"/>
    <w:bookmarkEnd w:id="181"/>
    <w:bookmarkEnd w:id="182"/>
    <w:bookmarkEnd w:id="183"/>
    <w:bookmarkEnd w:id="184"/>
    <w:p w14:paraId="07B8C0A0">
      <w:pP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br w:type="page"/>
      </w:r>
    </w:p>
    <w:p w14:paraId="0E7887E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120" w:afterAutospacing="0" w:line="440" w:lineRule="exact"/>
        <w:ind w:left="0" w:right="0" w:firstLine="480"/>
        <w:jc w:val="center"/>
        <w:outlineLvl w:val="9"/>
        <w:rPr>
          <w:rFonts w:hint="default"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w:t>
      </w:r>
      <w:r>
        <w:rPr>
          <w:rFonts w:hint="eastAsia" w:ascii="宋体" w:hAnsi="宋体" w:cs="宋体"/>
          <w:b/>
          <w:bCs/>
          <w:color w:val="auto"/>
          <w:kern w:val="2"/>
          <w:sz w:val="32"/>
          <w:szCs w:val="32"/>
          <w:highlight w:val="none"/>
          <w:lang w:val="en-US" w:eastAsia="zh-CN" w:bidi="ar-SA"/>
        </w:rPr>
        <w:t>五</w:t>
      </w:r>
      <w:r>
        <w:rPr>
          <w:rFonts w:hint="eastAsia" w:ascii="宋体" w:hAnsi="宋体" w:eastAsia="宋体" w:cs="宋体"/>
          <w:b/>
          <w:bCs/>
          <w:color w:val="auto"/>
          <w:kern w:val="2"/>
          <w:sz w:val="32"/>
          <w:szCs w:val="32"/>
          <w:highlight w:val="none"/>
          <w:lang w:val="en-US" w:eastAsia="zh-CN" w:bidi="ar-SA"/>
        </w:rPr>
        <w:t>）</w:t>
      </w:r>
      <w:r>
        <w:rPr>
          <w:rFonts w:hint="eastAsia" w:ascii="宋体" w:hAnsi="宋体" w:cs="宋体"/>
          <w:b/>
          <w:bCs/>
          <w:color w:val="auto"/>
          <w:kern w:val="2"/>
          <w:sz w:val="32"/>
          <w:szCs w:val="32"/>
          <w:highlight w:val="none"/>
          <w:lang w:val="en-US" w:eastAsia="zh-CN" w:bidi="ar-SA"/>
        </w:rPr>
        <w:t>投标保证金</w:t>
      </w:r>
    </w:p>
    <w:p w14:paraId="0041250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77DDBAF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120" w:afterAutospacing="0" w:line="440" w:lineRule="exact"/>
        <w:ind w:right="0" w:firstLine="2570" w:firstLineChars="800"/>
        <w:jc w:val="both"/>
        <w:outlineLvl w:val="9"/>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w:t>
      </w:r>
      <w:r>
        <w:rPr>
          <w:rFonts w:hint="eastAsia" w:ascii="宋体" w:hAnsi="宋体" w:cs="宋体"/>
          <w:b/>
          <w:bCs/>
          <w:color w:val="auto"/>
          <w:kern w:val="2"/>
          <w:sz w:val="32"/>
          <w:szCs w:val="32"/>
          <w:highlight w:val="none"/>
          <w:lang w:val="en-US" w:eastAsia="zh-CN" w:bidi="ar-SA"/>
        </w:rPr>
        <w:t>六</w:t>
      </w:r>
      <w:r>
        <w:rPr>
          <w:rFonts w:hint="eastAsia" w:ascii="宋体" w:hAnsi="宋体" w:eastAsia="宋体" w:cs="宋体"/>
          <w:b/>
          <w:bCs/>
          <w:color w:val="auto"/>
          <w:kern w:val="2"/>
          <w:sz w:val="32"/>
          <w:szCs w:val="32"/>
          <w:highlight w:val="none"/>
          <w:lang w:val="en-US" w:eastAsia="zh-CN" w:bidi="ar-SA"/>
        </w:rPr>
        <w:t>）信誉要求</w:t>
      </w:r>
    </w:p>
    <w:p w14:paraId="2CC904E8">
      <w:pPr>
        <w:rPr>
          <w:rFonts w:hint="eastAsia"/>
          <w:highlight w:val="none"/>
        </w:rPr>
      </w:pPr>
    </w:p>
    <w:p w14:paraId="1FD3E978">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37D74EF0">
      <w:pPr>
        <w:rPr>
          <w:rFonts w:hint="eastAsia" w:ascii="宋体" w:hAnsi="宋体" w:eastAsia="宋体" w:cs="宋体"/>
          <w:b/>
          <w:bCs/>
          <w:caps w:val="0"/>
          <w:color w:val="000000"/>
          <w:kern w:val="0"/>
          <w:sz w:val="28"/>
          <w:szCs w:val="28"/>
          <w:highlight w:val="none"/>
          <w:vertAlign w:val="baseline"/>
          <w:lang w:val="en-US" w:eastAsia="zh-CN" w:bidi="ar"/>
        </w:rPr>
      </w:pPr>
      <w:r>
        <w:rPr>
          <w:rFonts w:hint="eastAsia" w:ascii="宋体" w:hAnsi="宋体" w:eastAsia="宋体" w:cs="宋体"/>
          <w:b/>
          <w:bCs/>
          <w:caps w:val="0"/>
          <w:color w:val="000000"/>
          <w:kern w:val="0"/>
          <w:sz w:val="28"/>
          <w:szCs w:val="28"/>
          <w:highlight w:val="none"/>
          <w:vertAlign w:val="baseline"/>
          <w:lang w:val="en-US" w:eastAsia="zh-CN" w:bidi="ar"/>
        </w:rPr>
        <w:br w:type="page"/>
      </w:r>
    </w:p>
    <w:p w14:paraId="6DC16667">
      <w:pPr>
        <w:pStyle w:val="3"/>
        <w:spacing w:before="0" w:after="0" w:line="300" w:lineRule="auto"/>
        <w:jc w:val="center"/>
        <w:rPr>
          <w:rFonts w:hint="eastAsia" w:ascii="宋体" w:hAnsi="宋体" w:eastAsia="宋体" w:cs="宋体"/>
          <w:color w:val="auto"/>
          <w:highlight w:val="none"/>
          <w:lang w:val="zh-CN" w:eastAsia="zh-CN"/>
        </w:rPr>
      </w:pPr>
      <w:bookmarkStart w:id="194" w:name="_Toc23927"/>
      <w:bookmarkStart w:id="195" w:name="_Toc27780"/>
      <w:r>
        <w:rPr>
          <w:rFonts w:hint="eastAsia" w:ascii="宋体" w:hAnsi="宋体" w:eastAsia="宋体" w:cs="宋体"/>
          <w:color w:val="auto"/>
          <w:highlight w:val="none"/>
          <w:lang w:val="en-US" w:eastAsia="zh-CN"/>
        </w:rPr>
        <w:t>六、中小企业声明函</w:t>
      </w:r>
      <w:bookmarkEnd w:id="194"/>
      <w:bookmarkEnd w:id="195"/>
    </w:p>
    <w:p w14:paraId="46A76302">
      <w:pPr>
        <w:widowControl/>
        <w:autoSpaceDE w:val="0"/>
        <w:autoSpaceDN w:val="0"/>
        <w:ind w:right="-12"/>
        <w:jc w:val="center"/>
        <w:textAlignment w:val="bottom"/>
        <w:rPr>
          <w:rFonts w:cs="Times New Roman"/>
          <w:bCs/>
          <w:color w:val="auto"/>
          <w:highlight w:val="none"/>
        </w:rPr>
      </w:pPr>
    </w:p>
    <w:p w14:paraId="3E26FB99">
      <w:pPr>
        <w:pStyle w:val="21"/>
        <w:snapToGrid w:val="0"/>
        <w:spacing w:beforeAutospacing="0" w:afterAutospacing="0" w:line="360" w:lineRule="auto"/>
        <w:ind w:right="5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14:paraId="0E3BE57F">
      <w:pPr>
        <w:pStyle w:val="21"/>
        <w:snapToGrid w:val="0"/>
        <w:spacing w:beforeAutospacing="0" w:afterAutospacing="0" w:line="360" w:lineRule="auto"/>
        <w:ind w:right="5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521C67F2">
      <w:pPr>
        <w:pStyle w:val="21"/>
        <w:snapToGrid w:val="0"/>
        <w:spacing w:beforeAutospacing="0" w:afterAutospacing="0" w:line="360" w:lineRule="auto"/>
        <w:ind w:right="5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万元，属于（中型企业、小型企业、微型企业）；</w:t>
      </w:r>
    </w:p>
    <w:p w14:paraId="45DE8526">
      <w:pPr>
        <w:pStyle w:val="21"/>
        <w:snapToGrid w:val="0"/>
        <w:spacing w:beforeAutospacing="0" w:afterAutospacing="0" w:line="360" w:lineRule="auto"/>
        <w:ind w:right="480" w:firstLine="3120"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7B59FDDC">
      <w:pPr>
        <w:pStyle w:val="21"/>
        <w:snapToGrid w:val="0"/>
        <w:spacing w:beforeAutospacing="0" w:afterAutospacing="0" w:line="360" w:lineRule="auto"/>
        <w:ind w:right="5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54FE3F8B">
      <w:pPr>
        <w:pStyle w:val="21"/>
        <w:snapToGrid w:val="0"/>
        <w:spacing w:beforeAutospacing="0" w:afterAutospacing="0" w:line="360" w:lineRule="auto"/>
        <w:ind w:righ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223A7B7F">
      <w:pPr>
        <w:pStyle w:val="21"/>
        <w:snapToGrid w:val="0"/>
        <w:spacing w:beforeAutospacing="0" w:afterAutospacing="0" w:line="360" w:lineRule="auto"/>
        <w:ind w:right="480" w:firstLine="5640" w:firstLineChars="2350"/>
        <w:rPr>
          <w:rFonts w:hint="eastAsia" w:ascii="宋体" w:hAnsi="宋体" w:eastAsia="宋体" w:cs="宋体"/>
          <w:color w:val="auto"/>
          <w:sz w:val="24"/>
          <w:szCs w:val="24"/>
          <w:highlight w:val="none"/>
        </w:rPr>
      </w:pPr>
    </w:p>
    <w:p w14:paraId="4ED0DFAA">
      <w:pPr>
        <w:pStyle w:val="21"/>
        <w:snapToGrid w:val="0"/>
        <w:spacing w:beforeAutospacing="0" w:afterAutospacing="0" w:line="360" w:lineRule="auto"/>
        <w:ind w:right="480" w:firstLine="5640" w:firstLineChars="2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14:paraId="14F6B96B">
      <w:pPr>
        <w:pStyle w:val="21"/>
        <w:snapToGrid w:val="0"/>
        <w:spacing w:beforeAutospacing="0" w:afterAutospacing="0" w:line="360" w:lineRule="auto"/>
        <w:ind w:right="480" w:firstLine="5640" w:firstLineChars="2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16622492">
      <w:pPr>
        <w:pStyle w:val="21"/>
        <w:snapToGrid w:val="0"/>
        <w:spacing w:beforeAutospacing="0" w:afterAutospacing="0" w:line="360" w:lineRule="auto"/>
        <w:ind w:righ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181663B4">
      <w:pPr>
        <w:pStyle w:val="21"/>
        <w:snapToGrid w:val="0"/>
        <w:spacing w:beforeAutospacing="0" w:afterAutospacing="0" w:line="360" w:lineRule="auto"/>
        <w:ind w:right="58"/>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14:paraId="047640A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0"/>
          <w:sz w:val="24"/>
          <w:szCs w:val="24"/>
          <w:highlight w:val="none"/>
          <w:lang w:val="en-US" w:eastAsia="zh-CN" w:bidi="ar-SA"/>
        </w:rPr>
        <w:t>.中标人享受中小企业扶持政策的，将随中标结果一并公示，如声明函内容不实的，将视</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val="en-US" w:eastAsia="zh-CN"/>
        </w:rPr>
        <w:t>提供虚假材料谋取中标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将</w:t>
      </w:r>
      <w:r>
        <w:rPr>
          <w:rFonts w:hint="eastAsia" w:ascii="宋体" w:hAnsi="宋体" w:eastAsia="宋体" w:cs="宋体"/>
          <w:color w:val="auto"/>
          <w:sz w:val="24"/>
          <w:szCs w:val="24"/>
          <w:highlight w:val="none"/>
        </w:rPr>
        <w:t>追究其法律责任。</w:t>
      </w:r>
    </w:p>
    <w:p w14:paraId="0520E55A">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3.本项目所有采购标的所属行业：软件和信息技术服务业。</w:t>
      </w:r>
    </w:p>
    <w:p w14:paraId="00B647FE">
      <w:pPr>
        <w:autoSpaceDE w:val="0"/>
        <w:autoSpaceDN w:val="0"/>
        <w:adjustRightInd w:val="0"/>
        <w:spacing w:line="300" w:lineRule="auto"/>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br w:type="page"/>
      </w:r>
    </w:p>
    <w:p w14:paraId="3DAA30A6">
      <w:pPr>
        <w:pStyle w:val="3"/>
        <w:spacing w:before="0" w:after="0" w:line="300" w:lineRule="auto"/>
        <w:jc w:val="center"/>
        <w:rPr>
          <w:rFonts w:hint="default" w:ascii="宋体" w:hAnsi="宋体" w:eastAsia="宋体" w:cs="宋体"/>
          <w:color w:val="auto"/>
          <w:highlight w:val="none"/>
          <w:lang w:val="en-US" w:eastAsia="zh-CN"/>
        </w:rPr>
      </w:pPr>
      <w:bookmarkStart w:id="196" w:name="_Toc27073"/>
      <w:bookmarkStart w:id="197" w:name="_Toc27847"/>
      <w:r>
        <w:rPr>
          <w:rFonts w:hint="eastAsia" w:ascii="宋体" w:hAnsi="宋体" w:eastAsia="宋体" w:cs="宋体"/>
          <w:color w:val="auto"/>
          <w:highlight w:val="none"/>
          <w:lang w:val="en-US" w:eastAsia="zh-CN"/>
        </w:rPr>
        <w:t>七、</w:t>
      </w:r>
      <w:bookmarkEnd w:id="196"/>
      <w:r>
        <w:rPr>
          <w:rFonts w:hint="eastAsia" w:ascii="宋体" w:hAnsi="宋体" w:eastAsia="宋体" w:cs="宋体"/>
          <w:color w:val="auto"/>
          <w:highlight w:val="none"/>
          <w:lang w:val="en-US" w:eastAsia="zh-CN"/>
        </w:rPr>
        <w:t>技术部分</w:t>
      </w:r>
      <w:bookmarkEnd w:id="197"/>
    </w:p>
    <w:p w14:paraId="65C4C7CD">
      <w:pPr>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779E5CC">
      <w:pPr>
        <w:spacing w:line="30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格式自拟</w:t>
      </w:r>
    </w:p>
    <w:p w14:paraId="16B27206">
      <w:pPr>
        <w:rPr>
          <w:rFonts w:hint="eastAsia" w:ascii="宋体" w:hAnsi="宋体" w:eastAsia="宋体" w:cs="宋体"/>
          <w:b/>
          <w:bCs/>
          <w:color w:val="auto"/>
          <w:kern w:val="44"/>
          <w:sz w:val="44"/>
          <w:szCs w:val="44"/>
          <w:highlight w:val="none"/>
        </w:rPr>
      </w:pPr>
      <w:r>
        <w:rPr>
          <w:rFonts w:hint="eastAsia" w:ascii="宋体" w:hAnsi="宋体" w:eastAsia="宋体" w:cs="宋体"/>
          <w:b/>
          <w:bCs/>
          <w:color w:val="auto"/>
          <w:kern w:val="44"/>
          <w:sz w:val="44"/>
          <w:szCs w:val="44"/>
          <w:highlight w:val="none"/>
        </w:rPr>
        <w:br w:type="page"/>
      </w:r>
    </w:p>
    <w:p w14:paraId="37E36FAA">
      <w:pPr>
        <w:pStyle w:val="3"/>
        <w:spacing w:before="0" w:after="0" w:line="300" w:lineRule="auto"/>
        <w:jc w:val="center"/>
        <w:rPr>
          <w:rFonts w:hint="eastAsia" w:ascii="宋体" w:hAnsi="宋体" w:eastAsia="宋体" w:cs="宋体"/>
          <w:color w:val="auto"/>
          <w:highlight w:val="none"/>
          <w:lang w:val="en-US" w:eastAsia="zh-CN"/>
        </w:rPr>
      </w:pPr>
      <w:bookmarkStart w:id="198" w:name="_Toc23462"/>
      <w:bookmarkStart w:id="199" w:name="_Toc7545"/>
      <w:r>
        <w:rPr>
          <w:rFonts w:hint="eastAsia" w:ascii="宋体" w:hAnsi="宋体" w:eastAsia="宋体" w:cs="宋体"/>
          <w:color w:val="auto"/>
          <w:highlight w:val="none"/>
          <w:lang w:val="en-US" w:eastAsia="zh-CN"/>
        </w:rPr>
        <w:t>八、其他材料</w:t>
      </w:r>
      <w:bookmarkEnd w:id="198"/>
      <w:bookmarkEnd w:id="199"/>
    </w:p>
    <w:p w14:paraId="7873C5EF">
      <w:pPr>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2F996F4">
      <w:pPr>
        <w:pStyle w:val="24"/>
        <w:numPr>
          <w:ilvl w:val="0"/>
          <w:numId w:val="7"/>
        </w:numPr>
        <w:rPr>
          <w:rFonts w:hint="eastAsia" w:ascii="宋体" w:hAnsi="宋体" w:eastAsia="宋体" w:cs="宋体"/>
          <w:color w:val="auto"/>
          <w:highlight w:val="none"/>
        </w:rPr>
      </w:pPr>
      <w:r>
        <w:rPr>
          <w:rFonts w:hint="eastAsia" w:ascii="宋体" w:hAnsi="宋体" w:cs="宋体"/>
          <w:color w:val="auto"/>
          <w:highlight w:val="none"/>
          <w:lang w:eastAsia="zh-CN"/>
        </w:rPr>
        <w:t>供应商</w:t>
      </w:r>
      <w:r>
        <w:rPr>
          <w:rFonts w:hint="eastAsia" w:ascii="宋体" w:hAnsi="宋体" w:eastAsia="宋体" w:cs="宋体"/>
          <w:color w:val="auto"/>
          <w:highlight w:val="none"/>
        </w:rPr>
        <w:t>认为所必要提供的其他材料。</w:t>
      </w:r>
    </w:p>
    <w:p w14:paraId="3CCEE86F">
      <w:pPr>
        <w:pStyle w:val="24"/>
        <w:ind w:left="420" w:firstLine="0"/>
        <w:rPr>
          <w:rFonts w:hint="eastAsia" w:ascii="宋体" w:hAnsi="宋体" w:eastAsia="宋体" w:cs="宋体"/>
          <w:color w:val="auto"/>
          <w:highlight w:val="none"/>
        </w:rPr>
      </w:pPr>
    </w:p>
    <w:bookmarkEnd w:id="89"/>
    <w:bookmarkEnd w:id="90"/>
    <w:bookmarkEnd w:id="91"/>
    <w:bookmarkEnd w:id="92"/>
    <w:bookmarkEnd w:id="93"/>
    <w:bookmarkEnd w:id="94"/>
    <w:bookmarkEnd w:id="95"/>
    <w:p w14:paraId="1F8F9725">
      <w:pPr>
        <w:pStyle w:val="24"/>
        <w:autoSpaceDN w:val="0"/>
        <w:adjustRightInd w:val="0"/>
        <w:snapToGrid w:val="0"/>
        <w:spacing w:line="360" w:lineRule="auto"/>
        <w:ind w:firstLine="0"/>
        <w:rPr>
          <w:rFonts w:hint="eastAsia" w:ascii="宋体" w:hAnsi="宋体" w:eastAsia="宋体" w:cs="宋体"/>
          <w:color w:val="auto"/>
          <w:szCs w:val="21"/>
          <w:highlight w:val="none"/>
        </w:rPr>
      </w:pPr>
    </w:p>
    <w:p w14:paraId="3A83004D">
      <w:pPr>
        <w:pStyle w:val="24"/>
        <w:autoSpaceDN w:val="0"/>
        <w:adjustRightInd w:val="0"/>
        <w:snapToGrid w:val="0"/>
        <w:spacing w:line="360" w:lineRule="auto"/>
        <w:rPr>
          <w:rFonts w:hint="eastAsia" w:ascii="宋体" w:hAnsi="宋体" w:eastAsia="宋体" w:cs="宋体"/>
          <w:color w:val="auto"/>
          <w:szCs w:val="21"/>
          <w:highlight w:val="none"/>
        </w:rPr>
      </w:pPr>
    </w:p>
    <w:p w14:paraId="232EDD2C">
      <w:pPr>
        <w:pStyle w:val="24"/>
        <w:autoSpaceDN w:val="0"/>
        <w:adjustRightInd w:val="0"/>
        <w:snapToGrid w:val="0"/>
        <w:spacing w:line="360" w:lineRule="auto"/>
        <w:rPr>
          <w:rFonts w:hint="eastAsia" w:ascii="宋体" w:hAnsi="宋体" w:eastAsia="宋体" w:cs="宋体"/>
          <w:color w:val="auto"/>
          <w:szCs w:val="21"/>
          <w:highlight w:val="none"/>
        </w:rPr>
      </w:pPr>
    </w:p>
    <w:p w14:paraId="2206EB91">
      <w:pPr>
        <w:pStyle w:val="24"/>
        <w:autoSpaceDN w:val="0"/>
        <w:adjustRightInd w:val="0"/>
        <w:snapToGrid w:val="0"/>
        <w:spacing w:line="360" w:lineRule="auto"/>
        <w:rPr>
          <w:rFonts w:hint="eastAsia" w:ascii="宋体" w:hAnsi="宋体" w:eastAsia="宋体" w:cs="宋体"/>
          <w:color w:val="auto"/>
          <w:szCs w:val="21"/>
          <w:highlight w:val="none"/>
        </w:rPr>
      </w:pPr>
    </w:p>
    <w:p w14:paraId="2AB8FF09">
      <w:pPr>
        <w:pStyle w:val="24"/>
        <w:autoSpaceDN w:val="0"/>
        <w:adjustRightInd w:val="0"/>
        <w:snapToGrid w:val="0"/>
        <w:spacing w:line="360" w:lineRule="auto"/>
        <w:rPr>
          <w:rFonts w:hint="eastAsia" w:ascii="宋体" w:hAnsi="宋体" w:eastAsia="宋体" w:cs="宋体"/>
          <w:color w:val="auto"/>
          <w:szCs w:val="21"/>
          <w:highlight w:val="none"/>
        </w:rPr>
      </w:pPr>
    </w:p>
    <w:p w14:paraId="12BA5DA9">
      <w:pPr>
        <w:pStyle w:val="24"/>
        <w:autoSpaceDN w:val="0"/>
        <w:adjustRightInd w:val="0"/>
        <w:snapToGrid w:val="0"/>
        <w:spacing w:line="360" w:lineRule="auto"/>
        <w:rPr>
          <w:rFonts w:hint="eastAsia" w:ascii="宋体" w:hAnsi="宋体" w:eastAsia="宋体" w:cs="宋体"/>
          <w:color w:val="auto"/>
          <w:szCs w:val="21"/>
          <w:highlight w:val="none"/>
        </w:rPr>
      </w:pPr>
    </w:p>
    <w:p w14:paraId="397B9FF2">
      <w:pPr>
        <w:pStyle w:val="24"/>
        <w:autoSpaceDN w:val="0"/>
        <w:adjustRightInd w:val="0"/>
        <w:snapToGrid w:val="0"/>
        <w:spacing w:line="360" w:lineRule="auto"/>
        <w:rPr>
          <w:rFonts w:hint="eastAsia" w:ascii="宋体" w:hAnsi="宋体" w:eastAsia="宋体" w:cs="宋体"/>
          <w:color w:val="auto"/>
          <w:szCs w:val="21"/>
          <w:highlight w:val="none"/>
        </w:rPr>
      </w:pPr>
    </w:p>
    <w:p w14:paraId="5CAE7BF6">
      <w:pPr>
        <w:pStyle w:val="9"/>
        <w:tabs>
          <w:tab w:val="left" w:pos="2231"/>
          <w:tab w:val="left" w:pos="3068"/>
          <w:tab w:val="left" w:pos="3908"/>
          <w:tab w:val="left" w:pos="4628"/>
        </w:tabs>
        <w:autoSpaceDN w:val="0"/>
        <w:adjustRightInd w:val="0"/>
        <w:snapToGrid w:val="0"/>
        <w:spacing w:after="0" w:line="360" w:lineRule="auto"/>
        <w:rPr>
          <w:rFonts w:hint="eastAsia" w:ascii="宋体" w:hAnsi="宋体" w:eastAsia="宋体" w:cs="宋体"/>
          <w:color w:val="auto"/>
          <w:szCs w:val="21"/>
          <w:highlight w:val="none"/>
        </w:rPr>
      </w:pPr>
    </w:p>
    <w:p w14:paraId="392A35A6">
      <w:pPr>
        <w:spacing w:line="360" w:lineRule="auto"/>
        <w:rPr>
          <w:rFonts w:hint="eastAsia" w:ascii="宋体" w:hAnsi="宋体" w:eastAsia="宋体" w:cs="宋体"/>
          <w:color w:val="auto"/>
          <w:highlight w:val="none"/>
        </w:rPr>
      </w:pPr>
    </w:p>
    <w:sectPr>
      <w:pgSz w:w="11906" w:h="16838"/>
      <w:pgMar w:top="1418" w:right="1418" w:bottom="1418" w:left="1701"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3691A">
    <w:pPr>
      <w:pStyle w:val="1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9C0B1C">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9C0B1C">
                    <w:pPr>
                      <w:pStyle w:val="15"/>
                    </w:pPr>
                    <w:r>
                      <w:fldChar w:fldCharType="begin"/>
                    </w:r>
                    <w:r>
                      <w:instrText xml:space="preserve"> PAGE  \* MERGEFORMAT </w:instrText>
                    </w:r>
                    <w:r>
                      <w:fldChar w:fldCharType="separate"/>
                    </w:r>
                    <w:r>
                      <w:t>1</w:t>
                    </w:r>
                    <w:r>
                      <w:fldChar w:fldCharType="end"/>
                    </w:r>
                  </w:p>
                </w:txbxContent>
              </v:textbox>
            </v:shape>
          </w:pict>
        </mc:Fallback>
      </mc:AlternateContent>
    </w:r>
  </w:p>
  <w:p w14:paraId="4BB22C13">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3A32B"/>
    <w:multiLevelType w:val="singleLevel"/>
    <w:tmpl w:val="9D83A32B"/>
    <w:lvl w:ilvl="0" w:tentative="0">
      <w:start w:val="4"/>
      <w:numFmt w:val="chineseCounting"/>
      <w:suff w:val="space"/>
      <w:lvlText w:val="第%1部分"/>
      <w:lvlJc w:val="left"/>
      <w:rPr>
        <w:rFonts w:hint="eastAsia"/>
      </w:rPr>
    </w:lvl>
  </w:abstractNum>
  <w:abstractNum w:abstractNumId="1">
    <w:nsid w:val="DF9BF32D"/>
    <w:multiLevelType w:val="singleLevel"/>
    <w:tmpl w:val="DF9BF32D"/>
    <w:lvl w:ilvl="0" w:tentative="0">
      <w:start w:val="1"/>
      <w:numFmt w:val="decimal"/>
      <w:suff w:val="nothing"/>
      <w:lvlText w:val="%1、"/>
      <w:lvlJc w:val="left"/>
    </w:lvl>
  </w:abstractNum>
  <w:abstractNum w:abstractNumId="2">
    <w:nsid w:val="E2225E4B"/>
    <w:multiLevelType w:val="multilevel"/>
    <w:tmpl w:val="E2225E4B"/>
    <w:lvl w:ilvl="0" w:tentative="0">
      <w:start w:val="19"/>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07"/>
    <w:multiLevelType w:val="multilevel"/>
    <w:tmpl w:val="00000007"/>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0E"/>
    <w:multiLevelType w:val="multilevel"/>
    <w:tmpl w:val="0000000E"/>
    <w:lvl w:ilvl="0" w:tentative="0">
      <w:start w:val="1"/>
      <w:numFmt w:val="bullet"/>
      <w:pStyle w:val="4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33092639"/>
    <w:multiLevelType w:val="multilevel"/>
    <w:tmpl w:val="33092639"/>
    <w:lvl w:ilvl="0" w:tentative="0">
      <w:start w:val="1"/>
      <w:numFmt w:val="decimal"/>
      <w:lvlText w:val="（%1）"/>
      <w:lvlJc w:val="left"/>
      <w:pPr>
        <w:tabs>
          <w:tab w:val="left" w:pos="1080"/>
        </w:tabs>
        <w:ind w:left="1080" w:hanging="600"/>
      </w:pPr>
      <w:rPr>
        <w:caps w:val="0"/>
        <w:smallCaps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7C139256"/>
    <w:multiLevelType w:val="singleLevel"/>
    <w:tmpl w:val="7C139256"/>
    <w:lvl w:ilvl="0" w:tentative="0">
      <w:start w:val="1"/>
      <w:numFmt w:val="decimal"/>
      <w:suff w:val="space"/>
      <w:lvlText w:val="%1)"/>
      <w:lvlJc w:val="left"/>
    </w:lvl>
  </w:abstractNum>
  <w:num w:numId="1">
    <w:abstractNumId w:val="4"/>
  </w:num>
  <w:num w:numId="2">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lvlOverride w:ilvl="0">
      <w:startOverride w:val="1"/>
    </w:lvlOverride>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comment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mMzlkOTIyZjAzNTY1NmNmYmUwOWE5MTcxMDliNmIifQ=="/>
  </w:docVars>
  <w:rsids>
    <w:rsidRoot w:val="00172A27"/>
    <w:rsid w:val="0001071C"/>
    <w:rsid w:val="000120F7"/>
    <w:rsid w:val="000122DE"/>
    <w:rsid w:val="0002010B"/>
    <w:rsid w:val="00034009"/>
    <w:rsid w:val="00087A8A"/>
    <w:rsid w:val="000A67CF"/>
    <w:rsid w:val="000C10FC"/>
    <w:rsid w:val="000D3DC2"/>
    <w:rsid w:val="00103AF3"/>
    <w:rsid w:val="00114236"/>
    <w:rsid w:val="00115C43"/>
    <w:rsid w:val="001263F8"/>
    <w:rsid w:val="001771B5"/>
    <w:rsid w:val="001F7D2B"/>
    <w:rsid w:val="002315C7"/>
    <w:rsid w:val="0024211E"/>
    <w:rsid w:val="00280082"/>
    <w:rsid w:val="00286015"/>
    <w:rsid w:val="00286F15"/>
    <w:rsid w:val="002D1A6A"/>
    <w:rsid w:val="002F608D"/>
    <w:rsid w:val="003016F3"/>
    <w:rsid w:val="00335059"/>
    <w:rsid w:val="00337B8C"/>
    <w:rsid w:val="00344978"/>
    <w:rsid w:val="00366F4A"/>
    <w:rsid w:val="0037225C"/>
    <w:rsid w:val="00396FB3"/>
    <w:rsid w:val="00405784"/>
    <w:rsid w:val="00420AE2"/>
    <w:rsid w:val="004500D8"/>
    <w:rsid w:val="004575F6"/>
    <w:rsid w:val="0047104C"/>
    <w:rsid w:val="00480EA1"/>
    <w:rsid w:val="004C0F25"/>
    <w:rsid w:val="004E4293"/>
    <w:rsid w:val="004F41FC"/>
    <w:rsid w:val="005467D2"/>
    <w:rsid w:val="00574106"/>
    <w:rsid w:val="00586822"/>
    <w:rsid w:val="005D0B5E"/>
    <w:rsid w:val="005D47D8"/>
    <w:rsid w:val="005D4A37"/>
    <w:rsid w:val="006206F6"/>
    <w:rsid w:val="00651E84"/>
    <w:rsid w:val="00666D27"/>
    <w:rsid w:val="00675847"/>
    <w:rsid w:val="006A6CF0"/>
    <w:rsid w:val="006D6617"/>
    <w:rsid w:val="00710146"/>
    <w:rsid w:val="00723AD3"/>
    <w:rsid w:val="00737B4A"/>
    <w:rsid w:val="00761FAF"/>
    <w:rsid w:val="0077172C"/>
    <w:rsid w:val="0077466B"/>
    <w:rsid w:val="007D36FA"/>
    <w:rsid w:val="007E439C"/>
    <w:rsid w:val="007F2DBA"/>
    <w:rsid w:val="00806CA6"/>
    <w:rsid w:val="00823577"/>
    <w:rsid w:val="0084393E"/>
    <w:rsid w:val="00893FB3"/>
    <w:rsid w:val="008E15EF"/>
    <w:rsid w:val="008E35B1"/>
    <w:rsid w:val="00900D59"/>
    <w:rsid w:val="00925E1D"/>
    <w:rsid w:val="00926854"/>
    <w:rsid w:val="00960966"/>
    <w:rsid w:val="009610BD"/>
    <w:rsid w:val="009D66E6"/>
    <w:rsid w:val="009F0EFB"/>
    <w:rsid w:val="00A0479D"/>
    <w:rsid w:val="00A25CF7"/>
    <w:rsid w:val="00A57413"/>
    <w:rsid w:val="00A67742"/>
    <w:rsid w:val="00A9339A"/>
    <w:rsid w:val="00AB5FC8"/>
    <w:rsid w:val="00AC1061"/>
    <w:rsid w:val="00AE5F46"/>
    <w:rsid w:val="00B23D26"/>
    <w:rsid w:val="00B75097"/>
    <w:rsid w:val="00B97DB7"/>
    <w:rsid w:val="00C044C1"/>
    <w:rsid w:val="00C105E3"/>
    <w:rsid w:val="00C6731F"/>
    <w:rsid w:val="00C96793"/>
    <w:rsid w:val="00D453A1"/>
    <w:rsid w:val="00D55199"/>
    <w:rsid w:val="00D61470"/>
    <w:rsid w:val="00D61850"/>
    <w:rsid w:val="00D81511"/>
    <w:rsid w:val="00D82CB3"/>
    <w:rsid w:val="00DA1637"/>
    <w:rsid w:val="00DE4E58"/>
    <w:rsid w:val="00DF7C1E"/>
    <w:rsid w:val="00E0264C"/>
    <w:rsid w:val="00E029F6"/>
    <w:rsid w:val="00E612D7"/>
    <w:rsid w:val="00ED2FE7"/>
    <w:rsid w:val="00F30CEA"/>
    <w:rsid w:val="00F66713"/>
    <w:rsid w:val="00F97710"/>
    <w:rsid w:val="00FC3DA4"/>
    <w:rsid w:val="01272C7E"/>
    <w:rsid w:val="012A647F"/>
    <w:rsid w:val="012A6BDB"/>
    <w:rsid w:val="014929F9"/>
    <w:rsid w:val="01BC2913"/>
    <w:rsid w:val="01D408F4"/>
    <w:rsid w:val="01F86983"/>
    <w:rsid w:val="01FA65AD"/>
    <w:rsid w:val="020058B7"/>
    <w:rsid w:val="021D2569"/>
    <w:rsid w:val="022C0730"/>
    <w:rsid w:val="024261A6"/>
    <w:rsid w:val="028265A2"/>
    <w:rsid w:val="02855E9C"/>
    <w:rsid w:val="028B77E6"/>
    <w:rsid w:val="02C941D1"/>
    <w:rsid w:val="03081215"/>
    <w:rsid w:val="03234CF9"/>
    <w:rsid w:val="03AA50AA"/>
    <w:rsid w:val="03B84B63"/>
    <w:rsid w:val="041B280B"/>
    <w:rsid w:val="04D875BD"/>
    <w:rsid w:val="04FA68C4"/>
    <w:rsid w:val="04FC43EA"/>
    <w:rsid w:val="05087233"/>
    <w:rsid w:val="05481ECC"/>
    <w:rsid w:val="059D011D"/>
    <w:rsid w:val="05B42D74"/>
    <w:rsid w:val="05FD666C"/>
    <w:rsid w:val="06043E9E"/>
    <w:rsid w:val="06053772"/>
    <w:rsid w:val="062C6F51"/>
    <w:rsid w:val="06464014"/>
    <w:rsid w:val="06606BFB"/>
    <w:rsid w:val="06895094"/>
    <w:rsid w:val="06B238FA"/>
    <w:rsid w:val="07275FE6"/>
    <w:rsid w:val="072B0FB7"/>
    <w:rsid w:val="07322345"/>
    <w:rsid w:val="073A744C"/>
    <w:rsid w:val="076F4724"/>
    <w:rsid w:val="077431A0"/>
    <w:rsid w:val="078801B7"/>
    <w:rsid w:val="079B438E"/>
    <w:rsid w:val="07CF228A"/>
    <w:rsid w:val="07FC3177"/>
    <w:rsid w:val="085602B5"/>
    <w:rsid w:val="08607386"/>
    <w:rsid w:val="086850AC"/>
    <w:rsid w:val="08B374B6"/>
    <w:rsid w:val="08D53408"/>
    <w:rsid w:val="08EC29C7"/>
    <w:rsid w:val="092E2FE0"/>
    <w:rsid w:val="094D790A"/>
    <w:rsid w:val="096324BA"/>
    <w:rsid w:val="098870C8"/>
    <w:rsid w:val="099B52D2"/>
    <w:rsid w:val="09D65B51"/>
    <w:rsid w:val="0A192A34"/>
    <w:rsid w:val="0A1C6BD5"/>
    <w:rsid w:val="0A3463D4"/>
    <w:rsid w:val="0A8530D4"/>
    <w:rsid w:val="0AAE6F4A"/>
    <w:rsid w:val="0AB614DF"/>
    <w:rsid w:val="0AD45172"/>
    <w:rsid w:val="0ADD79D4"/>
    <w:rsid w:val="0AF4554C"/>
    <w:rsid w:val="0B0E675C"/>
    <w:rsid w:val="0B2B77D7"/>
    <w:rsid w:val="0C013421"/>
    <w:rsid w:val="0C0A5403"/>
    <w:rsid w:val="0C160E49"/>
    <w:rsid w:val="0C1B3CF0"/>
    <w:rsid w:val="0CE749CF"/>
    <w:rsid w:val="0D044784"/>
    <w:rsid w:val="0D2075D7"/>
    <w:rsid w:val="0D4D3198"/>
    <w:rsid w:val="0D5A37DD"/>
    <w:rsid w:val="0D870F11"/>
    <w:rsid w:val="0DF76133"/>
    <w:rsid w:val="0E230F94"/>
    <w:rsid w:val="0E3D6B71"/>
    <w:rsid w:val="0ED120DC"/>
    <w:rsid w:val="0EFD7918"/>
    <w:rsid w:val="0F284E73"/>
    <w:rsid w:val="0F543075"/>
    <w:rsid w:val="0F655282"/>
    <w:rsid w:val="0F7D7C87"/>
    <w:rsid w:val="0FAE6C29"/>
    <w:rsid w:val="0FF0099F"/>
    <w:rsid w:val="0FFF2388"/>
    <w:rsid w:val="10345380"/>
    <w:rsid w:val="105F7613"/>
    <w:rsid w:val="10753310"/>
    <w:rsid w:val="10791814"/>
    <w:rsid w:val="10BE4C49"/>
    <w:rsid w:val="10EC5C5A"/>
    <w:rsid w:val="10F16A18"/>
    <w:rsid w:val="1142587A"/>
    <w:rsid w:val="1151751A"/>
    <w:rsid w:val="117D2D56"/>
    <w:rsid w:val="118E286E"/>
    <w:rsid w:val="12046F80"/>
    <w:rsid w:val="123C5B74"/>
    <w:rsid w:val="12655CC4"/>
    <w:rsid w:val="128351DA"/>
    <w:rsid w:val="13035FD2"/>
    <w:rsid w:val="13051255"/>
    <w:rsid w:val="13363E28"/>
    <w:rsid w:val="1359595C"/>
    <w:rsid w:val="137B76C4"/>
    <w:rsid w:val="13947750"/>
    <w:rsid w:val="14302302"/>
    <w:rsid w:val="143A4F2F"/>
    <w:rsid w:val="143D67CD"/>
    <w:rsid w:val="144225DA"/>
    <w:rsid w:val="146975C2"/>
    <w:rsid w:val="148F7398"/>
    <w:rsid w:val="14AC2319"/>
    <w:rsid w:val="1594241D"/>
    <w:rsid w:val="15C50828"/>
    <w:rsid w:val="15C6603A"/>
    <w:rsid w:val="15DF1DC6"/>
    <w:rsid w:val="164E7166"/>
    <w:rsid w:val="16774AD3"/>
    <w:rsid w:val="16B54D41"/>
    <w:rsid w:val="16BF1B07"/>
    <w:rsid w:val="16D231FD"/>
    <w:rsid w:val="17015251"/>
    <w:rsid w:val="17191D16"/>
    <w:rsid w:val="17705EFC"/>
    <w:rsid w:val="1778161B"/>
    <w:rsid w:val="18581E27"/>
    <w:rsid w:val="18D86AC4"/>
    <w:rsid w:val="18DE232D"/>
    <w:rsid w:val="18E63044"/>
    <w:rsid w:val="191E6BCD"/>
    <w:rsid w:val="19263AA4"/>
    <w:rsid w:val="199E2BFC"/>
    <w:rsid w:val="19A0416D"/>
    <w:rsid w:val="19EC040D"/>
    <w:rsid w:val="1A7A0749"/>
    <w:rsid w:val="1B3A5814"/>
    <w:rsid w:val="1B69298E"/>
    <w:rsid w:val="1B6D70F6"/>
    <w:rsid w:val="1BAD4121"/>
    <w:rsid w:val="1BD17F27"/>
    <w:rsid w:val="1BE75582"/>
    <w:rsid w:val="1C163B37"/>
    <w:rsid w:val="1CFA34AD"/>
    <w:rsid w:val="1D3A34F1"/>
    <w:rsid w:val="1D50131F"/>
    <w:rsid w:val="1D5A219E"/>
    <w:rsid w:val="1D6D3EEE"/>
    <w:rsid w:val="1DD65CC8"/>
    <w:rsid w:val="1DE83C3F"/>
    <w:rsid w:val="1DF4614E"/>
    <w:rsid w:val="1E171E3D"/>
    <w:rsid w:val="1E2511D8"/>
    <w:rsid w:val="1E786D7F"/>
    <w:rsid w:val="1F38233D"/>
    <w:rsid w:val="1F745799"/>
    <w:rsid w:val="1F9574BD"/>
    <w:rsid w:val="1FA04D1F"/>
    <w:rsid w:val="202C6538"/>
    <w:rsid w:val="2039253E"/>
    <w:rsid w:val="20A56A8C"/>
    <w:rsid w:val="20A67DD2"/>
    <w:rsid w:val="215C44EF"/>
    <w:rsid w:val="21752BBE"/>
    <w:rsid w:val="217B7008"/>
    <w:rsid w:val="21E76E07"/>
    <w:rsid w:val="21FB571D"/>
    <w:rsid w:val="2220125A"/>
    <w:rsid w:val="224F7DF7"/>
    <w:rsid w:val="22682C67"/>
    <w:rsid w:val="234D19E7"/>
    <w:rsid w:val="239B0E1A"/>
    <w:rsid w:val="23B55F28"/>
    <w:rsid w:val="24066BDB"/>
    <w:rsid w:val="240B2444"/>
    <w:rsid w:val="24561BA5"/>
    <w:rsid w:val="248B0E8F"/>
    <w:rsid w:val="24D35F45"/>
    <w:rsid w:val="250C1FD0"/>
    <w:rsid w:val="250D0E48"/>
    <w:rsid w:val="25583467"/>
    <w:rsid w:val="25886712"/>
    <w:rsid w:val="25E32545"/>
    <w:rsid w:val="25F92418"/>
    <w:rsid w:val="26166C9F"/>
    <w:rsid w:val="26AF29E8"/>
    <w:rsid w:val="26C37483"/>
    <w:rsid w:val="26E1123A"/>
    <w:rsid w:val="270C4509"/>
    <w:rsid w:val="27723B5D"/>
    <w:rsid w:val="27955F6F"/>
    <w:rsid w:val="27A32C5B"/>
    <w:rsid w:val="27A73335"/>
    <w:rsid w:val="27AF62D8"/>
    <w:rsid w:val="27B61CED"/>
    <w:rsid w:val="27C2106B"/>
    <w:rsid w:val="27EF069B"/>
    <w:rsid w:val="27FD02F5"/>
    <w:rsid w:val="282249EF"/>
    <w:rsid w:val="282F4A7B"/>
    <w:rsid w:val="285A3098"/>
    <w:rsid w:val="28862066"/>
    <w:rsid w:val="289C366A"/>
    <w:rsid w:val="28B6093F"/>
    <w:rsid w:val="29483B1A"/>
    <w:rsid w:val="29646DE7"/>
    <w:rsid w:val="298510C7"/>
    <w:rsid w:val="29934A6D"/>
    <w:rsid w:val="2A7725E1"/>
    <w:rsid w:val="2A81520E"/>
    <w:rsid w:val="2A9E4C98"/>
    <w:rsid w:val="2AA41A0D"/>
    <w:rsid w:val="2B014FBC"/>
    <w:rsid w:val="2B187CBB"/>
    <w:rsid w:val="2B520D66"/>
    <w:rsid w:val="2B970537"/>
    <w:rsid w:val="2BBE10A5"/>
    <w:rsid w:val="2BC2788C"/>
    <w:rsid w:val="2C385DA0"/>
    <w:rsid w:val="2CB2444D"/>
    <w:rsid w:val="2CCB451E"/>
    <w:rsid w:val="2CE73597"/>
    <w:rsid w:val="2CF74CDD"/>
    <w:rsid w:val="2D6E2847"/>
    <w:rsid w:val="2D6F35DC"/>
    <w:rsid w:val="2E6E5AA9"/>
    <w:rsid w:val="2E877616"/>
    <w:rsid w:val="2E895C66"/>
    <w:rsid w:val="2EA94D33"/>
    <w:rsid w:val="2EB03A06"/>
    <w:rsid w:val="2F266F2E"/>
    <w:rsid w:val="2F7F4E6F"/>
    <w:rsid w:val="2F910795"/>
    <w:rsid w:val="2FF21870"/>
    <w:rsid w:val="30156655"/>
    <w:rsid w:val="301663F8"/>
    <w:rsid w:val="301D792F"/>
    <w:rsid w:val="304D174B"/>
    <w:rsid w:val="30F13885"/>
    <w:rsid w:val="31327760"/>
    <w:rsid w:val="31B2784E"/>
    <w:rsid w:val="31BB1005"/>
    <w:rsid w:val="31CB5EAD"/>
    <w:rsid w:val="31CC3212"/>
    <w:rsid w:val="31D3519A"/>
    <w:rsid w:val="322D17D7"/>
    <w:rsid w:val="32356A97"/>
    <w:rsid w:val="33997124"/>
    <w:rsid w:val="33E34843"/>
    <w:rsid w:val="35007712"/>
    <w:rsid w:val="355933E4"/>
    <w:rsid w:val="358F0156"/>
    <w:rsid w:val="35B425DD"/>
    <w:rsid w:val="36413AA3"/>
    <w:rsid w:val="364175F8"/>
    <w:rsid w:val="36421CF5"/>
    <w:rsid w:val="36BE62DF"/>
    <w:rsid w:val="37023232"/>
    <w:rsid w:val="37036D49"/>
    <w:rsid w:val="373214A8"/>
    <w:rsid w:val="374A1E98"/>
    <w:rsid w:val="37533A8E"/>
    <w:rsid w:val="37555BAB"/>
    <w:rsid w:val="37963721"/>
    <w:rsid w:val="37BA069C"/>
    <w:rsid w:val="37D54CC1"/>
    <w:rsid w:val="385B1872"/>
    <w:rsid w:val="387463B2"/>
    <w:rsid w:val="388D1222"/>
    <w:rsid w:val="38BC3F52"/>
    <w:rsid w:val="38C709AC"/>
    <w:rsid w:val="38D3552B"/>
    <w:rsid w:val="390E1698"/>
    <w:rsid w:val="39313B19"/>
    <w:rsid w:val="3949339B"/>
    <w:rsid w:val="396204B3"/>
    <w:rsid w:val="39641F82"/>
    <w:rsid w:val="3975337B"/>
    <w:rsid w:val="39E46A6E"/>
    <w:rsid w:val="39E81604"/>
    <w:rsid w:val="39F30A5F"/>
    <w:rsid w:val="3A266896"/>
    <w:rsid w:val="3A4D0C68"/>
    <w:rsid w:val="3AA44080"/>
    <w:rsid w:val="3ACD0AB3"/>
    <w:rsid w:val="3AEB7631"/>
    <w:rsid w:val="3AF37A62"/>
    <w:rsid w:val="3B084D8C"/>
    <w:rsid w:val="3B20486E"/>
    <w:rsid w:val="3B826B03"/>
    <w:rsid w:val="3BA50630"/>
    <w:rsid w:val="3BB014AF"/>
    <w:rsid w:val="3BB064FC"/>
    <w:rsid w:val="3BB52F69"/>
    <w:rsid w:val="3BEE0DEC"/>
    <w:rsid w:val="3CED61BB"/>
    <w:rsid w:val="3D01019F"/>
    <w:rsid w:val="3D020C32"/>
    <w:rsid w:val="3D54230E"/>
    <w:rsid w:val="3D7A7FC6"/>
    <w:rsid w:val="3D956BAE"/>
    <w:rsid w:val="3DC066AC"/>
    <w:rsid w:val="3DCB6A74"/>
    <w:rsid w:val="3DDA6CB7"/>
    <w:rsid w:val="3DF620B2"/>
    <w:rsid w:val="3E2C4BE1"/>
    <w:rsid w:val="3EC05EAD"/>
    <w:rsid w:val="3F8241B8"/>
    <w:rsid w:val="3FCD75B4"/>
    <w:rsid w:val="3FF43934"/>
    <w:rsid w:val="4000519B"/>
    <w:rsid w:val="400E3EF1"/>
    <w:rsid w:val="401023CB"/>
    <w:rsid w:val="40D23C76"/>
    <w:rsid w:val="40DE6ABE"/>
    <w:rsid w:val="41CC2DBB"/>
    <w:rsid w:val="423334A7"/>
    <w:rsid w:val="423A5F76"/>
    <w:rsid w:val="42B20202"/>
    <w:rsid w:val="42BA665A"/>
    <w:rsid w:val="43482915"/>
    <w:rsid w:val="436C46B2"/>
    <w:rsid w:val="43835804"/>
    <w:rsid w:val="43AA712C"/>
    <w:rsid w:val="43D536EE"/>
    <w:rsid w:val="43F65ECD"/>
    <w:rsid w:val="4407632C"/>
    <w:rsid w:val="445B539D"/>
    <w:rsid w:val="44960000"/>
    <w:rsid w:val="44C30956"/>
    <w:rsid w:val="44D35277"/>
    <w:rsid w:val="44F63112"/>
    <w:rsid w:val="4554734F"/>
    <w:rsid w:val="457D238B"/>
    <w:rsid w:val="45B600BC"/>
    <w:rsid w:val="45ED50AE"/>
    <w:rsid w:val="4601581B"/>
    <w:rsid w:val="46026DAB"/>
    <w:rsid w:val="46131644"/>
    <w:rsid w:val="461E4767"/>
    <w:rsid w:val="46A625D7"/>
    <w:rsid w:val="474B6530"/>
    <w:rsid w:val="4751250A"/>
    <w:rsid w:val="47A0687C"/>
    <w:rsid w:val="47A3636C"/>
    <w:rsid w:val="489D0DAF"/>
    <w:rsid w:val="48B819A3"/>
    <w:rsid w:val="48DF1625"/>
    <w:rsid w:val="490270C2"/>
    <w:rsid w:val="49080B7C"/>
    <w:rsid w:val="4924255B"/>
    <w:rsid w:val="4972249A"/>
    <w:rsid w:val="49957B9A"/>
    <w:rsid w:val="49B26D3A"/>
    <w:rsid w:val="49B44860"/>
    <w:rsid w:val="4A2F038B"/>
    <w:rsid w:val="4A317C5F"/>
    <w:rsid w:val="4A363AF9"/>
    <w:rsid w:val="4A3B6D2F"/>
    <w:rsid w:val="4A5610DC"/>
    <w:rsid w:val="4AC07235"/>
    <w:rsid w:val="4AFB0186"/>
    <w:rsid w:val="4BB74194"/>
    <w:rsid w:val="4BE63637"/>
    <w:rsid w:val="4C0B44E0"/>
    <w:rsid w:val="4C530E67"/>
    <w:rsid w:val="4C703F73"/>
    <w:rsid w:val="4C906126"/>
    <w:rsid w:val="4CC050F1"/>
    <w:rsid w:val="4CDD7C2A"/>
    <w:rsid w:val="4D1675E0"/>
    <w:rsid w:val="4D731C23"/>
    <w:rsid w:val="4DAD1CF2"/>
    <w:rsid w:val="4DD86643"/>
    <w:rsid w:val="4E6A373F"/>
    <w:rsid w:val="4F653170"/>
    <w:rsid w:val="4F8B1BBF"/>
    <w:rsid w:val="504D3319"/>
    <w:rsid w:val="50884CD3"/>
    <w:rsid w:val="50EE4AFC"/>
    <w:rsid w:val="51491D32"/>
    <w:rsid w:val="516052CE"/>
    <w:rsid w:val="51714DE5"/>
    <w:rsid w:val="51AF01EA"/>
    <w:rsid w:val="52102850"/>
    <w:rsid w:val="52845D42"/>
    <w:rsid w:val="5322669A"/>
    <w:rsid w:val="53280FFF"/>
    <w:rsid w:val="53470203"/>
    <w:rsid w:val="536966BB"/>
    <w:rsid w:val="53CF04B0"/>
    <w:rsid w:val="5440689A"/>
    <w:rsid w:val="544A094B"/>
    <w:rsid w:val="545A292A"/>
    <w:rsid w:val="54776BB6"/>
    <w:rsid w:val="54780098"/>
    <w:rsid w:val="54D55766"/>
    <w:rsid w:val="54D95D20"/>
    <w:rsid w:val="54F044BB"/>
    <w:rsid w:val="552F123F"/>
    <w:rsid w:val="55765A37"/>
    <w:rsid w:val="55A41C2D"/>
    <w:rsid w:val="55D41DE6"/>
    <w:rsid w:val="55DA5EC1"/>
    <w:rsid w:val="56322A1D"/>
    <w:rsid w:val="56C44118"/>
    <w:rsid w:val="57062473"/>
    <w:rsid w:val="575C2093"/>
    <w:rsid w:val="57BE3243"/>
    <w:rsid w:val="57C93BCD"/>
    <w:rsid w:val="586829EA"/>
    <w:rsid w:val="587D6765"/>
    <w:rsid w:val="58D43AEF"/>
    <w:rsid w:val="58E10AA2"/>
    <w:rsid w:val="59367C45"/>
    <w:rsid w:val="59396B30"/>
    <w:rsid w:val="593A5ADF"/>
    <w:rsid w:val="595219A0"/>
    <w:rsid w:val="59A3044D"/>
    <w:rsid w:val="5A054C64"/>
    <w:rsid w:val="5A24333C"/>
    <w:rsid w:val="5A481AF4"/>
    <w:rsid w:val="5A5A0B0C"/>
    <w:rsid w:val="5A9A35FE"/>
    <w:rsid w:val="5AAB75B9"/>
    <w:rsid w:val="5AAF7F21"/>
    <w:rsid w:val="5AE64A95"/>
    <w:rsid w:val="5B1E5FDD"/>
    <w:rsid w:val="5B465534"/>
    <w:rsid w:val="5B7328C6"/>
    <w:rsid w:val="5B8A3673"/>
    <w:rsid w:val="5B911B87"/>
    <w:rsid w:val="5BBB382C"/>
    <w:rsid w:val="5C3C1D45"/>
    <w:rsid w:val="5D017965"/>
    <w:rsid w:val="5D296EBB"/>
    <w:rsid w:val="5D9C143B"/>
    <w:rsid w:val="5DAC49EC"/>
    <w:rsid w:val="5DCD5A99"/>
    <w:rsid w:val="5DD64F4D"/>
    <w:rsid w:val="5E176D14"/>
    <w:rsid w:val="5F36141C"/>
    <w:rsid w:val="5F8B1768"/>
    <w:rsid w:val="5F9A7ECE"/>
    <w:rsid w:val="5FA06B3F"/>
    <w:rsid w:val="5FBB125B"/>
    <w:rsid w:val="5FD4310E"/>
    <w:rsid w:val="5FD72BFF"/>
    <w:rsid w:val="602C6773"/>
    <w:rsid w:val="60621058"/>
    <w:rsid w:val="6071095D"/>
    <w:rsid w:val="611D2893"/>
    <w:rsid w:val="61483DB4"/>
    <w:rsid w:val="614D57CA"/>
    <w:rsid w:val="6154366A"/>
    <w:rsid w:val="616E7593"/>
    <w:rsid w:val="617B4C91"/>
    <w:rsid w:val="618D5FBE"/>
    <w:rsid w:val="61FB0E26"/>
    <w:rsid w:val="62157A0E"/>
    <w:rsid w:val="621D0EC0"/>
    <w:rsid w:val="625D436D"/>
    <w:rsid w:val="6279005F"/>
    <w:rsid w:val="62B80AC5"/>
    <w:rsid w:val="630356DB"/>
    <w:rsid w:val="631B2E02"/>
    <w:rsid w:val="63614B3B"/>
    <w:rsid w:val="63AC4084"/>
    <w:rsid w:val="63C37456"/>
    <w:rsid w:val="63DC4247"/>
    <w:rsid w:val="63EB6C79"/>
    <w:rsid w:val="64276722"/>
    <w:rsid w:val="643B19AE"/>
    <w:rsid w:val="64505292"/>
    <w:rsid w:val="64AC465A"/>
    <w:rsid w:val="64C43103"/>
    <w:rsid w:val="64F92C6C"/>
    <w:rsid w:val="65197815"/>
    <w:rsid w:val="653B23DA"/>
    <w:rsid w:val="65436640"/>
    <w:rsid w:val="65624D19"/>
    <w:rsid w:val="656E232E"/>
    <w:rsid w:val="658C7FE7"/>
    <w:rsid w:val="65921AA2"/>
    <w:rsid w:val="66004B71"/>
    <w:rsid w:val="66754F1F"/>
    <w:rsid w:val="6693159F"/>
    <w:rsid w:val="66AC6B93"/>
    <w:rsid w:val="66B141AA"/>
    <w:rsid w:val="66C55738"/>
    <w:rsid w:val="66EF082E"/>
    <w:rsid w:val="674C326A"/>
    <w:rsid w:val="67613F08"/>
    <w:rsid w:val="67BB17B3"/>
    <w:rsid w:val="67E628CF"/>
    <w:rsid w:val="680E6EB0"/>
    <w:rsid w:val="681A6EE2"/>
    <w:rsid w:val="681E2922"/>
    <w:rsid w:val="681F1B75"/>
    <w:rsid w:val="68AC6EFD"/>
    <w:rsid w:val="68B40352"/>
    <w:rsid w:val="68D30FAC"/>
    <w:rsid w:val="68E24AEE"/>
    <w:rsid w:val="68F64907"/>
    <w:rsid w:val="69136118"/>
    <w:rsid w:val="691B590A"/>
    <w:rsid w:val="6948013B"/>
    <w:rsid w:val="69650C92"/>
    <w:rsid w:val="69670B4F"/>
    <w:rsid w:val="69935DE8"/>
    <w:rsid w:val="69A017BB"/>
    <w:rsid w:val="69D85446"/>
    <w:rsid w:val="6A41188D"/>
    <w:rsid w:val="6A554E4C"/>
    <w:rsid w:val="6A590DE0"/>
    <w:rsid w:val="6A8E65B0"/>
    <w:rsid w:val="6ADB3414"/>
    <w:rsid w:val="6AE24404"/>
    <w:rsid w:val="6B00125C"/>
    <w:rsid w:val="6B5B2936"/>
    <w:rsid w:val="6B995EB2"/>
    <w:rsid w:val="6BA75B7B"/>
    <w:rsid w:val="6C0F62EF"/>
    <w:rsid w:val="6C3B4FEA"/>
    <w:rsid w:val="6CBA18DE"/>
    <w:rsid w:val="6CE34991"/>
    <w:rsid w:val="6CEB5E3F"/>
    <w:rsid w:val="6D0A279C"/>
    <w:rsid w:val="6D3C0545"/>
    <w:rsid w:val="6D65184A"/>
    <w:rsid w:val="6D683DB4"/>
    <w:rsid w:val="6D6F091A"/>
    <w:rsid w:val="6D8B4F44"/>
    <w:rsid w:val="6DE74955"/>
    <w:rsid w:val="6DFE5138"/>
    <w:rsid w:val="6E0830F2"/>
    <w:rsid w:val="6E1312A6"/>
    <w:rsid w:val="6E272FA3"/>
    <w:rsid w:val="6E310F56"/>
    <w:rsid w:val="6E663ACB"/>
    <w:rsid w:val="6E906094"/>
    <w:rsid w:val="6E9F01EE"/>
    <w:rsid w:val="6EED5F9B"/>
    <w:rsid w:val="6F0B6421"/>
    <w:rsid w:val="6F1E7F02"/>
    <w:rsid w:val="6FD902CD"/>
    <w:rsid w:val="6FED4213"/>
    <w:rsid w:val="70C26FB3"/>
    <w:rsid w:val="70ED5389"/>
    <w:rsid w:val="71C87F80"/>
    <w:rsid w:val="71E573FD"/>
    <w:rsid w:val="72062ED0"/>
    <w:rsid w:val="72872262"/>
    <w:rsid w:val="729B5A81"/>
    <w:rsid w:val="729C4BB7"/>
    <w:rsid w:val="73131D48"/>
    <w:rsid w:val="7343585C"/>
    <w:rsid w:val="73DD4830"/>
    <w:rsid w:val="73ED2599"/>
    <w:rsid w:val="7435095C"/>
    <w:rsid w:val="74406B6D"/>
    <w:rsid w:val="748527D2"/>
    <w:rsid w:val="748A31AB"/>
    <w:rsid w:val="75096F5F"/>
    <w:rsid w:val="76053478"/>
    <w:rsid w:val="76360227"/>
    <w:rsid w:val="765B7164"/>
    <w:rsid w:val="76CB6748"/>
    <w:rsid w:val="7726029C"/>
    <w:rsid w:val="773E47C6"/>
    <w:rsid w:val="7765449B"/>
    <w:rsid w:val="776E578C"/>
    <w:rsid w:val="779D4337"/>
    <w:rsid w:val="77BC475C"/>
    <w:rsid w:val="785D3F01"/>
    <w:rsid w:val="78C76F30"/>
    <w:rsid w:val="78D62409"/>
    <w:rsid w:val="795D3D1D"/>
    <w:rsid w:val="7A140880"/>
    <w:rsid w:val="7A6D61E2"/>
    <w:rsid w:val="7AAF053F"/>
    <w:rsid w:val="7AC53928"/>
    <w:rsid w:val="7AC70C29"/>
    <w:rsid w:val="7B2D15F0"/>
    <w:rsid w:val="7C301F44"/>
    <w:rsid w:val="7C6A6D6F"/>
    <w:rsid w:val="7D58564D"/>
    <w:rsid w:val="7DC223A1"/>
    <w:rsid w:val="7DFD3489"/>
    <w:rsid w:val="7E20385C"/>
    <w:rsid w:val="7E4521C3"/>
    <w:rsid w:val="7E484F9C"/>
    <w:rsid w:val="7ECC137D"/>
    <w:rsid w:val="7EFA3ADB"/>
    <w:rsid w:val="7F1548B4"/>
    <w:rsid w:val="7F4C286A"/>
    <w:rsid w:val="7F5657F4"/>
    <w:rsid w:val="7F785D82"/>
    <w:rsid w:val="7F8C710A"/>
    <w:rsid w:val="7F8E2E82"/>
    <w:rsid w:val="7F9B4A72"/>
    <w:rsid w:val="7FA75CF2"/>
    <w:rsid w:val="7FC90A94"/>
    <w:rsid w:val="7FD14B1D"/>
    <w:rsid w:val="7FDD7966"/>
    <w:rsid w:val="7FE72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nhideWhenUsed="0"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49"/>
    <w:qFormat/>
    <w:uiPriority w:val="9"/>
    <w:pPr>
      <w:keepNext/>
      <w:keepLines/>
      <w:spacing w:before="260" w:after="260" w:line="412" w:lineRule="auto"/>
      <w:outlineLvl w:val="1"/>
    </w:pPr>
    <w:rPr>
      <w:rFonts w:ascii="Arial" w:hAnsi="Arial" w:eastAsia="黑体" w:cs="Arial"/>
      <w:b/>
      <w:bCs/>
      <w:sz w:val="32"/>
      <w:szCs w:val="32"/>
    </w:rPr>
  </w:style>
  <w:style w:type="paragraph" w:styleId="4">
    <w:name w:val="heading 3"/>
    <w:basedOn w:val="1"/>
    <w:next w:val="1"/>
    <w:link w:val="50"/>
    <w:qFormat/>
    <w:uiPriority w:val="9"/>
    <w:pPr>
      <w:keepNext/>
      <w:keepLines/>
      <w:spacing w:before="260" w:after="260" w:line="412" w:lineRule="auto"/>
      <w:outlineLvl w:val="2"/>
    </w:pPr>
    <w:rPr>
      <w:b/>
      <w:bCs/>
      <w:sz w:val="32"/>
      <w:szCs w:val="32"/>
    </w:rPr>
  </w:style>
  <w:style w:type="paragraph" w:styleId="5">
    <w:name w:val="heading 4"/>
    <w:basedOn w:val="1"/>
    <w:next w:val="1"/>
    <w:link w:val="51"/>
    <w:qFormat/>
    <w:uiPriority w:val="9"/>
    <w:pPr>
      <w:keepNext/>
      <w:keepLines/>
      <w:spacing w:before="280" w:after="290" w:line="372" w:lineRule="auto"/>
      <w:outlineLvl w:val="3"/>
    </w:pPr>
    <w:rPr>
      <w:rFonts w:ascii="Arial" w:hAnsi="Arial" w:eastAsia="黑体" w:cs="Arial"/>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200" w:firstLineChars="200"/>
    </w:pPr>
  </w:style>
  <w:style w:type="paragraph" w:styleId="7">
    <w:name w:val="annotation text"/>
    <w:basedOn w:val="1"/>
    <w:link w:val="54"/>
    <w:semiHidden/>
    <w:unhideWhenUsed/>
    <w:qFormat/>
    <w:uiPriority w:val="99"/>
    <w:rPr>
      <w:sz w:val="24"/>
    </w:rPr>
  </w:style>
  <w:style w:type="paragraph" w:styleId="8">
    <w:name w:val="Body Text 3"/>
    <w:basedOn w:val="1"/>
    <w:link w:val="55"/>
    <w:semiHidden/>
    <w:unhideWhenUsed/>
    <w:qFormat/>
    <w:uiPriority w:val="99"/>
    <w:rPr>
      <w:rFonts w:ascii="宋体" w:hAnsi="宋体" w:cs="宋体"/>
      <w:sz w:val="24"/>
      <w:szCs w:val="20"/>
    </w:rPr>
  </w:style>
  <w:style w:type="paragraph" w:styleId="9">
    <w:name w:val="Body Text"/>
    <w:basedOn w:val="1"/>
    <w:link w:val="52"/>
    <w:semiHidden/>
    <w:unhideWhenUsed/>
    <w:qFormat/>
    <w:uiPriority w:val="99"/>
    <w:pPr>
      <w:spacing w:after="120"/>
    </w:pPr>
  </w:style>
  <w:style w:type="paragraph" w:styleId="10">
    <w:name w:val="Body Text Indent"/>
    <w:basedOn w:val="1"/>
    <w:next w:val="1"/>
    <w:qFormat/>
    <w:uiPriority w:val="0"/>
    <w:pPr>
      <w:spacing w:after="120"/>
      <w:ind w:left="420" w:leftChars="200"/>
    </w:pPr>
  </w:style>
  <w:style w:type="paragraph" w:styleId="11">
    <w:name w:val="toc 3"/>
    <w:basedOn w:val="1"/>
    <w:next w:val="1"/>
    <w:semiHidden/>
    <w:unhideWhenUsed/>
    <w:qFormat/>
    <w:uiPriority w:val="39"/>
    <w:pPr>
      <w:ind w:left="840" w:leftChars="400"/>
    </w:pPr>
  </w:style>
  <w:style w:type="paragraph" w:styleId="12">
    <w:name w:val="Plain Text"/>
    <w:basedOn w:val="1"/>
    <w:link w:val="56"/>
    <w:unhideWhenUsed/>
    <w:qFormat/>
    <w:uiPriority w:val="99"/>
    <w:rPr>
      <w:rFonts w:ascii="Courier New" w:hAnsi="Courier New" w:cs="Courier New"/>
      <w:szCs w:val="20"/>
    </w:rPr>
  </w:style>
  <w:style w:type="paragraph" w:styleId="13">
    <w:name w:val="Date"/>
    <w:basedOn w:val="1"/>
    <w:next w:val="1"/>
    <w:qFormat/>
    <w:uiPriority w:val="0"/>
    <w:rPr>
      <w:sz w:val="24"/>
      <w:szCs w:val="20"/>
    </w:rPr>
  </w:style>
  <w:style w:type="paragraph" w:styleId="14">
    <w:name w:val="Balloon Text"/>
    <w:basedOn w:val="1"/>
    <w:link w:val="64"/>
    <w:semiHidden/>
    <w:unhideWhenUsed/>
    <w:qFormat/>
    <w:uiPriority w:val="99"/>
    <w:rPr>
      <w:sz w:val="18"/>
      <w:szCs w:val="18"/>
    </w:rPr>
  </w:style>
  <w:style w:type="paragraph" w:styleId="15">
    <w:name w:val="footer"/>
    <w:basedOn w:val="1"/>
    <w:link w:val="47"/>
    <w:unhideWhenUsed/>
    <w:qFormat/>
    <w:uiPriority w:val="99"/>
    <w:pPr>
      <w:tabs>
        <w:tab w:val="center" w:pos="4153"/>
        <w:tab w:val="right" w:pos="8306"/>
      </w:tabs>
      <w:snapToGrid w:val="0"/>
      <w:jc w:val="left"/>
    </w:pPr>
    <w:rPr>
      <w:sz w:val="18"/>
      <w:szCs w:val="18"/>
    </w:rPr>
  </w:style>
  <w:style w:type="paragraph" w:styleId="16">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unhideWhenUsed/>
    <w:qFormat/>
    <w:uiPriority w:val="39"/>
    <w:pPr>
      <w:spacing w:before="120" w:after="120"/>
      <w:jc w:val="left"/>
    </w:pPr>
    <w:rPr>
      <w:b/>
      <w:bCs/>
      <w:caps/>
      <w:sz w:val="20"/>
      <w:szCs w:val="20"/>
    </w:rPr>
  </w:style>
  <w:style w:type="paragraph" w:styleId="18">
    <w:name w:val="footnote text"/>
    <w:basedOn w:val="1"/>
    <w:qFormat/>
    <w:uiPriority w:val="0"/>
    <w:pPr>
      <w:snapToGrid w:val="0"/>
    </w:pPr>
    <w:rPr>
      <w:rFonts w:ascii="Times New Roman" w:hAnsi="Times New Roman" w:eastAsia="宋体" w:cs="Times New Roman"/>
      <w:sz w:val="18"/>
      <w:szCs w:val="18"/>
    </w:rPr>
  </w:style>
  <w:style w:type="paragraph" w:styleId="19">
    <w:name w:val="toc 2"/>
    <w:basedOn w:val="1"/>
    <w:next w:val="1"/>
    <w:qFormat/>
    <w:uiPriority w:val="39"/>
    <w:pPr>
      <w:ind w:left="420" w:leftChars="200"/>
    </w:pPr>
  </w:style>
  <w:style w:type="paragraph" w:styleId="20">
    <w:name w:val="Body Text 2"/>
    <w:basedOn w:val="1"/>
    <w:link w:val="65"/>
    <w:semiHidden/>
    <w:unhideWhenUsed/>
    <w:qFormat/>
    <w:uiPriority w:val="99"/>
    <w:pPr>
      <w:spacing w:after="120" w:line="480" w:lineRule="auto"/>
    </w:pPr>
  </w:style>
  <w:style w:type="paragraph" w:styleId="21">
    <w:name w:val="Normal (Web)"/>
    <w:basedOn w:val="1"/>
    <w:semiHidden/>
    <w:unhideWhenUsed/>
    <w:qFormat/>
    <w:uiPriority w:val="99"/>
    <w:pPr>
      <w:widowControl/>
      <w:spacing w:before="100" w:beforeAutospacing="1" w:after="100" w:afterAutospacing="1"/>
      <w:jc w:val="left"/>
    </w:pPr>
    <w:rPr>
      <w:rFonts w:ascii="??" w:hAnsi="??" w:cs="宋体"/>
      <w:kern w:val="0"/>
      <w:sz w:val="24"/>
    </w:rPr>
  </w:style>
  <w:style w:type="paragraph" w:styleId="22">
    <w:name w:val="Title"/>
    <w:basedOn w:val="1"/>
    <w:next w:val="1"/>
    <w:qFormat/>
    <w:uiPriority w:val="10"/>
    <w:pPr>
      <w:keepNext w:val="0"/>
      <w:keepLines w:val="0"/>
      <w:widowControl w:val="0"/>
      <w:suppressLineNumbers w:val="0"/>
      <w:tabs>
        <w:tab w:val="left" w:pos="738"/>
      </w:tabs>
      <w:spacing w:before="240" w:beforeAutospacing="0" w:after="60" w:afterAutospacing="0" w:line="240" w:lineRule="auto"/>
      <w:ind w:left="738" w:hanging="454"/>
      <w:jc w:val="center"/>
      <w:outlineLvl w:val="0"/>
    </w:pPr>
    <w:rPr>
      <w:rFonts w:hint="default" w:ascii="Arial" w:hAnsi="Arial" w:eastAsia="宋体" w:cs="Arial"/>
      <w:b/>
      <w:bCs/>
      <w:kern w:val="2"/>
      <w:sz w:val="32"/>
      <w:szCs w:val="32"/>
      <w:lang w:val="en-US" w:eastAsia="zh-CN" w:bidi="ar"/>
    </w:rPr>
  </w:style>
  <w:style w:type="paragraph" w:styleId="23">
    <w:name w:val="annotation subject"/>
    <w:basedOn w:val="7"/>
    <w:next w:val="7"/>
    <w:link w:val="57"/>
    <w:semiHidden/>
    <w:unhideWhenUsed/>
    <w:qFormat/>
    <w:uiPriority w:val="99"/>
    <w:rPr>
      <w:b/>
      <w:bCs/>
    </w:rPr>
  </w:style>
  <w:style w:type="paragraph" w:styleId="24">
    <w:name w:val="Body Text First Indent"/>
    <w:basedOn w:val="1"/>
    <w:next w:val="1"/>
    <w:link w:val="53"/>
    <w:unhideWhenUsed/>
    <w:qFormat/>
    <w:uiPriority w:val="99"/>
    <w:pPr>
      <w:spacing w:line="312" w:lineRule="auto"/>
      <w:ind w:firstLine="420"/>
    </w:pPr>
  </w:style>
  <w:style w:type="paragraph" w:styleId="25">
    <w:name w:val="Body Text First Indent 2"/>
    <w:basedOn w:val="10"/>
    <w:next w:val="24"/>
    <w:qFormat/>
    <w:uiPriority w:val="0"/>
    <w:pPr>
      <w:ind w:firstLine="420" w:firstLineChars="200"/>
    </w:p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rFonts w:cs="Times New Roman"/>
      <w:b/>
      <w:bCs/>
      <w:lang w:bidi="ar-SA"/>
    </w:rPr>
  </w:style>
  <w:style w:type="character" w:styleId="30">
    <w:name w:val="FollowedHyperlink"/>
    <w:basedOn w:val="28"/>
    <w:semiHidden/>
    <w:unhideWhenUsed/>
    <w:qFormat/>
    <w:uiPriority w:val="99"/>
    <w:rPr>
      <w:color w:val="800080"/>
      <w:u w:val="single"/>
    </w:rPr>
  </w:style>
  <w:style w:type="character" w:styleId="31">
    <w:name w:val="Emphasis"/>
    <w:basedOn w:val="28"/>
    <w:qFormat/>
    <w:uiPriority w:val="20"/>
    <w:rPr>
      <w:b/>
      <w:bCs/>
    </w:rPr>
  </w:style>
  <w:style w:type="character" w:styleId="32">
    <w:name w:val="HTML Definition"/>
    <w:basedOn w:val="28"/>
    <w:semiHidden/>
    <w:unhideWhenUsed/>
    <w:qFormat/>
    <w:uiPriority w:val="99"/>
  </w:style>
  <w:style w:type="character" w:styleId="33">
    <w:name w:val="HTML Typewriter"/>
    <w:basedOn w:val="28"/>
    <w:semiHidden/>
    <w:unhideWhenUsed/>
    <w:qFormat/>
    <w:uiPriority w:val="99"/>
    <w:rPr>
      <w:rFonts w:ascii="monospace" w:hAnsi="monospace" w:eastAsia="monospace" w:cs="monospace"/>
      <w:sz w:val="20"/>
    </w:rPr>
  </w:style>
  <w:style w:type="character" w:styleId="34">
    <w:name w:val="HTML Acronym"/>
    <w:basedOn w:val="28"/>
    <w:semiHidden/>
    <w:unhideWhenUsed/>
    <w:qFormat/>
    <w:uiPriority w:val="99"/>
  </w:style>
  <w:style w:type="character" w:styleId="35">
    <w:name w:val="HTML Variable"/>
    <w:basedOn w:val="28"/>
    <w:semiHidden/>
    <w:unhideWhenUsed/>
    <w:qFormat/>
    <w:uiPriority w:val="99"/>
  </w:style>
  <w:style w:type="character" w:styleId="36">
    <w:name w:val="Hyperlink"/>
    <w:basedOn w:val="28"/>
    <w:semiHidden/>
    <w:unhideWhenUsed/>
    <w:qFormat/>
    <w:uiPriority w:val="99"/>
    <w:rPr>
      <w:color w:val="0000FF"/>
      <w:u w:val="single"/>
    </w:rPr>
  </w:style>
  <w:style w:type="character" w:styleId="37">
    <w:name w:val="HTML Code"/>
    <w:basedOn w:val="28"/>
    <w:semiHidden/>
    <w:unhideWhenUsed/>
    <w:qFormat/>
    <w:uiPriority w:val="99"/>
    <w:rPr>
      <w:rFonts w:ascii="Courier New" w:hAnsi="宋体" w:eastAsia="Courier New" w:cs="Courier New"/>
      <w:sz w:val="20"/>
      <w:szCs w:val="24"/>
      <w:lang w:bidi="ar-SA"/>
    </w:rPr>
  </w:style>
  <w:style w:type="character" w:styleId="38">
    <w:name w:val="annotation reference"/>
    <w:basedOn w:val="28"/>
    <w:semiHidden/>
    <w:unhideWhenUsed/>
    <w:qFormat/>
    <w:uiPriority w:val="99"/>
    <w:rPr>
      <w:rFonts w:cs="Times New Roman"/>
      <w:sz w:val="21"/>
      <w:szCs w:val="21"/>
      <w:lang w:bidi="ar-SA"/>
    </w:rPr>
  </w:style>
  <w:style w:type="character" w:styleId="39">
    <w:name w:val="HTML Cite"/>
    <w:basedOn w:val="28"/>
    <w:semiHidden/>
    <w:unhideWhenUsed/>
    <w:qFormat/>
    <w:uiPriority w:val="99"/>
  </w:style>
  <w:style w:type="character" w:styleId="40">
    <w:name w:val="footnote reference"/>
    <w:semiHidden/>
    <w:unhideWhenUsed/>
    <w:qFormat/>
    <w:uiPriority w:val="99"/>
    <w:rPr>
      <w:rFonts w:cs="Times New Roman"/>
      <w:vertAlign w:val="superscript"/>
      <w:lang w:bidi="ar-SA"/>
    </w:rPr>
  </w:style>
  <w:style w:type="character" w:styleId="41">
    <w:name w:val="HTML Keyboard"/>
    <w:basedOn w:val="28"/>
    <w:semiHidden/>
    <w:unhideWhenUsed/>
    <w:qFormat/>
    <w:uiPriority w:val="99"/>
    <w:rPr>
      <w:rFonts w:ascii="Courier New" w:hAnsi="宋体" w:eastAsia="Courier New" w:cs="Courier New"/>
      <w:sz w:val="20"/>
      <w:szCs w:val="24"/>
      <w:lang w:bidi="ar-SA"/>
    </w:rPr>
  </w:style>
  <w:style w:type="character" w:styleId="42">
    <w:name w:val="HTML Sample"/>
    <w:basedOn w:val="28"/>
    <w:semiHidden/>
    <w:unhideWhenUsed/>
    <w:qFormat/>
    <w:uiPriority w:val="99"/>
    <w:rPr>
      <w:rFonts w:ascii="Courier New" w:hAnsi="宋体" w:eastAsia="Courier New" w:cs="Courier New"/>
      <w:color w:val="3D4B64"/>
      <w:sz w:val="19"/>
      <w:szCs w:val="19"/>
      <w:lang w:bidi="ar-SA"/>
    </w:rPr>
  </w:style>
  <w:style w:type="paragraph" w:customStyle="1" w:styleId="43">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4">
    <w:name w:val="Default"/>
    <w:next w:val="1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首行缩进"/>
    <w:basedOn w:val="1"/>
    <w:qFormat/>
    <w:uiPriority w:val="0"/>
    <w:pPr>
      <w:numPr>
        <w:ilvl w:val="0"/>
        <w:numId w:val="1"/>
      </w:numPr>
      <w:spacing w:line="360" w:lineRule="auto"/>
    </w:pPr>
    <w:rPr>
      <w:rFonts w:eastAsia="仿宋_GB2312"/>
    </w:rPr>
  </w:style>
  <w:style w:type="character" w:customStyle="1" w:styleId="46">
    <w:name w:val="页眉 字符"/>
    <w:basedOn w:val="28"/>
    <w:link w:val="16"/>
    <w:qFormat/>
    <w:uiPriority w:val="99"/>
    <w:rPr>
      <w:sz w:val="18"/>
      <w:szCs w:val="18"/>
    </w:rPr>
  </w:style>
  <w:style w:type="character" w:customStyle="1" w:styleId="47">
    <w:name w:val="页脚 字符"/>
    <w:basedOn w:val="28"/>
    <w:link w:val="15"/>
    <w:qFormat/>
    <w:uiPriority w:val="99"/>
    <w:rPr>
      <w:sz w:val="18"/>
      <w:szCs w:val="18"/>
    </w:rPr>
  </w:style>
  <w:style w:type="character" w:customStyle="1" w:styleId="48">
    <w:name w:val="标题 1 字符"/>
    <w:basedOn w:val="28"/>
    <w:link w:val="2"/>
    <w:qFormat/>
    <w:uiPriority w:val="9"/>
    <w:rPr>
      <w:rFonts w:ascii="Times New Roman" w:hAnsi="Times New Roman" w:eastAsia="宋体" w:cs="Times New Roman"/>
      <w:b/>
      <w:bCs/>
      <w:kern w:val="44"/>
      <w:sz w:val="44"/>
      <w:szCs w:val="44"/>
    </w:rPr>
  </w:style>
  <w:style w:type="character" w:customStyle="1" w:styleId="49">
    <w:name w:val="标题 2 字符"/>
    <w:basedOn w:val="28"/>
    <w:link w:val="3"/>
    <w:qFormat/>
    <w:uiPriority w:val="9"/>
    <w:rPr>
      <w:rFonts w:ascii="Arial" w:hAnsi="Arial" w:eastAsia="黑体" w:cs="Arial"/>
      <w:b/>
      <w:bCs/>
      <w:sz w:val="32"/>
      <w:szCs w:val="32"/>
    </w:rPr>
  </w:style>
  <w:style w:type="character" w:customStyle="1" w:styleId="50">
    <w:name w:val="标题 3 字符"/>
    <w:basedOn w:val="28"/>
    <w:link w:val="4"/>
    <w:qFormat/>
    <w:uiPriority w:val="9"/>
    <w:rPr>
      <w:rFonts w:ascii="Times New Roman" w:hAnsi="Times New Roman" w:eastAsia="宋体" w:cs="Times New Roman"/>
      <w:b/>
      <w:bCs/>
      <w:sz w:val="32"/>
      <w:szCs w:val="32"/>
    </w:rPr>
  </w:style>
  <w:style w:type="character" w:customStyle="1" w:styleId="51">
    <w:name w:val="标题 4 字符"/>
    <w:basedOn w:val="28"/>
    <w:link w:val="5"/>
    <w:qFormat/>
    <w:uiPriority w:val="9"/>
    <w:rPr>
      <w:rFonts w:ascii="Arial" w:hAnsi="Arial" w:eastAsia="黑体" w:cs="Arial"/>
      <w:b/>
      <w:bCs/>
      <w:sz w:val="28"/>
      <w:szCs w:val="28"/>
    </w:rPr>
  </w:style>
  <w:style w:type="character" w:customStyle="1" w:styleId="52">
    <w:name w:val="正文文本 字符"/>
    <w:basedOn w:val="28"/>
    <w:link w:val="9"/>
    <w:semiHidden/>
    <w:qFormat/>
    <w:uiPriority w:val="99"/>
    <w:rPr>
      <w:rFonts w:ascii="Times New Roman" w:hAnsi="Times New Roman" w:eastAsia="宋体" w:cs="Times New Roman"/>
      <w:szCs w:val="24"/>
    </w:rPr>
  </w:style>
  <w:style w:type="character" w:customStyle="1" w:styleId="53">
    <w:name w:val="正文首行缩进 字符"/>
    <w:basedOn w:val="52"/>
    <w:link w:val="24"/>
    <w:qFormat/>
    <w:uiPriority w:val="99"/>
    <w:rPr>
      <w:rFonts w:ascii="Times New Roman" w:hAnsi="Times New Roman" w:eastAsia="宋体" w:cs="Times New Roman"/>
      <w:szCs w:val="24"/>
    </w:rPr>
  </w:style>
  <w:style w:type="character" w:customStyle="1" w:styleId="54">
    <w:name w:val="批注文字 字符"/>
    <w:basedOn w:val="28"/>
    <w:link w:val="7"/>
    <w:semiHidden/>
    <w:qFormat/>
    <w:uiPriority w:val="99"/>
    <w:rPr>
      <w:rFonts w:ascii="Times New Roman" w:hAnsi="Times New Roman" w:eastAsia="宋体" w:cs="Times New Roman"/>
      <w:sz w:val="24"/>
      <w:szCs w:val="24"/>
    </w:rPr>
  </w:style>
  <w:style w:type="character" w:customStyle="1" w:styleId="55">
    <w:name w:val="正文文本 3 字符"/>
    <w:basedOn w:val="28"/>
    <w:link w:val="8"/>
    <w:semiHidden/>
    <w:qFormat/>
    <w:uiPriority w:val="99"/>
    <w:rPr>
      <w:rFonts w:ascii="宋体" w:hAnsi="宋体" w:eastAsia="宋体" w:cs="宋体"/>
      <w:sz w:val="24"/>
      <w:szCs w:val="20"/>
    </w:rPr>
  </w:style>
  <w:style w:type="character" w:customStyle="1" w:styleId="56">
    <w:name w:val="纯文本 字符"/>
    <w:basedOn w:val="28"/>
    <w:link w:val="12"/>
    <w:qFormat/>
    <w:uiPriority w:val="99"/>
    <w:rPr>
      <w:rFonts w:ascii="Courier New" w:hAnsi="Courier New" w:eastAsia="宋体" w:cs="Courier New"/>
      <w:szCs w:val="20"/>
    </w:rPr>
  </w:style>
  <w:style w:type="character" w:customStyle="1" w:styleId="57">
    <w:name w:val="批注主题 字符"/>
    <w:basedOn w:val="54"/>
    <w:link w:val="23"/>
    <w:semiHidden/>
    <w:qFormat/>
    <w:uiPriority w:val="99"/>
    <w:rPr>
      <w:rFonts w:ascii="Times New Roman" w:hAnsi="Times New Roman" w:eastAsia="宋体" w:cs="Times New Roman"/>
      <w:b/>
      <w:bCs/>
      <w:sz w:val="24"/>
      <w:szCs w:val="24"/>
    </w:rPr>
  </w:style>
  <w:style w:type="paragraph" w:customStyle="1" w:styleId="5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59">
    <w:name w:val="表格文字"/>
    <w:basedOn w:val="1"/>
    <w:qFormat/>
    <w:uiPriority w:val="0"/>
    <w:pPr>
      <w:adjustRightInd w:val="0"/>
      <w:spacing w:line="420" w:lineRule="atLeast"/>
      <w:jc w:val="left"/>
      <w:textAlignment w:val="baseline"/>
    </w:pPr>
    <w:rPr>
      <w:kern w:val="0"/>
      <w:szCs w:val="20"/>
    </w:rPr>
  </w:style>
  <w:style w:type="paragraph" w:customStyle="1" w:styleId="60">
    <w:name w:val="Blockquote"/>
    <w:basedOn w:val="1"/>
    <w:qFormat/>
    <w:uiPriority w:val="0"/>
    <w:pPr>
      <w:autoSpaceDE w:val="0"/>
      <w:autoSpaceDN w:val="0"/>
      <w:adjustRightInd w:val="0"/>
      <w:spacing w:before="100" w:after="100"/>
      <w:ind w:left="360" w:right="360"/>
    </w:pPr>
    <w:rPr>
      <w:sz w:val="24"/>
    </w:rPr>
  </w:style>
  <w:style w:type="paragraph" w:customStyle="1" w:styleId="61">
    <w:name w:val="_Style 17"/>
    <w:basedOn w:val="1"/>
    <w:next w:val="21"/>
    <w:qFormat/>
    <w:uiPriority w:val="0"/>
    <w:pPr>
      <w:spacing w:before="100" w:beforeAutospacing="1" w:after="100" w:afterAutospacing="1"/>
    </w:pPr>
    <w:rPr>
      <w:rFonts w:ascii="宋体" w:hAnsi="宋体" w:cs="黑体"/>
      <w:sz w:val="24"/>
    </w:rPr>
  </w:style>
  <w:style w:type="character" w:customStyle="1" w:styleId="62">
    <w:name w:val="正文文本 Char Char"/>
    <w:qFormat/>
    <w:uiPriority w:val="0"/>
    <w:rPr>
      <w:rFonts w:eastAsia="宋体" w:cs="Times New Roman"/>
      <w:kern w:val="2"/>
      <w:sz w:val="24"/>
      <w:szCs w:val="24"/>
      <w:lang w:val="en-US" w:eastAsia="zh-CN" w:bidi="ar-SA"/>
    </w:rPr>
  </w:style>
  <w:style w:type="character" w:customStyle="1" w:styleId="63">
    <w:name w:val="15"/>
    <w:qFormat/>
    <w:uiPriority w:val="0"/>
    <w:rPr>
      <w:rFonts w:ascii="Times New Roman"/>
      <w:color w:val="0000FF"/>
      <w:u w:val="single"/>
    </w:rPr>
  </w:style>
  <w:style w:type="character" w:customStyle="1" w:styleId="64">
    <w:name w:val="批注框文本 字符"/>
    <w:basedOn w:val="28"/>
    <w:link w:val="14"/>
    <w:semiHidden/>
    <w:qFormat/>
    <w:uiPriority w:val="99"/>
    <w:rPr>
      <w:rFonts w:ascii="Times New Roman" w:hAnsi="Times New Roman" w:eastAsia="宋体" w:cs="Times New Roman"/>
      <w:sz w:val="18"/>
      <w:szCs w:val="18"/>
    </w:rPr>
  </w:style>
  <w:style w:type="character" w:customStyle="1" w:styleId="65">
    <w:name w:val="正文文本 2 字符"/>
    <w:basedOn w:val="28"/>
    <w:link w:val="20"/>
    <w:semiHidden/>
    <w:qFormat/>
    <w:uiPriority w:val="99"/>
    <w:rPr>
      <w:rFonts w:ascii="Times New Roman" w:hAnsi="Times New Roman" w:eastAsia="宋体" w:cs="Times New Roman"/>
      <w:kern w:val="2"/>
      <w:sz w:val="21"/>
      <w:szCs w:val="24"/>
    </w:rPr>
  </w:style>
  <w:style w:type="table" w:customStyle="1" w:styleId="66">
    <w:name w:val="网格型1"/>
    <w:basedOn w:val="26"/>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7">
    <w:name w:val="Table Paragraph"/>
    <w:basedOn w:val="1"/>
    <w:qFormat/>
    <w:uiPriority w:val="1"/>
    <w:rPr>
      <w:rFonts w:ascii="宋体" w:hAnsi="宋体" w:cs="宋体"/>
    </w:rPr>
  </w:style>
  <w:style w:type="paragraph" w:customStyle="1" w:styleId="68">
    <w:name w:val="标题 31"/>
    <w:basedOn w:val="1"/>
    <w:qFormat/>
    <w:uiPriority w:val="1"/>
    <w:pPr>
      <w:ind w:left="237" w:right="102"/>
      <w:jc w:val="left"/>
      <w:outlineLvl w:val="3"/>
    </w:pPr>
    <w:rPr>
      <w:rFonts w:ascii="宋体" w:hAnsi="宋体" w:cs="宋体"/>
      <w:kern w:val="0"/>
      <w:sz w:val="28"/>
      <w:szCs w:val="28"/>
      <w:lang w:eastAsia="en-US"/>
    </w:rPr>
  </w:style>
  <w:style w:type="paragraph" w:styleId="69">
    <w:name w:val="List Paragraph"/>
    <w:basedOn w:val="1"/>
    <w:qFormat/>
    <w:uiPriority w:val="34"/>
    <w:pPr>
      <w:ind w:firstLine="420" w:firstLineChars="200"/>
    </w:pPr>
  </w:style>
  <w:style w:type="paragraph" w:customStyle="1" w:styleId="70">
    <w:name w:val="Normal_0"/>
    <w:basedOn w:val="71"/>
    <w:qFormat/>
    <w:uiPriority w:val="0"/>
  </w:style>
  <w:style w:type="paragraph" w:customStyle="1" w:styleId="71">
    <w:name w:val="Normal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2">
    <w:name w:val="Normal_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73">
    <w:name w:val="No Spacing"/>
    <w:qFormat/>
    <w:uiPriority w:val="1"/>
    <w:pPr>
      <w:widowControl w:val="0"/>
      <w:jc w:val="both"/>
    </w:pPr>
    <w:rPr>
      <w:rFonts w:ascii="Times New Roman" w:hAnsi="Times New Roman" w:eastAsia="宋体" w:cs="Times New Roman"/>
      <w:kern w:val="2"/>
      <w:sz w:val="21"/>
      <w:szCs w:val="21"/>
      <w:lang w:val="en-US" w:eastAsia="zh-CN" w:bidi="ar-SA"/>
    </w:rPr>
  </w:style>
  <w:style w:type="paragraph" w:customStyle="1" w:styleId="74">
    <w:name w:val="Table Text"/>
    <w:basedOn w:val="1"/>
    <w:semiHidden/>
    <w:qFormat/>
    <w:uiPriority w:val="0"/>
    <w:rPr>
      <w:rFonts w:ascii="宋体" w:hAnsi="宋体" w:eastAsia="宋体" w:cs="宋体"/>
      <w:sz w:val="20"/>
      <w:szCs w:val="20"/>
      <w:lang w:val="en-US" w:eastAsia="en-US" w:bidi="ar-SA"/>
    </w:rPr>
  </w:style>
  <w:style w:type="table" w:customStyle="1" w:styleId="7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12966</Words>
  <Characters>14212</Characters>
  <Lines>344</Lines>
  <Paragraphs>96</Paragraphs>
  <TotalTime>63</TotalTime>
  <ScaleCrop>false</ScaleCrop>
  <LinksUpToDate>false</LinksUpToDate>
  <CharactersWithSpaces>14331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2023-09-26T01:25:00Z</dcterms:created>
  <dc:creator>kdy</dc:creator>
  <cp:lastModifiedBy>Administrator</cp:lastModifiedBy>
  <dcterms:modified xsi:type="dcterms:W3CDTF">2025-06-23T02:29:56Z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7B7A008C389C40D39F2EE94781FFA17A_13</vt:lpwstr>
  </property>
  <property fmtid="{D5CDD505-2E9C-101B-9397-08002B2CF9AE}" pid="4" name="KSOTemplateDocerSaveRecord">
    <vt:lpwstr>eyJoZGlkIjoiMDE2ZWMzOGJjYTg3MDVlYTkzMDdiMmEwOWI5M2Q3NTkiLCJ1c2VySWQiOiIyODM1MzUyOTkifQ==</vt:lpwstr>
  </property>
</Properties>
</file>