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15A67">
      <w:pPr>
        <w:pStyle w:val="21"/>
        <w:bidi w:val="0"/>
        <w:rPr>
          <w:rFonts w:hint="eastAsia"/>
        </w:rPr>
      </w:pPr>
    </w:p>
    <w:p w14:paraId="59852D86">
      <w:pPr>
        <w:pStyle w:val="21"/>
        <w:ind w:left="0" w:leftChars="0" w:firstLine="0" w:firstLineChars="0"/>
        <w:outlineLvl w:val="9"/>
        <w:rPr>
          <w:rFonts w:hint="eastAsia" w:ascii="宋体" w:hAnsi="宋体" w:eastAsia="宋体" w:cs="宋体"/>
          <w:highlight w:val="none"/>
        </w:rPr>
      </w:pPr>
    </w:p>
    <w:p w14:paraId="4044B695">
      <w:pPr>
        <w:ind w:left="4337" w:hanging="3614" w:hangingChars="600"/>
        <w:jc w:val="center"/>
        <w:outlineLvl w:val="9"/>
        <w:rPr>
          <w:rFonts w:hint="eastAsia" w:ascii="宋体" w:hAnsi="宋体" w:cs="宋体"/>
          <w:b/>
          <w:bCs w:val="0"/>
          <w:sz w:val="60"/>
          <w:szCs w:val="60"/>
          <w:highlight w:val="none"/>
          <w:lang w:eastAsia="zh-CN"/>
        </w:rPr>
      </w:pPr>
    </w:p>
    <w:p w14:paraId="6E7F1F23">
      <w:pPr>
        <w:ind w:left="4337" w:hanging="3614" w:hangingChars="600"/>
        <w:jc w:val="center"/>
        <w:outlineLvl w:val="9"/>
        <w:rPr>
          <w:rFonts w:hint="eastAsia" w:ascii="宋体" w:hAnsi="宋体" w:eastAsia="宋体" w:cs="宋体"/>
          <w:b/>
          <w:bCs/>
          <w:sz w:val="52"/>
          <w:szCs w:val="52"/>
          <w:highlight w:val="none"/>
          <w:lang w:val="en-US" w:eastAsia="zh-CN"/>
        </w:rPr>
      </w:pPr>
      <w:r>
        <w:rPr>
          <w:rFonts w:hint="eastAsia" w:ascii="宋体" w:hAnsi="宋体" w:cs="宋体"/>
          <w:b/>
          <w:bCs w:val="0"/>
          <w:sz w:val="60"/>
          <w:szCs w:val="60"/>
          <w:highlight w:val="none"/>
          <w:lang w:eastAsia="zh-CN"/>
        </w:rPr>
        <w:t>德惠市人民医院自助终端平台项目</w:t>
      </w:r>
    </w:p>
    <w:p w14:paraId="4D19CA28">
      <w:pPr>
        <w:pStyle w:val="21"/>
        <w:outlineLvl w:val="9"/>
        <w:rPr>
          <w:rFonts w:hint="eastAsia" w:ascii="宋体" w:hAnsi="宋体" w:eastAsia="宋体" w:cs="宋体"/>
          <w:highlight w:val="none"/>
          <w:lang w:val="en-US" w:eastAsia="zh-CN"/>
        </w:rPr>
      </w:pPr>
    </w:p>
    <w:p w14:paraId="5B3AF7DB">
      <w:pPr>
        <w:ind w:left="4337" w:hanging="3132" w:hangingChars="600"/>
        <w:jc w:val="center"/>
        <w:outlineLvl w:val="9"/>
        <w:rPr>
          <w:rFonts w:hint="eastAsia" w:ascii="宋体" w:hAnsi="宋体" w:eastAsia="宋体" w:cs="宋体"/>
          <w:b/>
          <w:bCs/>
          <w:sz w:val="52"/>
          <w:szCs w:val="52"/>
          <w:highlight w:val="none"/>
        </w:rPr>
      </w:pPr>
    </w:p>
    <w:p w14:paraId="0D63526D">
      <w:pPr>
        <w:ind w:left="4337" w:hanging="3132" w:hangingChars="600"/>
        <w:jc w:val="center"/>
        <w:outlineLvl w:val="9"/>
        <w:rPr>
          <w:rFonts w:hint="eastAsia" w:ascii="宋体" w:hAnsi="宋体" w:eastAsia="宋体" w:cs="宋体"/>
          <w:b/>
          <w:bCs/>
          <w:sz w:val="52"/>
          <w:szCs w:val="52"/>
          <w:highlight w:val="none"/>
        </w:rPr>
      </w:pPr>
    </w:p>
    <w:p w14:paraId="2CBEF23C">
      <w:pPr>
        <w:ind w:left="4337" w:hanging="3132" w:hangingChars="600"/>
        <w:jc w:val="center"/>
        <w:outlineLvl w:val="9"/>
        <w:rPr>
          <w:rFonts w:hint="eastAsia" w:ascii="宋体" w:hAnsi="宋体" w:eastAsia="宋体" w:cs="宋体"/>
          <w:b/>
          <w:bCs/>
          <w:sz w:val="52"/>
          <w:szCs w:val="52"/>
          <w:highlight w:val="none"/>
        </w:rPr>
      </w:pPr>
    </w:p>
    <w:p w14:paraId="6CF16B98">
      <w:pPr>
        <w:ind w:left="4337" w:hanging="4337" w:hangingChars="600"/>
        <w:jc w:val="center"/>
        <w:outlineLvl w:val="9"/>
        <w:rPr>
          <w:rFonts w:hint="eastAsia" w:ascii="宋体" w:hAnsi="宋体" w:eastAsia="宋体" w:cs="宋体"/>
          <w:b/>
          <w:bCs/>
          <w:sz w:val="72"/>
          <w:szCs w:val="72"/>
          <w:highlight w:val="none"/>
          <w:lang w:val="en-US" w:eastAsia="zh-CN"/>
        </w:rPr>
      </w:pPr>
      <w:r>
        <w:rPr>
          <w:rFonts w:hint="eastAsia" w:ascii="宋体" w:hAnsi="宋体" w:eastAsia="宋体" w:cs="宋体"/>
          <w:b/>
          <w:bCs/>
          <w:sz w:val="72"/>
          <w:szCs w:val="72"/>
          <w:highlight w:val="none"/>
        </w:rPr>
        <w:t>竞争性磋商文件</w:t>
      </w:r>
    </w:p>
    <w:p w14:paraId="28A47E80">
      <w:pPr>
        <w:pStyle w:val="37"/>
        <w:spacing w:line="400" w:lineRule="exact"/>
        <w:ind w:firstLine="482"/>
        <w:outlineLvl w:val="9"/>
        <w:rPr>
          <w:rFonts w:hint="eastAsia" w:ascii="宋体" w:hAnsi="宋体" w:eastAsia="宋体" w:cs="宋体"/>
          <w:b/>
          <w:sz w:val="24"/>
          <w:highlight w:val="none"/>
        </w:rPr>
      </w:pPr>
    </w:p>
    <w:p w14:paraId="576FCCDD">
      <w:pPr>
        <w:pStyle w:val="37"/>
        <w:spacing w:line="360" w:lineRule="auto"/>
        <w:ind w:left="0" w:leftChars="0" w:firstLine="0" w:firstLineChars="0"/>
        <w:jc w:val="center"/>
        <w:outlineLvl w:val="9"/>
        <w:rPr>
          <w:rFonts w:hint="eastAsia" w:ascii="宋体" w:hAnsi="宋体" w:eastAsia="宋体" w:cs="宋体"/>
          <w:b/>
          <w:sz w:val="32"/>
          <w:highlight w:val="none"/>
          <w:lang w:val="en-US" w:eastAsia="zh-CN"/>
        </w:rPr>
      </w:pPr>
      <w:r>
        <w:rPr>
          <w:rFonts w:hint="eastAsia" w:ascii="宋体" w:hAnsi="宋体" w:eastAsia="宋体" w:cs="宋体"/>
          <w:b/>
          <w:sz w:val="32"/>
          <w:highlight w:val="none"/>
          <w:lang w:eastAsia="zh-CN"/>
        </w:rPr>
        <w:t>项目编号：</w:t>
      </w:r>
      <w:r>
        <w:rPr>
          <w:rFonts w:hint="eastAsia" w:ascii="宋体" w:hAnsi="宋体" w:cs="宋体"/>
          <w:b/>
          <w:sz w:val="32"/>
          <w:highlight w:val="none"/>
          <w:lang w:val="en-US" w:eastAsia="zh-CN"/>
        </w:rPr>
        <w:t>采购计划-[2025]-00063号-HX-FWZB-20250502</w:t>
      </w:r>
    </w:p>
    <w:p w14:paraId="09AAA63E">
      <w:pPr>
        <w:pStyle w:val="37"/>
        <w:spacing w:line="400" w:lineRule="exact"/>
        <w:ind w:firstLine="640"/>
        <w:outlineLvl w:val="9"/>
        <w:rPr>
          <w:rFonts w:hint="eastAsia" w:ascii="宋体" w:hAnsi="宋体" w:eastAsia="宋体" w:cs="宋体"/>
          <w:sz w:val="32"/>
          <w:highlight w:val="none"/>
        </w:rPr>
      </w:pPr>
    </w:p>
    <w:p w14:paraId="6DABE3A4">
      <w:pPr>
        <w:pStyle w:val="37"/>
        <w:spacing w:line="400" w:lineRule="exact"/>
        <w:ind w:firstLine="640"/>
        <w:outlineLvl w:val="9"/>
        <w:rPr>
          <w:rFonts w:hint="eastAsia" w:ascii="宋体" w:hAnsi="宋体" w:eastAsia="宋体" w:cs="宋体"/>
          <w:sz w:val="32"/>
          <w:highlight w:val="none"/>
        </w:rPr>
      </w:pPr>
    </w:p>
    <w:p w14:paraId="1D41687D">
      <w:pPr>
        <w:pStyle w:val="37"/>
        <w:spacing w:line="400" w:lineRule="exact"/>
        <w:ind w:firstLine="640"/>
        <w:outlineLvl w:val="9"/>
        <w:rPr>
          <w:rFonts w:hint="eastAsia" w:ascii="宋体" w:hAnsi="宋体" w:eastAsia="宋体" w:cs="宋体"/>
          <w:sz w:val="32"/>
          <w:highlight w:val="none"/>
        </w:rPr>
      </w:pPr>
    </w:p>
    <w:p w14:paraId="1A1F3700">
      <w:pPr>
        <w:pStyle w:val="37"/>
        <w:spacing w:line="400" w:lineRule="exact"/>
        <w:ind w:firstLine="640"/>
        <w:outlineLvl w:val="9"/>
        <w:rPr>
          <w:rFonts w:hint="eastAsia" w:ascii="宋体" w:hAnsi="宋体" w:eastAsia="宋体" w:cs="宋体"/>
          <w:sz w:val="32"/>
          <w:highlight w:val="none"/>
        </w:rPr>
      </w:pPr>
    </w:p>
    <w:p w14:paraId="7095D777">
      <w:pPr>
        <w:pStyle w:val="37"/>
        <w:spacing w:line="400" w:lineRule="exact"/>
        <w:ind w:firstLine="640"/>
        <w:outlineLvl w:val="9"/>
        <w:rPr>
          <w:rFonts w:hint="eastAsia" w:ascii="宋体" w:hAnsi="宋体" w:eastAsia="宋体" w:cs="宋体"/>
          <w:sz w:val="32"/>
          <w:highlight w:val="none"/>
        </w:rPr>
      </w:pPr>
    </w:p>
    <w:p w14:paraId="7F4AA560">
      <w:pPr>
        <w:pStyle w:val="37"/>
        <w:spacing w:line="400" w:lineRule="exact"/>
        <w:ind w:firstLine="0" w:firstLineChars="0"/>
        <w:outlineLvl w:val="9"/>
        <w:rPr>
          <w:rFonts w:hint="eastAsia" w:ascii="宋体" w:hAnsi="宋体" w:eastAsia="宋体" w:cs="宋体"/>
          <w:sz w:val="32"/>
          <w:highlight w:val="none"/>
        </w:rPr>
      </w:pPr>
    </w:p>
    <w:p w14:paraId="719E20EE">
      <w:pPr>
        <w:pStyle w:val="37"/>
        <w:spacing w:line="400" w:lineRule="exact"/>
        <w:ind w:firstLine="0" w:firstLineChars="0"/>
        <w:outlineLvl w:val="9"/>
        <w:rPr>
          <w:rFonts w:hint="eastAsia" w:ascii="宋体" w:hAnsi="宋体" w:eastAsia="宋体" w:cs="宋体"/>
          <w:sz w:val="32"/>
          <w:highlight w:val="none"/>
        </w:rPr>
      </w:pPr>
    </w:p>
    <w:p w14:paraId="4EA62081">
      <w:pPr>
        <w:pStyle w:val="37"/>
        <w:spacing w:line="400" w:lineRule="exact"/>
        <w:ind w:firstLine="0" w:firstLineChars="0"/>
        <w:outlineLvl w:val="9"/>
        <w:rPr>
          <w:rFonts w:hint="eastAsia" w:ascii="宋体" w:hAnsi="宋体" w:eastAsia="宋体" w:cs="宋体"/>
          <w:sz w:val="32"/>
          <w:highlight w:val="none"/>
        </w:rPr>
      </w:pPr>
    </w:p>
    <w:p w14:paraId="5354B400">
      <w:pPr>
        <w:pStyle w:val="37"/>
        <w:spacing w:line="400" w:lineRule="exact"/>
        <w:ind w:firstLine="0" w:firstLineChars="0"/>
        <w:outlineLvl w:val="9"/>
        <w:rPr>
          <w:rFonts w:hint="eastAsia" w:ascii="宋体" w:hAnsi="宋体" w:eastAsia="宋体" w:cs="宋体"/>
          <w:sz w:val="32"/>
          <w:highlight w:val="none"/>
        </w:rPr>
      </w:pPr>
    </w:p>
    <w:p w14:paraId="632451FC">
      <w:pPr>
        <w:ind w:left="4337" w:hanging="1928" w:hangingChars="600"/>
        <w:jc w:val="center"/>
        <w:outlineLvl w:val="9"/>
        <w:rPr>
          <w:rFonts w:hint="eastAsia" w:ascii="宋体" w:hAnsi="宋体" w:eastAsia="宋体" w:cs="宋体"/>
          <w:b/>
          <w:bCs w:val="0"/>
          <w:sz w:val="72"/>
          <w:szCs w:val="72"/>
          <w:highlight w:val="none"/>
          <w:lang w:val="en-US" w:eastAsia="zh-CN"/>
        </w:rPr>
      </w:pPr>
      <w:r>
        <w:rPr>
          <w:rFonts w:hint="eastAsia" w:ascii="宋体" w:hAnsi="宋体" w:eastAsia="宋体" w:cs="宋体"/>
          <w:b/>
          <w:sz w:val="32"/>
          <w:highlight w:val="none"/>
          <w:lang w:eastAsia="zh-CN"/>
        </w:rPr>
        <w:t>采购人</w:t>
      </w:r>
      <w:r>
        <w:rPr>
          <w:rFonts w:hint="eastAsia" w:ascii="宋体" w:hAnsi="宋体" w:eastAsia="宋体" w:cs="宋体"/>
          <w:b/>
          <w:sz w:val="32"/>
          <w:highlight w:val="none"/>
        </w:rPr>
        <w:t>：</w:t>
      </w:r>
      <w:r>
        <w:rPr>
          <w:rFonts w:hint="eastAsia" w:ascii="宋体" w:hAnsi="宋体" w:cs="宋体"/>
          <w:b/>
          <w:sz w:val="32"/>
          <w:highlight w:val="none"/>
          <w:lang w:val="en-US" w:eastAsia="zh-CN"/>
        </w:rPr>
        <w:t>德惠市人民医院</w:t>
      </w:r>
    </w:p>
    <w:p w14:paraId="086E2939">
      <w:pPr>
        <w:pStyle w:val="37"/>
        <w:spacing w:line="360" w:lineRule="auto"/>
        <w:ind w:left="0" w:leftChars="0" w:firstLine="0" w:firstLineChars="0"/>
        <w:jc w:val="center"/>
        <w:outlineLvl w:val="9"/>
        <w:rPr>
          <w:rFonts w:hint="eastAsia" w:ascii="宋体" w:hAnsi="宋体" w:eastAsia="宋体" w:cs="宋体"/>
          <w:b/>
          <w:sz w:val="32"/>
          <w:highlight w:val="none"/>
          <w:lang w:eastAsia="zh-CN"/>
        </w:rPr>
      </w:pPr>
      <w:r>
        <w:rPr>
          <w:rFonts w:hint="eastAsia" w:ascii="宋体" w:hAnsi="宋体" w:eastAsia="宋体" w:cs="宋体"/>
          <w:b/>
          <w:sz w:val="32"/>
          <w:highlight w:val="none"/>
          <w:lang w:eastAsia="zh-CN"/>
        </w:rPr>
        <w:t>采购代理机构</w:t>
      </w:r>
      <w:r>
        <w:rPr>
          <w:rFonts w:hint="eastAsia" w:ascii="宋体" w:hAnsi="宋体" w:eastAsia="宋体" w:cs="宋体"/>
          <w:b/>
          <w:sz w:val="32"/>
          <w:highlight w:val="none"/>
        </w:rPr>
        <w:t>：</w:t>
      </w:r>
      <w:r>
        <w:rPr>
          <w:rFonts w:hint="eastAsia" w:ascii="宋体" w:hAnsi="宋体" w:cs="宋体"/>
          <w:b/>
          <w:sz w:val="32"/>
          <w:highlight w:val="none"/>
          <w:lang w:eastAsia="zh-CN"/>
        </w:rPr>
        <w:t>吉林省惠新招标代理有限公司</w:t>
      </w:r>
    </w:p>
    <w:p w14:paraId="09796775">
      <w:pPr>
        <w:jc w:val="center"/>
        <w:outlineLvl w:val="9"/>
        <w:rPr>
          <w:rFonts w:hint="eastAsia" w:ascii="宋体" w:hAnsi="宋体" w:eastAsia="宋体" w:cs="宋体"/>
          <w:b/>
          <w:sz w:val="30"/>
          <w:szCs w:val="30"/>
          <w:highlight w:val="none"/>
        </w:rPr>
      </w:pPr>
      <w:r>
        <w:rPr>
          <w:rFonts w:hint="eastAsia" w:ascii="宋体" w:hAnsi="宋体" w:eastAsia="宋体" w:cs="宋体"/>
          <w:b/>
          <w:sz w:val="30"/>
          <w:szCs w:val="30"/>
          <w:highlight w:val="none"/>
        </w:rPr>
        <w:t>二○二</w:t>
      </w:r>
      <w:r>
        <w:rPr>
          <w:rFonts w:hint="eastAsia" w:ascii="宋体" w:hAnsi="宋体" w:cs="宋体"/>
          <w:b/>
          <w:sz w:val="30"/>
          <w:szCs w:val="30"/>
          <w:highlight w:val="none"/>
          <w:lang w:val="en-US" w:eastAsia="zh-CN"/>
        </w:rPr>
        <w:t>五</w:t>
      </w:r>
      <w:r>
        <w:rPr>
          <w:rFonts w:hint="eastAsia" w:ascii="宋体" w:hAnsi="宋体" w:eastAsia="宋体" w:cs="宋体"/>
          <w:b/>
          <w:sz w:val="30"/>
          <w:szCs w:val="30"/>
          <w:highlight w:val="none"/>
        </w:rPr>
        <w:t>年</w:t>
      </w:r>
      <w:r>
        <w:rPr>
          <w:rFonts w:hint="eastAsia" w:ascii="宋体" w:hAnsi="宋体" w:cs="宋体"/>
          <w:b/>
          <w:sz w:val="30"/>
          <w:szCs w:val="30"/>
          <w:highlight w:val="none"/>
          <w:lang w:val="en-US" w:eastAsia="zh-CN"/>
        </w:rPr>
        <w:t>六</w:t>
      </w:r>
      <w:r>
        <w:rPr>
          <w:rFonts w:hint="eastAsia" w:ascii="宋体" w:hAnsi="宋体" w:eastAsia="宋体" w:cs="宋体"/>
          <w:b/>
          <w:sz w:val="30"/>
          <w:szCs w:val="30"/>
          <w:highlight w:val="none"/>
        </w:rPr>
        <w:t>月</w:t>
      </w:r>
    </w:p>
    <w:p w14:paraId="7C0E3EEA">
      <w:pPr>
        <w:outlineLvl w:val="9"/>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p>
    <w:sdt>
      <w:sdtPr>
        <w:rPr>
          <w:rFonts w:hint="eastAsia" w:ascii="宋体" w:hAnsi="宋体" w:eastAsia="宋体" w:cs="宋体"/>
          <w:kern w:val="2"/>
          <w:sz w:val="21"/>
          <w:szCs w:val="22"/>
          <w:highlight w:val="none"/>
          <w:lang w:val="en-US" w:eastAsia="zh-CN" w:bidi="ar-SA"/>
        </w:rPr>
        <w:id w:val="147452164"/>
        <w15:color w:val="DBDBDB"/>
        <w:docPartObj>
          <w:docPartGallery w:val="Table of Contents"/>
          <w:docPartUnique/>
        </w:docPartObj>
      </w:sdtPr>
      <w:sdtEndPr>
        <w:rPr>
          <w:rFonts w:hint="eastAsia" w:ascii="宋体" w:hAnsi="宋体" w:eastAsia="宋体" w:cs="宋体"/>
          <w:kern w:val="2"/>
          <w:sz w:val="21"/>
          <w:szCs w:val="22"/>
          <w:highlight w:val="none"/>
          <w:lang w:val="en-US" w:eastAsia="zh-CN" w:bidi="ar-SA"/>
        </w:rPr>
      </w:sdtEndPr>
      <w:sdtContent>
        <w:p w14:paraId="29884A99">
          <w:pPr>
            <w:spacing w:before="0" w:beforeLines="0" w:after="0" w:afterLines="0" w:line="240" w:lineRule="auto"/>
            <w:ind w:left="0" w:leftChars="0" w:right="0" w:rightChars="0" w:firstLine="0" w:firstLineChars="0"/>
            <w:jc w:val="center"/>
            <w:rPr>
              <w:rFonts w:hint="eastAsia" w:ascii="宋体" w:hAnsi="宋体" w:eastAsia="宋体" w:cs="宋体"/>
              <w:sz w:val="32"/>
              <w:szCs w:val="32"/>
              <w:highlight w:val="none"/>
            </w:rPr>
          </w:pPr>
          <w:r>
            <w:rPr>
              <w:rFonts w:hint="eastAsia" w:ascii="宋体" w:hAnsi="宋体" w:eastAsia="宋体" w:cs="宋体"/>
              <w:b/>
              <w:bCs/>
              <w:sz w:val="32"/>
              <w:szCs w:val="32"/>
              <w:highlight w:val="none"/>
            </w:rPr>
            <w:t>目</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rPr>
            <w:t>录</w:t>
          </w:r>
        </w:p>
        <w:p w14:paraId="46A56996">
          <w:pPr>
            <w:pStyle w:val="14"/>
            <w:tabs>
              <w:tab w:val="right" w:leader="dot" w:pos="9638"/>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TOC \o "1-1" \h \u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_Toc14491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xml:space="preserve">第一章 </w:t>
          </w:r>
          <w:r>
            <w:rPr>
              <w:rFonts w:hint="eastAsia" w:ascii="宋体" w:hAnsi="宋体" w:eastAsia="宋体" w:cs="宋体"/>
              <w:sz w:val="28"/>
              <w:szCs w:val="28"/>
              <w:highlight w:val="none"/>
              <w:lang w:val="en-US" w:eastAsia="zh-CN"/>
            </w:rPr>
            <w:t>竞争性磋商</w:t>
          </w:r>
          <w:r>
            <w:rPr>
              <w:rFonts w:hint="eastAsia" w:ascii="宋体" w:hAnsi="宋体" w:eastAsia="宋体" w:cs="宋体"/>
              <w:sz w:val="28"/>
              <w:szCs w:val="28"/>
              <w:highlight w:val="none"/>
              <w:lang w:val="zh-CN"/>
            </w:rPr>
            <w:t>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_Toc14491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59DA03DE">
          <w:pPr>
            <w:pStyle w:val="14"/>
            <w:tabs>
              <w:tab w:val="right" w:leader="dot" w:pos="9638"/>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_Toc5274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xml:space="preserve">第二章 </w:t>
          </w:r>
          <w:r>
            <w:rPr>
              <w:rFonts w:hint="eastAsia" w:ascii="宋体" w:hAnsi="宋体" w:cs="宋体"/>
              <w:sz w:val="28"/>
              <w:szCs w:val="28"/>
              <w:highlight w:val="none"/>
              <w:lang w:eastAsia="zh-CN"/>
            </w:rPr>
            <w:t>供应商</w:t>
          </w:r>
          <w:r>
            <w:rPr>
              <w:rFonts w:hint="eastAsia" w:ascii="宋体" w:hAnsi="宋体" w:eastAsia="宋体" w:cs="宋体"/>
              <w:sz w:val="28"/>
              <w:szCs w:val="28"/>
              <w:highlight w:val="none"/>
            </w:rPr>
            <w:t>须知</w:t>
          </w:r>
          <w:r>
            <w:rPr>
              <w:rFonts w:hint="eastAsia" w:ascii="宋体" w:hAnsi="宋体" w:eastAsia="宋体" w:cs="宋体"/>
              <w:sz w:val="28"/>
              <w:szCs w:val="28"/>
              <w:highlight w:val="none"/>
            </w:rPr>
            <w:tab/>
          </w:r>
          <w:r>
            <w:rPr>
              <w:rFonts w:hint="eastAsia" w:ascii="宋体" w:hAnsi="宋体" w:cs="宋体"/>
              <w:sz w:val="28"/>
              <w:szCs w:val="28"/>
              <w:highlight w:val="none"/>
              <w:lang w:val="en-US" w:eastAsia="zh-CN"/>
            </w:rPr>
            <w:t>4</w:t>
          </w:r>
          <w:r>
            <w:rPr>
              <w:rFonts w:hint="eastAsia" w:ascii="宋体" w:hAnsi="宋体" w:eastAsia="宋体" w:cs="宋体"/>
              <w:sz w:val="28"/>
              <w:szCs w:val="28"/>
              <w:highlight w:val="none"/>
            </w:rPr>
            <w:fldChar w:fldCharType="end"/>
          </w:r>
        </w:p>
        <w:p w14:paraId="77C18E5E">
          <w:pPr>
            <w:pStyle w:val="14"/>
            <w:tabs>
              <w:tab w:val="right" w:leader="dot" w:pos="9638"/>
            </w:tabs>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_Toc23467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lang w:val="zh-CN"/>
            </w:rPr>
            <w:t>第三章 评标办法</w:t>
          </w:r>
          <w:r>
            <w:rPr>
              <w:rFonts w:hint="eastAsia" w:ascii="宋体" w:hAnsi="宋体" w:eastAsia="宋体" w:cs="宋体"/>
              <w:sz w:val="28"/>
              <w:szCs w:val="28"/>
              <w:highlight w:val="none"/>
            </w:rPr>
            <w:tab/>
          </w:r>
          <w:r>
            <w:rPr>
              <w:rFonts w:hint="eastAsia" w:ascii="宋体" w:hAnsi="宋体" w:cs="宋体"/>
              <w:sz w:val="28"/>
              <w:szCs w:val="28"/>
              <w:highlight w:val="none"/>
              <w:lang w:val="en-US" w:eastAsia="zh-CN"/>
            </w:rPr>
            <w:t>1</w:t>
          </w:r>
          <w:r>
            <w:rPr>
              <w:rFonts w:hint="eastAsia" w:ascii="宋体" w:hAnsi="宋体" w:eastAsia="宋体" w:cs="宋体"/>
              <w:sz w:val="28"/>
              <w:szCs w:val="28"/>
              <w:highlight w:val="none"/>
            </w:rPr>
            <w:fldChar w:fldCharType="end"/>
          </w:r>
          <w:r>
            <w:rPr>
              <w:rFonts w:hint="eastAsia" w:ascii="宋体" w:hAnsi="宋体" w:cs="宋体"/>
              <w:sz w:val="28"/>
              <w:szCs w:val="28"/>
              <w:highlight w:val="none"/>
              <w:lang w:val="en-US" w:eastAsia="zh-CN"/>
            </w:rPr>
            <w:t>3</w:t>
          </w:r>
        </w:p>
        <w:p w14:paraId="3D6A53F3">
          <w:pPr>
            <w:pStyle w:val="14"/>
            <w:tabs>
              <w:tab w:val="right" w:leader="dot" w:pos="9638"/>
            </w:tabs>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_Toc3820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lang w:val="zh-CN"/>
            </w:rPr>
            <w:t>第四章 合同条款及格式</w:t>
          </w:r>
          <w:r>
            <w:rPr>
              <w:rFonts w:hint="eastAsia" w:ascii="宋体" w:hAnsi="宋体" w:eastAsia="宋体" w:cs="宋体"/>
              <w:sz w:val="28"/>
              <w:szCs w:val="28"/>
              <w:highlight w:val="none"/>
            </w:rPr>
            <w:tab/>
          </w:r>
          <w:r>
            <w:rPr>
              <w:rFonts w:hint="eastAsia" w:ascii="宋体" w:hAnsi="宋体" w:cs="宋体"/>
              <w:sz w:val="28"/>
              <w:szCs w:val="28"/>
              <w:highlight w:val="none"/>
              <w:lang w:val="en-US" w:eastAsia="zh-CN"/>
            </w:rPr>
            <w:t>1</w:t>
          </w:r>
          <w:r>
            <w:rPr>
              <w:rFonts w:hint="eastAsia" w:ascii="宋体" w:hAnsi="宋体" w:eastAsia="宋体" w:cs="宋体"/>
              <w:sz w:val="28"/>
              <w:szCs w:val="28"/>
              <w:highlight w:val="none"/>
            </w:rPr>
            <w:fldChar w:fldCharType="end"/>
          </w:r>
          <w:r>
            <w:rPr>
              <w:rFonts w:hint="eastAsia" w:ascii="宋体" w:hAnsi="宋体" w:cs="宋体"/>
              <w:sz w:val="28"/>
              <w:szCs w:val="28"/>
              <w:highlight w:val="none"/>
              <w:lang w:val="en-US" w:eastAsia="zh-CN"/>
            </w:rPr>
            <w:t>8</w:t>
          </w:r>
        </w:p>
        <w:p w14:paraId="7E61BC4C">
          <w:pPr>
            <w:pStyle w:val="14"/>
            <w:tabs>
              <w:tab w:val="right" w:leader="dot" w:pos="9638"/>
            </w:tabs>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_Toc726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lang w:val="zh-CN"/>
            </w:rPr>
            <w:t>第</w:t>
          </w:r>
          <w:r>
            <w:rPr>
              <w:rFonts w:hint="eastAsia" w:ascii="宋体" w:hAnsi="宋体" w:eastAsia="宋体" w:cs="宋体"/>
              <w:bCs/>
              <w:sz w:val="28"/>
              <w:szCs w:val="28"/>
              <w:highlight w:val="none"/>
              <w:lang w:val="en-US" w:eastAsia="zh-CN"/>
            </w:rPr>
            <w:t>五</w:t>
          </w:r>
          <w:r>
            <w:rPr>
              <w:rFonts w:hint="eastAsia" w:ascii="宋体" w:hAnsi="宋体" w:eastAsia="宋体" w:cs="宋体"/>
              <w:bCs/>
              <w:sz w:val="28"/>
              <w:szCs w:val="28"/>
              <w:highlight w:val="none"/>
              <w:lang w:val="zh-CN"/>
            </w:rPr>
            <w:t xml:space="preserve">章 </w:t>
          </w:r>
          <w:r>
            <w:rPr>
              <w:rFonts w:hint="eastAsia" w:ascii="宋体" w:hAnsi="宋体" w:cs="宋体"/>
              <w:bCs/>
              <w:sz w:val="28"/>
              <w:szCs w:val="28"/>
              <w:highlight w:val="none"/>
              <w:lang w:val="en-US" w:eastAsia="zh-CN"/>
            </w:rPr>
            <w:t>服务需求</w:t>
          </w:r>
          <w:r>
            <w:rPr>
              <w:rFonts w:hint="eastAsia" w:ascii="宋体" w:hAnsi="宋体" w:eastAsia="宋体" w:cs="宋体"/>
              <w:sz w:val="28"/>
              <w:szCs w:val="28"/>
              <w:highlight w:val="none"/>
            </w:rPr>
            <w:tab/>
          </w:r>
          <w:r>
            <w:rPr>
              <w:rFonts w:hint="eastAsia" w:ascii="宋体" w:hAnsi="宋体" w:cs="宋体"/>
              <w:sz w:val="28"/>
              <w:szCs w:val="28"/>
              <w:highlight w:val="none"/>
              <w:lang w:val="en-US" w:eastAsia="zh-CN"/>
            </w:rPr>
            <w:t>1</w:t>
          </w:r>
          <w:r>
            <w:rPr>
              <w:rFonts w:hint="eastAsia" w:ascii="宋体" w:hAnsi="宋体" w:eastAsia="宋体" w:cs="宋体"/>
              <w:sz w:val="28"/>
              <w:szCs w:val="28"/>
              <w:highlight w:val="none"/>
            </w:rPr>
            <w:fldChar w:fldCharType="end"/>
          </w:r>
          <w:r>
            <w:rPr>
              <w:rFonts w:hint="eastAsia" w:ascii="宋体" w:hAnsi="宋体" w:cs="宋体"/>
              <w:sz w:val="28"/>
              <w:szCs w:val="28"/>
              <w:highlight w:val="none"/>
              <w:lang w:val="en-US" w:eastAsia="zh-CN"/>
            </w:rPr>
            <w:t>9</w:t>
          </w:r>
        </w:p>
        <w:p w14:paraId="02F394E6">
          <w:pPr>
            <w:pStyle w:val="14"/>
            <w:tabs>
              <w:tab w:val="right" w:leader="dot" w:pos="9638"/>
            </w:tabs>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_Toc3779 </w:instrText>
          </w:r>
          <w:r>
            <w:rPr>
              <w:rFonts w:hint="eastAsia" w:ascii="宋体" w:hAnsi="宋体" w:eastAsia="宋体" w:cs="宋体"/>
              <w:sz w:val="28"/>
              <w:szCs w:val="28"/>
              <w:highlight w:val="none"/>
            </w:rPr>
            <w:fldChar w:fldCharType="separate"/>
          </w:r>
          <w:r>
            <w:rPr>
              <w:rFonts w:hint="eastAsia" w:ascii="宋体" w:hAnsi="宋体" w:eastAsia="宋体" w:cs="宋体"/>
              <w:bCs w:val="0"/>
              <w:sz w:val="28"/>
              <w:szCs w:val="28"/>
              <w:highlight w:val="none"/>
              <w:lang w:val="zh-CN"/>
            </w:rPr>
            <w:t>第</w:t>
          </w:r>
          <w:r>
            <w:rPr>
              <w:rFonts w:hint="eastAsia" w:ascii="宋体" w:hAnsi="宋体" w:eastAsia="宋体" w:cs="宋体"/>
              <w:bCs w:val="0"/>
              <w:sz w:val="28"/>
              <w:szCs w:val="28"/>
              <w:highlight w:val="none"/>
              <w:lang w:val="en-US" w:eastAsia="zh-CN"/>
            </w:rPr>
            <w:t>六</w:t>
          </w:r>
          <w:r>
            <w:rPr>
              <w:rFonts w:hint="eastAsia" w:ascii="宋体" w:hAnsi="宋体" w:eastAsia="宋体" w:cs="宋体"/>
              <w:bCs w:val="0"/>
              <w:sz w:val="28"/>
              <w:szCs w:val="28"/>
              <w:highlight w:val="none"/>
              <w:lang w:val="zh-CN"/>
            </w:rPr>
            <w:t>章</w:t>
          </w:r>
          <w:r>
            <w:rPr>
              <w:rFonts w:hint="eastAsia" w:ascii="宋体" w:hAnsi="宋体" w:eastAsia="宋体" w:cs="宋体"/>
              <w:bCs w:val="0"/>
              <w:sz w:val="28"/>
              <w:szCs w:val="28"/>
              <w:highlight w:val="none"/>
              <w:lang w:val="en-US" w:eastAsia="zh-CN"/>
            </w:rPr>
            <w:t xml:space="preserve"> </w:t>
          </w:r>
          <w:r>
            <w:rPr>
              <w:rFonts w:hint="eastAsia" w:ascii="宋体" w:hAnsi="宋体" w:cs="宋体"/>
              <w:bCs/>
              <w:sz w:val="28"/>
              <w:szCs w:val="28"/>
              <w:highlight w:val="none"/>
              <w:lang w:val="zh-CN"/>
            </w:rPr>
            <w:t>响应文件</w:t>
          </w:r>
          <w:r>
            <w:rPr>
              <w:rFonts w:hint="eastAsia" w:ascii="宋体" w:hAnsi="宋体" w:eastAsia="宋体" w:cs="宋体"/>
              <w:bCs/>
              <w:sz w:val="28"/>
              <w:szCs w:val="28"/>
              <w:highlight w:val="none"/>
              <w:lang w:val="zh-CN"/>
            </w:rPr>
            <w:t>格式</w:t>
          </w:r>
          <w:r>
            <w:rPr>
              <w:rFonts w:hint="eastAsia" w:ascii="宋体" w:hAnsi="宋体" w:eastAsia="宋体" w:cs="宋体"/>
              <w:sz w:val="28"/>
              <w:szCs w:val="28"/>
              <w:highlight w:val="none"/>
            </w:rPr>
            <w:tab/>
          </w:r>
          <w:r>
            <w:rPr>
              <w:rFonts w:hint="eastAsia" w:ascii="宋体" w:hAnsi="宋体" w:cs="宋体"/>
              <w:sz w:val="28"/>
              <w:szCs w:val="28"/>
              <w:highlight w:val="none"/>
              <w:lang w:val="en-US" w:eastAsia="zh-CN"/>
            </w:rPr>
            <w:t>2</w:t>
          </w:r>
          <w:r>
            <w:rPr>
              <w:rFonts w:hint="eastAsia" w:ascii="宋体" w:hAnsi="宋体" w:eastAsia="宋体" w:cs="宋体"/>
              <w:sz w:val="28"/>
              <w:szCs w:val="28"/>
              <w:highlight w:val="none"/>
            </w:rPr>
            <w:fldChar w:fldCharType="end"/>
          </w:r>
          <w:r>
            <w:rPr>
              <w:rFonts w:hint="eastAsia" w:ascii="宋体" w:hAnsi="宋体" w:cs="宋体"/>
              <w:sz w:val="28"/>
              <w:szCs w:val="28"/>
              <w:highlight w:val="none"/>
              <w:lang w:val="en-US" w:eastAsia="zh-CN"/>
            </w:rPr>
            <w:t>0</w:t>
          </w:r>
        </w:p>
        <w:p w14:paraId="7151E2E6">
          <w:pPr>
            <w:outlineLvl w:val="9"/>
            <w:rPr>
              <w:rFonts w:hint="eastAsia" w:ascii="宋体" w:hAnsi="宋体" w:eastAsia="宋体" w:cs="宋体"/>
              <w:highlight w:val="none"/>
            </w:rPr>
          </w:pPr>
          <w:r>
            <w:rPr>
              <w:rFonts w:hint="eastAsia" w:ascii="宋体" w:hAnsi="宋体" w:eastAsia="宋体" w:cs="宋体"/>
              <w:sz w:val="28"/>
              <w:szCs w:val="28"/>
              <w:highlight w:val="none"/>
            </w:rPr>
            <w:fldChar w:fldCharType="end"/>
          </w:r>
        </w:p>
      </w:sdtContent>
    </w:sdt>
    <w:p w14:paraId="405FA0C4">
      <w:pPr>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p>
    <w:p w14:paraId="229BF7C2">
      <w:pPr>
        <w:jc w:val="center"/>
        <w:outlineLvl w:val="9"/>
        <w:rPr>
          <w:rFonts w:hint="eastAsia" w:ascii="宋体" w:hAnsi="宋体" w:eastAsia="宋体" w:cs="宋体"/>
          <w:b/>
          <w:sz w:val="32"/>
          <w:szCs w:val="28"/>
          <w:highlight w:val="none"/>
        </w:rPr>
        <w:sectPr>
          <w:pgSz w:w="11906" w:h="16838"/>
          <w:pgMar w:top="1134" w:right="1134" w:bottom="1134" w:left="1134" w:header="851" w:footer="992" w:gutter="0"/>
          <w:cols w:space="425" w:num="1"/>
          <w:docGrid w:type="lines" w:linePitch="312" w:charSpace="0"/>
        </w:sectPr>
      </w:pPr>
      <w:bookmarkStart w:id="0" w:name="_Toc31232"/>
      <w:bookmarkStart w:id="1" w:name="_Toc26818"/>
    </w:p>
    <w:p w14:paraId="3E7AC6B7">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color w:val="000000"/>
          <w:sz w:val="28"/>
          <w:szCs w:val="28"/>
          <w:highlight w:val="none"/>
        </w:rPr>
      </w:pPr>
      <w:bookmarkStart w:id="2" w:name="_Toc14491"/>
      <w:r>
        <w:rPr>
          <w:rFonts w:hint="eastAsia" w:ascii="宋体" w:hAnsi="宋体" w:eastAsia="宋体" w:cs="宋体"/>
          <w:b/>
          <w:sz w:val="32"/>
          <w:szCs w:val="28"/>
          <w:highlight w:val="none"/>
        </w:rPr>
        <w:t>第一章</w:t>
      </w:r>
      <w:bookmarkEnd w:id="0"/>
      <w:r>
        <w:rPr>
          <w:rFonts w:hint="eastAsia" w:ascii="宋体" w:hAnsi="宋体" w:eastAsia="宋体" w:cs="宋体"/>
          <w:b/>
          <w:sz w:val="32"/>
          <w:szCs w:val="28"/>
          <w:highlight w:val="none"/>
          <w:lang w:val="en-US" w:eastAsia="zh-CN"/>
        </w:rPr>
        <w:t xml:space="preserve"> 竞争性磋商</w:t>
      </w:r>
      <w:r>
        <w:rPr>
          <w:rFonts w:hint="eastAsia" w:ascii="宋体" w:hAnsi="宋体" w:eastAsia="宋体" w:cs="宋体"/>
          <w:b/>
          <w:sz w:val="32"/>
          <w:szCs w:val="28"/>
          <w:highlight w:val="none"/>
          <w:lang w:val="zh-CN"/>
        </w:rPr>
        <w:t>公告</w:t>
      </w:r>
      <w:bookmarkEnd w:id="1"/>
      <w:bookmarkEnd w:id="2"/>
    </w:p>
    <w:p w14:paraId="3C0B6CB4">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项目概况</w:t>
      </w:r>
    </w:p>
    <w:p w14:paraId="7F8E4DC6">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840" w:firstLineChars="400"/>
        <w:jc w:val="left"/>
        <w:textAlignment w:val="auto"/>
        <w:rPr>
          <w:rFonts w:hint="eastAsia" w:ascii="宋体" w:hAnsi="宋体" w:eastAsia="宋体" w:cs="宋体"/>
          <w:color w:val="auto"/>
          <w:sz w:val="21"/>
          <w:szCs w:val="21"/>
          <w:highlight w:val="none"/>
        </w:rPr>
      </w:pPr>
      <w:r>
        <w:rPr>
          <w:rFonts w:hint="eastAsia" w:ascii="宋体" w:hAnsi="宋体" w:cs="宋体"/>
          <w:sz w:val="21"/>
          <w:szCs w:val="21"/>
          <w:highlight w:val="none"/>
          <w:lang w:val="en-US" w:eastAsia="zh-CN"/>
        </w:rPr>
        <w:t>德惠市人民医院自助终端平台</w:t>
      </w:r>
      <w:r>
        <w:rPr>
          <w:rFonts w:hint="eastAsia" w:ascii="宋体" w:hAnsi="宋体" w:cs="宋体"/>
          <w:sz w:val="21"/>
          <w:szCs w:val="21"/>
          <w:highlight w:val="none"/>
          <w:lang w:eastAsia="zh-CN"/>
        </w:rPr>
        <w:t>项目</w:t>
      </w:r>
      <w:r>
        <w:rPr>
          <w:rFonts w:hint="eastAsia" w:ascii="宋体" w:hAnsi="宋体" w:eastAsia="宋体" w:cs="宋体"/>
          <w:sz w:val="21"/>
          <w:szCs w:val="21"/>
          <w:highlight w:val="none"/>
        </w:rPr>
        <w:t>的潜在</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lang w:eastAsia="zh-CN"/>
        </w:rPr>
        <w:t>应自行登录政府采购云平台（网址：</w:t>
      </w:r>
      <w:r>
        <w:rPr>
          <w:rFonts w:hint="eastAsia" w:ascii="宋体" w:hAnsi="宋体" w:eastAsia="宋体" w:cs="宋体"/>
          <w:spacing w:val="-20"/>
          <w:sz w:val="21"/>
          <w:szCs w:val="21"/>
          <w:highlight w:val="none"/>
          <w:lang w:eastAsia="zh-CN"/>
        </w:rPr>
        <w:t>http://www.zcygov.cn</w:t>
      </w:r>
      <w:r>
        <w:rPr>
          <w:rFonts w:hint="eastAsia" w:ascii="宋体" w:hAnsi="宋体" w:eastAsia="宋体" w:cs="宋体"/>
          <w:sz w:val="21"/>
          <w:szCs w:val="21"/>
          <w:highlight w:val="none"/>
          <w:lang w:eastAsia="zh-CN"/>
        </w:rPr>
        <w:t>）网上注册（</w:t>
      </w:r>
      <w:r>
        <w:rPr>
          <w:rFonts w:hint="eastAsia" w:ascii="宋体" w:hAnsi="宋体" w:eastAsia="宋体" w:cs="宋体"/>
          <w:spacing w:val="-20"/>
          <w:sz w:val="21"/>
          <w:szCs w:val="21"/>
          <w:highlight w:val="none"/>
          <w:lang w:eastAsia="zh-CN"/>
        </w:rPr>
        <w:t>https://middle.zcygov.cn/v-settle-front/registry</w:t>
      </w:r>
      <w:r>
        <w:rPr>
          <w:rFonts w:hint="eastAsia" w:ascii="宋体" w:hAnsi="宋体" w:eastAsia="宋体" w:cs="宋体"/>
          <w:sz w:val="21"/>
          <w:szCs w:val="21"/>
          <w:highlight w:val="none"/>
          <w:lang w:eastAsia="zh-CN"/>
        </w:rPr>
        <w:t>）并下载竞争性磋商文件，</w:t>
      </w:r>
      <w:r>
        <w:rPr>
          <w:rFonts w:hint="eastAsia" w:ascii="宋体" w:hAnsi="宋体" w:eastAsia="宋体" w:cs="宋体"/>
          <w:color w:val="auto"/>
          <w:sz w:val="21"/>
          <w:szCs w:val="21"/>
          <w:highlight w:val="none"/>
        </w:rPr>
        <w:t>并于</w:t>
      </w:r>
      <w:bookmarkStart w:id="3" w:name="OLE_LINK1"/>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5</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val="en-US" w:eastAsia="zh-CN"/>
        </w:rPr>
        <w:t>16</w:t>
      </w:r>
      <w:r>
        <w:rPr>
          <w:rFonts w:hint="eastAsia" w:ascii="宋体" w:hAnsi="宋体" w:eastAsia="宋体" w:cs="宋体"/>
          <w:bCs/>
          <w:color w:val="auto"/>
          <w:sz w:val="21"/>
          <w:szCs w:val="21"/>
          <w:highlight w:val="none"/>
          <w:u w:val="none"/>
          <w:lang w:eastAsia="zh-CN"/>
        </w:rPr>
        <w:t>时</w:t>
      </w:r>
      <w:r>
        <w:rPr>
          <w:rFonts w:hint="eastAsia" w:ascii="宋体" w:hAnsi="宋体" w:cs="宋体"/>
          <w:bCs/>
          <w:color w:val="auto"/>
          <w:sz w:val="21"/>
          <w:szCs w:val="21"/>
          <w:highlight w:val="none"/>
          <w:u w:val="none"/>
          <w:lang w:val="en-US" w:eastAsia="zh-CN"/>
        </w:rPr>
        <w:t>30</w:t>
      </w:r>
      <w:r>
        <w:rPr>
          <w:rFonts w:hint="eastAsia" w:ascii="宋体" w:hAnsi="宋体" w:eastAsia="宋体" w:cs="宋体"/>
          <w:bCs/>
          <w:color w:val="auto"/>
          <w:sz w:val="21"/>
          <w:szCs w:val="21"/>
          <w:highlight w:val="none"/>
          <w:u w:val="none"/>
        </w:rPr>
        <w:t>分</w:t>
      </w:r>
      <w:bookmarkEnd w:id="3"/>
      <w:r>
        <w:rPr>
          <w:rFonts w:hint="eastAsia" w:ascii="宋体" w:hAnsi="宋体" w:eastAsia="宋体" w:cs="宋体"/>
          <w:bCs/>
          <w:color w:val="auto"/>
          <w:sz w:val="21"/>
          <w:szCs w:val="21"/>
          <w:highlight w:val="none"/>
          <w:u w:val="none"/>
          <w:lang w:eastAsia="zh-CN"/>
        </w:rPr>
        <w:t>整</w:t>
      </w:r>
      <w:r>
        <w:rPr>
          <w:rFonts w:hint="eastAsia" w:ascii="宋体" w:hAnsi="宋体" w:eastAsia="宋体" w:cs="宋体"/>
          <w:bCs/>
          <w:color w:val="auto"/>
          <w:sz w:val="21"/>
          <w:szCs w:val="21"/>
          <w:highlight w:val="none"/>
          <w:u w:val="none"/>
        </w:rPr>
        <w:t>（北京时间）</w:t>
      </w:r>
      <w:r>
        <w:rPr>
          <w:rFonts w:hint="eastAsia" w:ascii="宋体" w:hAnsi="宋体" w:eastAsia="宋体" w:cs="宋体"/>
          <w:bCs/>
          <w:color w:val="auto"/>
          <w:sz w:val="21"/>
          <w:szCs w:val="21"/>
          <w:highlight w:val="none"/>
        </w:rPr>
        <w:t>前递交</w:t>
      </w:r>
      <w:r>
        <w:rPr>
          <w:rFonts w:hint="eastAsia" w:ascii="宋体" w:hAnsi="宋体" w:cs="宋体"/>
          <w:bCs/>
          <w:color w:val="auto"/>
          <w:sz w:val="21"/>
          <w:szCs w:val="21"/>
          <w:highlight w:val="none"/>
          <w:lang w:eastAsia="zh-CN"/>
        </w:rPr>
        <w:t>响应文件</w:t>
      </w:r>
      <w:r>
        <w:rPr>
          <w:rFonts w:hint="eastAsia" w:ascii="宋体" w:hAnsi="宋体" w:eastAsia="宋体" w:cs="宋体"/>
          <w:color w:val="auto"/>
          <w:sz w:val="21"/>
          <w:szCs w:val="21"/>
          <w:highlight w:val="none"/>
        </w:rPr>
        <w:t>。</w:t>
      </w:r>
    </w:p>
    <w:p w14:paraId="0EC7765A">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rPr>
      </w:pPr>
      <w:bookmarkStart w:id="4" w:name="_Toc28359079"/>
      <w:bookmarkStart w:id="5" w:name="_Toc28359002"/>
      <w:r>
        <w:rPr>
          <w:rFonts w:hint="eastAsia" w:ascii="宋体" w:hAnsi="宋体" w:eastAsia="宋体" w:cs="宋体"/>
          <w:b/>
          <w:bCs/>
          <w:sz w:val="21"/>
          <w:szCs w:val="21"/>
          <w:highlight w:val="none"/>
        </w:rPr>
        <w:t>一、项目基本情况</w:t>
      </w:r>
      <w:bookmarkEnd w:id="4"/>
      <w:bookmarkEnd w:id="5"/>
    </w:p>
    <w:p w14:paraId="3EACAA6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lang w:eastAsia="zh-CN"/>
        </w:rPr>
        <w:t>编号：</w:t>
      </w:r>
      <w:r>
        <w:rPr>
          <w:rFonts w:hint="eastAsia" w:ascii="宋体" w:hAnsi="宋体" w:eastAsia="宋体" w:cs="宋体"/>
          <w:sz w:val="21"/>
          <w:szCs w:val="21"/>
          <w:highlight w:val="none"/>
          <w:lang w:val="en-US" w:eastAsia="zh-CN"/>
        </w:rPr>
        <w:t>采购计划-[2025]-00063号-HX-FWZB-20250502</w:t>
      </w:r>
      <w:r>
        <w:rPr>
          <w:rFonts w:hint="eastAsia" w:ascii="宋体" w:hAnsi="宋体" w:eastAsia="宋体" w:cs="宋体"/>
          <w:sz w:val="21"/>
          <w:szCs w:val="21"/>
          <w:highlight w:val="none"/>
          <w:lang w:eastAsia="zh-CN"/>
        </w:rPr>
        <w:t>；</w:t>
      </w:r>
    </w:p>
    <w:p w14:paraId="2155F21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项目名称：</w:t>
      </w:r>
      <w:r>
        <w:rPr>
          <w:rFonts w:hint="eastAsia" w:ascii="宋体" w:hAnsi="宋体" w:cs="宋体"/>
          <w:sz w:val="21"/>
          <w:szCs w:val="21"/>
          <w:highlight w:val="none"/>
          <w:lang w:val="en-US" w:eastAsia="zh-CN"/>
        </w:rPr>
        <w:t>德惠市人民医院自助终端平台</w:t>
      </w:r>
      <w:r>
        <w:rPr>
          <w:rFonts w:hint="eastAsia" w:ascii="宋体" w:hAnsi="宋体" w:cs="宋体"/>
          <w:sz w:val="21"/>
          <w:szCs w:val="21"/>
          <w:highlight w:val="none"/>
          <w:lang w:eastAsia="zh-CN"/>
        </w:rPr>
        <w:t>项目</w:t>
      </w:r>
      <w:r>
        <w:rPr>
          <w:rFonts w:hint="eastAsia" w:ascii="宋体" w:hAnsi="宋体" w:eastAsia="宋体" w:cs="宋体"/>
          <w:sz w:val="21"/>
          <w:szCs w:val="21"/>
          <w:highlight w:val="none"/>
        </w:rPr>
        <w:t>；</w:t>
      </w:r>
    </w:p>
    <w:p w14:paraId="2B71A13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采购方式：竞争性</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w:t>
      </w:r>
    </w:p>
    <w:p w14:paraId="16D53CC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预算金额</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最高投标限价</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180万元</w:t>
      </w:r>
      <w:r>
        <w:rPr>
          <w:rFonts w:hint="eastAsia" w:ascii="宋体" w:hAnsi="宋体" w:eastAsia="宋体" w:cs="宋体"/>
          <w:sz w:val="21"/>
          <w:szCs w:val="21"/>
          <w:highlight w:val="none"/>
        </w:rPr>
        <w:t>；</w:t>
      </w:r>
    </w:p>
    <w:p w14:paraId="03215A3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内容</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德惠市人民医院自助终端平台</w:t>
      </w:r>
      <w:r>
        <w:rPr>
          <w:rFonts w:hint="eastAsia" w:ascii="宋体" w:hAnsi="宋体" w:cs="宋体"/>
          <w:sz w:val="21"/>
          <w:szCs w:val="21"/>
          <w:highlight w:val="none"/>
          <w:lang w:eastAsia="zh-CN"/>
        </w:rPr>
        <w:t>项目</w:t>
      </w:r>
      <w:r>
        <w:rPr>
          <w:rFonts w:hint="eastAsia" w:ascii="宋体" w:hAnsi="宋体" w:cs="宋体"/>
          <w:sz w:val="21"/>
          <w:szCs w:val="21"/>
          <w:highlight w:val="none"/>
          <w:lang w:val="en-US" w:eastAsia="zh-CN"/>
        </w:rPr>
        <w:t>（详见竞争性磋商文件服务需求）</w:t>
      </w:r>
      <w:r>
        <w:rPr>
          <w:rFonts w:hint="eastAsia" w:ascii="宋体" w:hAnsi="宋体" w:eastAsia="宋体" w:cs="宋体"/>
          <w:sz w:val="21"/>
          <w:szCs w:val="21"/>
          <w:highlight w:val="none"/>
          <w:lang w:val="en-US" w:eastAsia="zh-CN"/>
        </w:rPr>
        <w:t>；</w:t>
      </w:r>
    </w:p>
    <w:p w14:paraId="4943121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合同履行期限</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自合同签订之日起至验收合格90个工作日；</w:t>
      </w:r>
    </w:p>
    <w:p w14:paraId="4AB68A5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服务地点：德惠市人民医院；</w:t>
      </w:r>
    </w:p>
    <w:p w14:paraId="4BBB35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服务标准</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优质服务</w:t>
      </w:r>
      <w:r>
        <w:rPr>
          <w:rFonts w:hint="eastAsia" w:ascii="宋体" w:hAnsi="宋体" w:eastAsia="宋体" w:cs="宋体"/>
          <w:sz w:val="21"/>
          <w:szCs w:val="21"/>
          <w:highlight w:val="none"/>
          <w:lang w:eastAsia="zh-CN"/>
        </w:rPr>
        <w:t>；</w:t>
      </w:r>
    </w:p>
    <w:p w14:paraId="1BDADCB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本项目不接受联合体投标。</w:t>
      </w:r>
    </w:p>
    <w:p w14:paraId="259112C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bookmarkStart w:id="6" w:name="_Toc28359008"/>
      <w:bookmarkStart w:id="7" w:name="_Toc28359085"/>
      <w:r>
        <w:rPr>
          <w:rFonts w:hint="eastAsia" w:ascii="宋体" w:hAnsi="宋体" w:eastAsia="宋体" w:cs="宋体"/>
          <w:b/>
          <w:bCs/>
          <w:sz w:val="21"/>
          <w:szCs w:val="21"/>
          <w:highlight w:val="none"/>
          <w:lang w:val="en-US" w:eastAsia="zh-CN"/>
        </w:rPr>
        <w:t>二、申请人的资格要求</w:t>
      </w:r>
    </w:p>
    <w:p w14:paraId="43E7BC0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1.满足《中华人民共和国政府采购法》第二十二条规定。</w:t>
      </w:r>
    </w:p>
    <w:p w14:paraId="14E57E1F">
      <w:pPr>
        <w:pStyle w:val="18"/>
        <w:keepNext w:val="0"/>
        <w:keepLines w:val="0"/>
        <w:widowControl/>
        <w:suppressLineNumbers w:val="0"/>
        <w:spacing w:before="0" w:beforeAutospacing="0" w:after="0" w:afterAutospacing="0" w:line="360" w:lineRule="atLeast"/>
        <w:ind w:left="0" w:right="0" w:firstLine="420"/>
        <w:jc w:val="both"/>
        <w:rPr>
          <w:rFonts w:hint="eastAsia" w:ascii="宋体" w:hAnsi="宋体" w:eastAsia="宋体" w:cs="宋体"/>
          <w:sz w:val="21"/>
          <w:szCs w:val="21"/>
          <w:highlight w:val="none"/>
          <w:lang w:val="en-US" w:eastAsia="zh-CN"/>
        </w:rPr>
      </w:pPr>
      <w:bookmarkStart w:id="8" w:name="_Toc28359081"/>
      <w:bookmarkEnd w:id="8"/>
      <w:bookmarkStart w:id="9" w:name="_Toc28359004"/>
      <w:r>
        <w:rPr>
          <w:rFonts w:hint="eastAsia" w:ascii="宋体" w:hAnsi="宋体" w:eastAsia="宋体" w:cs="宋体"/>
          <w:sz w:val="21"/>
          <w:szCs w:val="21"/>
          <w:highlight w:val="none"/>
          <w:lang w:val="en-US" w:eastAsia="zh-CN"/>
        </w:rPr>
        <w:t>2</w:t>
      </w:r>
      <w:bookmarkEnd w:id="9"/>
      <w:r>
        <w:rPr>
          <w:rFonts w:hint="eastAsia" w:ascii="宋体" w:hAnsi="宋体" w:eastAsia="宋体" w:cs="宋体"/>
          <w:sz w:val="21"/>
          <w:szCs w:val="21"/>
          <w:highlight w:val="none"/>
          <w:lang w:val="en-US" w:eastAsia="zh-CN"/>
        </w:rPr>
        <w:t>.落实政府采购政策需满足的资格要求：按照财政部财库[2020]46号、[2014]68号、[2017]141号、[2019]9号等文件要求，需要落实政府采购支持节能环保、中小企业发展等政策；本项目为专门面向中小企业项目，所属行业为其他未列明行业。</w:t>
      </w:r>
    </w:p>
    <w:p w14:paraId="31B393C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3.本项目的特定资格要求：</w:t>
      </w:r>
    </w:p>
    <w:p w14:paraId="495631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lang w:val="zh-CN" w:eastAsia="zh-CN"/>
        </w:rPr>
        <w:t>具有独立法人资格</w:t>
      </w:r>
      <w:r>
        <w:rPr>
          <w:rFonts w:hint="eastAsia" w:ascii="宋体" w:hAnsi="宋体" w:eastAsia="宋体" w:cs="宋体"/>
          <w:sz w:val="21"/>
          <w:szCs w:val="21"/>
          <w:highlight w:val="none"/>
          <w:lang w:val="en-US" w:eastAsia="zh-CN"/>
        </w:rPr>
        <w:t>或其他组织</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具备有效的营业执照。</w:t>
      </w:r>
    </w:p>
    <w:p w14:paraId="0A0670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财务要求：具有良好的商业信誉和健全的财务会计制度，需提供</w:t>
      </w:r>
      <w:r>
        <w:rPr>
          <w:rFonts w:hint="eastAsia" w:ascii="宋体" w:hAnsi="宋体" w:cs="宋体"/>
          <w:sz w:val="21"/>
          <w:szCs w:val="21"/>
          <w:highlight w:val="none"/>
          <w:lang w:val="en-US" w:eastAsia="zh-CN"/>
        </w:rPr>
        <w:t>资格条件</w:t>
      </w:r>
      <w:r>
        <w:rPr>
          <w:rFonts w:hint="eastAsia" w:ascii="宋体" w:hAnsi="宋体" w:eastAsia="宋体" w:cs="宋体"/>
          <w:sz w:val="21"/>
          <w:szCs w:val="21"/>
          <w:highlight w:val="none"/>
          <w:lang w:val="en-US" w:eastAsia="zh-CN"/>
        </w:rPr>
        <w:t>承诺函。</w:t>
      </w:r>
    </w:p>
    <w:p w14:paraId="10608EC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纳税证明及依法缴纳社会保障资金：具有依法缴纳税收和依法缴纳社会保障资金的良好记录，需提供</w:t>
      </w:r>
      <w:r>
        <w:rPr>
          <w:rFonts w:hint="eastAsia" w:ascii="宋体" w:hAnsi="宋体" w:cs="宋体"/>
          <w:sz w:val="21"/>
          <w:szCs w:val="21"/>
          <w:highlight w:val="none"/>
          <w:lang w:val="en-US" w:eastAsia="zh-CN"/>
        </w:rPr>
        <w:t>资格条件</w:t>
      </w:r>
      <w:r>
        <w:rPr>
          <w:rFonts w:hint="eastAsia" w:ascii="宋体" w:hAnsi="宋体" w:eastAsia="宋体" w:cs="宋体"/>
          <w:sz w:val="21"/>
          <w:szCs w:val="21"/>
          <w:highlight w:val="none"/>
          <w:lang w:val="en-US" w:eastAsia="zh-CN"/>
        </w:rPr>
        <w:t>承诺函。</w:t>
      </w:r>
    </w:p>
    <w:p w14:paraId="468E2DC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zh-CN" w:eastAsia="zh-CN"/>
        </w:rPr>
        <w:t>信誉要求：</w:t>
      </w:r>
    </w:p>
    <w:p w14:paraId="504399F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）拒绝列入政府取消投标资格记录期间的企业或个人投标。</w:t>
      </w:r>
    </w:p>
    <w:p w14:paraId="711C30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（2）按照《财政部关于在政府采购活动中查询及使用信用记录有关问题的通知》（财库</w:t>
      </w:r>
      <w:r>
        <w:rPr>
          <w:rFonts w:hint="eastAsia" w:ascii="宋体" w:hAnsi="宋体" w:eastAsia="宋体" w:cs="宋体"/>
          <w:spacing w:val="-20"/>
          <w:sz w:val="21"/>
          <w:szCs w:val="21"/>
          <w:highlight w:val="none"/>
          <w:lang w:val="en-US" w:eastAsia="zh-CN"/>
        </w:rPr>
        <w:t>〔2016〕125号</w:t>
      </w:r>
      <w:r>
        <w:rPr>
          <w:rFonts w:hint="eastAsia" w:ascii="宋体" w:hAnsi="宋体" w:eastAsia="宋体" w:cs="宋体"/>
          <w:sz w:val="21"/>
          <w:szCs w:val="21"/>
          <w:highlight w:val="none"/>
          <w:lang w:val="en-US" w:eastAsia="zh-CN"/>
        </w:rPr>
        <w:t>）的要求，根据递交响应文件截止时间“信用中国”网站（</w:t>
      </w:r>
      <w:r>
        <w:rPr>
          <w:rFonts w:hint="eastAsia" w:ascii="宋体" w:hAnsi="宋体" w:eastAsia="宋体" w:cs="宋体"/>
          <w:spacing w:val="-20"/>
          <w:sz w:val="21"/>
          <w:szCs w:val="21"/>
          <w:highlight w:val="none"/>
          <w:lang w:val="en-US" w:eastAsia="zh-CN"/>
        </w:rPr>
        <w:t>www.creditchina.gov.cn</w:t>
      </w:r>
      <w:r>
        <w:rPr>
          <w:rFonts w:hint="eastAsia" w:ascii="宋体" w:hAnsi="宋体" w:eastAsia="宋体" w:cs="宋体"/>
          <w:sz w:val="21"/>
          <w:szCs w:val="21"/>
          <w:highlight w:val="none"/>
          <w:lang w:val="en-US" w:eastAsia="zh-CN"/>
        </w:rPr>
        <w:t>）、中国政府采购网（</w:t>
      </w:r>
      <w:r>
        <w:rPr>
          <w:rFonts w:hint="eastAsia" w:ascii="宋体" w:hAnsi="宋体" w:eastAsia="宋体" w:cs="宋体"/>
          <w:spacing w:val="-20"/>
          <w:sz w:val="21"/>
          <w:szCs w:val="21"/>
          <w:highlight w:val="none"/>
          <w:lang w:val="en-US" w:eastAsia="zh-CN"/>
        </w:rPr>
        <w:t>www.ccgp.gov.cn</w:t>
      </w:r>
      <w:r>
        <w:rPr>
          <w:rFonts w:hint="eastAsia" w:ascii="宋体" w:hAnsi="宋体" w:eastAsia="宋体" w:cs="宋体"/>
          <w:sz w:val="21"/>
          <w:szCs w:val="21"/>
          <w:highlight w:val="none"/>
          <w:lang w:val="en-US" w:eastAsia="zh-CN"/>
        </w:rPr>
        <w:t>）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4770281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zh-CN" w:eastAsia="zh-CN"/>
        </w:rPr>
        <w:t>与</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lang w:val="zh-CN" w:eastAsia="zh-CN"/>
        </w:rPr>
        <w:t>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0BE4142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2B96B920">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三、获取竞争性磋商文件：</w:t>
      </w:r>
    </w:p>
    <w:p w14:paraId="3426748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1.时间</w:t>
      </w:r>
      <w:r>
        <w:rPr>
          <w:rFonts w:hint="eastAsia" w:ascii="宋体" w:hAnsi="宋体" w:eastAsia="宋体" w:cs="宋体"/>
          <w:b w:val="0"/>
          <w:bCs w:val="0"/>
          <w:sz w:val="21"/>
          <w:szCs w:val="21"/>
          <w:highlight w:val="none"/>
          <w:lang w:val="en-US" w:eastAsia="zh-CN"/>
        </w:rPr>
        <w:t>：</w:t>
      </w:r>
      <w:r>
        <w:rPr>
          <w:rFonts w:hint="eastAsia" w:ascii="宋体" w:hAnsi="宋体" w:eastAsia="宋体" w:cs="宋体"/>
          <w:sz w:val="21"/>
          <w:szCs w:val="21"/>
          <w:highlight w:val="none"/>
          <w:lang w:val="en-US" w:eastAsia="zh-CN"/>
        </w:rPr>
        <w:t>202</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年</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26</w:t>
      </w:r>
      <w:r>
        <w:rPr>
          <w:rFonts w:hint="eastAsia" w:ascii="宋体" w:hAnsi="宋体" w:eastAsia="宋体" w:cs="宋体"/>
          <w:sz w:val="21"/>
          <w:szCs w:val="21"/>
          <w:highlight w:val="none"/>
          <w:lang w:val="en-US" w:eastAsia="zh-CN"/>
        </w:rPr>
        <w:t>日至202</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年</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日</w:t>
      </w:r>
    </w:p>
    <w:p w14:paraId="694CD98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2.方式：</w:t>
      </w:r>
      <w:r>
        <w:rPr>
          <w:rFonts w:hint="eastAsia" w:ascii="宋体" w:hAnsi="宋体" w:eastAsia="宋体" w:cs="宋体"/>
          <w:sz w:val="21"/>
          <w:szCs w:val="21"/>
          <w:highlight w:val="none"/>
          <w:lang w:val="zh-CN" w:eastAsia="zh-CN"/>
        </w:rPr>
        <w:t xml:space="preserve">网上免费获取，潜在供应商自行登录政府采购云平台（网址：http:// </w:t>
      </w:r>
      <w:r>
        <w:rPr>
          <w:rFonts w:hint="eastAsia" w:ascii="宋体" w:hAnsi="宋体" w:eastAsia="宋体" w:cs="宋体"/>
          <w:sz w:val="21"/>
          <w:szCs w:val="21"/>
          <w:highlight w:val="none"/>
          <w:lang w:val="zh-CN" w:eastAsia="zh-CN"/>
        </w:rPr>
        <w:fldChar w:fldCharType="begin"/>
      </w:r>
      <w:r>
        <w:rPr>
          <w:rFonts w:hint="eastAsia" w:ascii="宋体" w:hAnsi="宋体" w:eastAsia="宋体" w:cs="宋体"/>
          <w:sz w:val="21"/>
          <w:szCs w:val="21"/>
          <w:highlight w:val="none"/>
          <w:lang w:val="zh-CN" w:eastAsia="zh-CN"/>
        </w:rPr>
        <w:instrText xml:space="preserve"> HYPERLINK "http://www.zcygov.cn）注册（https:/middle.zcygov.cn/v-settle-front/registry）并下载竞争性磋商文件，其他途径获取的竞争性磋商文件开标时一律按无效投标处理）。" </w:instrText>
      </w:r>
      <w:r>
        <w:rPr>
          <w:rFonts w:hint="eastAsia" w:ascii="宋体" w:hAnsi="宋体" w:eastAsia="宋体" w:cs="宋体"/>
          <w:sz w:val="21"/>
          <w:szCs w:val="21"/>
          <w:highlight w:val="none"/>
          <w:lang w:val="zh-CN" w:eastAsia="zh-CN"/>
        </w:rPr>
        <w:fldChar w:fldCharType="separate"/>
      </w:r>
      <w:r>
        <w:rPr>
          <w:rFonts w:hint="eastAsia" w:ascii="宋体" w:hAnsi="宋体" w:eastAsia="宋体" w:cs="宋体"/>
          <w:sz w:val="21"/>
          <w:szCs w:val="21"/>
          <w:highlight w:val="none"/>
          <w:lang w:val="zh-CN" w:eastAsia="zh-CN"/>
        </w:rPr>
        <w:t>www.zcygov.cn）</w:t>
      </w:r>
      <w:r>
        <w:rPr>
          <w:rFonts w:hint="eastAsia" w:ascii="宋体" w:hAnsi="宋体" w:eastAsia="宋体" w:cs="宋体"/>
          <w:sz w:val="21"/>
          <w:szCs w:val="21"/>
          <w:highlight w:val="none"/>
          <w:lang w:val="en-US" w:eastAsia="zh-CN"/>
        </w:rPr>
        <w:t>注册</w:t>
      </w:r>
      <w:r>
        <w:rPr>
          <w:rFonts w:hint="eastAsia" w:ascii="宋体" w:hAnsi="宋体" w:eastAsia="宋体" w:cs="宋体"/>
          <w:sz w:val="21"/>
          <w:szCs w:val="21"/>
          <w:highlight w:val="none"/>
          <w:lang w:val="zh-CN" w:eastAsia="zh-CN"/>
        </w:rPr>
        <w:t>（https://middle.zcygov.cn/v-settle-front/registry）并下载竞争性磋商文件</w:t>
      </w:r>
      <w:r>
        <w:rPr>
          <w:rFonts w:hint="eastAsia" w:ascii="宋体" w:hAnsi="宋体" w:eastAsia="宋体" w:cs="宋体"/>
          <w:sz w:val="21"/>
          <w:szCs w:val="21"/>
          <w:highlight w:val="none"/>
          <w:lang w:eastAsia="zh-CN"/>
        </w:rPr>
        <w:t>（操作路径：登录“政采云”平台-项目采购-获取磋商文件-找到本项目-点击“申请获取磋商文件”），电子响应文件制作需要基于“政采云”平台获取的竞争性磋商文件采购需求编制，</w:t>
      </w:r>
      <w:r>
        <w:rPr>
          <w:rFonts w:hint="eastAsia" w:ascii="宋体" w:hAnsi="宋体" w:eastAsia="宋体" w:cs="宋体"/>
          <w:sz w:val="21"/>
          <w:szCs w:val="21"/>
          <w:highlight w:val="none"/>
          <w:lang w:val="zh-CN" w:eastAsia="zh-CN"/>
        </w:rPr>
        <w:t>其他途径获取的竞争性磋商文件开标时一律按无效投标处理</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zh-CN" w:eastAsia="zh-CN"/>
        </w:rPr>
        <w:fldChar w:fldCharType="end"/>
      </w:r>
    </w:p>
    <w:p w14:paraId="3BB89D7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3.文件发售费用为0元。</w:t>
      </w:r>
    </w:p>
    <w:p w14:paraId="0447CDB0">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highlight w:val="none"/>
          <w:lang w:val="en-US" w:eastAsia="zh-CN"/>
        </w:rPr>
      </w:pPr>
      <w:bookmarkStart w:id="10" w:name="_Toc28359082"/>
      <w:bookmarkStart w:id="11" w:name="_Toc28359005"/>
      <w:r>
        <w:rPr>
          <w:rFonts w:hint="eastAsia" w:ascii="宋体" w:hAnsi="宋体" w:eastAsia="宋体" w:cs="宋体"/>
          <w:b/>
          <w:bCs/>
          <w:sz w:val="21"/>
          <w:szCs w:val="21"/>
          <w:highlight w:val="none"/>
          <w:lang w:val="en-US" w:eastAsia="zh-CN"/>
        </w:rPr>
        <w:t>四、提交</w:t>
      </w:r>
      <w:bookmarkEnd w:id="10"/>
      <w:bookmarkEnd w:id="11"/>
      <w:r>
        <w:rPr>
          <w:rFonts w:hint="eastAsia" w:ascii="宋体" w:hAnsi="宋体" w:eastAsia="宋体" w:cs="宋体"/>
          <w:b/>
          <w:bCs/>
          <w:sz w:val="21"/>
          <w:szCs w:val="21"/>
          <w:highlight w:val="none"/>
          <w:lang w:val="en-US" w:eastAsia="zh-CN"/>
        </w:rPr>
        <w:t>响应文件截止时间、开标时间和地点</w:t>
      </w:r>
    </w:p>
    <w:p w14:paraId="696FD32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响应文件递交截止时间：</w:t>
      </w:r>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5</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val="en-US" w:eastAsia="zh-CN"/>
        </w:rPr>
        <w:t>16</w:t>
      </w:r>
      <w:r>
        <w:rPr>
          <w:rFonts w:hint="eastAsia" w:ascii="宋体" w:hAnsi="宋体" w:eastAsia="宋体" w:cs="宋体"/>
          <w:bCs/>
          <w:color w:val="auto"/>
          <w:sz w:val="21"/>
          <w:szCs w:val="21"/>
          <w:highlight w:val="none"/>
          <w:u w:val="none"/>
          <w:lang w:eastAsia="zh-CN"/>
        </w:rPr>
        <w:t>时</w:t>
      </w:r>
      <w:r>
        <w:rPr>
          <w:rFonts w:hint="eastAsia" w:ascii="宋体" w:hAnsi="宋体" w:cs="宋体"/>
          <w:bCs/>
          <w:color w:val="auto"/>
          <w:sz w:val="21"/>
          <w:szCs w:val="21"/>
          <w:highlight w:val="none"/>
          <w:u w:val="none"/>
          <w:lang w:val="en-US" w:eastAsia="zh-CN"/>
        </w:rPr>
        <w:t>30</w:t>
      </w:r>
      <w:r>
        <w:rPr>
          <w:rFonts w:hint="eastAsia" w:ascii="宋体" w:hAnsi="宋体" w:eastAsia="宋体" w:cs="宋体"/>
          <w:bCs/>
          <w:color w:val="auto"/>
          <w:sz w:val="21"/>
          <w:szCs w:val="21"/>
          <w:highlight w:val="none"/>
          <w:u w:val="none"/>
        </w:rPr>
        <w:t>分</w:t>
      </w:r>
      <w:r>
        <w:rPr>
          <w:rFonts w:hint="eastAsia" w:ascii="宋体" w:hAnsi="宋体" w:eastAsia="宋体" w:cs="宋体"/>
          <w:bCs/>
          <w:color w:val="auto"/>
          <w:sz w:val="21"/>
          <w:szCs w:val="21"/>
          <w:highlight w:val="none"/>
          <w:u w:val="none"/>
          <w:lang w:eastAsia="zh-CN"/>
        </w:rPr>
        <w:t>整</w:t>
      </w:r>
      <w:r>
        <w:rPr>
          <w:rFonts w:hint="eastAsia" w:ascii="宋体" w:hAnsi="宋体" w:eastAsia="宋体" w:cs="宋体"/>
          <w:sz w:val="21"/>
          <w:szCs w:val="21"/>
          <w:highlight w:val="none"/>
          <w:lang w:val="en-US" w:eastAsia="zh-CN"/>
        </w:rPr>
        <w:t>（北京时间）</w:t>
      </w:r>
    </w:p>
    <w:p w14:paraId="0C5DD31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响应文件递交地点：长春市二道区洋浦大街6999号凯利中心AB栋101开标</w:t>
      </w:r>
      <w:r>
        <w:rPr>
          <w:rFonts w:hint="eastAsia" w:ascii="宋体" w:hAnsi="宋体" w:cs="宋体"/>
          <w:sz w:val="21"/>
          <w:szCs w:val="21"/>
          <w:highlight w:val="none"/>
          <w:lang w:val="en-US" w:eastAsia="zh-CN"/>
        </w:rPr>
        <w:t>二</w:t>
      </w:r>
      <w:r>
        <w:rPr>
          <w:rFonts w:hint="eastAsia" w:ascii="宋体" w:hAnsi="宋体" w:eastAsia="宋体" w:cs="宋体"/>
          <w:sz w:val="21"/>
          <w:szCs w:val="21"/>
          <w:highlight w:val="none"/>
          <w:lang w:val="en-US" w:eastAsia="zh-CN"/>
        </w:rPr>
        <w:t>室</w:t>
      </w:r>
      <w:r>
        <w:rPr>
          <w:rFonts w:hint="eastAsia" w:ascii="宋体" w:hAnsi="宋体" w:eastAsia="宋体" w:cs="宋体"/>
          <w:sz w:val="21"/>
          <w:szCs w:val="21"/>
          <w:highlight w:val="none"/>
          <w:lang w:val="zh-CN" w:eastAsia="zh-CN"/>
        </w:rPr>
        <w:t>。</w:t>
      </w:r>
    </w:p>
    <w:p w14:paraId="14C14DA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开标时间：</w:t>
      </w:r>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5</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val="en-US" w:eastAsia="zh-CN"/>
        </w:rPr>
        <w:t>16</w:t>
      </w:r>
      <w:r>
        <w:rPr>
          <w:rFonts w:hint="eastAsia" w:ascii="宋体" w:hAnsi="宋体" w:eastAsia="宋体" w:cs="宋体"/>
          <w:bCs/>
          <w:color w:val="auto"/>
          <w:sz w:val="21"/>
          <w:szCs w:val="21"/>
          <w:highlight w:val="none"/>
          <w:u w:val="none"/>
          <w:lang w:eastAsia="zh-CN"/>
        </w:rPr>
        <w:t>时</w:t>
      </w:r>
      <w:r>
        <w:rPr>
          <w:rFonts w:hint="eastAsia" w:ascii="宋体" w:hAnsi="宋体" w:cs="宋体"/>
          <w:bCs/>
          <w:color w:val="auto"/>
          <w:sz w:val="21"/>
          <w:szCs w:val="21"/>
          <w:highlight w:val="none"/>
          <w:u w:val="none"/>
          <w:lang w:val="en-US" w:eastAsia="zh-CN"/>
        </w:rPr>
        <w:t>30</w:t>
      </w:r>
      <w:r>
        <w:rPr>
          <w:rFonts w:hint="eastAsia" w:ascii="宋体" w:hAnsi="宋体" w:eastAsia="宋体" w:cs="宋体"/>
          <w:bCs/>
          <w:color w:val="auto"/>
          <w:sz w:val="21"/>
          <w:szCs w:val="21"/>
          <w:highlight w:val="none"/>
          <w:u w:val="none"/>
        </w:rPr>
        <w:t>分</w:t>
      </w:r>
      <w:r>
        <w:rPr>
          <w:rFonts w:hint="eastAsia" w:ascii="宋体" w:hAnsi="宋体" w:eastAsia="宋体" w:cs="宋体"/>
          <w:bCs/>
          <w:color w:val="auto"/>
          <w:sz w:val="21"/>
          <w:szCs w:val="21"/>
          <w:highlight w:val="none"/>
          <w:u w:val="none"/>
          <w:lang w:eastAsia="zh-CN"/>
        </w:rPr>
        <w:t>整</w:t>
      </w:r>
      <w:r>
        <w:rPr>
          <w:rFonts w:hint="eastAsia" w:ascii="宋体" w:hAnsi="宋体" w:eastAsia="宋体" w:cs="宋体"/>
          <w:sz w:val="21"/>
          <w:szCs w:val="21"/>
          <w:highlight w:val="none"/>
          <w:lang w:val="en-US" w:eastAsia="zh-CN"/>
        </w:rPr>
        <w:t>（北京时间）</w:t>
      </w:r>
    </w:p>
    <w:p w14:paraId="2820FEB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开标地点：长春市二道区洋浦大街6999号凯利中心AB栋101开标</w:t>
      </w:r>
      <w:r>
        <w:rPr>
          <w:rFonts w:hint="eastAsia" w:ascii="宋体" w:hAnsi="宋体" w:cs="宋体"/>
          <w:sz w:val="21"/>
          <w:szCs w:val="21"/>
          <w:highlight w:val="none"/>
          <w:lang w:val="en-US" w:eastAsia="zh-CN"/>
        </w:rPr>
        <w:t>二</w:t>
      </w:r>
      <w:r>
        <w:rPr>
          <w:rFonts w:hint="eastAsia" w:ascii="宋体" w:hAnsi="宋体" w:eastAsia="宋体" w:cs="宋体"/>
          <w:sz w:val="21"/>
          <w:szCs w:val="21"/>
          <w:highlight w:val="none"/>
          <w:lang w:val="en-US" w:eastAsia="zh-CN"/>
        </w:rPr>
        <w:t>室</w:t>
      </w:r>
      <w:r>
        <w:rPr>
          <w:rFonts w:hint="eastAsia" w:ascii="宋体" w:hAnsi="宋体" w:eastAsia="宋体" w:cs="宋体"/>
          <w:sz w:val="21"/>
          <w:szCs w:val="21"/>
          <w:highlight w:val="none"/>
          <w:lang w:val="zh-CN" w:eastAsia="zh-CN"/>
        </w:rPr>
        <w:t>。</w:t>
      </w:r>
    </w:p>
    <w:p w14:paraId="6AFAD68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bookmarkStart w:id="12" w:name="_Toc28359007"/>
      <w:bookmarkStart w:id="13" w:name="_Toc28359084"/>
      <w:r>
        <w:rPr>
          <w:rFonts w:hint="eastAsia" w:ascii="宋体" w:hAnsi="宋体" w:eastAsia="宋体" w:cs="宋体"/>
          <w:sz w:val="21"/>
          <w:szCs w:val="21"/>
          <w:highlight w:val="none"/>
          <w:lang w:val="en-US" w:eastAsia="zh-CN"/>
        </w:rPr>
        <w:t>本项目执行电子化招投标，须通过政府采购云平台（网址：</w:t>
      </w:r>
      <w:r>
        <w:rPr>
          <w:rFonts w:hint="eastAsia" w:ascii="宋体" w:hAnsi="宋体" w:eastAsia="宋体" w:cs="宋体"/>
          <w:spacing w:val="-20"/>
          <w:sz w:val="21"/>
          <w:szCs w:val="21"/>
          <w:highlight w:val="none"/>
          <w:lang w:val="en-US" w:eastAsia="zh-CN"/>
        </w:rPr>
        <w:t>http://www.zcygov.cn</w:t>
      </w:r>
      <w:r>
        <w:rPr>
          <w:rFonts w:hint="eastAsia" w:ascii="宋体" w:hAnsi="宋体" w:eastAsia="宋体" w:cs="宋体"/>
          <w:sz w:val="21"/>
          <w:szCs w:val="21"/>
          <w:highlight w:val="none"/>
          <w:lang w:val="en-US" w:eastAsia="zh-CN"/>
        </w:rPr>
        <w:t>）递交电子版响应文件，并按规定时间解密成功。</w:t>
      </w:r>
    </w:p>
    <w:p w14:paraId="3EF9605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投标操作流程：申请人在政府采购云平台网注册入库成为正式申请人后，在平台上按《政府采购项目电子交易管理操作指南-申请人》进行投标操作。申请人须办理数字证书方可参加投标。</w:t>
      </w:r>
    </w:p>
    <w:p w14:paraId="4125179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数字证书办理及投标技术咨询：申请人须办理数字证书方可参加投标。申请人须自行考虑数字证书办理时限，由于申请人自身原因在开标前无法完成办理，后果自负。</w:t>
      </w:r>
    </w:p>
    <w:p w14:paraId="16720D2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若对项目采购电子交易系统操作有疑问，可登录“政采云”平台（</w:t>
      </w:r>
      <w:r>
        <w:rPr>
          <w:rFonts w:hint="eastAsia" w:ascii="宋体" w:hAnsi="宋体" w:eastAsia="宋体" w:cs="宋体"/>
          <w:spacing w:val="-23"/>
          <w:sz w:val="21"/>
          <w:szCs w:val="21"/>
          <w:highlight w:val="none"/>
          <w:lang w:val="en-US" w:eastAsia="zh-CN"/>
        </w:rPr>
        <w:t>https://www.zcygov.cn/</w:t>
      </w:r>
      <w:r>
        <w:rPr>
          <w:rFonts w:hint="eastAsia" w:ascii="宋体" w:hAnsi="宋体" w:eastAsia="宋体" w:cs="宋体"/>
          <w:sz w:val="21"/>
          <w:szCs w:val="21"/>
          <w:highlight w:val="none"/>
          <w:lang w:val="en-US" w:eastAsia="zh-CN"/>
        </w:rPr>
        <w:t>）点击右侧咨询小采，获取采小蜜智能服务管家帮助，或拨打政采云服务热线95763获取热线服务帮助。</w:t>
      </w:r>
    </w:p>
    <w:p w14:paraId="7F0F9D6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有效申请人不足法定个数时，采购人另行组织招标。</w:t>
      </w:r>
    </w:p>
    <w:p w14:paraId="2946D2B5">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五、</w:t>
      </w:r>
      <w:bookmarkEnd w:id="12"/>
      <w:bookmarkEnd w:id="13"/>
      <w:r>
        <w:rPr>
          <w:rFonts w:hint="eastAsia" w:ascii="宋体" w:hAnsi="宋体" w:eastAsia="宋体" w:cs="宋体"/>
          <w:b/>
          <w:bCs/>
          <w:sz w:val="21"/>
          <w:szCs w:val="21"/>
          <w:highlight w:val="none"/>
          <w:lang w:val="en-US" w:eastAsia="zh-CN"/>
        </w:rPr>
        <w:t>公告期限</w:t>
      </w:r>
    </w:p>
    <w:p w14:paraId="25ADA70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自本公告发布之日起5个工作日。</w:t>
      </w:r>
    </w:p>
    <w:p w14:paraId="611E9D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highlight w:val="none"/>
          <w:lang w:val="en-US" w:eastAsia="zh-CN"/>
        </w:rPr>
      </w:pPr>
      <w:r>
        <w:rPr>
          <w:rFonts w:hint="eastAsia" w:ascii="宋体" w:hAnsi="宋体" w:cs="宋体"/>
          <w:b/>
          <w:bCs/>
          <w:sz w:val="21"/>
          <w:szCs w:val="21"/>
          <w:highlight w:val="none"/>
          <w:lang w:val="en-US" w:eastAsia="zh-CN"/>
        </w:rPr>
        <w:t>六、</w:t>
      </w:r>
      <w:r>
        <w:rPr>
          <w:rFonts w:hint="eastAsia" w:ascii="宋体" w:hAnsi="宋体" w:eastAsia="宋体" w:cs="宋体"/>
          <w:b/>
          <w:bCs/>
          <w:sz w:val="21"/>
          <w:szCs w:val="21"/>
          <w:highlight w:val="none"/>
          <w:lang w:val="en-US" w:eastAsia="zh-CN"/>
        </w:rPr>
        <w:t>磋商公告发布媒介：</w:t>
      </w:r>
      <w:r>
        <w:rPr>
          <w:rFonts w:hint="eastAsia" w:ascii="宋体" w:hAnsi="宋体" w:eastAsia="宋体" w:cs="宋体"/>
          <w:sz w:val="21"/>
          <w:szCs w:val="21"/>
          <w:highlight w:val="none"/>
          <w:lang w:val="en-US" w:eastAsia="zh-CN"/>
        </w:rPr>
        <w:t>吉林省政府采购云平台（同步推送到吉林省政府采购网）、中国招标投标公共服务平台。</w:t>
      </w:r>
    </w:p>
    <w:p w14:paraId="7A424F3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七、对本次招标提出询问，请按以下方式联系。</w:t>
      </w:r>
      <w:bookmarkEnd w:id="6"/>
      <w:bookmarkEnd w:id="7"/>
    </w:p>
    <w:p w14:paraId="2489CB1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1、采购人信息</w:t>
      </w:r>
    </w:p>
    <w:p w14:paraId="6E7E949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名称：</w:t>
      </w:r>
      <w:r>
        <w:rPr>
          <w:rFonts w:hint="eastAsia" w:ascii="宋体" w:hAnsi="宋体" w:cs="宋体"/>
          <w:sz w:val="21"/>
          <w:szCs w:val="21"/>
          <w:highlight w:val="none"/>
          <w:lang w:val="en-US" w:eastAsia="zh-CN"/>
        </w:rPr>
        <w:t>德惠市人民医院</w:t>
      </w:r>
    </w:p>
    <w:p w14:paraId="17BF32B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地址：</w:t>
      </w:r>
      <w:r>
        <w:rPr>
          <w:rFonts w:hint="eastAsia" w:ascii="宋体" w:hAnsi="宋体" w:cs="宋体"/>
          <w:sz w:val="21"/>
          <w:szCs w:val="21"/>
          <w:highlight w:val="none"/>
          <w:lang w:val="en-US" w:eastAsia="zh-CN"/>
        </w:rPr>
        <w:t>德惠市</w:t>
      </w:r>
      <w:r>
        <w:rPr>
          <w:rFonts w:hint="eastAsia" w:ascii="宋体" w:hAnsi="宋体" w:eastAsia="宋体" w:cs="宋体"/>
          <w:sz w:val="21"/>
          <w:szCs w:val="21"/>
          <w:highlight w:val="none"/>
          <w:lang w:val="en-US" w:eastAsia="zh-CN"/>
        </w:rPr>
        <w:t>新惠路与迎新街交汇处</w:t>
      </w:r>
    </w:p>
    <w:p w14:paraId="5B08D51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联系人：</w:t>
      </w:r>
      <w:r>
        <w:rPr>
          <w:rFonts w:hint="eastAsia" w:ascii="宋体" w:hAnsi="宋体" w:cs="宋体"/>
          <w:sz w:val="21"/>
          <w:szCs w:val="21"/>
          <w:highlight w:val="none"/>
          <w:lang w:val="en-US" w:eastAsia="zh-CN"/>
        </w:rPr>
        <w:t>郭洋</w:t>
      </w:r>
    </w:p>
    <w:p w14:paraId="3A2EDCA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电话：0431-87381087</w:t>
      </w:r>
    </w:p>
    <w:p w14:paraId="18CCDBF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2、采购代理机构信息</w:t>
      </w:r>
    </w:p>
    <w:p w14:paraId="3E4A9B5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名称：</w:t>
      </w:r>
      <w:r>
        <w:rPr>
          <w:rFonts w:hint="eastAsia" w:ascii="宋体" w:hAnsi="宋体" w:cs="宋体"/>
          <w:sz w:val="21"/>
          <w:szCs w:val="21"/>
          <w:highlight w:val="none"/>
          <w:lang w:val="zh-CN" w:eastAsia="zh-CN"/>
        </w:rPr>
        <w:t>吉林省惠新招标代理有限公司</w:t>
      </w:r>
    </w:p>
    <w:p w14:paraId="09A759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地址：</w:t>
      </w:r>
      <w:r>
        <w:rPr>
          <w:rFonts w:hint="eastAsia" w:ascii="宋体" w:hAnsi="宋体" w:cs="宋体"/>
          <w:sz w:val="21"/>
          <w:szCs w:val="21"/>
          <w:highlight w:val="none"/>
          <w:lang w:val="en-US" w:eastAsia="zh-CN"/>
        </w:rPr>
        <w:t>长春市高新区超强街天茂湖峯景小镇商业街M19-105</w:t>
      </w:r>
    </w:p>
    <w:p w14:paraId="6F1BD44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联系人：</w:t>
      </w:r>
      <w:r>
        <w:rPr>
          <w:rFonts w:hint="eastAsia" w:ascii="宋体" w:hAnsi="宋体" w:cs="宋体"/>
          <w:sz w:val="21"/>
          <w:szCs w:val="21"/>
          <w:highlight w:val="none"/>
          <w:lang w:val="zh-CN" w:eastAsia="zh-CN"/>
        </w:rPr>
        <w:t>赵岩</w:t>
      </w:r>
    </w:p>
    <w:p w14:paraId="08A7575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联系电话：</w:t>
      </w:r>
      <w:r>
        <w:rPr>
          <w:rFonts w:hint="eastAsia" w:ascii="宋体" w:hAnsi="宋体" w:cs="宋体"/>
          <w:sz w:val="21"/>
          <w:szCs w:val="21"/>
          <w:highlight w:val="none"/>
          <w:lang w:val="zh-CN" w:eastAsia="zh-CN"/>
        </w:rPr>
        <w:t>0431-80744744</w:t>
      </w:r>
    </w:p>
    <w:p w14:paraId="28D03B5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3、监督</w:t>
      </w:r>
      <w:r>
        <w:rPr>
          <w:rFonts w:hint="eastAsia" w:ascii="宋体" w:hAnsi="宋体" w:eastAsia="宋体" w:cs="宋体"/>
          <w:sz w:val="21"/>
          <w:szCs w:val="21"/>
          <w:highlight w:val="none"/>
          <w:lang w:val="en-US" w:eastAsia="zh-CN"/>
        </w:rPr>
        <w:t>部门</w:t>
      </w:r>
      <w:r>
        <w:rPr>
          <w:rFonts w:hint="eastAsia" w:ascii="宋体" w:hAnsi="宋体" w:eastAsia="宋体" w:cs="宋体"/>
          <w:sz w:val="21"/>
          <w:szCs w:val="21"/>
          <w:highlight w:val="none"/>
          <w:lang w:val="zh-CN" w:eastAsia="zh-CN"/>
        </w:rPr>
        <w:t>信息</w:t>
      </w:r>
    </w:p>
    <w:p w14:paraId="4763EBB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名称</w:t>
      </w:r>
      <w:r>
        <w:rPr>
          <w:rFonts w:hint="eastAsia" w:ascii="宋体" w:hAnsi="宋体" w:eastAsia="宋体" w:cs="宋体"/>
          <w:sz w:val="21"/>
          <w:szCs w:val="21"/>
          <w:highlight w:val="none"/>
          <w:lang w:val="zh-CN" w:eastAsia="zh-CN"/>
        </w:rPr>
        <w:t>：</w:t>
      </w:r>
      <w:r>
        <w:rPr>
          <w:rFonts w:hint="eastAsia" w:ascii="宋体" w:hAnsi="宋体" w:eastAsia="宋体" w:cs="宋体"/>
          <w:i w:val="0"/>
          <w:iCs w:val="0"/>
          <w:caps w:val="0"/>
          <w:color w:val="000000"/>
          <w:spacing w:val="0"/>
          <w:sz w:val="21"/>
          <w:szCs w:val="21"/>
        </w:rPr>
        <w:t>德惠市财政局政府采购管理工作办公室</w:t>
      </w:r>
    </w:p>
    <w:p w14:paraId="03F665C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zh-CN" w:eastAsia="zh-CN"/>
        </w:rPr>
        <w:t>项目联系方式</w:t>
      </w:r>
    </w:p>
    <w:p w14:paraId="6DE99FF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联系人：</w:t>
      </w:r>
      <w:r>
        <w:rPr>
          <w:rFonts w:hint="eastAsia" w:ascii="宋体" w:hAnsi="宋体" w:cs="宋体"/>
          <w:sz w:val="21"/>
          <w:szCs w:val="21"/>
          <w:highlight w:val="none"/>
          <w:lang w:val="zh-CN" w:eastAsia="zh-CN"/>
        </w:rPr>
        <w:t>赵岩</w:t>
      </w:r>
    </w:p>
    <w:p w14:paraId="55E706D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联系电话：</w:t>
      </w:r>
      <w:r>
        <w:rPr>
          <w:rFonts w:hint="eastAsia" w:ascii="宋体" w:hAnsi="宋体" w:cs="宋体"/>
          <w:sz w:val="21"/>
          <w:szCs w:val="21"/>
          <w:highlight w:val="none"/>
          <w:lang w:val="zh-CN" w:eastAsia="zh-CN"/>
        </w:rPr>
        <w:t>0431-80744744</w:t>
      </w:r>
    </w:p>
    <w:p w14:paraId="57B24437">
      <w:pPr>
        <w:rPr>
          <w:rFonts w:hint="eastAsia" w:ascii="宋体" w:hAnsi="宋体" w:eastAsia="宋体" w:cs="宋体"/>
          <w:bCs/>
          <w:kern w:val="0"/>
          <w:szCs w:val="21"/>
          <w:highlight w:val="none"/>
          <w:lang w:val="zh-CN" w:eastAsia="zh-CN"/>
        </w:rPr>
      </w:pPr>
      <w:r>
        <w:rPr>
          <w:rFonts w:hint="eastAsia" w:ascii="宋体" w:hAnsi="宋体" w:eastAsia="宋体" w:cs="宋体"/>
          <w:bCs/>
          <w:kern w:val="0"/>
          <w:szCs w:val="21"/>
          <w:highlight w:val="none"/>
          <w:lang w:val="zh-CN" w:eastAsia="zh-CN"/>
        </w:rPr>
        <w:br w:type="page"/>
      </w:r>
    </w:p>
    <w:p w14:paraId="6244BECF">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en-US" w:eastAsia="zh-CN"/>
        </w:rPr>
      </w:pPr>
      <w:bookmarkStart w:id="14" w:name="_Toc5274"/>
      <w:bookmarkStart w:id="15" w:name="_Toc25349"/>
      <w:r>
        <w:rPr>
          <w:rFonts w:hint="eastAsia" w:ascii="宋体" w:hAnsi="宋体" w:eastAsia="宋体" w:cs="宋体"/>
          <w:b/>
          <w:sz w:val="32"/>
          <w:szCs w:val="28"/>
          <w:highlight w:val="none"/>
          <w:lang w:val="en-US" w:eastAsia="zh-CN"/>
        </w:rPr>
        <w:t>第二章 供应商须知</w:t>
      </w:r>
      <w:bookmarkEnd w:id="14"/>
      <w:bookmarkEnd w:id="15"/>
    </w:p>
    <w:p w14:paraId="60E6C9DE">
      <w:pPr>
        <w:pStyle w:val="37"/>
        <w:spacing w:line="360" w:lineRule="auto"/>
        <w:ind w:firstLine="0" w:firstLineChars="0"/>
        <w:jc w:val="center"/>
        <w:outlineLvl w:val="1"/>
        <w:rPr>
          <w:rFonts w:hint="eastAsia" w:ascii="宋体" w:hAnsi="宋体" w:eastAsia="宋体" w:cs="宋体"/>
          <w:b/>
          <w:sz w:val="28"/>
          <w:szCs w:val="28"/>
          <w:highlight w:val="none"/>
        </w:rPr>
      </w:pPr>
      <w:bookmarkStart w:id="16" w:name="_Toc12505"/>
      <w:r>
        <w:rPr>
          <w:rFonts w:hint="eastAsia" w:ascii="宋体" w:hAnsi="宋体" w:cs="宋体"/>
          <w:b/>
          <w:sz w:val="28"/>
          <w:szCs w:val="28"/>
          <w:highlight w:val="none"/>
          <w:lang w:val="zh-CN"/>
        </w:rPr>
        <w:t>供应商</w:t>
      </w:r>
      <w:r>
        <w:rPr>
          <w:rFonts w:hint="eastAsia" w:ascii="宋体" w:hAnsi="宋体" w:eastAsia="宋体" w:cs="宋体"/>
          <w:b/>
          <w:sz w:val="28"/>
          <w:szCs w:val="28"/>
          <w:highlight w:val="none"/>
          <w:lang w:val="zh-CN"/>
        </w:rPr>
        <w:t>须知前附表</w:t>
      </w:r>
      <w:bookmarkEnd w:id="16"/>
    </w:p>
    <w:tbl>
      <w:tblPr>
        <w:tblStyle w:val="22"/>
        <w:tblW w:w="10490" w:type="dxa"/>
        <w:tblInd w:w="-31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8"/>
        <w:gridCol w:w="2174"/>
        <w:gridCol w:w="7318"/>
      </w:tblGrid>
      <w:tr w14:paraId="0D4D7C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blHeader/>
        </w:trPr>
        <w:tc>
          <w:tcPr>
            <w:tcW w:w="998" w:type="dxa"/>
            <w:tcBorders>
              <w:top w:val="single" w:color="auto" w:sz="4" w:space="0"/>
              <w:left w:val="single" w:color="auto" w:sz="4" w:space="0"/>
              <w:bottom w:val="single" w:color="auto" w:sz="4" w:space="0"/>
              <w:right w:val="single" w:color="auto" w:sz="4" w:space="0"/>
            </w:tcBorders>
            <w:noWrap w:val="0"/>
            <w:vAlign w:val="center"/>
          </w:tcPr>
          <w:p w14:paraId="7AC3A191">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序</w:t>
            </w:r>
            <w:r>
              <w:rPr>
                <w:rFonts w:hint="eastAsia" w:ascii="宋体" w:hAnsi="宋体" w:eastAsia="宋体" w:cs="宋体"/>
                <w:sz w:val="21"/>
                <w:szCs w:val="21"/>
                <w:highlight w:val="none"/>
              </w:rPr>
              <w:t>号</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56DA8DB">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5225460">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编列内容</w:t>
            </w:r>
          </w:p>
        </w:tc>
      </w:tr>
      <w:tr w14:paraId="7F6A37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0ECE415E">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037C69D">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人</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930104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名称：</w:t>
            </w:r>
            <w:r>
              <w:rPr>
                <w:rFonts w:hint="eastAsia" w:ascii="宋体" w:hAnsi="宋体" w:cs="宋体"/>
                <w:sz w:val="21"/>
                <w:szCs w:val="21"/>
                <w:highlight w:val="none"/>
                <w:lang w:val="en-US" w:eastAsia="zh-CN"/>
              </w:rPr>
              <w:t>德惠市人民医院</w:t>
            </w:r>
          </w:p>
          <w:p w14:paraId="71C09A9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地址：</w:t>
            </w:r>
            <w:r>
              <w:rPr>
                <w:rFonts w:hint="eastAsia" w:ascii="宋体" w:hAnsi="宋体" w:cs="宋体"/>
                <w:sz w:val="21"/>
                <w:szCs w:val="21"/>
                <w:highlight w:val="none"/>
                <w:lang w:val="en-US" w:eastAsia="zh-CN"/>
              </w:rPr>
              <w:t>德惠市</w:t>
            </w:r>
            <w:r>
              <w:rPr>
                <w:rFonts w:hint="eastAsia" w:ascii="宋体" w:hAnsi="宋体" w:eastAsia="宋体" w:cs="宋体"/>
                <w:sz w:val="21"/>
                <w:szCs w:val="21"/>
                <w:highlight w:val="none"/>
                <w:lang w:val="en-US" w:eastAsia="zh-CN"/>
              </w:rPr>
              <w:t>新惠路与迎新街交汇处</w:t>
            </w:r>
          </w:p>
          <w:p w14:paraId="0DDC20F5">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default"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zh-CN" w:eastAsia="zh-CN"/>
              </w:rPr>
              <w:t>联系人：</w:t>
            </w:r>
            <w:r>
              <w:rPr>
                <w:rFonts w:hint="eastAsia" w:ascii="宋体" w:hAnsi="宋体" w:cs="宋体"/>
                <w:sz w:val="21"/>
                <w:szCs w:val="21"/>
                <w:highlight w:val="none"/>
                <w:lang w:val="en-US" w:eastAsia="zh-CN"/>
              </w:rPr>
              <w:t xml:space="preserve">郭洋  </w:t>
            </w:r>
          </w:p>
          <w:p w14:paraId="6EADA2DB">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default" w:ascii="宋体" w:hAnsi="宋体" w:eastAsia="宋体" w:cs="宋体"/>
                <w:kern w:val="0"/>
                <w:sz w:val="21"/>
                <w:szCs w:val="21"/>
                <w:highlight w:val="none"/>
                <w:lang w:val="en-US"/>
              </w:rPr>
            </w:pPr>
            <w:r>
              <w:rPr>
                <w:rFonts w:hint="eastAsia" w:ascii="宋体" w:hAnsi="宋体" w:eastAsia="宋体" w:cs="宋体"/>
                <w:bCs/>
                <w:kern w:val="0"/>
                <w:sz w:val="21"/>
                <w:szCs w:val="21"/>
                <w:highlight w:val="none"/>
                <w:lang w:val="zh-CN" w:eastAsia="zh-CN"/>
              </w:rPr>
              <w:t>电话：</w:t>
            </w:r>
            <w:r>
              <w:rPr>
                <w:rFonts w:hint="eastAsia" w:ascii="宋体" w:hAnsi="宋体" w:cs="宋体"/>
                <w:bCs/>
                <w:kern w:val="0"/>
                <w:sz w:val="21"/>
                <w:szCs w:val="21"/>
                <w:highlight w:val="none"/>
                <w:lang w:val="en-US" w:eastAsia="zh-CN"/>
              </w:rPr>
              <w:t>0431-87381087</w:t>
            </w:r>
          </w:p>
        </w:tc>
      </w:tr>
      <w:tr w14:paraId="5D1986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A268F32">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2</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BCF6089">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采购代理机构</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BCD47DB">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en-US" w:eastAsia="zh-CN"/>
              </w:rPr>
              <w:t>名称</w:t>
            </w:r>
            <w:r>
              <w:rPr>
                <w:rFonts w:hint="eastAsia" w:ascii="宋体" w:hAnsi="宋体" w:eastAsia="宋体" w:cs="宋体"/>
                <w:bCs/>
                <w:kern w:val="0"/>
                <w:sz w:val="21"/>
                <w:szCs w:val="21"/>
                <w:highlight w:val="none"/>
                <w:lang w:val="zh-CN" w:eastAsia="zh-CN"/>
              </w:rPr>
              <w:t>：</w:t>
            </w:r>
            <w:r>
              <w:rPr>
                <w:rFonts w:hint="eastAsia" w:ascii="宋体" w:hAnsi="宋体" w:cs="宋体"/>
                <w:bCs/>
                <w:kern w:val="0"/>
                <w:sz w:val="21"/>
                <w:szCs w:val="21"/>
                <w:highlight w:val="none"/>
                <w:lang w:val="en-US" w:eastAsia="zh-CN"/>
              </w:rPr>
              <w:t>吉林省惠新招标代理有限公司</w:t>
            </w:r>
          </w:p>
          <w:p w14:paraId="47BD5A36">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zh-CN"/>
              </w:rPr>
              <w:t>地址：</w:t>
            </w:r>
            <w:r>
              <w:rPr>
                <w:rFonts w:hint="eastAsia" w:ascii="宋体" w:hAnsi="宋体" w:cs="宋体"/>
                <w:bCs/>
                <w:kern w:val="0"/>
                <w:sz w:val="21"/>
                <w:szCs w:val="21"/>
                <w:highlight w:val="none"/>
                <w:lang w:val="zh-CN" w:eastAsia="zh-CN"/>
              </w:rPr>
              <w:t>长春市高新区超强街天茂湖峯景小镇商业街M19-105</w:t>
            </w:r>
          </w:p>
          <w:p w14:paraId="315BDC3C">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en-US"/>
              </w:rPr>
            </w:pPr>
            <w:r>
              <w:rPr>
                <w:rFonts w:hint="eastAsia" w:ascii="宋体" w:hAnsi="宋体" w:eastAsia="宋体" w:cs="宋体"/>
                <w:bCs/>
                <w:kern w:val="0"/>
                <w:sz w:val="21"/>
                <w:szCs w:val="21"/>
                <w:highlight w:val="none"/>
              </w:rPr>
              <w:t>联系人：</w:t>
            </w:r>
            <w:r>
              <w:rPr>
                <w:rFonts w:hint="eastAsia" w:ascii="宋体" w:hAnsi="宋体" w:cs="宋体"/>
                <w:bCs/>
                <w:kern w:val="0"/>
                <w:sz w:val="21"/>
                <w:szCs w:val="21"/>
                <w:highlight w:val="none"/>
                <w:lang w:eastAsia="zh-CN"/>
              </w:rPr>
              <w:t>赵岩</w:t>
            </w:r>
          </w:p>
          <w:p w14:paraId="26517BCB">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rPr>
              <w:t>联系电话：</w:t>
            </w:r>
            <w:r>
              <w:rPr>
                <w:rFonts w:hint="eastAsia" w:ascii="宋体" w:hAnsi="宋体" w:cs="宋体"/>
                <w:bCs/>
                <w:kern w:val="0"/>
                <w:sz w:val="21"/>
                <w:szCs w:val="21"/>
                <w:highlight w:val="none"/>
                <w:lang w:eastAsia="zh-CN"/>
              </w:rPr>
              <w:t>0431-80744744</w:t>
            </w:r>
          </w:p>
        </w:tc>
      </w:tr>
      <w:tr w14:paraId="5687C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2310AC4">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3</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857C233">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rPr>
              <w:t>项目名称</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A7B6916">
            <w:pPr>
              <w:keepNext w:val="0"/>
              <w:keepLines w:val="0"/>
              <w:pageBreakBefore w:val="0"/>
              <w:widowControl w:val="0"/>
              <w:kinsoku/>
              <w:wordWrap/>
              <w:overflowPunct/>
              <w:topLinePunct w:val="0"/>
              <w:bidi w:val="0"/>
              <w:snapToGrid/>
              <w:spacing w:line="360" w:lineRule="auto"/>
              <w:jc w:val="both"/>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德惠市人民医院自助终端平台</w:t>
            </w:r>
            <w:r>
              <w:rPr>
                <w:rFonts w:hint="eastAsia" w:ascii="宋体" w:hAnsi="宋体" w:cs="宋体"/>
                <w:sz w:val="21"/>
                <w:szCs w:val="21"/>
                <w:highlight w:val="none"/>
                <w:lang w:eastAsia="zh-CN"/>
              </w:rPr>
              <w:t>项目</w:t>
            </w:r>
          </w:p>
        </w:tc>
      </w:tr>
      <w:tr w14:paraId="61D94F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B271343">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4</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FD2C03B">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内容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85527A4">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kern w:val="0"/>
                <w:sz w:val="21"/>
                <w:szCs w:val="21"/>
                <w:highlight w:val="none"/>
                <w:lang w:val="en-US" w:eastAsia="zh-CN" w:bidi="ar-SA"/>
              </w:rPr>
            </w:pPr>
            <w:r>
              <w:rPr>
                <w:rFonts w:hint="eastAsia" w:ascii="宋体" w:hAnsi="宋体" w:cs="宋体"/>
                <w:sz w:val="21"/>
                <w:szCs w:val="21"/>
                <w:highlight w:val="none"/>
                <w:lang w:val="en-US" w:eastAsia="zh-CN"/>
              </w:rPr>
              <w:t>德惠市人民医院自助终端平台</w:t>
            </w:r>
            <w:r>
              <w:rPr>
                <w:rFonts w:hint="eastAsia" w:ascii="宋体" w:hAnsi="宋体" w:cs="宋体"/>
                <w:sz w:val="21"/>
                <w:szCs w:val="21"/>
                <w:highlight w:val="none"/>
                <w:lang w:eastAsia="zh-CN"/>
              </w:rPr>
              <w:t>项目</w:t>
            </w:r>
            <w:r>
              <w:rPr>
                <w:rFonts w:hint="eastAsia" w:ascii="宋体" w:hAnsi="宋体" w:cs="宋体"/>
                <w:sz w:val="21"/>
                <w:szCs w:val="21"/>
                <w:highlight w:val="none"/>
                <w:lang w:val="en-US" w:eastAsia="zh-CN"/>
              </w:rPr>
              <w:t>（详见竞争性磋商文件服务需求）</w:t>
            </w:r>
          </w:p>
        </w:tc>
      </w:tr>
      <w:tr w14:paraId="4FAAE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1EAF329">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5</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CA05034">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服务</w:t>
            </w:r>
            <w:r>
              <w:rPr>
                <w:rFonts w:hint="eastAsia" w:ascii="宋体" w:hAnsi="宋体" w:eastAsia="宋体" w:cs="宋体"/>
                <w:sz w:val="21"/>
                <w:szCs w:val="21"/>
                <w:highlight w:val="none"/>
                <w:lang w:eastAsia="zh-CN"/>
              </w:rPr>
              <w:t>地点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FD60327">
            <w:pPr>
              <w:keepNext w:val="0"/>
              <w:keepLines w:val="0"/>
              <w:pageBreakBefore w:val="0"/>
              <w:kinsoku/>
              <w:wordWrap/>
              <w:topLinePunct w:val="0"/>
              <w:autoSpaceDE w:val="0"/>
              <w:autoSpaceDN w:val="0"/>
              <w:bidi w:val="0"/>
              <w:adjustRightInd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德惠市人民医院</w:t>
            </w:r>
          </w:p>
        </w:tc>
      </w:tr>
      <w:tr w14:paraId="33BC1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06ABFEDB">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6</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02B57C1">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资金来源</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CD52E64">
            <w:pPr>
              <w:keepNext w:val="0"/>
              <w:keepLines w:val="0"/>
              <w:pageBreakBefore w:val="0"/>
              <w:kinsoku/>
              <w:wordWrap/>
              <w:topLinePunct w:val="0"/>
              <w:autoSpaceDE w:val="0"/>
              <w:autoSpaceDN w:val="0"/>
              <w:bidi w:val="0"/>
              <w:adjustRightInd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财政资金</w:t>
            </w:r>
          </w:p>
        </w:tc>
      </w:tr>
      <w:tr w14:paraId="6D64AD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12B804B">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7</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48473B1">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资金落实情况</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7756312">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已落实</w:t>
            </w:r>
          </w:p>
        </w:tc>
      </w:tr>
      <w:tr w14:paraId="0F1BE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BED7FF0">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30676AF">
            <w:pPr>
              <w:keepNext w:val="0"/>
              <w:keepLines w:val="0"/>
              <w:pageBreakBefore w:val="0"/>
              <w:kinsoku/>
              <w:wordWrap/>
              <w:topLinePunct w:val="0"/>
              <w:bidi w:val="0"/>
              <w:spacing w:line="36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sz w:val="21"/>
                <w:szCs w:val="21"/>
                <w:highlight w:val="none"/>
                <w:lang w:val="en-US" w:eastAsia="zh-CN"/>
              </w:rPr>
              <w:t>合同履行期限</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28A019D">
            <w:pPr>
              <w:keepNext w:val="0"/>
              <w:keepLines w:val="0"/>
              <w:pageBreakBefore w:val="0"/>
              <w:kinsoku/>
              <w:wordWrap/>
              <w:topLinePunct w:val="0"/>
              <w:bidi w:val="0"/>
              <w:spacing w:line="360" w:lineRule="auto"/>
              <w:ind w:firstLine="0" w:firstLineChars="0"/>
              <w:jc w:val="both"/>
              <w:rPr>
                <w:rFonts w:hint="eastAsia" w:ascii="宋体" w:hAnsi="宋体" w:eastAsia="宋体" w:cs="宋体"/>
                <w:color w:val="auto"/>
                <w:kern w:val="0"/>
                <w:sz w:val="21"/>
                <w:szCs w:val="21"/>
                <w:highlight w:val="none"/>
                <w:lang w:val="zh-CN"/>
              </w:rPr>
            </w:pPr>
            <w:r>
              <w:rPr>
                <w:rFonts w:hint="eastAsia" w:ascii="宋体" w:hAnsi="宋体" w:cs="宋体"/>
                <w:sz w:val="21"/>
                <w:szCs w:val="21"/>
                <w:highlight w:val="none"/>
                <w:lang w:val="en-US" w:eastAsia="zh-CN"/>
              </w:rPr>
              <w:t>自合同签订之日起至验收合格90个工作日</w:t>
            </w:r>
          </w:p>
        </w:tc>
      </w:tr>
      <w:tr w14:paraId="58E5F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CB96037">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8F9D08D">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资质条件、能力和信誉</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E8FC4C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1.满足《中华人民共和国政府采购法》第二十二条规定。</w:t>
            </w:r>
          </w:p>
          <w:p w14:paraId="4B8A9551">
            <w:pPr>
              <w:pStyle w:val="18"/>
              <w:keepNext w:val="0"/>
              <w:keepLines w:val="0"/>
              <w:widowControl/>
              <w:suppressLineNumbers w:val="0"/>
              <w:spacing w:before="0" w:beforeAutospacing="0" w:after="0" w:afterAutospacing="0" w:line="360" w:lineRule="atLeast"/>
              <w:ind w:left="0" w:right="0" w:firstLine="42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落实政府采购政策需满足的资格要求：按照财政部财库[2020]46号、[2014]68号、[2017]141号、[2019]9号等文件要求，需要落实政府采购支持节能环保、中小企业发展等政策；本项目为专门面向中小企业项目，所属行业为其他未列明行业。</w:t>
            </w:r>
          </w:p>
          <w:p w14:paraId="522BEF5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3.本项目的特定资格要求：</w:t>
            </w:r>
          </w:p>
          <w:p w14:paraId="59587C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lang w:val="zh-CN" w:eastAsia="zh-CN"/>
              </w:rPr>
              <w:t>具有独立法人资格</w:t>
            </w:r>
            <w:r>
              <w:rPr>
                <w:rFonts w:hint="eastAsia" w:ascii="宋体" w:hAnsi="宋体" w:eastAsia="宋体" w:cs="宋体"/>
                <w:sz w:val="21"/>
                <w:szCs w:val="21"/>
                <w:highlight w:val="none"/>
                <w:lang w:val="en-US" w:eastAsia="zh-CN"/>
              </w:rPr>
              <w:t>或其他组织</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具备有效的营业执照。</w:t>
            </w:r>
          </w:p>
          <w:p w14:paraId="261C87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财务要求：具有良好的商业信誉和健全的财务会计制度，需提供</w:t>
            </w:r>
            <w:r>
              <w:rPr>
                <w:rFonts w:hint="eastAsia" w:ascii="宋体" w:hAnsi="宋体" w:cs="宋体"/>
                <w:sz w:val="21"/>
                <w:szCs w:val="21"/>
                <w:highlight w:val="none"/>
                <w:lang w:val="en-US" w:eastAsia="zh-CN"/>
              </w:rPr>
              <w:t>资格条件</w:t>
            </w:r>
            <w:r>
              <w:rPr>
                <w:rFonts w:hint="eastAsia" w:ascii="宋体" w:hAnsi="宋体" w:eastAsia="宋体" w:cs="宋体"/>
                <w:sz w:val="21"/>
                <w:szCs w:val="21"/>
                <w:highlight w:val="none"/>
                <w:lang w:val="en-US" w:eastAsia="zh-CN"/>
              </w:rPr>
              <w:t>承诺函。</w:t>
            </w:r>
          </w:p>
          <w:p w14:paraId="05D56ED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纳税证明及依法缴纳社会保障资金：具有依法缴纳税收和依法缴纳社会保障资金的良好记录，需提供</w:t>
            </w:r>
            <w:r>
              <w:rPr>
                <w:rFonts w:hint="eastAsia" w:ascii="宋体" w:hAnsi="宋体" w:cs="宋体"/>
                <w:sz w:val="21"/>
                <w:szCs w:val="21"/>
                <w:highlight w:val="none"/>
                <w:lang w:val="en-US" w:eastAsia="zh-CN"/>
              </w:rPr>
              <w:t>资格条件</w:t>
            </w:r>
            <w:r>
              <w:rPr>
                <w:rFonts w:hint="eastAsia" w:ascii="宋体" w:hAnsi="宋体" w:eastAsia="宋体" w:cs="宋体"/>
                <w:sz w:val="21"/>
                <w:szCs w:val="21"/>
                <w:highlight w:val="none"/>
                <w:lang w:val="en-US" w:eastAsia="zh-CN"/>
              </w:rPr>
              <w:t>承诺函。</w:t>
            </w:r>
          </w:p>
          <w:p w14:paraId="4E5EBF6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zh-CN" w:eastAsia="zh-CN"/>
              </w:rPr>
              <w:t>信誉要求：</w:t>
            </w:r>
          </w:p>
          <w:p w14:paraId="0E80C42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）拒绝列入政府取消投标资格记录期间的企业或个人投标。</w:t>
            </w:r>
          </w:p>
          <w:p w14:paraId="79553F8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（2）按照《财政部关于在政府采购活动中查询及使用信用记录有关问题的通知》（财库</w:t>
            </w:r>
            <w:r>
              <w:rPr>
                <w:rFonts w:hint="eastAsia" w:ascii="宋体" w:hAnsi="宋体" w:eastAsia="宋体" w:cs="宋体"/>
                <w:spacing w:val="-20"/>
                <w:sz w:val="21"/>
                <w:szCs w:val="21"/>
                <w:highlight w:val="none"/>
                <w:lang w:val="en-US" w:eastAsia="zh-CN"/>
              </w:rPr>
              <w:t>〔2016〕125号</w:t>
            </w:r>
            <w:r>
              <w:rPr>
                <w:rFonts w:hint="eastAsia" w:ascii="宋体" w:hAnsi="宋体" w:eastAsia="宋体" w:cs="宋体"/>
                <w:sz w:val="21"/>
                <w:szCs w:val="21"/>
                <w:highlight w:val="none"/>
                <w:lang w:val="en-US" w:eastAsia="zh-CN"/>
              </w:rPr>
              <w:t>）的要求，根据递交响应文件截止时间“信用中国”网站（</w:t>
            </w:r>
            <w:r>
              <w:rPr>
                <w:rFonts w:hint="eastAsia" w:ascii="宋体" w:hAnsi="宋体" w:eastAsia="宋体" w:cs="宋体"/>
                <w:spacing w:val="-20"/>
                <w:sz w:val="21"/>
                <w:szCs w:val="21"/>
                <w:highlight w:val="none"/>
                <w:lang w:val="en-US" w:eastAsia="zh-CN"/>
              </w:rPr>
              <w:t>www.creditchina.gov.cn</w:t>
            </w:r>
            <w:r>
              <w:rPr>
                <w:rFonts w:hint="eastAsia" w:ascii="宋体" w:hAnsi="宋体" w:eastAsia="宋体" w:cs="宋体"/>
                <w:sz w:val="21"/>
                <w:szCs w:val="21"/>
                <w:highlight w:val="none"/>
                <w:lang w:val="en-US" w:eastAsia="zh-CN"/>
              </w:rPr>
              <w:t>）、中国政府采购网（</w:t>
            </w:r>
            <w:r>
              <w:rPr>
                <w:rFonts w:hint="eastAsia" w:ascii="宋体" w:hAnsi="宋体" w:eastAsia="宋体" w:cs="宋体"/>
                <w:spacing w:val="-20"/>
                <w:sz w:val="21"/>
                <w:szCs w:val="21"/>
                <w:highlight w:val="none"/>
                <w:lang w:val="en-US" w:eastAsia="zh-CN"/>
              </w:rPr>
              <w:t>www.ccgp.gov.cn</w:t>
            </w:r>
            <w:r>
              <w:rPr>
                <w:rFonts w:hint="eastAsia" w:ascii="宋体" w:hAnsi="宋体" w:eastAsia="宋体" w:cs="宋体"/>
                <w:sz w:val="21"/>
                <w:szCs w:val="21"/>
                <w:highlight w:val="none"/>
                <w:lang w:val="en-US" w:eastAsia="zh-CN"/>
              </w:rPr>
              <w:t>）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41B7E35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zh-CN" w:eastAsia="zh-CN"/>
              </w:rPr>
              <w:t>与</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lang w:val="zh-CN" w:eastAsia="zh-CN"/>
              </w:rPr>
              <w:t>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136F95E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0"/>
                <w:sz w:val="21"/>
                <w:szCs w:val="21"/>
                <w:highlight w:val="none"/>
                <w:lang w:val="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p>
        </w:tc>
      </w:tr>
      <w:tr w14:paraId="526E9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709363A">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10</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5F9402A">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付款方式</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6D2AA43">
            <w:pPr>
              <w:keepNext w:val="0"/>
              <w:keepLines w:val="0"/>
              <w:pageBreakBefore w:val="0"/>
              <w:kinsoku/>
              <w:wordWrap/>
              <w:topLinePunct w:val="0"/>
              <w:autoSpaceDE w:val="0"/>
              <w:autoSpaceDN w:val="0"/>
              <w:bidi w:val="0"/>
              <w:adjustRightInd w:val="0"/>
              <w:spacing w:line="360" w:lineRule="auto"/>
              <w:ind w:firstLine="0" w:firstLineChars="0"/>
              <w:jc w:val="left"/>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1、合同签订后工程师进场，科室上线初步验收通过后，达到付款条件起30日，支付合同总金额的40%。</w:t>
            </w:r>
          </w:p>
          <w:p w14:paraId="2A63A906">
            <w:pPr>
              <w:keepNext w:val="0"/>
              <w:keepLines w:val="0"/>
              <w:pageBreakBefore w:val="0"/>
              <w:kinsoku/>
              <w:wordWrap/>
              <w:topLinePunct w:val="0"/>
              <w:autoSpaceDE w:val="0"/>
              <w:autoSpaceDN w:val="0"/>
              <w:bidi w:val="0"/>
              <w:adjustRightInd w:val="0"/>
              <w:spacing w:line="360" w:lineRule="auto"/>
              <w:ind w:firstLine="0" w:firstLineChars="0"/>
              <w:jc w:val="left"/>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2、上线试运行6个月且正式验收合格后，达到付款条件起30日，支付合同总金额的300%。</w:t>
            </w:r>
          </w:p>
          <w:p w14:paraId="750FE2DE">
            <w:pPr>
              <w:keepNext w:val="0"/>
              <w:keepLines w:val="0"/>
              <w:pageBreakBefore w:val="0"/>
              <w:kinsoku/>
              <w:wordWrap/>
              <w:topLinePunct w:val="0"/>
              <w:autoSpaceDE w:val="0"/>
              <w:autoSpaceDN w:val="0"/>
              <w:bidi w:val="0"/>
              <w:adjustRightInd w:val="0"/>
              <w:spacing w:line="360" w:lineRule="auto"/>
              <w:ind w:firstLine="0" w:firstLineChars="0"/>
              <w:jc w:val="left"/>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3、上线试运行1年后，达到付款条件起30日，支付合同总金额的27%。</w:t>
            </w:r>
          </w:p>
          <w:p w14:paraId="497E51F0">
            <w:pPr>
              <w:keepNext w:val="0"/>
              <w:keepLines w:val="0"/>
              <w:pageBreakBefore w:val="0"/>
              <w:kinsoku/>
              <w:wordWrap/>
              <w:topLinePunct w:val="0"/>
              <w:autoSpaceDE w:val="0"/>
              <w:autoSpaceDN w:val="0"/>
              <w:bidi w:val="0"/>
              <w:adjustRightInd w:val="0"/>
              <w:spacing w:line="360" w:lineRule="auto"/>
              <w:ind w:firstLine="0" w:firstLineChars="0"/>
              <w:jc w:val="left"/>
              <w:rPr>
                <w:rFonts w:hint="default" w:ascii="宋体" w:hAnsi="宋体" w:eastAsia="宋体" w:cs="宋体"/>
                <w:kern w:val="0"/>
                <w:sz w:val="21"/>
                <w:szCs w:val="21"/>
                <w:highlight w:val="none"/>
                <w:lang w:val="en-US"/>
              </w:rPr>
            </w:pPr>
            <w:r>
              <w:rPr>
                <w:rFonts w:hint="eastAsia" w:ascii="宋体" w:hAnsi="宋体" w:cs="宋体"/>
                <w:kern w:val="0"/>
                <w:sz w:val="21"/>
                <w:szCs w:val="21"/>
                <w:highlight w:val="none"/>
                <w:lang w:val="en-US" w:eastAsia="zh-CN"/>
              </w:rPr>
              <w:t>4、服务期满后，达到付款条件起30日，支付合同总金额的3%。</w:t>
            </w:r>
          </w:p>
        </w:tc>
      </w:tr>
      <w:tr w14:paraId="2D9D5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6FBAC57">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11</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2F7594D">
            <w:pPr>
              <w:keepNext w:val="0"/>
              <w:keepLines w:val="0"/>
              <w:pageBreakBefore w:val="0"/>
              <w:kinsoku/>
              <w:wordWrap/>
              <w:topLinePunct w:val="0"/>
              <w:autoSpaceDE w:val="0"/>
              <w:autoSpaceDN w:val="0"/>
              <w:bidi w:val="0"/>
              <w:adjustRightInd w:val="0"/>
              <w:spacing w:line="36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服务标准</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C041F60">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sz w:val="21"/>
                <w:szCs w:val="21"/>
                <w:highlight w:val="none"/>
                <w:lang w:val="zh-CN" w:eastAsia="zh-CN"/>
              </w:rPr>
            </w:pPr>
            <w:r>
              <w:rPr>
                <w:rFonts w:hint="eastAsia" w:ascii="宋体" w:hAnsi="宋体" w:cs="宋体"/>
                <w:sz w:val="21"/>
                <w:szCs w:val="21"/>
                <w:highlight w:val="none"/>
                <w:lang w:val="en-US" w:eastAsia="zh-CN"/>
              </w:rPr>
              <w:t>优质服务</w:t>
            </w:r>
          </w:p>
        </w:tc>
      </w:tr>
      <w:tr w14:paraId="071E7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55FE782">
            <w:pPr>
              <w:keepNext w:val="0"/>
              <w:keepLines w:val="0"/>
              <w:pageBreakBefore w:val="0"/>
              <w:kinsoku/>
              <w:wordWrap/>
              <w:topLinePunct w:val="0"/>
              <w:bidi w:val="0"/>
              <w:spacing w:line="36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12</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DA3780D">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质保期</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F997903">
            <w:pPr>
              <w:keepNext w:val="0"/>
              <w:keepLines w:val="0"/>
              <w:pageBreakBefore w:val="0"/>
              <w:kinsoku/>
              <w:wordWrap/>
              <w:topLinePunct w:val="0"/>
              <w:autoSpaceDE w:val="0"/>
              <w:autoSpaceDN w:val="0"/>
              <w:bidi w:val="0"/>
              <w:adjustRightInd w:val="0"/>
              <w:spacing w:line="360" w:lineRule="auto"/>
              <w:ind w:firstLine="0" w:firstLineChars="0"/>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自验收之日起，提供三年免费维保服务</w:t>
            </w:r>
          </w:p>
        </w:tc>
      </w:tr>
      <w:tr w14:paraId="57FC0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3BC47C9">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3</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60B8D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预算金额</w:t>
            </w:r>
          </w:p>
          <w:p w14:paraId="5564DB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最高投标限价</w:t>
            </w:r>
            <w:r>
              <w:rPr>
                <w:rFonts w:hint="eastAsia" w:ascii="宋体" w:hAnsi="宋体" w:cs="宋体"/>
                <w:sz w:val="21"/>
                <w:szCs w:val="21"/>
                <w:highlight w:val="none"/>
                <w:lang w:val="en-US" w:eastAsia="zh-CN"/>
              </w:rPr>
              <w:t>）</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C68FFB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180万元</w:t>
            </w:r>
          </w:p>
          <w:p w14:paraId="72B9881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新宋体" w:hAnsi="新宋体" w:eastAsia="新宋体" w:cs="新宋体"/>
                <w:color w:val="auto"/>
                <w:sz w:val="21"/>
                <w:szCs w:val="21"/>
                <w:highlight w:val="none"/>
                <w:lang w:val="en-US" w:eastAsia="zh-CN" w:bidi="ar"/>
              </w:rPr>
              <w:t>注：供应商的投标总报价不得超过预算金额控制价</w:t>
            </w:r>
            <w:r>
              <w:rPr>
                <w:rFonts w:hint="eastAsia" w:ascii="新宋体" w:hAnsi="新宋体" w:eastAsia="新宋体" w:cs="新宋体"/>
                <w:color w:val="auto"/>
                <w:sz w:val="21"/>
                <w:szCs w:val="21"/>
                <w:highlight w:val="none"/>
              </w:rPr>
              <w:t>，</w:t>
            </w:r>
            <w:r>
              <w:rPr>
                <w:rFonts w:hint="eastAsia" w:ascii="新宋体" w:hAnsi="新宋体" w:eastAsia="新宋体" w:cs="新宋体"/>
                <w:color w:val="auto"/>
                <w:sz w:val="21"/>
                <w:szCs w:val="21"/>
                <w:highlight w:val="none"/>
                <w:lang w:eastAsia="zh-CN"/>
              </w:rPr>
              <w:t>否则为无效报价，</w:t>
            </w:r>
            <w:r>
              <w:rPr>
                <w:rFonts w:hint="eastAsia" w:ascii="新宋体" w:hAnsi="新宋体" w:eastAsia="新宋体" w:cs="新宋体"/>
                <w:color w:val="auto"/>
                <w:sz w:val="21"/>
                <w:szCs w:val="21"/>
                <w:highlight w:val="none"/>
              </w:rPr>
              <w:t>其投标将被否决。</w:t>
            </w:r>
          </w:p>
        </w:tc>
      </w:tr>
      <w:tr w14:paraId="0A8FF4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BEF05A">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14</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A54CE30">
            <w:pPr>
              <w:spacing w:line="360"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报价的次数</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5477895">
            <w:pPr>
              <w:spacing w:line="360" w:lineRule="auto"/>
              <w:rPr>
                <w:rFonts w:hint="eastAsia" w:ascii="宋体" w:hAnsi="宋体" w:eastAsia="宋体" w:cs="Times New Roman"/>
                <w:kern w:val="2"/>
                <w:sz w:val="21"/>
                <w:szCs w:val="21"/>
                <w:highlight w:val="none"/>
                <w:lang w:val="en-US" w:eastAsia="zh-CN" w:bidi="ar-SA"/>
              </w:rPr>
            </w:pPr>
            <w:r>
              <w:rPr>
                <w:rFonts w:hint="eastAsia" w:ascii="宋体" w:hAnsi="宋体" w:eastAsia="宋体" w:cs="宋体"/>
                <w:sz w:val="21"/>
                <w:szCs w:val="21"/>
                <w:highlight w:val="none"/>
                <w:lang w:val="en-US" w:eastAsia="zh-CN"/>
              </w:rPr>
              <w:t>本项目</w:t>
            </w:r>
            <w:r>
              <w:rPr>
                <w:rFonts w:hint="eastAsia" w:ascii="宋体" w:hAnsi="宋体" w:cs="宋体"/>
                <w:sz w:val="21"/>
                <w:szCs w:val="21"/>
                <w:highlight w:val="none"/>
                <w:lang w:val="en-US" w:eastAsia="zh-CN"/>
              </w:rPr>
              <w:t>两</w:t>
            </w:r>
            <w:r>
              <w:rPr>
                <w:rFonts w:hint="eastAsia" w:ascii="宋体" w:hAnsi="宋体" w:eastAsia="宋体" w:cs="宋体"/>
                <w:sz w:val="21"/>
                <w:szCs w:val="21"/>
                <w:highlight w:val="none"/>
                <w:lang w:val="en-US" w:eastAsia="zh-CN"/>
              </w:rPr>
              <w:t>次报价含首次报价</w:t>
            </w:r>
          </w:p>
        </w:tc>
      </w:tr>
      <w:tr w14:paraId="3FEE0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D18351">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15</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357B74D">
            <w:pPr>
              <w:spacing w:line="360" w:lineRule="auto"/>
              <w:jc w:val="center"/>
              <w:rPr>
                <w:rFonts w:hint="eastAsia" w:ascii="宋体" w:hAnsi="宋体"/>
                <w:szCs w:val="21"/>
                <w:highlight w:val="none"/>
              </w:rPr>
            </w:pPr>
            <w:r>
              <w:rPr>
                <w:rFonts w:hint="eastAsia" w:ascii="宋体" w:hAnsi="宋体" w:cs="宋体"/>
                <w:szCs w:val="21"/>
                <w:highlight w:val="none"/>
              </w:rPr>
              <w:t>评审办法</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CE4AD75">
            <w:pPr>
              <w:rPr>
                <w:rFonts w:hint="eastAsia" w:ascii="宋体" w:hAnsi="宋体" w:eastAsia="宋体" w:cs="宋体"/>
                <w:sz w:val="21"/>
                <w:szCs w:val="21"/>
                <w:highlight w:val="none"/>
                <w:lang w:val="en-US" w:eastAsia="zh-CN"/>
              </w:rPr>
            </w:pPr>
            <w:r>
              <w:rPr>
                <w:rFonts w:hint="eastAsia" w:ascii="宋体" w:hAnsi="宋体" w:cs="宋体"/>
                <w:szCs w:val="21"/>
                <w:highlight w:val="none"/>
              </w:rPr>
              <w:t>采用综合评分法</w:t>
            </w:r>
          </w:p>
        </w:tc>
      </w:tr>
      <w:tr w14:paraId="4E9D6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819754">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16</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6571F86">
            <w:pPr>
              <w:spacing w:line="360" w:lineRule="auto"/>
              <w:jc w:val="center"/>
              <w:rPr>
                <w:rFonts w:hint="eastAsia" w:ascii="宋体" w:hAnsi="宋体"/>
                <w:szCs w:val="21"/>
                <w:highlight w:val="none"/>
              </w:rPr>
            </w:pPr>
            <w:r>
              <w:rPr>
                <w:rFonts w:hint="eastAsia" w:ascii="宋体" w:hAnsi="宋体" w:cs="宋体"/>
                <w:color w:val="auto"/>
                <w:szCs w:val="21"/>
                <w:highlight w:val="none"/>
              </w:rPr>
              <w:t>投标报价方式</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1533EC6">
            <w:pPr>
              <w:pStyle w:val="21"/>
              <w:ind w:left="0" w:leftChars="0" w:firstLine="0" w:firstLineChars="0"/>
              <w:rPr>
                <w:rFonts w:hint="default"/>
                <w:highlight w:val="none"/>
                <w:lang w:val="en-US" w:eastAsia="zh-CN"/>
              </w:rPr>
            </w:pPr>
            <w:r>
              <w:rPr>
                <w:rFonts w:hint="eastAsia" w:ascii="新宋体" w:hAnsi="新宋体" w:eastAsia="新宋体" w:cs="新宋体"/>
                <w:b w:val="0"/>
                <w:bCs/>
                <w:color w:val="auto"/>
                <w:sz w:val="21"/>
                <w:szCs w:val="21"/>
                <w:highlight w:val="none"/>
              </w:rPr>
              <w:t>一次性报</w:t>
            </w:r>
            <w:r>
              <w:rPr>
                <w:rFonts w:hint="eastAsia" w:ascii="新宋体" w:hAnsi="新宋体" w:eastAsia="新宋体" w:cs="新宋体"/>
                <w:b w:val="0"/>
                <w:bCs/>
                <w:color w:val="auto"/>
                <w:sz w:val="21"/>
                <w:szCs w:val="21"/>
                <w:highlight w:val="none"/>
                <w:lang w:val="en-US" w:eastAsia="zh-CN"/>
              </w:rPr>
              <w:t>出总</w:t>
            </w:r>
            <w:r>
              <w:rPr>
                <w:rFonts w:hint="eastAsia" w:ascii="新宋体" w:hAnsi="新宋体" w:eastAsia="新宋体" w:cs="新宋体"/>
                <w:b w:val="0"/>
                <w:bCs/>
                <w:color w:val="auto"/>
                <w:sz w:val="21"/>
                <w:szCs w:val="21"/>
                <w:highlight w:val="none"/>
              </w:rPr>
              <w:t>价</w:t>
            </w:r>
          </w:p>
        </w:tc>
      </w:tr>
      <w:tr w14:paraId="40F19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677307">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7</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E552020">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合同方式</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3DBD238">
            <w:pP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采用固定</w:t>
            </w:r>
            <w:r>
              <w:rPr>
                <w:rFonts w:hint="eastAsia" w:ascii="宋体" w:hAnsi="宋体" w:cs="宋体"/>
                <w:color w:val="auto"/>
                <w:szCs w:val="21"/>
                <w:highlight w:val="none"/>
                <w:lang w:val="en-US" w:eastAsia="zh-CN"/>
              </w:rPr>
              <w:t>总</w:t>
            </w:r>
            <w:r>
              <w:rPr>
                <w:rFonts w:hint="default" w:ascii="宋体" w:hAnsi="宋体" w:eastAsia="宋体" w:cs="宋体"/>
                <w:color w:val="auto"/>
                <w:szCs w:val="21"/>
                <w:highlight w:val="none"/>
                <w:lang w:val="en-US" w:eastAsia="zh-CN"/>
              </w:rPr>
              <w:t>价合同</w:t>
            </w:r>
          </w:p>
        </w:tc>
      </w:tr>
      <w:tr w14:paraId="24DE3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B1202F">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8</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C9CAA62">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踏勘现场</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FAD2396">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不组织，</w:t>
            </w:r>
            <w:r>
              <w:rPr>
                <w:rFonts w:hint="eastAsia" w:ascii="宋体" w:hAnsi="宋体" w:cs="宋体"/>
                <w:kern w:val="0"/>
                <w:sz w:val="21"/>
                <w:szCs w:val="21"/>
                <w:highlight w:val="none"/>
                <w:lang w:val="zh-CN"/>
              </w:rPr>
              <w:t>供应商</w:t>
            </w:r>
            <w:r>
              <w:rPr>
                <w:rFonts w:hint="eastAsia" w:ascii="宋体" w:hAnsi="宋体" w:eastAsia="宋体" w:cs="宋体"/>
                <w:kern w:val="0"/>
                <w:sz w:val="21"/>
                <w:szCs w:val="21"/>
                <w:highlight w:val="none"/>
                <w:lang w:val="zh-CN"/>
              </w:rPr>
              <w:t>自行踏勘现场</w:t>
            </w:r>
          </w:p>
        </w:tc>
      </w:tr>
      <w:tr w14:paraId="4CE756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34E2BA">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19</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13358C0">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标前预备会</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6A626FC">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不召开</w:t>
            </w:r>
          </w:p>
        </w:tc>
      </w:tr>
      <w:tr w14:paraId="3C760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2DB529">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20</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7A6F1B8">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cs="宋体"/>
                <w:kern w:val="0"/>
                <w:sz w:val="21"/>
                <w:szCs w:val="21"/>
                <w:highlight w:val="none"/>
                <w:lang w:val="zh-CN"/>
              </w:rPr>
              <w:t>供应商</w:t>
            </w:r>
            <w:r>
              <w:rPr>
                <w:rFonts w:hint="eastAsia" w:ascii="宋体" w:hAnsi="宋体" w:eastAsia="宋体" w:cs="宋体"/>
                <w:kern w:val="0"/>
                <w:sz w:val="21"/>
                <w:szCs w:val="21"/>
                <w:highlight w:val="none"/>
                <w:lang w:val="zh-CN"/>
              </w:rPr>
              <w:t>提出问题的</w:t>
            </w:r>
          </w:p>
          <w:p w14:paraId="3AEAC039">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截止时间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BFF4BF2">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投标截止时间前</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lang w:val="zh-CN"/>
              </w:rPr>
              <w:t>天</w:t>
            </w:r>
          </w:p>
        </w:tc>
      </w:tr>
      <w:tr w14:paraId="304F1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1B5E21">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21</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F1A7828">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采购人书面澄清的</w:t>
            </w:r>
          </w:p>
          <w:p w14:paraId="3F81F4D0">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780986B">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投标截止时间前</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lang w:val="zh-CN"/>
              </w:rPr>
              <w:t>天</w:t>
            </w:r>
          </w:p>
        </w:tc>
      </w:tr>
      <w:tr w14:paraId="608ED9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8BDB79">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2</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6BF03DB">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分包、偏离</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6B200D2">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不允许。</w:t>
            </w:r>
          </w:p>
        </w:tc>
      </w:tr>
      <w:tr w14:paraId="35B1C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698C8F">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3</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3626962">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构成</w:t>
            </w:r>
            <w:r>
              <w:rPr>
                <w:rFonts w:hint="eastAsia" w:ascii="宋体" w:hAnsi="宋体" w:cs="宋体"/>
                <w:sz w:val="21"/>
                <w:szCs w:val="21"/>
                <w:highlight w:val="none"/>
                <w:lang w:val="en-US" w:eastAsia="zh-CN"/>
              </w:rPr>
              <w:t>竞争性磋商</w:t>
            </w:r>
            <w:r>
              <w:rPr>
                <w:rFonts w:hint="eastAsia" w:ascii="宋体" w:hAnsi="宋体" w:eastAsia="宋体" w:cs="宋体"/>
                <w:sz w:val="21"/>
                <w:szCs w:val="21"/>
                <w:highlight w:val="none"/>
              </w:rPr>
              <w:t>文件的其他材料</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5F3E926">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lang w:val="en-US" w:eastAsia="zh-CN"/>
              </w:rPr>
            </w:pPr>
            <w:r>
              <w:rPr>
                <w:rFonts w:hint="eastAsia"/>
                <w:sz w:val="21"/>
                <w:szCs w:val="21"/>
                <w:highlight w:val="none"/>
                <w:lang w:val="zh-CN"/>
              </w:rPr>
              <w:t>竞争性磋商文件的澄清</w:t>
            </w:r>
            <w:r>
              <w:rPr>
                <w:rFonts w:hint="eastAsia"/>
                <w:sz w:val="21"/>
                <w:szCs w:val="21"/>
                <w:highlight w:val="none"/>
              </w:rPr>
              <w:t>、修改书及有关补充通知为</w:t>
            </w:r>
            <w:r>
              <w:rPr>
                <w:rFonts w:hint="eastAsia"/>
                <w:sz w:val="21"/>
                <w:szCs w:val="21"/>
                <w:highlight w:val="none"/>
                <w:lang w:val="zh-CN"/>
              </w:rPr>
              <w:t>竞争性磋商文件</w:t>
            </w:r>
            <w:r>
              <w:rPr>
                <w:rFonts w:hint="eastAsia"/>
                <w:sz w:val="21"/>
                <w:szCs w:val="21"/>
                <w:highlight w:val="none"/>
              </w:rPr>
              <w:t>的有效组成部分</w:t>
            </w:r>
          </w:p>
        </w:tc>
      </w:tr>
      <w:tr w14:paraId="2F6FDD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3BFED3">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4</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F96CF36">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要求澄清</w:t>
            </w:r>
            <w:r>
              <w:rPr>
                <w:rFonts w:hint="eastAsia" w:ascii="宋体" w:hAnsi="宋体" w:cs="宋体"/>
                <w:sz w:val="21"/>
                <w:szCs w:val="21"/>
                <w:highlight w:val="none"/>
                <w:lang w:eastAsia="zh-CN"/>
              </w:rPr>
              <w:t>竞争性磋商文件</w:t>
            </w:r>
            <w:r>
              <w:rPr>
                <w:rFonts w:hint="eastAsia" w:ascii="宋体" w:hAnsi="宋体" w:eastAsia="宋体" w:cs="宋体"/>
                <w:sz w:val="21"/>
                <w:szCs w:val="21"/>
                <w:highlight w:val="none"/>
              </w:rPr>
              <w:t>的截止时间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6A7F7B4">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zh-CN"/>
              </w:rPr>
              <w:t>投标截止时间前</w:t>
            </w:r>
            <w:r>
              <w:rPr>
                <w:rFonts w:hint="eastAsia" w:ascii="宋体" w:hAnsi="宋体" w:eastAsia="宋体" w:cs="宋体"/>
                <w:kern w:val="0"/>
                <w:sz w:val="21"/>
                <w:szCs w:val="21"/>
                <w:highlight w:val="none"/>
              </w:rPr>
              <w:t>5</w:t>
            </w:r>
            <w:r>
              <w:rPr>
                <w:rFonts w:hint="eastAsia" w:ascii="宋体" w:hAnsi="宋体" w:eastAsia="宋体" w:cs="宋体"/>
                <w:kern w:val="0"/>
                <w:sz w:val="21"/>
                <w:szCs w:val="21"/>
                <w:highlight w:val="none"/>
                <w:lang w:val="zh-CN"/>
              </w:rPr>
              <w:t>天</w:t>
            </w:r>
          </w:p>
        </w:tc>
      </w:tr>
      <w:tr w14:paraId="5A141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481E03">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5</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0BC3F85">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投标截止时间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76959B4">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5</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val="en-US" w:eastAsia="zh-CN"/>
              </w:rPr>
              <w:t>16</w:t>
            </w:r>
            <w:r>
              <w:rPr>
                <w:rFonts w:hint="eastAsia" w:ascii="宋体" w:hAnsi="宋体" w:eastAsia="宋体" w:cs="宋体"/>
                <w:bCs/>
                <w:color w:val="auto"/>
                <w:sz w:val="21"/>
                <w:szCs w:val="21"/>
                <w:highlight w:val="none"/>
                <w:u w:val="none"/>
                <w:lang w:eastAsia="zh-CN"/>
              </w:rPr>
              <w:t>时</w:t>
            </w:r>
            <w:r>
              <w:rPr>
                <w:rFonts w:hint="eastAsia" w:ascii="宋体" w:hAnsi="宋体" w:cs="宋体"/>
                <w:bCs/>
                <w:color w:val="auto"/>
                <w:sz w:val="21"/>
                <w:szCs w:val="21"/>
                <w:highlight w:val="none"/>
                <w:u w:val="none"/>
                <w:lang w:val="en-US" w:eastAsia="zh-CN"/>
              </w:rPr>
              <w:t>30</w:t>
            </w:r>
            <w:r>
              <w:rPr>
                <w:rFonts w:hint="eastAsia" w:ascii="宋体" w:hAnsi="宋体" w:eastAsia="宋体" w:cs="宋体"/>
                <w:bCs/>
                <w:color w:val="auto"/>
                <w:sz w:val="21"/>
                <w:szCs w:val="21"/>
                <w:highlight w:val="none"/>
                <w:u w:val="none"/>
              </w:rPr>
              <w:t>分</w:t>
            </w:r>
            <w:r>
              <w:rPr>
                <w:rFonts w:hint="eastAsia" w:ascii="宋体" w:hAnsi="宋体" w:eastAsia="宋体" w:cs="宋体"/>
                <w:bCs/>
                <w:color w:val="auto"/>
                <w:sz w:val="21"/>
                <w:szCs w:val="21"/>
                <w:highlight w:val="none"/>
                <w:u w:val="none"/>
                <w:lang w:eastAsia="zh-CN"/>
              </w:rPr>
              <w:t>整</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rPr>
              <w:t>北京时间）</w:t>
            </w:r>
          </w:p>
        </w:tc>
      </w:tr>
      <w:tr w14:paraId="50474C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47E4F7">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6</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E0BD8DA">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确认收到</w:t>
            </w:r>
            <w:r>
              <w:rPr>
                <w:rFonts w:hint="eastAsia" w:ascii="宋体" w:hAnsi="宋体" w:cs="宋体"/>
                <w:sz w:val="21"/>
                <w:szCs w:val="21"/>
                <w:highlight w:val="none"/>
                <w:lang w:eastAsia="zh-CN"/>
              </w:rPr>
              <w:t>竞争性磋商文件</w:t>
            </w:r>
            <w:r>
              <w:rPr>
                <w:rFonts w:hint="eastAsia" w:ascii="宋体" w:hAnsi="宋体" w:eastAsia="宋体" w:cs="宋体"/>
                <w:sz w:val="21"/>
                <w:szCs w:val="21"/>
                <w:highlight w:val="none"/>
              </w:rPr>
              <w:t>澄清的时间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A991CDE">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在收到相应澄清文件后</w:t>
            </w:r>
            <w:r>
              <w:rPr>
                <w:rFonts w:hint="eastAsia" w:ascii="宋体" w:hAnsi="宋体" w:eastAsia="宋体" w:cs="宋体"/>
                <w:kern w:val="0"/>
                <w:sz w:val="21"/>
                <w:szCs w:val="21"/>
                <w:highlight w:val="none"/>
                <w:u w:val="single"/>
              </w:rPr>
              <w:t>24</w:t>
            </w:r>
            <w:r>
              <w:rPr>
                <w:rFonts w:hint="eastAsia" w:ascii="宋体" w:hAnsi="宋体" w:eastAsia="宋体" w:cs="宋体"/>
                <w:kern w:val="0"/>
                <w:sz w:val="21"/>
                <w:szCs w:val="21"/>
                <w:highlight w:val="none"/>
                <w:lang w:val="zh-CN"/>
              </w:rPr>
              <w:t>小时内</w:t>
            </w:r>
          </w:p>
        </w:tc>
      </w:tr>
      <w:tr w14:paraId="4F40E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09437A">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7</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70FE825">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确认收到</w:t>
            </w:r>
            <w:r>
              <w:rPr>
                <w:rFonts w:hint="eastAsia" w:ascii="宋体" w:hAnsi="宋体" w:cs="宋体"/>
                <w:sz w:val="21"/>
                <w:szCs w:val="21"/>
                <w:highlight w:val="none"/>
                <w:lang w:eastAsia="zh-CN"/>
              </w:rPr>
              <w:t>竞争性磋商文件</w:t>
            </w:r>
            <w:r>
              <w:rPr>
                <w:rFonts w:hint="eastAsia" w:ascii="宋体" w:hAnsi="宋体" w:eastAsia="宋体" w:cs="宋体"/>
                <w:sz w:val="21"/>
                <w:szCs w:val="21"/>
                <w:highlight w:val="none"/>
              </w:rPr>
              <w:t>修改的时间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83A8352">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在收到相应修改文件后</w:t>
            </w:r>
            <w:r>
              <w:rPr>
                <w:rFonts w:hint="eastAsia" w:ascii="宋体" w:hAnsi="宋体" w:eastAsia="宋体" w:cs="宋体"/>
                <w:kern w:val="0"/>
                <w:sz w:val="21"/>
                <w:szCs w:val="21"/>
                <w:highlight w:val="none"/>
                <w:u w:val="single"/>
              </w:rPr>
              <w:t>24</w:t>
            </w:r>
            <w:r>
              <w:rPr>
                <w:rFonts w:hint="eastAsia" w:ascii="宋体" w:hAnsi="宋体" w:eastAsia="宋体" w:cs="宋体"/>
                <w:kern w:val="0"/>
                <w:sz w:val="21"/>
                <w:szCs w:val="21"/>
                <w:highlight w:val="none"/>
                <w:lang w:val="zh-CN"/>
              </w:rPr>
              <w:t>小时内</w:t>
            </w:r>
          </w:p>
        </w:tc>
      </w:tr>
      <w:tr w14:paraId="2C3F5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47529A">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8</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766572D">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投标有效期</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F59F15F">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b w:val="0"/>
                <w:sz w:val="21"/>
                <w:szCs w:val="21"/>
                <w:highlight w:val="none"/>
                <w:lang w:val="zh-CN"/>
              </w:rPr>
              <w:t>投标截止期结束后90天（日历天）</w:t>
            </w:r>
          </w:p>
        </w:tc>
      </w:tr>
      <w:tr w14:paraId="6672F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102F3A">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29</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D01D55A">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zh-CN"/>
              </w:rPr>
              <w:t>投标保证金</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BBB5FB0">
            <w:pPr>
              <w:keepNext w:val="0"/>
              <w:keepLines w:val="0"/>
              <w:pageBreakBefore w:val="0"/>
              <w:widowControl/>
              <w:kinsoku/>
              <w:wordWrap/>
              <w:topLinePunct w:val="0"/>
              <w:bidi w:val="0"/>
              <w:spacing w:line="36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不收取</w:t>
            </w:r>
          </w:p>
        </w:tc>
      </w:tr>
      <w:tr w14:paraId="1029CD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4A0CE2">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30</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B0E682C">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近年财务状况的年份要求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42A7267">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w:t>
            </w:r>
          </w:p>
        </w:tc>
      </w:tr>
      <w:tr w14:paraId="0DBC6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089B10">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31</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62A3E20">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近年完成的类似业绩要求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92B0129">
            <w:pPr>
              <w:keepNext w:val="0"/>
              <w:keepLines w:val="0"/>
              <w:pageBreakBefore w:val="0"/>
              <w:kinsoku/>
              <w:wordWrap/>
              <w:topLinePunct w:val="0"/>
              <w:bidi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default" w:ascii="宋体" w:hAnsi="宋体" w:eastAsia="宋体" w:cs="宋体"/>
                <w:kern w:val="0"/>
                <w:sz w:val="21"/>
                <w:szCs w:val="21"/>
                <w:highlight w:val="none"/>
                <w:lang w:val="en-US" w:eastAsia="zh-CN"/>
              </w:rPr>
              <w:t>近三年202</w:t>
            </w:r>
            <w:r>
              <w:rPr>
                <w:rFonts w:hint="eastAsia" w:ascii="宋体" w:hAnsi="宋体" w:cs="宋体"/>
                <w:kern w:val="0"/>
                <w:sz w:val="21"/>
                <w:szCs w:val="21"/>
                <w:highlight w:val="none"/>
                <w:lang w:val="en-US" w:eastAsia="zh-CN"/>
              </w:rPr>
              <w:t>2</w:t>
            </w:r>
            <w:r>
              <w:rPr>
                <w:rFonts w:hint="default" w:ascii="宋体" w:hAnsi="宋体" w:eastAsia="宋体" w:cs="宋体"/>
                <w:kern w:val="0"/>
                <w:sz w:val="21"/>
                <w:szCs w:val="21"/>
                <w:highlight w:val="none"/>
                <w:lang w:val="en-US" w:eastAsia="zh-CN"/>
              </w:rPr>
              <w:t>年</w:t>
            </w:r>
            <w:r>
              <w:rPr>
                <w:rFonts w:hint="eastAsia" w:ascii="宋体" w:hAnsi="宋体" w:cs="宋体"/>
                <w:kern w:val="0"/>
                <w:sz w:val="21"/>
                <w:szCs w:val="21"/>
                <w:highlight w:val="none"/>
                <w:lang w:val="en-US" w:eastAsia="zh-CN"/>
              </w:rPr>
              <w:t>至今</w:t>
            </w:r>
          </w:p>
        </w:tc>
      </w:tr>
      <w:tr w14:paraId="1AA0C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694B458">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w:t>
            </w:r>
            <w:r>
              <w:rPr>
                <w:rFonts w:hint="eastAsia" w:ascii="宋体" w:hAnsi="宋体" w:cs="宋体"/>
                <w:sz w:val="21"/>
                <w:szCs w:val="21"/>
                <w:highlight w:val="none"/>
                <w:lang w:val="en-US" w:eastAsia="zh-CN"/>
              </w:rPr>
              <w:t>2</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CA09ABA">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近年发生的诉讼及仲裁情况的年份要求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F0A3F26">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近三年202</w:t>
            </w: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lang w:val="en-US" w:eastAsia="zh-CN"/>
              </w:rPr>
              <w:t>年至今</w:t>
            </w:r>
          </w:p>
        </w:tc>
      </w:tr>
      <w:tr w14:paraId="1644D7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BBDAD1">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w:t>
            </w:r>
            <w:r>
              <w:rPr>
                <w:rFonts w:hint="eastAsia" w:ascii="宋体" w:hAnsi="宋体" w:cs="宋体"/>
                <w:sz w:val="21"/>
                <w:szCs w:val="21"/>
                <w:highlight w:val="none"/>
                <w:lang w:val="en-US" w:eastAsia="zh-CN"/>
              </w:rPr>
              <w:t>3</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8347438">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是否允许递交备选投标方案</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156D66C">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不允许</w:t>
            </w:r>
          </w:p>
        </w:tc>
      </w:tr>
      <w:tr w14:paraId="440C8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15BB87">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w:t>
            </w:r>
            <w:r>
              <w:rPr>
                <w:rFonts w:hint="eastAsia" w:ascii="宋体" w:hAnsi="宋体" w:cs="宋体"/>
                <w:sz w:val="21"/>
                <w:szCs w:val="21"/>
                <w:highlight w:val="none"/>
                <w:lang w:val="en-US" w:eastAsia="zh-CN"/>
              </w:rPr>
              <w:t>4</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B050512">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签字或盖章要求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7A059F7">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符合竞争性磋商文件要求</w:t>
            </w:r>
          </w:p>
        </w:tc>
      </w:tr>
      <w:tr w14:paraId="4FD25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7C1A39">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w:t>
            </w:r>
            <w:r>
              <w:rPr>
                <w:rFonts w:hint="eastAsia" w:ascii="宋体" w:hAnsi="宋体" w:cs="宋体"/>
                <w:sz w:val="21"/>
                <w:szCs w:val="21"/>
                <w:highlight w:val="none"/>
                <w:lang w:val="en-US" w:eastAsia="zh-CN"/>
              </w:rPr>
              <w:t>5</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E98CFD7">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cs="宋体"/>
                <w:sz w:val="21"/>
                <w:szCs w:val="21"/>
                <w:highlight w:val="none"/>
                <w:lang w:eastAsia="zh-CN"/>
              </w:rPr>
              <w:t>响应文件</w:t>
            </w:r>
            <w:r>
              <w:rPr>
                <w:rFonts w:hint="eastAsia" w:ascii="宋体" w:hAnsi="宋体" w:cs="宋体"/>
                <w:sz w:val="21"/>
                <w:szCs w:val="21"/>
                <w:highlight w:val="none"/>
                <w:lang w:val="en-US" w:eastAsia="zh-CN"/>
              </w:rPr>
              <w:t>递交</w:t>
            </w:r>
            <w:r>
              <w:rPr>
                <w:rFonts w:hint="eastAsia" w:ascii="宋体" w:hAnsi="宋体" w:eastAsia="宋体" w:cs="宋体"/>
                <w:sz w:val="21"/>
                <w:szCs w:val="21"/>
                <w:highlight w:val="none"/>
              </w:rPr>
              <w:t>份数</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DBC8E29">
            <w:pPr>
              <w:bidi w:val="0"/>
              <w:spacing w:line="360" w:lineRule="auto"/>
              <w:rPr>
                <w:rFonts w:hint="default"/>
                <w:highlight w:val="none"/>
                <w:lang w:val="en-US" w:eastAsia="zh-CN"/>
              </w:rPr>
            </w:pPr>
            <w:r>
              <w:rPr>
                <w:rFonts w:hint="default"/>
                <w:highlight w:val="none"/>
                <w:lang w:val="en-US" w:eastAsia="zh-CN"/>
              </w:rPr>
              <w:t>本项目为电子投标，无需纸质文件递交</w:t>
            </w:r>
          </w:p>
        </w:tc>
      </w:tr>
      <w:tr w14:paraId="695E0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A8D662">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w:t>
            </w:r>
            <w:r>
              <w:rPr>
                <w:rFonts w:hint="eastAsia" w:ascii="宋体" w:hAnsi="宋体" w:cs="宋体"/>
                <w:sz w:val="21"/>
                <w:szCs w:val="21"/>
                <w:highlight w:val="none"/>
                <w:lang w:val="en-US" w:eastAsia="zh-CN"/>
              </w:rPr>
              <w:t>6</w:t>
            </w:r>
          </w:p>
          <w:p w14:paraId="474E9C1A">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8A47B0B">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装订要求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1F62F8E">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本项目为电子投标，无需纸质文件递交</w:t>
            </w:r>
          </w:p>
        </w:tc>
      </w:tr>
      <w:tr w14:paraId="577C5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F8893A">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w:t>
            </w:r>
            <w:r>
              <w:rPr>
                <w:rFonts w:hint="eastAsia" w:ascii="宋体" w:hAnsi="宋体" w:cs="宋体"/>
                <w:kern w:val="2"/>
                <w:sz w:val="21"/>
                <w:szCs w:val="21"/>
                <w:highlight w:val="none"/>
                <w:lang w:val="en-US" w:eastAsia="zh-CN" w:bidi="ar-SA"/>
              </w:rPr>
              <w:t>7</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30696E5">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封套上写明</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2FCC230">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cs="宋体"/>
                <w:szCs w:val="21"/>
                <w:highlight w:val="none"/>
                <w:lang w:val="en-US" w:eastAsia="zh-CN"/>
              </w:rPr>
              <w:t>本项目为电子投标，无需纸质文件递交</w:t>
            </w:r>
          </w:p>
        </w:tc>
      </w:tr>
      <w:tr w14:paraId="34CA5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9" w:hRule="atLeast"/>
        </w:trPr>
        <w:tc>
          <w:tcPr>
            <w:tcW w:w="998" w:type="dxa"/>
            <w:tcBorders>
              <w:top w:val="single" w:color="auto" w:sz="4" w:space="0"/>
              <w:left w:val="single" w:color="auto" w:sz="4" w:space="0"/>
              <w:right w:val="single" w:color="auto" w:sz="4" w:space="0"/>
            </w:tcBorders>
            <w:shd w:val="clear" w:color="auto" w:fill="auto"/>
            <w:noWrap w:val="0"/>
            <w:vAlign w:val="center"/>
          </w:tcPr>
          <w:p w14:paraId="1F888A97">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w:t>
            </w:r>
            <w:r>
              <w:rPr>
                <w:rFonts w:hint="eastAsia" w:ascii="宋体" w:hAnsi="宋体" w:cs="宋体"/>
                <w:sz w:val="21"/>
                <w:szCs w:val="21"/>
                <w:highlight w:val="none"/>
                <w:lang w:val="en-US" w:eastAsia="zh-CN"/>
              </w:rPr>
              <w:t>8</w:t>
            </w:r>
          </w:p>
        </w:tc>
        <w:tc>
          <w:tcPr>
            <w:tcW w:w="2174" w:type="dxa"/>
            <w:tcBorders>
              <w:top w:val="single" w:color="auto" w:sz="4" w:space="0"/>
              <w:left w:val="single" w:color="auto" w:sz="4" w:space="0"/>
              <w:right w:val="single" w:color="auto" w:sz="4" w:space="0"/>
            </w:tcBorders>
            <w:noWrap w:val="0"/>
            <w:vAlign w:val="center"/>
          </w:tcPr>
          <w:p w14:paraId="5F2509D2">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递交</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地点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5564FF4">
            <w:pPr>
              <w:keepNext w:val="0"/>
              <w:keepLines w:val="0"/>
              <w:pageBreakBefore w:val="0"/>
              <w:kinsoku/>
              <w:wordWrap/>
              <w:topLinePunct w:val="0"/>
              <w:bidi w:val="0"/>
              <w:spacing w:line="360" w:lineRule="auto"/>
              <w:ind w:firstLine="0" w:firstLineChars="0"/>
              <w:jc w:val="both"/>
              <w:rPr>
                <w:rFonts w:hint="default" w:ascii="宋体" w:hAnsi="宋体" w:eastAsia="宋体" w:cs="宋体"/>
                <w:bCs/>
                <w:sz w:val="21"/>
                <w:szCs w:val="21"/>
                <w:highlight w:val="none"/>
                <w:lang w:val="en-US" w:eastAsia="zh-CN"/>
              </w:rPr>
            </w:pPr>
            <w:r>
              <w:rPr>
                <w:rFonts w:hint="eastAsia" w:ascii="宋体" w:hAnsi="宋体" w:eastAsia="宋体" w:cs="宋体"/>
                <w:sz w:val="21"/>
                <w:szCs w:val="21"/>
                <w:highlight w:val="none"/>
                <w:lang w:val="en-US" w:eastAsia="zh-CN"/>
              </w:rPr>
              <w:t>本项目执行电子化招投标，须通过政府采购云平台（网址：</w:t>
            </w:r>
            <w:r>
              <w:rPr>
                <w:rFonts w:hint="eastAsia" w:ascii="宋体" w:hAnsi="宋体" w:eastAsia="宋体" w:cs="宋体"/>
                <w:spacing w:val="-20"/>
                <w:sz w:val="21"/>
                <w:szCs w:val="21"/>
                <w:highlight w:val="none"/>
                <w:lang w:val="en-US" w:eastAsia="zh-CN"/>
              </w:rPr>
              <w:t>http://www.zcygov.cn</w:t>
            </w:r>
            <w:r>
              <w:rPr>
                <w:rFonts w:hint="eastAsia" w:ascii="宋体" w:hAnsi="宋体" w:eastAsia="宋体" w:cs="宋体"/>
                <w:sz w:val="21"/>
                <w:szCs w:val="21"/>
                <w:highlight w:val="none"/>
                <w:lang w:val="en-US" w:eastAsia="zh-CN"/>
              </w:rPr>
              <w:t>）递交电子版响应文件，并按规定时间解密成功。</w:t>
            </w:r>
          </w:p>
        </w:tc>
      </w:tr>
      <w:tr w14:paraId="541247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539F09">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39</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9BBCC8F">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是否退还</w:t>
            </w:r>
            <w:r>
              <w:rPr>
                <w:rFonts w:hint="eastAsia" w:ascii="宋体" w:hAnsi="宋体" w:cs="宋体"/>
                <w:sz w:val="21"/>
                <w:szCs w:val="21"/>
                <w:highlight w:val="none"/>
                <w:lang w:eastAsia="zh-CN"/>
              </w:rPr>
              <w:t>响应文件</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7BDC37C">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否</w:t>
            </w:r>
          </w:p>
        </w:tc>
      </w:tr>
      <w:tr w14:paraId="02E10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66F975">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40</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6758324">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开标时间和地点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036A9B9">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rPr>
              <w:t>开标时间：</w:t>
            </w:r>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5</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val="en-US" w:eastAsia="zh-CN"/>
              </w:rPr>
              <w:t>16</w:t>
            </w:r>
            <w:r>
              <w:rPr>
                <w:rFonts w:hint="eastAsia" w:ascii="宋体" w:hAnsi="宋体" w:eastAsia="宋体" w:cs="宋体"/>
                <w:bCs/>
                <w:color w:val="auto"/>
                <w:sz w:val="21"/>
                <w:szCs w:val="21"/>
                <w:highlight w:val="none"/>
                <w:u w:val="none"/>
                <w:lang w:eastAsia="zh-CN"/>
              </w:rPr>
              <w:t>时</w:t>
            </w:r>
            <w:r>
              <w:rPr>
                <w:rFonts w:hint="eastAsia" w:ascii="宋体" w:hAnsi="宋体" w:cs="宋体"/>
                <w:bCs/>
                <w:color w:val="auto"/>
                <w:sz w:val="21"/>
                <w:szCs w:val="21"/>
                <w:highlight w:val="none"/>
                <w:u w:val="none"/>
                <w:lang w:val="en-US" w:eastAsia="zh-CN"/>
              </w:rPr>
              <w:t>30</w:t>
            </w:r>
            <w:r>
              <w:rPr>
                <w:rFonts w:hint="eastAsia" w:ascii="宋体" w:hAnsi="宋体" w:eastAsia="宋体" w:cs="宋体"/>
                <w:bCs/>
                <w:color w:val="auto"/>
                <w:sz w:val="21"/>
                <w:szCs w:val="21"/>
                <w:highlight w:val="none"/>
                <w:u w:val="none"/>
              </w:rPr>
              <w:t>分</w:t>
            </w:r>
            <w:r>
              <w:rPr>
                <w:rFonts w:hint="eastAsia" w:ascii="宋体" w:hAnsi="宋体" w:eastAsia="宋体" w:cs="宋体"/>
                <w:bCs/>
                <w:color w:val="auto"/>
                <w:sz w:val="21"/>
                <w:szCs w:val="21"/>
                <w:highlight w:val="none"/>
                <w:u w:val="none"/>
                <w:lang w:eastAsia="zh-CN"/>
              </w:rPr>
              <w:t>整</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rPr>
              <w:t>北京时间）。</w:t>
            </w:r>
            <w:bookmarkStart w:id="65" w:name="_GoBack"/>
            <w:bookmarkEnd w:id="65"/>
          </w:p>
          <w:p w14:paraId="3C3D39AA">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u w:val="none"/>
              </w:rPr>
              <w:t>开标地点：</w:t>
            </w:r>
            <w:r>
              <w:rPr>
                <w:rFonts w:hint="eastAsia" w:ascii="宋体" w:hAnsi="宋体" w:eastAsia="宋体" w:cs="宋体"/>
                <w:sz w:val="21"/>
                <w:szCs w:val="21"/>
                <w:highlight w:val="none"/>
                <w:u w:val="none"/>
                <w:lang w:eastAsia="zh-CN"/>
              </w:rPr>
              <w:t>长春市二道区洋浦大街6999号凯利中心AB栋101</w:t>
            </w:r>
            <w:r>
              <w:rPr>
                <w:rFonts w:hint="eastAsia" w:ascii="宋体" w:hAnsi="宋体" w:eastAsia="宋体" w:cs="宋体"/>
                <w:bCs/>
                <w:color w:val="auto"/>
                <w:sz w:val="21"/>
                <w:szCs w:val="21"/>
                <w:highlight w:val="none"/>
                <w:u w:val="none"/>
                <w:lang w:val="en-US" w:eastAsia="zh-CN"/>
              </w:rPr>
              <w:t>开标</w:t>
            </w:r>
            <w:r>
              <w:rPr>
                <w:rFonts w:hint="eastAsia" w:ascii="宋体" w:hAnsi="宋体" w:cs="宋体"/>
                <w:bCs/>
                <w:color w:val="auto"/>
                <w:sz w:val="21"/>
                <w:szCs w:val="21"/>
                <w:highlight w:val="none"/>
                <w:u w:val="none"/>
                <w:lang w:val="en-US" w:eastAsia="zh-CN"/>
              </w:rPr>
              <w:t>二</w:t>
            </w:r>
            <w:r>
              <w:rPr>
                <w:rFonts w:hint="eastAsia" w:ascii="宋体" w:hAnsi="宋体" w:eastAsia="宋体" w:cs="宋体"/>
                <w:bCs/>
                <w:color w:val="auto"/>
                <w:sz w:val="21"/>
                <w:szCs w:val="21"/>
                <w:highlight w:val="none"/>
                <w:u w:val="none"/>
                <w:lang w:val="en-US" w:eastAsia="zh-CN"/>
              </w:rPr>
              <w:t>室</w:t>
            </w:r>
          </w:p>
        </w:tc>
      </w:tr>
      <w:tr w14:paraId="6530E2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77F3F1">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41</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6AAFF22">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磋商开标</w:t>
            </w:r>
            <w:r>
              <w:rPr>
                <w:rFonts w:hint="eastAsia" w:ascii="宋体" w:hAnsi="宋体" w:eastAsia="宋体" w:cs="宋体"/>
                <w:sz w:val="21"/>
                <w:szCs w:val="21"/>
                <w:highlight w:val="none"/>
              </w:rPr>
              <w:t>程序</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D8FAB5F">
            <w:pPr>
              <w:keepNext w:val="0"/>
              <w:keepLines w:val="0"/>
              <w:pageBreakBefore w:val="0"/>
              <w:kinsoku/>
              <w:wordWrap/>
              <w:topLinePunct w:val="0"/>
              <w:bidi w:val="0"/>
              <w:spacing w:line="360" w:lineRule="auto"/>
              <w:ind w:firstLine="0" w:firstLineChars="0"/>
              <w:jc w:val="left"/>
              <w:rPr>
                <w:rFonts w:hint="default" w:ascii="宋体" w:hAnsi="宋体" w:eastAsia="宋体" w:cs="宋体"/>
                <w:sz w:val="21"/>
                <w:szCs w:val="21"/>
                <w:highlight w:val="none"/>
                <w:lang w:val="en-US" w:eastAsia="zh-CN"/>
              </w:rPr>
            </w:pPr>
            <w:r>
              <w:rPr>
                <w:rFonts w:hint="eastAsia" w:ascii="宋体" w:hAnsi="宋体" w:cs="宋体"/>
                <w:szCs w:val="21"/>
                <w:highlight w:val="none"/>
                <w:lang w:val="zh-CN"/>
              </w:rPr>
              <w:t>开标</w:t>
            </w:r>
            <w:r>
              <w:rPr>
                <w:rFonts w:hint="eastAsia" w:ascii="宋体" w:hAnsi="宋体" w:cs="宋体"/>
                <w:szCs w:val="21"/>
                <w:highlight w:val="none"/>
                <w:lang w:val="en-US" w:eastAsia="zh-CN"/>
              </w:rPr>
              <w:t>会以政采云平台程序为准</w:t>
            </w:r>
          </w:p>
        </w:tc>
      </w:tr>
      <w:tr w14:paraId="489BD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F20A4B">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w:t>
            </w:r>
            <w:r>
              <w:rPr>
                <w:rFonts w:hint="eastAsia" w:ascii="宋体" w:hAnsi="宋体" w:cs="宋体"/>
                <w:sz w:val="21"/>
                <w:szCs w:val="21"/>
                <w:highlight w:val="none"/>
                <w:lang w:val="en-US" w:eastAsia="zh-CN"/>
              </w:rPr>
              <w:t>2</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DB31AF3">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评标委员会的组建</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FCFBD16">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评标委员会构成：技术、经济等方面的专家3人组成</w:t>
            </w:r>
          </w:p>
          <w:p w14:paraId="712030D5">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评标专家确定方式：依法从专家库中随机抽取。</w:t>
            </w:r>
          </w:p>
        </w:tc>
      </w:tr>
      <w:tr w14:paraId="17830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04F570">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w:t>
            </w:r>
            <w:r>
              <w:rPr>
                <w:rFonts w:hint="eastAsia" w:ascii="宋体" w:hAnsi="宋体" w:cs="宋体"/>
                <w:sz w:val="21"/>
                <w:szCs w:val="21"/>
                <w:highlight w:val="none"/>
                <w:lang w:val="en-US" w:eastAsia="zh-CN"/>
              </w:rPr>
              <w:t>3</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FA45B33">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是否授权评标委员会确定</w:t>
            </w:r>
            <w:r>
              <w:rPr>
                <w:rFonts w:hint="eastAsia" w:ascii="宋体" w:hAnsi="宋体" w:cs="宋体"/>
                <w:sz w:val="21"/>
                <w:szCs w:val="21"/>
                <w:highlight w:val="none"/>
                <w:lang w:eastAsia="zh-CN"/>
              </w:rPr>
              <w:t>成交人</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FC7F0E7">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新宋体" w:hAnsi="新宋体" w:eastAsia="新宋体" w:cs="新宋体"/>
                <w:bCs/>
                <w:color w:val="auto"/>
                <w:sz w:val="21"/>
                <w:szCs w:val="21"/>
                <w:highlight w:val="none"/>
              </w:rPr>
              <w:t>否，推荐前三名为中标候选人</w:t>
            </w:r>
          </w:p>
        </w:tc>
      </w:tr>
      <w:tr w14:paraId="173FD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71E1679">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44</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CB5D24B">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代理服务费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323B149">
            <w:pPr>
              <w:keepNext w:val="0"/>
              <w:keepLines w:val="0"/>
              <w:pageBreakBefore w:val="0"/>
              <w:kinsoku/>
              <w:wordWrap/>
              <w:topLinePunct w:val="0"/>
              <w:bidi w:val="0"/>
              <w:spacing w:line="360" w:lineRule="auto"/>
              <w:ind w:firstLine="0" w:firstLineChars="0"/>
              <w:jc w:val="both"/>
              <w:rPr>
                <w:rFonts w:hint="default" w:ascii="宋体" w:hAnsi="宋体" w:eastAsia="宋体" w:cs="宋体"/>
                <w:kern w:val="2"/>
                <w:sz w:val="21"/>
                <w:szCs w:val="21"/>
                <w:highlight w:val="none"/>
                <w:lang w:val="en-US" w:eastAsia="zh-CN" w:bidi="ar-SA"/>
              </w:rPr>
            </w:pPr>
            <w:r>
              <w:rPr>
                <w:rFonts w:hint="eastAsia" w:ascii="新宋体" w:hAnsi="新宋体" w:eastAsia="新宋体" w:cs="新宋体"/>
                <w:color w:val="auto"/>
                <w:sz w:val="21"/>
                <w:szCs w:val="21"/>
                <w:highlight w:val="none"/>
              </w:rPr>
              <w:t>中标金额的1.</w:t>
            </w:r>
            <w:r>
              <w:rPr>
                <w:rFonts w:hint="eastAsia" w:ascii="新宋体" w:hAnsi="新宋体" w:eastAsia="新宋体" w:cs="新宋体"/>
                <w:color w:val="auto"/>
                <w:sz w:val="21"/>
                <w:szCs w:val="21"/>
                <w:highlight w:val="none"/>
                <w:lang w:val="en-US" w:eastAsia="zh-CN"/>
              </w:rPr>
              <w:t>5</w:t>
            </w:r>
            <w:r>
              <w:rPr>
                <w:rFonts w:hint="eastAsia" w:ascii="新宋体" w:hAnsi="新宋体" w:eastAsia="新宋体" w:cs="新宋体"/>
                <w:color w:val="auto"/>
                <w:sz w:val="21"/>
                <w:szCs w:val="21"/>
                <w:highlight w:val="none"/>
              </w:rPr>
              <w:t>%收取，</w:t>
            </w:r>
            <w:r>
              <w:rPr>
                <w:rFonts w:hint="eastAsia" w:ascii="新宋体" w:hAnsi="新宋体" w:eastAsia="新宋体" w:cs="新宋体"/>
                <w:color w:val="auto"/>
                <w:sz w:val="21"/>
                <w:szCs w:val="21"/>
                <w:highlight w:val="none"/>
                <w:lang w:val="en-US" w:eastAsia="zh-CN"/>
              </w:rPr>
              <w:t>由中标单位支付。</w:t>
            </w:r>
          </w:p>
        </w:tc>
      </w:tr>
      <w:tr w14:paraId="4430C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81AEA17">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45</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4100560">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履约保证金</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8D1094E">
            <w:pPr>
              <w:keepNext w:val="0"/>
              <w:keepLines w:val="0"/>
              <w:pageBreakBefore w:val="0"/>
              <w:kinsoku/>
              <w:wordWrap/>
              <w:topLinePunct w:val="0"/>
              <w:bidi w:val="0"/>
              <w:spacing w:line="360" w:lineRule="auto"/>
              <w:ind w:firstLine="0" w:firstLineChars="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不收取</w:t>
            </w:r>
          </w:p>
        </w:tc>
      </w:tr>
      <w:tr w14:paraId="18B92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EDA85CE">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46</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35BCE59">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成交结果公告媒介</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E8B725B">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在</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通知书发出前，</w:t>
            </w: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人将在本</w:t>
            </w:r>
            <w:r>
              <w:rPr>
                <w:rFonts w:hint="eastAsia" w:ascii="宋体" w:hAnsi="宋体" w:cs="宋体"/>
                <w:sz w:val="21"/>
                <w:szCs w:val="21"/>
                <w:highlight w:val="none"/>
                <w:lang w:val="en-US" w:eastAsia="zh-CN"/>
              </w:rPr>
              <w:t>磋商</w:t>
            </w:r>
            <w:r>
              <w:rPr>
                <w:rFonts w:hint="eastAsia" w:ascii="宋体" w:hAnsi="宋体" w:eastAsia="宋体" w:cs="宋体"/>
                <w:sz w:val="21"/>
                <w:szCs w:val="21"/>
                <w:highlight w:val="none"/>
              </w:rPr>
              <w:t>项目</w:t>
            </w:r>
            <w:r>
              <w:rPr>
                <w:rFonts w:hint="eastAsia" w:ascii="宋体" w:hAnsi="宋体" w:cs="宋体"/>
                <w:sz w:val="21"/>
                <w:szCs w:val="21"/>
                <w:highlight w:val="none"/>
                <w:lang w:val="en-US" w:eastAsia="zh-CN"/>
              </w:rPr>
              <w:t>磋商</w:t>
            </w:r>
            <w:r>
              <w:rPr>
                <w:rFonts w:hint="eastAsia" w:ascii="宋体" w:hAnsi="宋体" w:eastAsia="宋体" w:cs="宋体"/>
                <w:sz w:val="21"/>
                <w:szCs w:val="21"/>
                <w:highlight w:val="none"/>
              </w:rPr>
              <w:t>公告发布的同一网站媒介发布</w:t>
            </w:r>
            <w:r>
              <w:rPr>
                <w:rFonts w:hint="eastAsia" w:ascii="宋体" w:hAnsi="宋体" w:cs="宋体"/>
                <w:sz w:val="21"/>
                <w:szCs w:val="21"/>
                <w:highlight w:val="none"/>
                <w:lang w:val="en-US" w:eastAsia="zh-CN"/>
              </w:rPr>
              <w:t>成交公示</w:t>
            </w:r>
            <w:r>
              <w:rPr>
                <w:rFonts w:hint="eastAsia" w:ascii="宋体" w:hAnsi="宋体" w:eastAsia="宋体" w:cs="宋体"/>
                <w:sz w:val="21"/>
                <w:szCs w:val="21"/>
                <w:highlight w:val="none"/>
              </w:rPr>
              <w:t>，公示期不少于1个工作日。</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将不再另行通知评审结果。</w:t>
            </w:r>
          </w:p>
        </w:tc>
      </w:tr>
      <w:tr w14:paraId="4E4C7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D6F7A67">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47</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F3A8A92">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低于成本价不正当竞争预防措施</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BCED3E8">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1.在评审过程中，供应商报价过低，有可能影响</w:t>
            </w:r>
            <w:r>
              <w:rPr>
                <w:rFonts w:hint="eastAsia" w:ascii="宋体" w:hAnsi="宋体" w:cs="宋体"/>
                <w:sz w:val="21"/>
                <w:szCs w:val="21"/>
                <w:highlight w:val="none"/>
                <w:lang w:val="en-US" w:eastAsia="zh-CN"/>
              </w:rPr>
              <w:t>服务</w:t>
            </w:r>
            <w:r>
              <w:rPr>
                <w:rFonts w:hint="eastAsia" w:ascii="宋体" w:hAnsi="宋体" w:eastAsia="宋体" w:cs="宋体"/>
                <w:sz w:val="21"/>
                <w:szCs w:val="21"/>
                <w:highlight w:val="none"/>
              </w:rPr>
              <w:t>质量或者不能诚信履约的，评审小组应当要求其在合理的时间内提供书面说明，并提交相关证明材料，供应商不能证明其报价合理性的，评审小组应当将其作为无效处理。供应商的书面说明材料应当按照国家财务会计制度的规定要求，逐项就供应商提供服务的主营业务成本、税金及附加、管理费用、财务费用等成本构成事项详细陈述）。</w:t>
            </w:r>
          </w:p>
          <w:p w14:paraId="33FE1FFC">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2.供应商书面说明应当签字确认或者加盖公章，否则无效。书面说明的签字确认，由其法定代表人或授权代表完成。</w:t>
            </w:r>
          </w:p>
          <w:p w14:paraId="43F7D8BC">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3.供应商提供书面说明后，评审小组应当结合</w:t>
            </w:r>
            <w:r>
              <w:rPr>
                <w:rFonts w:hint="eastAsia" w:ascii="宋体" w:hAnsi="宋体" w:cs="宋体"/>
                <w:sz w:val="21"/>
                <w:szCs w:val="21"/>
                <w:highlight w:val="none"/>
                <w:lang w:val="en-US" w:eastAsia="zh-CN"/>
              </w:rPr>
              <w:t>磋商</w:t>
            </w:r>
            <w:r>
              <w:rPr>
                <w:rFonts w:hint="eastAsia" w:ascii="宋体" w:hAnsi="宋体" w:eastAsia="宋体" w:cs="宋体"/>
                <w:sz w:val="21"/>
                <w:szCs w:val="21"/>
                <w:highlight w:val="none"/>
              </w:rPr>
              <w:t>项目</w:t>
            </w:r>
            <w:r>
              <w:rPr>
                <w:rFonts w:hint="eastAsia" w:ascii="宋体" w:hAnsi="宋体" w:cs="宋体"/>
                <w:sz w:val="21"/>
                <w:szCs w:val="21"/>
                <w:highlight w:val="none"/>
                <w:lang w:val="en-US" w:eastAsia="zh-CN"/>
              </w:rPr>
              <w:t>服务</w:t>
            </w:r>
            <w:r>
              <w:rPr>
                <w:rFonts w:hint="eastAsia" w:ascii="宋体" w:hAnsi="宋体" w:eastAsia="宋体" w:cs="宋体"/>
                <w:sz w:val="21"/>
                <w:szCs w:val="21"/>
                <w:highlight w:val="none"/>
              </w:rPr>
              <w:t>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审小组应当将其</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作为无效处理。</w:t>
            </w:r>
          </w:p>
        </w:tc>
      </w:tr>
      <w:tr w14:paraId="16CFCB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535E894">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w:t>
            </w:r>
            <w:r>
              <w:rPr>
                <w:rFonts w:hint="eastAsia" w:ascii="宋体" w:hAnsi="宋体" w:cs="宋体"/>
                <w:sz w:val="21"/>
                <w:szCs w:val="21"/>
                <w:highlight w:val="none"/>
                <w:lang w:val="en-US" w:eastAsia="zh-CN"/>
              </w:rPr>
              <w:t>8</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5CE589F">
            <w:pPr>
              <w:adjustRightInd w:val="0"/>
              <w:snapToGrid w:val="0"/>
              <w:spacing w:before="120" w:beforeLines="50" w:line="360" w:lineRule="auto"/>
              <w:jc w:val="center"/>
              <w:rPr>
                <w:rFonts w:hint="eastAsia"/>
                <w:szCs w:val="22"/>
                <w:highlight w:val="none"/>
              </w:rPr>
            </w:pPr>
            <w:r>
              <w:rPr>
                <w:rFonts w:hint="eastAsia"/>
                <w:szCs w:val="22"/>
                <w:highlight w:val="none"/>
              </w:rPr>
              <w:t>中小企业</w:t>
            </w:r>
          </w:p>
          <w:p w14:paraId="2600FEFD">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color w:val="auto"/>
                <w:kern w:val="2"/>
                <w:sz w:val="21"/>
                <w:szCs w:val="21"/>
                <w:highlight w:val="none"/>
                <w:lang w:val="zh-CN" w:eastAsia="zh-CN" w:bidi="ar-SA"/>
              </w:rPr>
            </w:pPr>
            <w:r>
              <w:rPr>
                <w:rFonts w:hint="eastAsia"/>
                <w:szCs w:val="22"/>
                <w:highlight w:val="none"/>
              </w:rPr>
              <w:t>（含监狱企业、残疾人福利单位）</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368B2AD">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政府采购支持中小企业（含监狱企业）发展：</w:t>
            </w:r>
          </w:p>
          <w:p w14:paraId="5750546B">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eastAsia="zh-CN"/>
              </w:rPr>
              <w:t>本项目为</w:t>
            </w:r>
            <w:r>
              <w:rPr>
                <w:rFonts w:hint="eastAsia" w:ascii="宋体" w:hAnsi="宋体" w:eastAsia="宋体" w:cs="宋体"/>
                <w:sz w:val="21"/>
                <w:szCs w:val="21"/>
                <w:highlight w:val="none"/>
              </w:rPr>
              <w:t>专门面向中小企业采购</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所属行业为其他未列明行业</w:t>
            </w:r>
            <w:r>
              <w:rPr>
                <w:rFonts w:hint="eastAsia" w:ascii="宋体" w:hAnsi="宋体" w:eastAsia="宋体" w:cs="宋体"/>
                <w:sz w:val="21"/>
                <w:szCs w:val="21"/>
                <w:highlight w:val="none"/>
              </w:rPr>
              <w:t>。</w:t>
            </w:r>
          </w:p>
          <w:p w14:paraId="22F82FDD">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对于小型或微型企业（含监狱企业）参与本项目投标的，给予</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%的价格扣除。</w:t>
            </w:r>
          </w:p>
          <w:p w14:paraId="1DEC5324">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1）提供《</w:t>
            </w:r>
            <w:r>
              <w:rPr>
                <w:rFonts w:hint="eastAsia" w:ascii="宋体" w:hAnsi="宋体" w:eastAsia="宋体" w:cs="宋体"/>
                <w:sz w:val="21"/>
                <w:szCs w:val="21"/>
                <w:highlight w:val="none"/>
                <w:lang w:eastAsia="zh-CN"/>
              </w:rPr>
              <w:t>中</w:t>
            </w:r>
            <w:r>
              <w:rPr>
                <w:rFonts w:hint="eastAsia" w:ascii="宋体" w:hAnsi="宋体" w:eastAsia="宋体" w:cs="宋体"/>
                <w:sz w:val="21"/>
                <w:szCs w:val="21"/>
                <w:highlight w:val="none"/>
              </w:rPr>
              <w:t>小企业声明函》；</w:t>
            </w:r>
          </w:p>
          <w:p w14:paraId="5C949DE2">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2）监狱企业参加政府采购活动时，应当提供由省级以上监狱管理局、戒毒管理局（含新疆生产建设兵团）出具的属于监狱企业的证明文件。</w:t>
            </w:r>
          </w:p>
          <w:p w14:paraId="051D4FA9">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3）供应商为残疾人福利性单位的视同小型和微型企业，应当提供《残疾人福利性单位声明函》</w:t>
            </w:r>
          </w:p>
          <w:p w14:paraId="110F4F50">
            <w:pPr>
              <w:pStyle w:val="16"/>
              <w:rPr>
                <w:rFonts w:hint="eastAsia" w:eastAsia="宋体"/>
                <w:lang w:val="en-US" w:eastAsia="zh-CN"/>
              </w:rPr>
            </w:pPr>
            <w:r>
              <w:rPr>
                <w:rFonts w:hint="eastAsia" w:ascii="宋体" w:hAnsi="宋体" w:cs="宋体"/>
                <w:b/>
                <w:bCs/>
                <w:sz w:val="21"/>
                <w:szCs w:val="21"/>
                <w:highlight w:val="none"/>
                <w:lang w:eastAsia="zh-CN"/>
              </w:rPr>
              <w:t>注：本项目为专门面向中小企业招标，此条款不适用。</w:t>
            </w:r>
          </w:p>
        </w:tc>
      </w:tr>
      <w:tr w14:paraId="177B52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90" w:type="dxa"/>
            <w:gridSpan w:val="3"/>
            <w:tcBorders>
              <w:top w:val="single" w:color="auto" w:sz="4" w:space="0"/>
              <w:left w:val="single" w:color="auto" w:sz="4" w:space="0"/>
              <w:bottom w:val="single" w:color="auto" w:sz="4" w:space="0"/>
              <w:right w:val="single" w:color="auto" w:sz="4" w:space="0"/>
            </w:tcBorders>
            <w:noWrap w:val="0"/>
            <w:vAlign w:val="center"/>
          </w:tcPr>
          <w:p w14:paraId="1335CCF2">
            <w:pPr>
              <w:keepNext w:val="0"/>
              <w:keepLines w:val="0"/>
              <w:pageBreakBefore w:val="0"/>
              <w:kinsoku/>
              <w:wordWrap/>
              <w:topLinePunct w:val="0"/>
              <w:bidi w:val="0"/>
              <w:spacing w:line="360" w:lineRule="auto"/>
              <w:ind w:firstLine="0" w:firstLineChars="0"/>
              <w:rPr>
                <w:rFonts w:hint="eastAsia" w:ascii="宋体" w:hAnsi="宋体" w:eastAsia="宋体" w:cs="宋体"/>
                <w:sz w:val="21"/>
                <w:szCs w:val="21"/>
                <w:highlight w:val="none"/>
              </w:rPr>
            </w:pPr>
            <w:r>
              <w:rPr>
                <w:rFonts w:hint="eastAsia" w:ascii="宋体" w:hAnsi="宋体" w:eastAsia="宋体" w:cs="宋体"/>
                <w:b/>
                <w:sz w:val="21"/>
                <w:szCs w:val="21"/>
                <w:highlight w:val="none"/>
              </w:rPr>
              <w:t>注：</w:t>
            </w:r>
            <w:r>
              <w:rPr>
                <w:rFonts w:hint="eastAsia" w:ascii="宋体" w:hAnsi="宋体" w:eastAsia="宋体" w:cs="宋体"/>
                <w:b/>
                <w:sz w:val="21"/>
                <w:szCs w:val="21"/>
                <w:highlight w:val="none"/>
                <w:lang w:val="en-US" w:eastAsia="zh-CN"/>
              </w:rPr>
              <w:t>磋商</w:t>
            </w:r>
            <w:r>
              <w:rPr>
                <w:rFonts w:hint="eastAsia" w:ascii="宋体" w:hAnsi="宋体" w:eastAsia="宋体" w:cs="宋体"/>
                <w:b/>
                <w:sz w:val="21"/>
                <w:szCs w:val="21"/>
                <w:highlight w:val="none"/>
              </w:rPr>
              <w:t>公告内容有不一致之处，以最新发布的</w:t>
            </w:r>
            <w:r>
              <w:rPr>
                <w:rFonts w:hint="eastAsia" w:ascii="宋体" w:hAnsi="宋体" w:eastAsia="宋体" w:cs="宋体"/>
                <w:b/>
                <w:sz w:val="21"/>
                <w:szCs w:val="21"/>
                <w:highlight w:val="none"/>
                <w:lang w:val="en-US" w:eastAsia="zh-CN"/>
              </w:rPr>
              <w:t>磋商</w:t>
            </w:r>
            <w:r>
              <w:rPr>
                <w:rFonts w:hint="eastAsia" w:ascii="宋体" w:hAnsi="宋体" w:eastAsia="宋体" w:cs="宋体"/>
                <w:b/>
                <w:sz w:val="21"/>
                <w:szCs w:val="21"/>
                <w:highlight w:val="none"/>
              </w:rPr>
              <w:t>公告内容为准。</w:t>
            </w:r>
            <w:r>
              <w:rPr>
                <w:rFonts w:hint="eastAsia" w:ascii="宋体" w:hAnsi="宋体" w:eastAsia="宋体" w:cs="宋体"/>
                <w:b/>
                <w:sz w:val="21"/>
                <w:szCs w:val="21"/>
                <w:highlight w:val="none"/>
                <w:lang w:val="en-US" w:eastAsia="zh-CN"/>
              </w:rPr>
              <w:t>磋商</w:t>
            </w:r>
            <w:r>
              <w:rPr>
                <w:rFonts w:hint="eastAsia" w:ascii="宋体" w:hAnsi="宋体" w:eastAsia="宋体" w:cs="宋体"/>
                <w:b/>
                <w:sz w:val="21"/>
                <w:szCs w:val="21"/>
                <w:highlight w:val="none"/>
              </w:rPr>
              <w:t>公告与</w:t>
            </w:r>
            <w:r>
              <w:rPr>
                <w:rFonts w:hint="eastAsia" w:ascii="宋体" w:hAnsi="宋体" w:eastAsia="宋体" w:cs="宋体"/>
                <w:b/>
                <w:sz w:val="21"/>
                <w:szCs w:val="21"/>
                <w:highlight w:val="none"/>
                <w:lang w:val="en-US" w:eastAsia="zh-CN"/>
              </w:rPr>
              <w:t>磋商</w:t>
            </w:r>
            <w:r>
              <w:rPr>
                <w:rFonts w:hint="eastAsia" w:ascii="宋体" w:hAnsi="宋体" w:eastAsia="宋体" w:cs="宋体"/>
                <w:b/>
                <w:sz w:val="21"/>
                <w:szCs w:val="21"/>
                <w:highlight w:val="none"/>
              </w:rPr>
              <w:t>文件内容有不一致之处，以</w:t>
            </w:r>
            <w:r>
              <w:rPr>
                <w:rFonts w:hint="eastAsia" w:ascii="宋体" w:hAnsi="宋体" w:eastAsia="宋体" w:cs="宋体"/>
                <w:b/>
                <w:sz w:val="21"/>
                <w:szCs w:val="21"/>
                <w:highlight w:val="none"/>
                <w:lang w:val="en-US" w:eastAsia="zh-CN"/>
              </w:rPr>
              <w:t>磋商</w:t>
            </w:r>
            <w:r>
              <w:rPr>
                <w:rFonts w:hint="eastAsia" w:ascii="宋体" w:hAnsi="宋体" w:eastAsia="宋体" w:cs="宋体"/>
                <w:b/>
                <w:sz w:val="21"/>
                <w:szCs w:val="21"/>
                <w:highlight w:val="none"/>
              </w:rPr>
              <w:t>文件内容为准。</w:t>
            </w:r>
          </w:p>
        </w:tc>
      </w:tr>
    </w:tbl>
    <w:p w14:paraId="7CA54CA5">
      <w:pPr>
        <w:outlineLvl w:val="9"/>
        <w:rPr>
          <w:rFonts w:hint="eastAsia" w:ascii="宋体" w:hAnsi="宋体" w:eastAsia="宋体" w:cs="宋体"/>
          <w:highlight w:val="none"/>
          <w:lang w:val="en-US" w:eastAsia="zh-CN"/>
        </w:rPr>
      </w:pPr>
    </w:p>
    <w:p w14:paraId="1F258386">
      <w:pPr>
        <w:rPr>
          <w:rFonts w:hint="eastAsia" w:ascii="宋体" w:hAnsi="宋体" w:eastAsia="宋体" w:cs="宋体"/>
          <w:highlight w:val="none"/>
        </w:rPr>
      </w:pPr>
      <w:r>
        <w:rPr>
          <w:rFonts w:hint="eastAsia" w:ascii="宋体" w:hAnsi="宋体" w:eastAsia="宋体" w:cs="宋体"/>
          <w:highlight w:val="none"/>
        </w:rPr>
        <w:br w:type="page"/>
      </w:r>
    </w:p>
    <w:p w14:paraId="76184521">
      <w:pPr>
        <w:pStyle w:val="3"/>
        <w:outlineLvl w:val="0"/>
        <w:rPr>
          <w:rFonts w:hint="default" w:ascii="宋体" w:hAnsi="宋体" w:eastAsia="宋体" w:cs="宋体"/>
          <w:b/>
          <w:kern w:val="2"/>
          <w:sz w:val="28"/>
          <w:szCs w:val="28"/>
          <w:highlight w:val="none"/>
          <w:lang w:val="en-US" w:eastAsia="zh-CN" w:bidi="ar-SA"/>
        </w:rPr>
      </w:pPr>
      <w:bookmarkStart w:id="17" w:name="_Toc12469"/>
      <w:bookmarkStart w:id="18" w:name="_Toc26568"/>
      <w:r>
        <w:rPr>
          <w:rFonts w:hint="eastAsia" w:ascii="宋体" w:hAnsi="宋体" w:eastAsia="宋体" w:cs="宋体"/>
          <w:b/>
          <w:kern w:val="2"/>
          <w:sz w:val="28"/>
          <w:szCs w:val="28"/>
          <w:highlight w:val="none"/>
          <w:lang w:val="en-US" w:eastAsia="zh-CN" w:bidi="ar-SA"/>
        </w:rPr>
        <w:t>供应商须知</w:t>
      </w:r>
      <w:bookmarkEnd w:id="17"/>
      <w:bookmarkEnd w:id="18"/>
      <w:r>
        <w:rPr>
          <w:rFonts w:hint="eastAsia" w:ascii="宋体" w:hAnsi="宋体" w:eastAsia="宋体" w:cs="宋体"/>
          <w:b/>
          <w:kern w:val="2"/>
          <w:sz w:val="28"/>
          <w:szCs w:val="28"/>
          <w:highlight w:val="none"/>
          <w:lang w:val="en-US" w:eastAsia="zh-CN" w:bidi="ar-SA"/>
        </w:rPr>
        <w:t>正文</w:t>
      </w:r>
    </w:p>
    <w:p w14:paraId="6B02A556">
      <w:pPr>
        <w:keepNext w:val="0"/>
        <w:keepLines w:val="0"/>
        <w:pageBreakBefore w:val="0"/>
        <w:kinsoku/>
        <w:wordWrap/>
        <w:overflowPunct/>
        <w:topLinePunct w:val="0"/>
        <w:bidi w:val="0"/>
        <w:snapToGrid/>
        <w:spacing w:line="360" w:lineRule="auto"/>
        <w:ind w:firstLine="422" w:firstLineChars="200"/>
        <w:jc w:val="left"/>
        <w:textAlignment w:val="auto"/>
        <w:rPr>
          <w:rFonts w:hint="eastAsia" w:ascii="宋体" w:hAnsi="宋体" w:eastAsia="宋体" w:cs="宋体"/>
          <w:b/>
          <w:szCs w:val="21"/>
          <w:highlight w:val="none"/>
        </w:rPr>
      </w:pPr>
      <w:r>
        <w:rPr>
          <w:rFonts w:hint="eastAsia" w:ascii="宋体" w:hAnsi="宋体" w:eastAsia="宋体" w:cs="宋体"/>
          <w:b/>
          <w:szCs w:val="21"/>
          <w:highlight w:val="none"/>
        </w:rPr>
        <w:t>第一部分</w:t>
      </w:r>
      <w:r>
        <w:rPr>
          <w:rFonts w:hint="eastAsia" w:ascii="宋体" w:hAnsi="宋体" w:cs="宋体"/>
          <w:b/>
          <w:szCs w:val="21"/>
          <w:highlight w:val="none"/>
          <w:lang w:eastAsia="zh-CN"/>
        </w:rPr>
        <w:t>、</w:t>
      </w:r>
      <w:r>
        <w:rPr>
          <w:rFonts w:hint="eastAsia" w:ascii="宋体" w:hAnsi="宋体" w:eastAsia="宋体" w:cs="宋体"/>
          <w:b/>
          <w:szCs w:val="21"/>
          <w:highlight w:val="none"/>
        </w:rPr>
        <w:t>磋商招标程序</w:t>
      </w:r>
    </w:p>
    <w:p w14:paraId="3E322F0C">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一、招标</w:t>
      </w:r>
      <w:r>
        <w:rPr>
          <w:rFonts w:hint="eastAsia" w:ascii="宋体" w:hAnsi="宋体" w:eastAsia="宋体" w:cs="宋体"/>
          <w:szCs w:val="21"/>
          <w:highlight w:val="none"/>
        </w:rPr>
        <w:t>方式</w:t>
      </w:r>
    </w:p>
    <w:p w14:paraId="0E74C126">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本次</w:t>
      </w:r>
      <w:r>
        <w:rPr>
          <w:rFonts w:hint="eastAsia" w:ascii="宋体" w:hAnsi="宋体" w:cs="宋体"/>
          <w:szCs w:val="21"/>
          <w:highlight w:val="none"/>
          <w:lang w:val="en-US" w:eastAsia="zh-CN"/>
        </w:rPr>
        <w:t>采购方式为</w:t>
      </w:r>
      <w:r>
        <w:rPr>
          <w:rFonts w:hint="eastAsia" w:ascii="宋体" w:hAnsi="宋体" w:eastAsia="宋体" w:cs="宋体"/>
          <w:szCs w:val="21"/>
          <w:highlight w:val="none"/>
          <w:lang w:val="zh-CN"/>
        </w:rPr>
        <w:t>竞争性磋商</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采购人</w:t>
      </w:r>
      <w:r>
        <w:rPr>
          <w:rFonts w:hint="eastAsia" w:ascii="宋体" w:hAnsi="宋体" w:eastAsia="宋体" w:cs="宋体"/>
          <w:szCs w:val="21"/>
          <w:highlight w:val="none"/>
        </w:rPr>
        <w:t>及其委托代理机构采用以国家法律规定的邀请方式确定参加</w:t>
      </w:r>
      <w:r>
        <w:rPr>
          <w:rFonts w:hint="eastAsia" w:ascii="宋体" w:hAnsi="宋体" w:cs="宋体"/>
          <w:szCs w:val="21"/>
          <w:highlight w:val="none"/>
          <w:lang w:val="en-US" w:eastAsia="zh-CN"/>
        </w:rPr>
        <w:t>本次采购活动</w:t>
      </w:r>
      <w:r>
        <w:rPr>
          <w:rFonts w:hint="eastAsia" w:ascii="宋体" w:hAnsi="宋体" w:eastAsia="宋体" w:cs="宋体"/>
          <w:szCs w:val="21"/>
          <w:highlight w:val="none"/>
        </w:rPr>
        <w:t>的</w:t>
      </w:r>
      <w:r>
        <w:rPr>
          <w:rFonts w:hint="eastAsia" w:ascii="宋体" w:hAnsi="宋体" w:cs="宋体"/>
          <w:szCs w:val="21"/>
          <w:highlight w:val="none"/>
          <w:lang w:eastAsia="zh-CN"/>
        </w:rPr>
        <w:t>供应商</w:t>
      </w:r>
      <w:r>
        <w:rPr>
          <w:rFonts w:hint="eastAsia" w:ascii="宋体" w:hAnsi="宋体" w:eastAsia="宋体" w:cs="宋体"/>
          <w:szCs w:val="21"/>
          <w:highlight w:val="none"/>
        </w:rPr>
        <w:t>。</w:t>
      </w:r>
    </w:p>
    <w:p w14:paraId="7ADBB1F5">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二、</w:t>
      </w:r>
      <w:r>
        <w:rPr>
          <w:rFonts w:hint="eastAsia" w:ascii="宋体" w:hAnsi="宋体" w:eastAsia="宋体" w:cs="宋体"/>
          <w:szCs w:val="21"/>
          <w:highlight w:val="none"/>
          <w:lang w:val="zh-CN"/>
        </w:rPr>
        <w:t>磋商</w:t>
      </w:r>
      <w:r>
        <w:rPr>
          <w:rFonts w:hint="eastAsia" w:ascii="宋体" w:hAnsi="宋体" w:eastAsia="宋体" w:cs="宋体"/>
          <w:szCs w:val="21"/>
          <w:highlight w:val="none"/>
        </w:rPr>
        <w:t>程序</w:t>
      </w:r>
    </w:p>
    <w:p w14:paraId="0EC1ADA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在规定的时间内由</w:t>
      </w:r>
      <w:r>
        <w:rPr>
          <w:rFonts w:hint="eastAsia" w:ascii="宋体" w:hAnsi="宋体" w:cs="宋体"/>
          <w:szCs w:val="21"/>
          <w:highlight w:val="none"/>
          <w:lang w:eastAsia="zh-CN"/>
        </w:rPr>
        <w:t>供应商</w:t>
      </w:r>
      <w:r>
        <w:rPr>
          <w:rFonts w:hint="eastAsia" w:ascii="宋体" w:hAnsi="宋体" w:eastAsia="宋体" w:cs="宋体"/>
          <w:szCs w:val="21"/>
          <w:highlight w:val="none"/>
        </w:rPr>
        <w:t>将响应文件提交给</w:t>
      </w:r>
      <w:r>
        <w:rPr>
          <w:rFonts w:hint="eastAsia" w:ascii="宋体" w:hAnsi="宋体" w:eastAsia="宋体" w:cs="宋体"/>
          <w:szCs w:val="21"/>
          <w:highlight w:val="none"/>
          <w:lang w:val="en-US" w:eastAsia="zh-CN"/>
        </w:rPr>
        <w:t>采购代理机构</w:t>
      </w:r>
      <w:r>
        <w:rPr>
          <w:rFonts w:hint="eastAsia" w:ascii="宋体" w:hAnsi="宋体" w:eastAsia="宋体" w:cs="宋体"/>
          <w:szCs w:val="21"/>
          <w:highlight w:val="none"/>
        </w:rPr>
        <w:t>，由</w:t>
      </w:r>
      <w:r>
        <w:rPr>
          <w:rFonts w:hint="eastAsia" w:ascii="宋体" w:hAnsi="宋体" w:eastAsia="宋体" w:cs="宋体"/>
          <w:szCs w:val="21"/>
          <w:highlight w:val="none"/>
          <w:lang w:val="zh-CN"/>
        </w:rPr>
        <w:t>磋商</w:t>
      </w:r>
      <w:r>
        <w:rPr>
          <w:rFonts w:hint="eastAsia" w:ascii="宋体" w:hAnsi="宋体" w:eastAsia="宋体" w:cs="宋体"/>
          <w:szCs w:val="21"/>
          <w:highlight w:val="none"/>
        </w:rPr>
        <w:t>小组对响应文件进行评审。</w:t>
      </w:r>
    </w:p>
    <w:p w14:paraId="6639E24A">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就商务、技术及价格进行磋商</w:t>
      </w:r>
      <w:r>
        <w:rPr>
          <w:rFonts w:hint="eastAsia" w:ascii="宋体" w:hAnsi="宋体" w:cs="宋体"/>
          <w:szCs w:val="21"/>
          <w:highlight w:val="none"/>
          <w:lang w:val="en-US" w:eastAsia="zh-CN"/>
        </w:rPr>
        <w:t>活动</w:t>
      </w:r>
      <w:r>
        <w:rPr>
          <w:rFonts w:hint="eastAsia" w:ascii="宋体" w:hAnsi="宋体" w:eastAsia="宋体" w:cs="宋体"/>
          <w:szCs w:val="21"/>
          <w:highlight w:val="none"/>
        </w:rPr>
        <w:t>，经过</w:t>
      </w:r>
      <w:r>
        <w:rPr>
          <w:rFonts w:hint="eastAsia" w:ascii="宋体" w:hAnsi="宋体" w:eastAsia="宋体" w:cs="宋体"/>
          <w:szCs w:val="21"/>
          <w:highlight w:val="none"/>
          <w:lang w:val="zh-CN"/>
        </w:rPr>
        <w:t>磋商</w:t>
      </w:r>
      <w:r>
        <w:rPr>
          <w:rFonts w:hint="eastAsia" w:ascii="宋体" w:hAnsi="宋体" w:eastAsia="宋体" w:cs="宋体"/>
          <w:szCs w:val="21"/>
          <w:highlight w:val="none"/>
        </w:rPr>
        <w:t>小组的评审确定最终成交</w:t>
      </w:r>
      <w:r>
        <w:rPr>
          <w:rFonts w:hint="eastAsia" w:ascii="宋体" w:hAnsi="宋体" w:cs="宋体"/>
          <w:szCs w:val="21"/>
          <w:highlight w:val="none"/>
          <w:lang w:eastAsia="zh-CN"/>
        </w:rPr>
        <w:t>供应商</w:t>
      </w:r>
      <w:r>
        <w:rPr>
          <w:rFonts w:hint="eastAsia" w:ascii="宋体" w:hAnsi="宋体" w:eastAsia="宋体" w:cs="宋体"/>
          <w:szCs w:val="21"/>
          <w:highlight w:val="none"/>
        </w:rPr>
        <w:t>。</w:t>
      </w:r>
    </w:p>
    <w:p w14:paraId="6418696A">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szCs w:val="21"/>
          <w:highlight w:val="none"/>
          <w:lang w:val="en-US" w:eastAsia="zh-CN"/>
        </w:rPr>
        <w:t>三、</w:t>
      </w:r>
      <w:r>
        <w:rPr>
          <w:rFonts w:hint="eastAsia" w:ascii="宋体" w:hAnsi="宋体" w:eastAsia="宋体" w:cs="宋体"/>
          <w:color w:val="auto"/>
          <w:szCs w:val="21"/>
          <w:highlight w:val="none"/>
        </w:rPr>
        <w:t>申请人的资格要求</w:t>
      </w:r>
    </w:p>
    <w:p w14:paraId="7DE03AEC">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详见</w:t>
      </w:r>
      <w:r>
        <w:rPr>
          <w:rFonts w:hint="eastAsia" w:ascii="宋体" w:hAnsi="宋体" w:cs="宋体"/>
          <w:szCs w:val="21"/>
          <w:highlight w:val="none"/>
          <w:lang w:val="en-US" w:eastAsia="zh-CN"/>
        </w:rPr>
        <w:t>供应商</w:t>
      </w:r>
      <w:r>
        <w:rPr>
          <w:rFonts w:hint="eastAsia" w:ascii="宋体" w:hAnsi="宋体" w:eastAsia="宋体" w:cs="宋体"/>
          <w:szCs w:val="21"/>
          <w:highlight w:val="none"/>
          <w:lang w:val="en-US" w:eastAsia="zh-CN"/>
        </w:rPr>
        <w:t>须知前附表。</w:t>
      </w:r>
    </w:p>
    <w:p w14:paraId="300C5716">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四、</w:t>
      </w:r>
      <w:r>
        <w:rPr>
          <w:rFonts w:hint="eastAsia" w:ascii="宋体" w:hAnsi="宋体" w:eastAsia="宋体" w:cs="宋体"/>
          <w:szCs w:val="21"/>
          <w:highlight w:val="none"/>
          <w:lang w:val="zh-CN"/>
        </w:rPr>
        <w:t>磋商</w:t>
      </w:r>
      <w:r>
        <w:rPr>
          <w:rFonts w:hint="eastAsia" w:ascii="宋体" w:hAnsi="宋体" w:eastAsia="宋体" w:cs="宋体"/>
          <w:szCs w:val="21"/>
          <w:highlight w:val="none"/>
        </w:rPr>
        <w:t>费用</w:t>
      </w:r>
    </w:p>
    <w:p w14:paraId="019132D3">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cs="宋体"/>
          <w:szCs w:val="21"/>
          <w:highlight w:val="none"/>
          <w:lang w:eastAsia="zh-CN"/>
        </w:rPr>
        <w:t>供应商</w:t>
      </w:r>
      <w:r>
        <w:rPr>
          <w:rFonts w:hint="eastAsia" w:ascii="宋体" w:hAnsi="宋体" w:eastAsia="宋体" w:cs="宋体"/>
          <w:szCs w:val="21"/>
          <w:highlight w:val="none"/>
        </w:rPr>
        <w:t>应承担所有</w:t>
      </w:r>
      <w:r>
        <w:rPr>
          <w:rFonts w:hint="eastAsia" w:ascii="宋体" w:hAnsi="宋体" w:cs="宋体"/>
          <w:szCs w:val="21"/>
          <w:highlight w:val="none"/>
          <w:lang w:val="en-US" w:eastAsia="zh-CN"/>
        </w:rPr>
        <w:t>的</w:t>
      </w:r>
      <w:r>
        <w:rPr>
          <w:rFonts w:hint="eastAsia" w:ascii="宋体" w:hAnsi="宋体" w:eastAsia="宋体" w:cs="宋体"/>
          <w:szCs w:val="21"/>
          <w:highlight w:val="none"/>
        </w:rPr>
        <w:t>准备和参加</w:t>
      </w:r>
      <w:r>
        <w:rPr>
          <w:rFonts w:hint="eastAsia" w:ascii="宋体" w:hAnsi="宋体" w:eastAsia="宋体" w:cs="宋体"/>
          <w:szCs w:val="21"/>
          <w:highlight w:val="none"/>
          <w:lang w:val="zh-CN"/>
        </w:rPr>
        <w:t>磋商</w:t>
      </w:r>
      <w:r>
        <w:rPr>
          <w:rFonts w:hint="eastAsia" w:ascii="宋体" w:hAnsi="宋体" w:cs="宋体"/>
          <w:szCs w:val="21"/>
          <w:highlight w:val="none"/>
          <w:lang w:val="en-US" w:eastAsia="zh-CN"/>
        </w:rPr>
        <w:t>活动</w:t>
      </w:r>
      <w:r>
        <w:rPr>
          <w:rFonts w:hint="eastAsia" w:ascii="宋体" w:hAnsi="宋体" w:eastAsia="宋体" w:cs="宋体"/>
          <w:szCs w:val="21"/>
          <w:highlight w:val="none"/>
        </w:rPr>
        <w:t>有关的费用，</w:t>
      </w:r>
      <w:r>
        <w:rPr>
          <w:rFonts w:hint="eastAsia" w:ascii="宋体" w:hAnsi="宋体" w:eastAsia="宋体" w:cs="宋体"/>
          <w:szCs w:val="21"/>
          <w:highlight w:val="none"/>
          <w:lang w:val="en-US" w:eastAsia="zh-CN"/>
        </w:rPr>
        <w:t>采购代理机构</w:t>
      </w:r>
      <w:r>
        <w:rPr>
          <w:rFonts w:hint="eastAsia" w:ascii="宋体" w:hAnsi="宋体" w:eastAsia="宋体" w:cs="宋体"/>
          <w:szCs w:val="21"/>
          <w:highlight w:val="none"/>
        </w:rPr>
        <w:t>和</w:t>
      </w:r>
      <w:r>
        <w:rPr>
          <w:rFonts w:hint="eastAsia" w:ascii="宋体" w:hAnsi="宋体" w:eastAsia="宋体" w:cs="宋体"/>
          <w:szCs w:val="21"/>
          <w:highlight w:val="none"/>
          <w:lang w:val="en-US" w:eastAsia="zh-CN"/>
        </w:rPr>
        <w:t>采购人</w:t>
      </w:r>
      <w:r>
        <w:rPr>
          <w:rFonts w:hint="eastAsia" w:ascii="宋体" w:hAnsi="宋体" w:eastAsia="宋体" w:cs="宋体"/>
          <w:szCs w:val="21"/>
          <w:highlight w:val="none"/>
        </w:rPr>
        <w:t>在任何情况下均无义务和责任承担这些费用。</w:t>
      </w:r>
    </w:p>
    <w:p w14:paraId="0EFC2049">
      <w:pPr>
        <w:keepNext w:val="0"/>
        <w:keepLines w:val="0"/>
        <w:pageBreakBefore w:val="0"/>
        <w:kinsoku/>
        <w:wordWrap/>
        <w:overflowPunct/>
        <w:topLinePunct w:val="0"/>
        <w:bidi w:val="0"/>
        <w:snapToGrid/>
        <w:spacing w:line="360" w:lineRule="auto"/>
        <w:ind w:firstLine="422" w:firstLineChars="200"/>
        <w:jc w:val="left"/>
        <w:textAlignment w:val="auto"/>
        <w:rPr>
          <w:rFonts w:hint="eastAsia" w:ascii="宋体" w:hAnsi="宋体" w:eastAsia="宋体" w:cs="宋体"/>
          <w:szCs w:val="21"/>
          <w:highlight w:val="none"/>
        </w:rPr>
      </w:pPr>
      <w:r>
        <w:rPr>
          <w:rFonts w:hint="eastAsia" w:ascii="宋体" w:hAnsi="宋体" w:eastAsia="宋体" w:cs="宋体"/>
          <w:b/>
          <w:bCs/>
          <w:szCs w:val="21"/>
          <w:highlight w:val="none"/>
        </w:rPr>
        <w:t>第二部分</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竞争性磋商</w:t>
      </w:r>
      <w:r>
        <w:rPr>
          <w:rFonts w:hint="eastAsia" w:ascii="宋体" w:hAnsi="宋体" w:eastAsia="宋体" w:cs="宋体"/>
          <w:b/>
          <w:bCs/>
          <w:szCs w:val="21"/>
          <w:highlight w:val="none"/>
        </w:rPr>
        <w:t>文件</w:t>
      </w:r>
    </w:p>
    <w:p w14:paraId="7EC209E7">
      <w:pPr>
        <w:keepNext w:val="0"/>
        <w:keepLines w:val="0"/>
        <w:pageBreakBefore w:val="0"/>
        <w:numPr>
          <w:ilvl w:val="0"/>
          <w:numId w:val="2"/>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cs="宋体"/>
          <w:szCs w:val="21"/>
          <w:highlight w:val="none"/>
          <w:lang w:eastAsia="zh-CN"/>
        </w:rPr>
        <w:t>供应商</w:t>
      </w:r>
      <w:r>
        <w:rPr>
          <w:rFonts w:hint="eastAsia" w:ascii="宋体" w:hAnsi="宋体" w:eastAsia="宋体" w:cs="宋体"/>
          <w:szCs w:val="21"/>
          <w:highlight w:val="none"/>
        </w:rPr>
        <w:t>应认真阅读</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所有的事项、格式、条款和技术规格等。如</w:t>
      </w:r>
      <w:r>
        <w:rPr>
          <w:rFonts w:hint="eastAsia" w:ascii="宋体" w:hAnsi="宋体" w:cs="宋体"/>
          <w:szCs w:val="21"/>
          <w:highlight w:val="none"/>
          <w:lang w:eastAsia="zh-CN"/>
        </w:rPr>
        <w:t>供应商</w:t>
      </w:r>
      <w:r>
        <w:rPr>
          <w:rFonts w:hint="eastAsia" w:ascii="宋体" w:hAnsi="宋体" w:eastAsia="宋体" w:cs="宋体"/>
          <w:szCs w:val="21"/>
          <w:highlight w:val="none"/>
        </w:rPr>
        <w:t>没有按照</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要求提交全部资料，或者</w:t>
      </w:r>
      <w:r>
        <w:rPr>
          <w:rFonts w:hint="eastAsia" w:ascii="宋体" w:hAnsi="宋体" w:cs="宋体"/>
          <w:szCs w:val="21"/>
          <w:highlight w:val="none"/>
          <w:lang w:val="en-US" w:eastAsia="zh-CN"/>
        </w:rPr>
        <w:t>供应商提交的</w:t>
      </w:r>
      <w:r>
        <w:rPr>
          <w:rFonts w:hint="eastAsia" w:ascii="宋体" w:hAnsi="宋体" w:cs="宋体"/>
          <w:szCs w:val="21"/>
          <w:highlight w:val="none"/>
          <w:lang w:eastAsia="zh-CN"/>
        </w:rPr>
        <w:t>响应文件</w:t>
      </w:r>
      <w:r>
        <w:rPr>
          <w:rFonts w:hint="eastAsia" w:ascii="宋体" w:hAnsi="宋体" w:eastAsia="宋体" w:cs="宋体"/>
          <w:szCs w:val="21"/>
          <w:highlight w:val="none"/>
        </w:rPr>
        <w:t>没有对</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在各方面都作出实质性响应是</w:t>
      </w:r>
      <w:r>
        <w:rPr>
          <w:rFonts w:hint="eastAsia" w:ascii="宋体" w:hAnsi="宋体" w:cs="宋体"/>
          <w:szCs w:val="21"/>
          <w:highlight w:val="none"/>
          <w:lang w:eastAsia="zh-CN"/>
        </w:rPr>
        <w:t>供应商</w:t>
      </w:r>
      <w:r>
        <w:rPr>
          <w:rFonts w:hint="eastAsia" w:ascii="宋体" w:hAnsi="宋体" w:eastAsia="宋体" w:cs="宋体"/>
          <w:szCs w:val="21"/>
          <w:highlight w:val="none"/>
        </w:rPr>
        <w:t>的风险，并可能导致其报价被拒绝。</w:t>
      </w:r>
    </w:p>
    <w:p w14:paraId="63A55130">
      <w:pPr>
        <w:keepNext w:val="0"/>
        <w:keepLines w:val="0"/>
        <w:pageBreakBefore w:val="0"/>
        <w:numPr>
          <w:ilvl w:val="0"/>
          <w:numId w:val="2"/>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cs="宋体"/>
          <w:szCs w:val="21"/>
          <w:highlight w:val="none"/>
          <w:lang w:eastAsia="zh-CN"/>
        </w:rPr>
        <w:t>竞争性磋商文件</w:t>
      </w:r>
      <w:r>
        <w:rPr>
          <w:rFonts w:hint="eastAsia" w:ascii="宋体" w:hAnsi="宋体" w:eastAsia="宋体" w:cs="宋体"/>
          <w:szCs w:val="21"/>
          <w:highlight w:val="none"/>
        </w:rPr>
        <w:t>的澄清及修改</w:t>
      </w:r>
    </w:p>
    <w:p w14:paraId="4A043D40">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2.1任何要求对</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进行澄清的</w:t>
      </w:r>
      <w:r>
        <w:rPr>
          <w:rFonts w:hint="eastAsia" w:ascii="宋体" w:hAnsi="宋体" w:cs="宋体"/>
          <w:szCs w:val="21"/>
          <w:highlight w:val="none"/>
          <w:lang w:eastAsia="zh-CN"/>
        </w:rPr>
        <w:t>供应商</w:t>
      </w:r>
      <w:r>
        <w:rPr>
          <w:rFonts w:hint="eastAsia" w:ascii="宋体" w:hAnsi="宋体" w:eastAsia="宋体" w:cs="宋体"/>
          <w:szCs w:val="21"/>
          <w:highlight w:val="none"/>
        </w:rPr>
        <w:t>，磋商截止时间前均应以书面形式通知</w:t>
      </w:r>
      <w:r>
        <w:rPr>
          <w:rFonts w:hint="eastAsia" w:ascii="宋体" w:hAnsi="宋体" w:eastAsia="宋体" w:cs="宋体"/>
          <w:szCs w:val="21"/>
          <w:highlight w:val="none"/>
          <w:lang w:val="en-US" w:eastAsia="zh-CN"/>
        </w:rPr>
        <w:t>采购代理机构</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采购代理机构</w:t>
      </w:r>
      <w:r>
        <w:rPr>
          <w:rFonts w:hint="eastAsia" w:ascii="宋体" w:hAnsi="宋体" w:eastAsia="宋体" w:cs="宋体"/>
          <w:szCs w:val="21"/>
          <w:highlight w:val="none"/>
        </w:rPr>
        <w:t>应以书面形式予以答复，并将书面答复发给每个购买</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的</w:t>
      </w:r>
      <w:r>
        <w:rPr>
          <w:rFonts w:hint="eastAsia" w:ascii="宋体" w:hAnsi="宋体" w:cs="宋体"/>
          <w:szCs w:val="21"/>
          <w:highlight w:val="none"/>
          <w:lang w:eastAsia="zh-CN"/>
        </w:rPr>
        <w:t>供应商</w:t>
      </w:r>
      <w:r>
        <w:rPr>
          <w:rFonts w:hint="eastAsia" w:ascii="宋体" w:hAnsi="宋体" w:eastAsia="宋体" w:cs="宋体"/>
          <w:szCs w:val="21"/>
          <w:highlight w:val="none"/>
        </w:rPr>
        <w:t>（答复中不包括问题的来源）。</w:t>
      </w:r>
    </w:p>
    <w:p w14:paraId="7F95AC5D">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2.2 </w:t>
      </w:r>
      <w:r>
        <w:rPr>
          <w:rFonts w:hint="eastAsia" w:ascii="宋体" w:hAnsi="宋体" w:cs="宋体"/>
          <w:szCs w:val="21"/>
          <w:highlight w:val="none"/>
          <w:lang w:val="en-US" w:eastAsia="zh-CN"/>
        </w:rPr>
        <w:t>采购人</w:t>
      </w:r>
      <w:r>
        <w:rPr>
          <w:rFonts w:hint="eastAsia" w:ascii="宋体" w:hAnsi="宋体" w:eastAsia="宋体" w:cs="宋体"/>
          <w:szCs w:val="21"/>
          <w:highlight w:val="none"/>
        </w:rPr>
        <w:t>可主动地或在解答</w:t>
      </w:r>
      <w:r>
        <w:rPr>
          <w:rFonts w:hint="eastAsia" w:ascii="宋体" w:hAnsi="宋体" w:cs="宋体"/>
          <w:szCs w:val="21"/>
          <w:highlight w:val="none"/>
          <w:lang w:eastAsia="zh-CN"/>
        </w:rPr>
        <w:t>供应商</w:t>
      </w:r>
      <w:r>
        <w:rPr>
          <w:rFonts w:hint="eastAsia" w:ascii="宋体" w:hAnsi="宋体" w:eastAsia="宋体" w:cs="宋体"/>
          <w:szCs w:val="21"/>
          <w:highlight w:val="none"/>
        </w:rPr>
        <w:t>提出的澄清问题时对</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进行修改，</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的修改应以书面形式通知</w:t>
      </w:r>
      <w:r>
        <w:rPr>
          <w:rFonts w:hint="eastAsia" w:ascii="宋体" w:hAnsi="宋体" w:eastAsia="宋体" w:cs="宋体"/>
          <w:szCs w:val="21"/>
          <w:highlight w:val="none"/>
          <w:lang w:val="en-US" w:eastAsia="zh-CN"/>
        </w:rPr>
        <w:t>采购代理机构</w:t>
      </w:r>
      <w:r>
        <w:rPr>
          <w:rFonts w:hint="eastAsia" w:ascii="宋体" w:hAnsi="宋体" w:eastAsia="宋体" w:cs="宋体"/>
          <w:szCs w:val="21"/>
          <w:highlight w:val="none"/>
        </w:rPr>
        <w:t>，由</w:t>
      </w:r>
      <w:r>
        <w:rPr>
          <w:rFonts w:hint="eastAsia" w:ascii="宋体" w:hAnsi="宋体" w:eastAsia="宋体" w:cs="宋体"/>
          <w:szCs w:val="21"/>
          <w:highlight w:val="none"/>
          <w:lang w:val="en-US" w:eastAsia="zh-CN"/>
        </w:rPr>
        <w:t>采购代理机构</w:t>
      </w:r>
      <w:r>
        <w:rPr>
          <w:rFonts w:hint="eastAsia" w:ascii="宋体" w:hAnsi="宋体" w:eastAsia="宋体" w:cs="宋体"/>
          <w:szCs w:val="21"/>
          <w:highlight w:val="none"/>
        </w:rPr>
        <w:t>通知所有购买</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的</w:t>
      </w:r>
      <w:r>
        <w:rPr>
          <w:rFonts w:hint="eastAsia" w:ascii="宋体" w:hAnsi="宋体" w:cs="宋体"/>
          <w:szCs w:val="21"/>
          <w:highlight w:val="none"/>
          <w:lang w:eastAsia="zh-CN"/>
        </w:rPr>
        <w:t>供应商</w:t>
      </w:r>
      <w:r>
        <w:rPr>
          <w:rFonts w:hint="eastAsia" w:ascii="宋体" w:hAnsi="宋体" w:eastAsia="宋体" w:cs="宋体"/>
          <w:szCs w:val="21"/>
          <w:highlight w:val="none"/>
        </w:rPr>
        <w:t>，并对其具有约束力。</w:t>
      </w:r>
      <w:r>
        <w:rPr>
          <w:rFonts w:hint="eastAsia" w:ascii="宋体" w:hAnsi="宋体" w:cs="宋体"/>
          <w:szCs w:val="21"/>
          <w:highlight w:val="none"/>
          <w:lang w:eastAsia="zh-CN"/>
        </w:rPr>
        <w:t>供应商</w:t>
      </w:r>
      <w:r>
        <w:rPr>
          <w:rFonts w:hint="eastAsia" w:ascii="宋体" w:hAnsi="宋体" w:eastAsia="宋体" w:cs="宋体"/>
          <w:szCs w:val="21"/>
          <w:highlight w:val="none"/>
        </w:rPr>
        <w:t>在收到上述通知后，应立即向</w:t>
      </w:r>
      <w:r>
        <w:rPr>
          <w:rFonts w:hint="eastAsia" w:ascii="宋体" w:hAnsi="宋体" w:eastAsia="宋体" w:cs="宋体"/>
          <w:szCs w:val="21"/>
          <w:highlight w:val="none"/>
          <w:lang w:val="en-US" w:eastAsia="zh-CN"/>
        </w:rPr>
        <w:t>采购代理机构</w:t>
      </w:r>
      <w:r>
        <w:rPr>
          <w:rFonts w:hint="eastAsia" w:ascii="宋体" w:hAnsi="宋体" w:eastAsia="宋体" w:cs="宋体"/>
          <w:szCs w:val="21"/>
          <w:highlight w:val="none"/>
        </w:rPr>
        <w:t>以书面形式回函确认。</w:t>
      </w:r>
    </w:p>
    <w:p w14:paraId="2A84AB3F">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2.3为使</w:t>
      </w:r>
      <w:r>
        <w:rPr>
          <w:rFonts w:hint="eastAsia" w:ascii="宋体" w:hAnsi="宋体" w:cs="宋体"/>
          <w:szCs w:val="21"/>
          <w:highlight w:val="none"/>
          <w:lang w:eastAsia="zh-CN"/>
        </w:rPr>
        <w:t>供应商</w:t>
      </w:r>
      <w:r>
        <w:rPr>
          <w:rFonts w:hint="eastAsia" w:ascii="宋体" w:hAnsi="宋体" w:eastAsia="宋体" w:cs="宋体"/>
          <w:szCs w:val="21"/>
          <w:highlight w:val="none"/>
        </w:rPr>
        <w:t>有足够的时间对响应文件的修改部分进行研究，</w:t>
      </w:r>
      <w:r>
        <w:rPr>
          <w:rFonts w:hint="eastAsia" w:ascii="宋体" w:hAnsi="宋体" w:cs="宋体"/>
          <w:szCs w:val="21"/>
          <w:highlight w:val="none"/>
          <w:lang w:val="en-US" w:eastAsia="zh-CN"/>
        </w:rPr>
        <w:t>采购人</w:t>
      </w:r>
      <w:r>
        <w:rPr>
          <w:rFonts w:hint="eastAsia" w:ascii="宋体" w:hAnsi="宋体" w:eastAsia="宋体" w:cs="宋体"/>
          <w:szCs w:val="21"/>
          <w:highlight w:val="none"/>
        </w:rPr>
        <w:t>有权决定是否延长</w:t>
      </w:r>
      <w:r>
        <w:rPr>
          <w:rFonts w:hint="eastAsia" w:ascii="宋体" w:hAnsi="宋体" w:cs="宋体"/>
          <w:szCs w:val="21"/>
          <w:highlight w:val="none"/>
          <w:lang w:val="en-US" w:eastAsia="zh-CN"/>
        </w:rPr>
        <w:t>投标</w:t>
      </w:r>
      <w:r>
        <w:rPr>
          <w:rFonts w:hint="eastAsia" w:ascii="宋体" w:hAnsi="宋体" w:eastAsia="宋体" w:cs="宋体"/>
          <w:szCs w:val="21"/>
          <w:highlight w:val="none"/>
        </w:rPr>
        <w:t>截止期。</w:t>
      </w:r>
    </w:p>
    <w:p w14:paraId="3DE5C96C">
      <w:pPr>
        <w:keepNext w:val="0"/>
        <w:keepLines w:val="0"/>
        <w:pageBreakBefore w:val="0"/>
        <w:kinsoku/>
        <w:wordWrap/>
        <w:overflowPunct/>
        <w:topLinePunct w:val="0"/>
        <w:bidi w:val="0"/>
        <w:snapToGrid/>
        <w:spacing w:line="360" w:lineRule="auto"/>
        <w:ind w:firstLine="422" w:firstLineChars="200"/>
        <w:jc w:val="left"/>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第三部分 响应文件的编制</w:t>
      </w:r>
    </w:p>
    <w:p w14:paraId="5552FA36">
      <w:pPr>
        <w:keepNext w:val="0"/>
        <w:keepLines w:val="0"/>
        <w:pageBreakBefore w:val="0"/>
        <w:numPr>
          <w:ilvl w:val="0"/>
          <w:numId w:val="0"/>
        </w:numPr>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lang w:val="en-US" w:eastAsia="zh-CN"/>
        </w:rPr>
        <w:t>1.</w:t>
      </w:r>
      <w:r>
        <w:rPr>
          <w:rFonts w:hint="eastAsia" w:ascii="宋体" w:hAnsi="宋体" w:eastAsia="宋体" w:cs="宋体"/>
          <w:b w:val="0"/>
          <w:bCs w:val="0"/>
          <w:szCs w:val="21"/>
          <w:highlight w:val="none"/>
        </w:rPr>
        <w:t>磋商范围及</w:t>
      </w:r>
      <w:r>
        <w:rPr>
          <w:rFonts w:hint="eastAsia" w:ascii="宋体" w:hAnsi="宋体" w:cs="宋体"/>
          <w:b w:val="0"/>
          <w:bCs w:val="0"/>
          <w:szCs w:val="21"/>
          <w:highlight w:val="none"/>
          <w:lang w:val="en-US" w:eastAsia="zh-CN"/>
        </w:rPr>
        <w:t>响应</w:t>
      </w:r>
      <w:r>
        <w:rPr>
          <w:rFonts w:hint="eastAsia" w:ascii="宋体" w:hAnsi="宋体" w:eastAsia="宋体" w:cs="宋体"/>
          <w:b w:val="0"/>
          <w:bCs w:val="0"/>
          <w:szCs w:val="21"/>
          <w:highlight w:val="none"/>
        </w:rPr>
        <w:t>文件中计量单位的使用</w:t>
      </w:r>
    </w:p>
    <w:p w14:paraId="10B14E1D">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1.1</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应按</w:t>
      </w:r>
      <w:r>
        <w:rPr>
          <w:rFonts w:hint="eastAsia" w:ascii="宋体" w:hAnsi="宋体" w:cs="宋体"/>
          <w:b w:val="0"/>
          <w:bCs w:val="0"/>
          <w:szCs w:val="21"/>
          <w:highlight w:val="none"/>
          <w:lang w:eastAsia="zh-CN"/>
        </w:rPr>
        <w:t>竞争性磋商文件</w:t>
      </w:r>
      <w:r>
        <w:rPr>
          <w:rFonts w:hint="eastAsia" w:ascii="宋体" w:hAnsi="宋体" w:eastAsia="宋体" w:cs="宋体"/>
          <w:b w:val="0"/>
          <w:bCs w:val="0"/>
          <w:szCs w:val="21"/>
          <w:highlight w:val="none"/>
        </w:rPr>
        <w:t>的技术标准及服务要求进行报价，不能将整个的内容拆开就其中一项或一部分进行报价。</w:t>
      </w:r>
    </w:p>
    <w:p w14:paraId="250AB4F5">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1.2 响应文件中所使用的计量单位，除</w:t>
      </w:r>
      <w:r>
        <w:rPr>
          <w:rFonts w:hint="eastAsia" w:ascii="宋体" w:hAnsi="宋体" w:cs="宋体"/>
          <w:b w:val="0"/>
          <w:bCs w:val="0"/>
          <w:szCs w:val="21"/>
          <w:highlight w:val="none"/>
          <w:lang w:eastAsia="zh-CN"/>
        </w:rPr>
        <w:t>竞争性磋商文件</w:t>
      </w:r>
      <w:r>
        <w:rPr>
          <w:rFonts w:hint="eastAsia" w:ascii="宋体" w:hAnsi="宋体" w:eastAsia="宋体" w:cs="宋体"/>
          <w:b w:val="0"/>
          <w:bCs w:val="0"/>
          <w:szCs w:val="21"/>
          <w:highlight w:val="none"/>
        </w:rPr>
        <w:t>中有特殊要求外，应采用中华人民共和国法定计量单位。</w:t>
      </w:r>
    </w:p>
    <w:p w14:paraId="2DC1CB94">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2.</w:t>
      </w:r>
      <w:r>
        <w:rPr>
          <w:rFonts w:hint="eastAsia" w:ascii="宋体" w:hAnsi="宋体" w:eastAsia="宋体" w:cs="宋体"/>
          <w:b w:val="0"/>
          <w:bCs w:val="0"/>
          <w:szCs w:val="21"/>
          <w:highlight w:val="none"/>
          <w:lang w:val="en-US" w:eastAsia="zh-CN"/>
        </w:rPr>
        <w:t xml:space="preserve"> </w:t>
      </w:r>
      <w:r>
        <w:rPr>
          <w:rFonts w:hint="eastAsia" w:ascii="宋体" w:hAnsi="宋体" w:eastAsia="宋体" w:cs="宋体"/>
          <w:b w:val="0"/>
          <w:bCs w:val="0"/>
          <w:szCs w:val="21"/>
          <w:highlight w:val="none"/>
        </w:rPr>
        <w:t>响应文件构成</w:t>
      </w:r>
    </w:p>
    <w:p w14:paraId="78707CB6">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应完整的按</w:t>
      </w:r>
      <w:r>
        <w:rPr>
          <w:rFonts w:hint="eastAsia" w:ascii="宋体" w:hAnsi="宋体" w:cs="宋体"/>
          <w:b w:val="0"/>
          <w:bCs w:val="0"/>
          <w:szCs w:val="21"/>
          <w:highlight w:val="none"/>
          <w:lang w:eastAsia="zh-CN"/>
        </w:rPr>
        <w:t>竞争性磋商文件</w:t>
      </w:r>
      <w:r>
        <w:rPr>
          <w:rFonts w:hint="eastAsia" w:ascii="宋体" w:hAnsi="宋体" w:eastAsia="宋体" w:cs="宋体"/>
          <w:b w:val="0"/>
          <w:bCs w:val="0"/>
          <w:szCs w:val="21"/>
          <w:highlight w:val="none"/>
        </w:rPr>
        <w:t>提供的</w:t>
      </w:r>
      <w:r>
        <w:rPr>
          <w:rFonts w:hint="eastAsia" w:ascii="宋体" w:hAnsi="宋体" w:cs="宋体"/>
          <w:b w:val="0"/>
          <w:bCs w:val="0"/>
          <w:szCs w:val="21"/>
          <w:highlight w:val="none"/>
          <w:lang w:val="en-US" w:eastAsia="zh-CN"/>
        </w:rPr>
        <w:t>响应</w:t>
      </w:r>
      <w:r>
        <w:rPr>
          <w:rFonts w:hint="eastAsia" w:ascii="宋体" w:hAnsi="宋体" w:eastAsia="宋体" w:cs="宋体"/>
          <w:b w:val="0"/>
          <w:bCs w:val="0"/>
          <w:szCs w:val="21"/>
          <w:highlight w:val="none"/>
        </w:rPr>
        <w:t>文件格式填写响应文件，响应文件应包括以下内容：</w:t>
      </w:r>
    </w:p>
    <w:p w14:paraId="5DD299C2">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（1）报价函和报价函附表</w:t>
      </w:r>
    </w:p>
    <w:p w14:paraId="2D83FB90">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（2）资格证明文件</w:t>
      </w:r>
    </w:p>
    <w:p w14:paraId="62AEFB87">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（3）</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提供法人授权的证明文件</w:t>
      </w:r>
    </w:p>
    <w:p w14:paraId="024AA9E1">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lang w:eastAsia="zh-CN"/>
        </w:rPr>
      </w:pPr>
      <w:r>
        <w:rPr>
          <w:rFonts w:hint="eastAsia" w:ascii="宋体" w:hAnsi="宋体" w:eastAsia="宋体" w:cs="宋体"/>
          <w:b w:val="0"/>
          <w:bCs w:val="0"/>
          <w:szCs w:val="21"/>
          <w:highlight w:val="none"/>
        </w:rPr>
        <w:t>（4）保证金递交凭证</w:t>
      </w:r>
      <w:r>
        <w:rPr>
          <w:rFonts w:hint="eastAsia" w:ascii="宋体" w:hAnsi="宋体" w:cs="宋体"/>
          <w:b w:val="0"/>
          <w:bCs w:val="0"/>
          <w:szCs w:val="21"/>
          <w:highlight w:val="none"/>
          <w:lang w:eastAsia="zh-CN"/>
        </w:rPr>
        <w:t>（</w:t>
      </w:r>
      <w:r>
        <w:rPr>
          <w:rFonts w:hint="eastAsia" w:ascii="宋体" w:hAnsi="宋体" w:cs="宋体"/>
          <w:b w:val="0"/>
          <w:bCs w:val="0"/>
          <w:szCs w:val="21"/>
          <w:highlight w:val="none"/>
          <w:lang w:val="en-US" w:eastAsia="zh-CN"/>
        </w:rPr>
        <w:t>本项目不适用</w:t>
      </w:r>
      <w:r>
        <w:rPr>
          <w:rFonts w:hint="eastAsia" w:ascii="宋体" w:hAnsi="宋体" w:cs="宋体"/>
          <w:b w:val="0"/>
          <w:bCs w:val="0"/>
          <w:szCs w:val="21"/>
          <w:highlight w:val="none"/>
          <w:lang w:eastAsia="zh-CN"/>
        </w:rPr>
        <w:t>）</w:t>
      </w:r>
    </w:p>
    <w:p w14:paraId="1472C927">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（5）资格审查资料</w:t>
      </w:r>
    </w:p>
    <w:p w14:paraId="32C2226F">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（6）其他材料</w:t>
      </w:r>
    </w:p>
    <w:p w14:paraId="2FF35813">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lang w:val="en-US" w:eastAsia="zh-CN"/>
        </w:rPr>
        <w:t xml:space="preserve">3. </w:t>
      </w:r>
      <w:r>
        <w:rPr>
          <w:rFonts w:hint="eastAsia" w:ascii="宋体" w:hAnsi="宋体" w:eastAsia="宋体" w:cs="宋体"/>
          <w:b w:val="0"/>
          <w:bCs w:val="0"/>
          <w:szCs w:val="21"/>
          <w:highlight w:val="none"/>
        </w:rPr>
        <w:t>报价</w:t>
      </w:r>
    </w:p>
    <w:p w14:paraId="65217314">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3.1</w:t>
      </w:r>
      <w:r>
        <w:rPr>
          <w:rFonts w:hint="eastAsia" w:ascii="宋体" w:hAnsi="宋体" w:eastAsia="宋体" w:cs="宋体"/>
          <w:b w:val="0"/>
          <w:bCs w:val="0"/>
          <w:szCs w:val="21"/>
          <w:highlight w:val="none"/>
          <w:lang w:val="en-US" w:eastAsia="zh-CN"/>
        </w:rPr>
        <w:t xml:space="preserve"> </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应按</w:t>
      </w:r>
      <w:r>
        <w:rPr>
          <w:rFonts w:hint="eastAsia" w:ascii="宋体" w:hAnsi="宋体" w:eastAsia="宋体" w:cs="宋体"/>
          <w:b w:val="0"/>
          <w:bCs w:val="0"/>
          <w:szCs w:val="21"/>
          <w:highlight w:val="none"/>
          <w:lang w:val="en-US" w:eastAsia="zh-CN"/>
        </w:rPr>
        <w:t>采购人</w:t>
      </w:r>
      <w:r>
        <w:rPr>
          <w:rFonts w:hint="eastAsia" w:ascii="宋体" w:hAnsi="宋体" w:eastAsia="宋体" w:cs="宋体"/>
          <w:b w:val="0"/>
          <w:bCs w:val="0"/>
          <w:szCs w:val="21"/>
          <w:highlight w:val="none"/>
        </w:rPr>
        <w:t>提供的相关“技术标准和服务要求”进行报价。</w:t>
      </w:r>
    </w:p>
    <w:p w14:paraId="4CCD9078">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3.</w:t>
      </w:r>
      <w:r>
        <w:rPr>
          <w:rFonts w:hint="eastAsia" w:ascii="宋体" w:hAnsi="宋体" w:eastAsia="宋体" w:cs="宋体"/>
          <w:b w:val="0"/>
          <w:bCs w:val="0"/>
          <w:szCs w:val="21"/>
          <w:highlight w:val="none"/>
          <w:lang w:val="en-US" w:eastAsia="zh-CN"/>
        </w:rPr>
        <w:t xml:space="preserve">2 </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在</w:t>
      </w:r>
      <w:r>
        <w:rPr>
          <w:rFonts w:hint="eastAsia" w:ascii="宋体" w:hAnsi="宋体" w:cs="宋体"/>
          <w:b w:val="0"/>
          <w:bCs w:val="0"/>
          <w:szCs w:val="21"/>
          <w:highlight w:val="none"/>
          <w:lang w:val="en-US" w:eastAsia="zh-CN"/>
        </w:rPr>
        <w:t>投标</w:t>
      </w:r>
      <w:r>
        <w:rPr>
          <w:rFonts w:hint="eastAsia" w:ascii="宋体" w:hAnsi="宋体" w:eastAsia="宋体" w:cs="宋体"/>
          <w:b w:val="0"/>
          <w:bCs w:val="0"/>
          <w:szCs w:val="21"/>
          <w:highlight w:val="none"/>
        </w:rPr>
        <w:t>截止时间前修改报价函中的投标报价总额，应同时修改响应文件中的相应报价。</w:t>
      </w:r>
    </w:p>
    <w:p w14:paraId="4DBAF0D6">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3.</w:t>
      </w:r>
      <w:r>
        <w:rPr>
          <w:rFonts w:hint="eastAsia" w:ascii="宋体" w:hAnsi="宋体" w:eastAsia="宋体" w:cs="宋体"/>
          <w:b w:val="0"/>
          <w:bCs w:val="0"/>
          <w:szCs w:val="21"/>
          <w:highlight w:val="none"/>
          <w:lang w:val="en-US" w:eastAsia="zh-CN"/>
        </w:rPr>
        <w:t>3</w:t>
      </w:r>
      <w:r>
        <w:rPr>
          <w:rFonts w:hint="eastAsia" w:ascii="宋体" w:hAnsi="宋体" w:eastAsia="宋体" w:cs="宋体"/>
          <w:b w:val="0"/>
          <w:bCs w:val="0"/>
          <w:szCs w:val="21"/>
          <w:highlight w:val="none"/>
        </w:rPr>
        <w:t xml:space="preserve"> </w:t>
      </w:r>
      <w:r>
        <w:rPr>
          <w:rFonts w:hint="eastAsia" w:ascii="宋体" w:hAnsi="宋体" w:eastAsia="宋体" w:cs="宋体"/>
          <w:b w:val="0"/>
          <w:bCs w:val="0"/>
          <w:szCs w:val="21"/>
          <w:highlight w:val="none"/>
          <w:lang w:val="en-US" w:eastAsia="zh-CN"/>
        </w:rPr>
        <w:t>采购人</w:t>
      </w:r>
      <w:r>
        <w:rPr>
          <w:rFonts w:hint="eastAsia" w:ascii="宋体" w:hAnsi="宋体" w:eastAsia="宋体" w:cs="宋体"/>
          <w:b w:val="0"/>
          <w:bCs w:val="0"/>
          <w:szCs w:val="21"/>
          <w:highlight w:val="none"/>
        </w:rPr>
        <w:t>设有</w:t>
      </w:r>
      <w:r>
        <w:rPr>
          <w:rFonts w:hint="eastAsia" w:ascii="宋体" w:hAnsi="宋体" w:cs="宋体"/>
          <w:b w:val="0"/>
          <w:bCs w:val="0"/>
          <w:szCs w:val="21"/>
          <w:highlight w:val="none"/>
          <w:lang w:val="en-US" w:eastAsia="zh-CN"/>
        </w:rPr>
        <w:t>预算金额</w:t>
      </w:r>
      <w:r>
        <w:rPr>
          <w:rFonts w:hint="eastAsia" w:ascii="宋体" w:hAnsi="宋体" w:eastAsia="宋体" w:cs="宋体"/>
          <w:b w:val="0"/>
          <w:bCs w:val="0"/>
          <w:szCs w:val="21"/>
          <w:highlight w:val="none"/>
        </w:rPr>
        <w:t>的，</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的投标报价不得超过</w:t>
      </w:r>
      <w:r>
        <w:rPr>
          <w:rFonts w:hint="eastAsia" w:ascii="宋体" w:hAnsi="宋体" w:cs="宋体"/>
          <w:b w:val="0"/>
          <w:bCs w:val="0"/>
          <w:szCs w:val="21"/>
          <w:highlight w:val="none"/>
          <w:lang w:val="en-US" w:eastAsia="zh-CN"/>
        </w:rPr>
        <w:t>预算金额</w:t>
      </w:r>
      <w:r>
        <w:rPr>
          <w:rFonts w:hint="eastAsia" w:ascii="宋体" w:hAnsi="宋体" w:eastAsia="宋体" w:cs="宋体"/>
          <w:b w:val="0"/>
          <w:bCs w:val="0"/>
          <w:szCs w:val="21"/>
          <w:highlight w:val="none"/>
        </w:rPr>
        <w:t>。</w:t>
      </w:r>
    </w:p>
    <w:p w14:paraId="2BCFCBC0">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3.4 投标报价为</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在响应文件中提出的各项支付金额的总和。</w:t>
      </w:r>
    </w:p>
    <w:p w14:paraId="7D433B90">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3.5</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的投标报价，应是完成本须知和</w:t>
      </w:r>
      <w:r>
        <w:rPr>
          <w:rFonts w:hint="eastAsia" w:ascii="宋体" w:hAnsi="宋体" w:cs="宋体"/>
          <w:b w:val="0"/>
          <w:bCs w:val="0"/>
          <w:szCs w:val="21"/>
          <w:highlight w:val="none"/>
          <w:lang w:eastAsia="zh-CN"/>
        </w:rPr>
        <w:t>竞争性磋商文件</w:t>
      </w:r>
      <w:r>
        <w:rPr>
          <w:rFonts w:hint="eastAsia" w:ascii="宋体" w:hAnsi="宋体" w:eastAsia="宋体" w:cs="宋体"/>
          <w:b w:val="0"/>
          <w:bCs w:val="0"/>
          <w:szCs w:val="21"/>
          <w:highlight w:val="none"/>
        </w:rPr>
        <w:t>中所列</w:t>
      </w:r>
      <w:r>
        <w:rPr>
          <w:rFonts w:hint="eastAsia" w:ascii="宋体" w:hAnsi="宋体" w:cs="宋体"/>
          <w:b w:val="0"/>
          <w:bCs w:val="0"/>
          <w:szCs w:val="21"/>
          <w:highlight w:val="none"/>
          <w:lang w:val="en-US" w:eastAsia="zh-CN"/>
        </w:rPr>
        <w:t>服务</w:t>
      </w:r>
      <w:r>
        <w:rPr>
          <w:rFonts w:hint="eastAsia" w:ascii="宋体" w:hAnsi="宋体" w:eastAsia="宋体" w:cs="宋体"/>
          <w:b w:val="0"/>
          <w:bCs w:val="0"/>
          <w:szCs w:val="21"/>
          <w:highlight w:val="none"/>
        </w:rPr>
        <w:t>范围及服务周期的全部，不得以任何理由予以重复，作为</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计算单价或总价的依据。</w:t>
      </w:r>
    </w:p>
    <w:p w14:paraId="011B3F3C">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3.6 除非</w:t>
      </w:r>
      <w:r>
        <w:rPr>
          <w:rFonts w:hint="eastAsia" w:ascii="宋体" w:hAnsi="宋体" w:eastAsia="宋体" w:cs="宋体"/>
          <w:b w:val="0"/>
          <w:bCs w:val="0"/>
          <w:szCs w:val="21"/>
          <w:highlight w:val="none"/>
          <w:lang w:val="en-US" w:eastAsia="zh-CN"/>
        </w:rPr>
        <w:t>采购人</w:t>
      </w:r>
      <w:r>
        <w:rPr>
          <w:rFonts w:hint="eastAsia" w:ascii="宋体" w:hAnsi="宋体" w:eastAsia="宋体" w:cs="宋体"/>
          <w:b w:val="0"/>
          <w:bCs w:val="0"/>
          <w:szCs w:val="21"/>
          <w:highlight w:val="none"/>
        </w:rPr>
        <w:t>对</w:t>
      </w:r>
      <w:r>
        <w:rPr>
          <w:rFonts w:hint="eastAsia" w:ascii="宋体" w:hAnsi="宋体" w:cs="宋体"/>
          <w:b w:val="0"/>
          <w:bCs w:val="0"/>
          <w:szCs w:val="21"/>
          <w:highlight w:val="none"/>
          <w:lang w:eastAsia="zh-CN"/>
        </w:rPr>
        <w:t>竞争性磋商文件</w:t>
      </w:r>
      <w:r>
        <w:rPr>
          <w:rFonts w:hint="eastAsia" w:ascii="宋体" w:hAnsi="宋体" w:eastAsia="宋体" w:cs="宋体"/>
          <w:b w:val="0"/>
          <w:bCs w:val="0"/>
          <w:szCs w:val="21"/>
          <w:highlight w:val="none"/>
        </w:rPr>
        <w:t>予以修改，</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应按照</w:t>
      </w:r>
      <w:r>
        <w:rPr>
          <w:rFonts w:hint="eastAsia" w:ascii="宋体" w:hAnsi="宋体" w:cs="宋体"/>
          <w:b w:val="0"/>
          <w:bCs w:val="0"/>
          <w:szCs w:val="21"/>
          <w:highlight w:val="none"/>
          <w:lang w:eastAsia="zh-CN"/>
        </w:rPr>
        <w:t>竞争性磋商文件</w:t>
      </w:r>
      <w:r>
        <w:rPr>
          <w:rFonts w:hint="eastAsia" w:ascii="宋体" w:hAnsi="宋体" w:eastAsia="宋体" w:cs="宋体"/>
          <w:b w:val="0"/>
          <w:bCs w:val="0"/>
          <w:szCs w:val="21"/>
          <w:highlight w:val="none"/>
        </w:rPr>
        <w:t>提供的技术参数和服务要求，并且投标报价应与响应文件中所列各项费用合计价格相符，否则，可能导致其投标被否决。任何有选择的报价及折扣报价都将按其投标被否决处理。</w:t>
      </w:r>
    </w:p>
    <w:p w14:paraId="0709C14A">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3.7 本项目的服务地点为本须知前附表所述，除非合同中另有规定，</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在报价中所报的价格，均包括完成该项目的成本、利润、税金、技术措施费、大型机械进出场费、风险费、政策性文件规定费用等所有费用。</w:t>
      </w:r>
    </w:p>
    <w:p w14:paraId="138AB299">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3.</w:t>
      </w:r>
      <w:r>
        <w:rPr>
          <w:rFonts w:hint="eastAsia" w:ascii="宋体" w:hAnsi="宋体" w:cs="宋体"/>
          <w:b w:val="0"/>
          <w:bCs w:val="0"/>
          <w:szCs w:val="21"/>
          <w:highlight w:val="none"/>
          <w:lang w:val="en-US" w:eastAsia="zh-CN"/>
        </w:rPr>
        <w:t>8</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可先到</w:t>
      </w:r>
      <w:r>
        <w:rPr>
          <w:rFonts w:hint="eastAsia" w:ascii="宋体" w:hAnsi="宋体" w:cs="宋体"/>
          <w:b w:val="0"/>
          <w:bCs w:val="0"/>
          <w:szCs w:val="21"/>
          <w:highlight w:val="none"/>
          <w:lang w:val="en-US" w:eastAsia="zh-CN"/>
        </w:rPr>
        <w:t>现场</w:t>
      </w:r>
      <w:r>
        <w:rPr>
          <w:rFonts w:hint="eastAsia" w:ascii="宋体" w:hAnsi="宋体" w:eastAsia="宋体" w:cs="宋体"/>
          <w:b w:val="0"/>
          <w:bCs w:val="0"/>
          <w:szCs w:val="21"/>
          <w:highlight w:val="none"/>
        </w:rPr>
        <w:t>踏勘以充分了解项目位置、情况、储存空间、装卸限制及任何其他足以影响</w:t>
      </w:r>
      <w:r>
        <w:rPr>
          <w:rFonts w:hint="eastAsia" w:ascii="宋体" w:hAnsi="宋体" w:cs="宋体"/>
          <w:b w:val="0"/>
          <w:bCs w:val="0"/>
          <w:szCs w:val="21"/>
          <w:highlight w:val="none"/>
          <w:lang w:val="en-US" w:eastAsia="zh-CN"/>
        </w:rPr>
        <w:t>投标报价</w:t>
      </w:r>
      <w:r>
        <w:rPr>
          <w:rFonts w:hint="eastAsia" w:ascii="宋体" w:hAnsi="宋体" w:eastAsia="宋体" w:cs="宋体"/>
          <w:b w:val="0"/>
          <w:bCs w:val="0"/>
          <w:szCs w:val="21"/>
          <w:highlight w:val="none"/>
        </w:rPr>
        <w:t>的情况，任何因忽视或误解服务地点情况而导致的索赔或服务周期延长申请将不被批准。</w:t>
      </w:r>
    </w:p>
    <w:p w14:paraId="178FF11C">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3.</w:t>
      </w:r>
      <w:r>
        <w:rPr>
          <w:rFonts w:hint="eastAsia" w:ascii="宋体" w:hAnsi="宋体" w:cs="宋体"/>
          <w:b w:val="0"/>
          <w:bCs w:val="0"/>
          <w:szCs w:val="21"/>
          <w:highlight w:val="none"/>
          <w:lang w:val="en-US" w:eastAsia="zh-CN"/>
        </w:rPr>
        <w:t>9</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在投标时务必按照</w:t>
      </w:r>
      <w:r>
        <w:rPr>
          <w:rFonts w:hint="eastAsia" w:ascii="宋体" w:hAnsi="宋体" w:cs="宋体"/>
          <w:b w:val="0"/>
          <w:bCs w:val="0"/>
          <w:szCs w:val="21"/>
          <w:highlight w:val="none"/>
          <w:lang w:val="en-US" w:eastAsia="zh-CN"/>
        </w:rPr>
        <w:t>竞争性磋商文件中</w:t>
      </w:r>
      <w:r>
        <w:rPr>
          <w:rFonts w:hint="eastAsia" w:ascii="宋体" w:hAnsi="宋体" w:eastAsia="宋体" w:cs="宋体"/>
          <w:b w:val="0"/>
          <w:bCs w:val="0"/>
          <w:szCs w:val="21"/>
          <w:highlight w:val="none"/>
        </w:rPr>
        <w:t>提供的格式进行报价。</w:t>
      </w:r>
    </w:p>
    <w:p w14:paraId="127DE102">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lang w:eastAsia="zh-CN"/>
        </w:rPr>
      </w:pPr>
      <w:r>
        <w:rPr>
          <w:rFonts w:hint="eastAsia" w:ascii="宋体" w:hAnsi="宋体" w:eastAsia="宋体" w:cs="宋体"/>
          <w:b w:val="0"/>
          <w:bCs w:val="0"/>
          <w:szCs w:val="21"/>
          <w:highlight w:val="none"/>
        </w:rPr>
        <w:t>4.</w:t>
      </w:r>
      <w:r>
        <w:rPr>
          <w:rFonts w:hint="eastAsia" w:ascii="宋体" w:hAnsi="宋体" w:eastAsia="宋体" w:cs="宋体"/>
          <w:b w:val="0"/>
          <w:bCs w:val="0"/>
          <w:szCs w:val="21"/>
          <w:highlight w:val="none"/>
          <w:lang w:val="en-US" w:eastAsia="zh-CN"/>
        </w:rPr>
        <w:t xml:space="preserve"> </w:t>
      </w:r>
      <w:r>
        <w:rPr>
          <w:rFonts w:hint="eastAsia" w:ascii="宋体" w:hAnsi="宋体" w:cs="宋体"/>
          <w:b w:val="0"/>
          <w:bCs w:val="0"/>
          <w:szCs w:val="21"/>
          <w:highlight w:val="none"/>
          <w:lang w:val="en-US" w:eastAsia="zh-CN"/>
        </w:rPr>
        <w:t>投标</w:t>
      </w:r>
      <w:r>
        <w:rPr>
          <w:rFonts w:hint="eastAsia" w:ascii="宋体" w:hAnsi="宋体" w:eastAsia="宋体" w:cs="宋体"/>
          <w:b w:val="0"/>
          <w:bCs w:val="0"/>
          <w:szCs w:val="21"/>
          <w:highlight w:val="none"/>
        </w:rPr>
        <w:t>保证金</w:t>
      </w:r>
      <w:r>
        <w:rPr>
          <w:rFonts w:hint="eastAsia" w:ascii="宋体" w:hAnsi="宋体" w:cs="宋体"/>
          <w:b w:val="0"/>
          <w:bCs w:val="0"/>
          <w:szCs w:val="21"/>
          <w:highlight w:val="none"/>
          <w:lang w:eastAsia="zh-CN"/>
        </w:rPr>
        <w:t>（</w:t>
      </w:r>
      <w:r>
        <w:rPr>
          <w:rFonts w:hint="eastAsia" w:ascii="宋体" w:hAnsi="宋体" w:cs="宋体"/>
          <w:b w:val="0"/>
          <w:bCs w:val="0"/>
          <w:szCs w:val="21"/>
          <w:highlight w:val="none"/>
          <w:lang w:val="en-US" w:eastAsia="zh-CN"/>
        </w:rPr>
        <w:t>本项目不适用</w:t>
      </w:r>
      <w:r>
        <w:rPr>
          <w:rFonts w:hint="eastAsia" w:ascii="宋体" w:hAnsi="宋体" w:cs="宋体"/>
          <w:b w:val="0"/>
          <w:bCs w:val="0"/>
          <w:szCs w:val="21"/>
          <w:highlight w:val="none"/>
          <w:lang w:eastAsia="zh-CN"/>
        </w:rPr>
        <w:t>）</w:t>
      </w:r>
    </w:p>
    <w:p w14:paraId="6700F8A9">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4.1</w:t>
      </w:r>
      <w:r>
        <w:rPr>
          <w:rFonts w:hint="eastAsia" w:ascii="宋体" w:hAnsi="宋体" w:eastAsia="宋体" w:cs="宋体"/>
          <w:b w:val="0"/>
          <w:bCs w:val="0"/>
          <w:szCs w:val="21"/>
          <w:highlight w:val="none"/>
          <w:lang w:val="en-US" w:eastAsia="zh-CN"/>
        </w:rPr>
        <w:t>供应商应按供应商须知前附表要求的金额和方式并于投标截止日前递交至采购代理机构（以实际到账为准）</w:t>
      </w:r>
      <w:r>
        <w:rPr>
          <w:rFonts w:hint="eastAsia" w:ascii="宋体" w:hAnsi="宋体" w:eastAsia="宋体" w:cs="宋体"/>
          <w:b w:val="0"/>
          <w:bCs w:val="0"/>
          <w:szCs w:val="21"/>
          <w:highlight w:val="none"/>
        </w:rPr>
        <w:t>，并作为其响应文件的一部分。</w:t>
      </w:r>
    </w:p>
    <w:p w14:paraId="4450F5E0">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4.2下列任何情况发生，</w:t>
      </w:r>
      <w:r>
        <w:rPr>
          <w:rFonts w:hint="eastAsia" w:ascii="宋体" w:hAnsi="宋体" w:cs="宋体"/>
          <w:b w:val="0"/>
          <w:bCs w:val="0"/>
          <w:szCs w:val="21"/>
          <w:highlight w:val="none"/>
          <w:lang w:val="en-US" w:eastAsia="zh-CN"/>
        </w:rPr>
        <w:t>投标</w:t>
      </w:r>
      <w:r>
        <w:rPr>
          <w:rFonts w:hint="eastAsia" w:ascii="宋体" w:hAnsi="宋体" w:eastAsia="宋体" w:cs="宋体"/>
          <w:b w:val="0"/>
          <w:bCs w:val="0"/>
          <w:szCs w:val="21"/>
          <w:highlight w:val="none"/>
        </w:rPr>
        <w:t>保证金将被没收：</w:t>
      </w:r>
    </w:p>
    <w:p w14:paraId="53F60563">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（1）在递交响应文件之日后到有效期满前，</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擅自退出的；</w:t>
      </w:r>
    </w:p>
    <w:p w14:paraId="48F1CD31">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lang w:eastAsia="zh-CN"/>
        </w:rPr>
      </w:pPr>
      <w:r>
        <w:rPr>
          <w:rFonts w:hint="eastAsia" w:ascii="宋体" w:hAnsi="宋体" w:eastAsia="宋体" w:cs="宋体"/>
          <w:b w:val="0"/>
          <w:bCs w:val="0"/>
          <w:szCs w:val="21"/>
          <w:highlight w:val="none"/>
        </w:rPr>
        <w:t>（2）成交</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在规定的时间内不与</w:t>
      </w:r>
      <w:r>
        <w:rPr>
          <w:rFonts w:hint="eastAsia" w:ascii="宋体" w:hAnsi="宋体" w:eastAsia="宋体" w:cs="宋体"/>
          <w:b w:val="0"/>
          <w:bCs w:val="0"/>
          <w:szCs w:val="21"/>
          <w:highlight w:val="none"/>
          <w:lang w:val="en-US" w:eastAsia="zh-CN"/>
        </w:rPr>
        <w:t>采购人</w:t>
      </w:r>
      <w:r>
        <w:rPr>
          <w:rFonts w:hint="eastAsia" w:ascii="宋体" w:hAnsi="宋体" w:eastAsia="宋体" w:cs="宋体"/>
          <w:b w:val="0"/>
          <w:bCs w:val="0"/>
          <w:szCs w:val="21"/>
          <w:highlight w:val="none"/>
        </w:rPr>
        <w:t>签订合同的</w:t>
      </w:r>
      <w:r>
        <w:rPr>
          <w:rFonts w:hint="eastAsia" w:ascii="宋体" w:hAnsi="宋体" w:cs="宋体"/>
          <w:b w:val="0"/>
          <w:bCs w:val="0"/>
          <w:szCs w:val="21"/>
          <w:highlight w:val="none"/>
          <w:lang w:eastAsia="zh-CN"/>
        </w:rPr>
        <w:t>。</w:t>
      </w:r>
    </w:p>
    <w:p w14:paraId="07FCB7C5">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4.3</w:t>
      </w:r>
      <w:r>
        <w:rPr>
          <w:rFonts w:hint="eastAsia" w:ascii="宋体" w:hAnsi="宋体" w:cs="宋体"/>
          <w:b w:val="0"/>
          <w:bCs w:val="0"/>
          <w:szCs w:val="21"/>
          <w:highlight w:val="none"/>
          <w:lang w:val="en-US" w:eastAsia="zh-CN"/>
        </w:rPr>
        <w:t>投标</w:t>
      </w:r>
      <w:r>
        <w:rPr>
          <w:rFonts w:hint="eastAsia" w:ascii="宋体" w:hAnsi="宋体" w:eastAsia="宋体" w:cs="宋体"/>
          <w:b w:val="0"/>
          <w:bCs w:val="0"/>
          <w:szCs w:val="21"/>
          <w:highlight w:val="none"/>
        </w:rPr>
        <w:t>保证金的递交形式详见</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须知前附表。</w:t>
      </w:r>
    </w:p>
    <w:p w14:paraId="4B3B2BF1">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4.4凡未按</w:t>
      </w:r>
      <w:r>
        <w:rPr>
          <w:rFonts w:hint="eastAsia" w:ascii="宋体" w:hAnsi="宋体" w:cs="宋体"/>
          <w:b w:val="0"/>
          <w:bCs w:val="0"/>
          <w:szCs w:val="21"/>
          <w:highlight w:val="none"/>
          <w:lang w:eastAsia="zh-CN"/>
        </w:rPr>
        <w:t>竞争性磋商文件</w:t>
      </w:r>
      <w:r>
        <w:rPr>
          <w:rFonts w:hint="eastAsia" w:ascii="宋体" w:hAnsi="宋体" w:eastAsia="宋体" w:cs="宋体"/>
          <w:b w:val="0"/>
          <w:bCs w:val="0"/>
          <w:szCs w:val="21"/>
          <w:highlight w:val="none"/>
        </w:rPr>
        <w:t>要求提交</w:t>
      </w:r>
      <w:r>
        <w:rPr>
          <w:rFonts w:hint="eastAsia" w:ascii="宋体" w:hAnsi="宋体" w:cs="宋体"/>
          <w:b w:val="0"/>
          <w:bCs w:val="0"/>
          <w:szCs w:val="21"/>
          <w:highlight w:val="none"/>
          <w:lang w:val="en-US" w:eastAsia="zh-CN"/>
        </w:rPr>
        <w:t>投标</w:t>
      </w:r>
      <w:r>
        <w:rPr>
          <w:rFonts w:hint="eastAsia" w:ascii="宋体" w:hAnsi="宋体" w:eastAsia="宋体" w:cs="宋体"/>
          <w:b w:val="0"/>
          <w:bCs w:val="0"/>
          <w:szCs w:val="21"/>
          <w:highlight w:val="none"/>
        </w:rPr>
        <w:t>保证金的，将被视为非响应性而予以拒绝。</w:t>
      </w:r>
    </w:p>
    <w:p w14:paraId="0EEF3EC2">
      <w:pPr>
        <w:keepNext w:val="0"/>
        <w:keepLines w:val="0"/>
        <w:pageBreakBefore w:val="0"/>
        <w:numPr>
          <w:ilvl w:val="0"/>
          <w:numId w:val="0"/>
        </w:numPr>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lang w:val="en-US" w:eastAsia="zh-CN"/>
        </w:rPr>
        <w:t xml:space="preserve">5. </w:t>
      </w:r>
      <w:r>
        <w:rPr>
          <w:rFonts w:hint="eastAsia" w:ascii="宋体" w:hAnsi="宋体" w:eastAsia="宋体" w:cs="宋体"/>
          <w:b w:val="0"/>
          <w:bCs w:val="0"/>
          <w:szCs w:val="21"/>
          <w:highlight w:val="none"/>
        </w:rPr>
        <w:t>有效期</w:t>
      </w:r>
    </w:p>
    <w:p w14:paraId="1D0DF85E">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5.1响应文件应在规定的递交截止日后</w:t>
      </w:r>
      <w:r>
        <w:rPr>
          <w:rFonts w:hint="eastAsia" w:ascii="宋体" w:hAnsi="宋体" w:eastAsia="宋体" w:cs="宋体"/>
          <w:b w:val="0"/>
          <w:bCs w:val="0"/>
          <w:szCs w:val="21"/>
          <w:highlight w:val="none"/>
          <w:u w:val="single"/>
        </w:rPr>
        <w:t>90</w:t>
      </w:r>
      <w:r>
        <w:rPr>
          <w:rFonts w:hint="eastAsia" w:ascii="宋体" w:hAnsi="宋体" w:eastAsia="宋体" w:cs="宋体"/>
          <w:b w:val="0"/>
          <w:bCs w:val="0"/>
          <w:szCs w:val="21"/>
          <w:highlight w:val="none"/>
        </w:rPr>
        <w:t>天内保持有效，有效期不满足要求的响应文件将被视为非实质性响应而予以拒绝。</w:t>
      </w:r>
    </w:p>
    <w:p w14:paraId="748B4895">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 xml:space="preserve">5.2 </w:t>
      </w:r>
      <w:r>
        <w:rPr>
          <w:rFonts w:hint="eastAsia" w:ascii="宋体" w:hAnsi="宋体" w:cs="宋体"/>
          <w:szCs w:val="21"/>
          <w:highlight w:val="none"/>
          <w:lang w:val="en-US" w:eastAsia="zh-CN"/>
        </w:rPr>
        <w:t>采购人</w:t>
      </w:r>
      <w:r>
        <w:rPr>
          <w:rFonts w:hint="eastAsia" w:ascii="宋体" w:hAnsi="宋体" w:eastAsia="宋体" w:cs="宋体"/>
          <w:b w:val="0"/>
          <w:bCs w:val="0"/>
          <w:szCs w:val="21"/>
          <w:highlight w:val="none"/>
        </w:rPr>
        <w:t>可根据实际情况，在原有效期截止之前，要求</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同意延长有效期。接受该要求的</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将不得要求修正其报价，且本须知中有关保证金的要求将在延长的有效期内继续有效。</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也可以拒绝</w:t>
      </w:r>
      <w:r>
        <w:rPr>
          <w:rFonts w:hint="eastAsia" w:ascii="宋体" w:hAnsi="宋体" w:cs="宋体"/>
          <w:szCs w:val="21"/>
          <w:highlight w:val="none"/>
          <w:lang w:val="en-US" w:eastAsia="zh-CN"/>
        </w:rPr>
        <w:t>采购人</w:t>
      </w:r>
      <w:r>
        <w:rPr>
          <w:rFonts w:hint="eastAsia" w:ascii="宋体" w:hAnsi="宋体" w:eastAsia="宋体" w:cs="宋体"/>
          <w:b w:val="0"/>
          <w:bCs w:val="0"/>
          <w:szCs w:val="21"/>
          <w:highlight w:val="none"/>
        </w:rPr>
        <w:t>的这种要求，其保证金将不会被没收。上述要求和答复都应以书面形式提交。</w:t>
      </w:r>
    </w:p>
    <w:p w14:paraId="5C94EB66">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6.</w:t>
      </w:r>
      <w:r>
        <w:rPr>
          <w:rFonts w:hint="eastAsia" w:ascii="宋体" w:hAnsi="宋体" w:eastAsia="宋体" w:cs="宋体"/>
          <w:b w:val="0"/>
          <w:bCs w:val="0"/>
          <w:szCs w:val="21"/>
          <w:highlight w:val="none"/>
          <w:lang w:val="en-US" w:eastAsia="zh-CN"/>
        </w:rPr>
        <w:t xml:space="preserve"> </w:t>
      </w:r>
      <w:r>
        <w:rPr>
          <w:rFonts w:hint="eastAsia" w:ascii="宋体" w:hAnsi="宋体" w:eastAsia="宋体" w:cs="宋体"/>
          <w:b w:val="0"/>
          <w:bCs w:val="0"/>
          <w:szCs w:val="21"/>
          <w:highlight w:val="none"/>
        </w:rPr>
        <w:t>响应文件的签署及规定</w:t>
      </w:r>
    </w:p>
    <w:p w14:paraId="0D46C68D">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b w:val="0"/>
          <w:bCs w:val="0"/>
          <w:szCs w:val="21"/>
          <w:highlight w:val="none"/>
        </w:rPr>
        <w:t>6.1</w:t>
      </w:r>
      <w:r>
        <w:rPr>
          <w:rFonts w:hint="eastAsia" w:ascii="宋体" w:hAnsi="宋体" w:cs="宋体"/>
          <w:b w:val="0"/>
          <w:bCs w:val="0"/>
          <w:szCs w:val="21"/>
          <w:highlight w:val="none"/>
          <w:lang w:val="zh-CN"/>
        </w:rPr>
        <w:t>响应文件</w:t>
      </w:r>
      <w:r>
        <w:rPr>
          <w:rFonts w:hint="eastAsia" w:ascii="宋体" w:hAnsi="宋体" w:eastAsia="宋体" w:cs="宋体"/>
          <w:b w:val="0"/>
          <w:bCs w:val="0"/>
          <w:szCs w:val="21"/>
          <w:highlight w:val="none"/>
          <w:lang w:val="zh-CN"/>
        </w:rPr>
        <w:t>份数：</w:t>
      </w:r>
      <w:r>
        <w:rPr>
          <w:rFonts w:hint="eastAsia" w:ascii="宋体" w:hAnsi="宋体" w:cs="宋体"/>
          <w:b w:val="0"/>
          <w:bCs w:val="0"/>
          <w:szCs w:val="21"/>
          <w:highlight w:val="none"/>
          <w:lang w:val="en-US" w:eastAsia="zh-CN"/>
        </w:rPr>
        <w:t>成交</w:t>
      </w:r>
      <w:r>
        <w:rPr>
          <w:rFonts w:hint="eastAsia" w:ascii="宋体" w:hAnsi="宋体" w:cs="宋体"/>
          <w:b w:val="0"/>
          <w:bCs w:val="0"/>
          <w:szCs w:val="21"/>
          <w:highlight w:val="none"/>
          <w:lang w:val="zh-CN"/>
        </w:rPr>
        <w:t>供应商</w:t>
      </w:r>
      <w:r>
        <w:rPr>
          <w:rFonts w:hint="eastAsia" w:ascii="宋体" w:hAnsi="宋体" w:cs="宋体"/>
          <w:b w:val="0"/>
          <w:bCs w:val="0"/>
          <w:szCs w:val="21"/>
          <w:highlight w:val="none"/>
          <w:lang w:val="en-US" w:eastAsia="zh-CN"/>
        </w:rPr>
        <w:t>在成交结果公告发布后的1个工作日内</w:t>
      </w:r>
      <w:r>
        <w:rPr>
          <w:rFonts w:hint="eastAsia" w:ascii="宋体" w:hAnsi="宋体" w:eastAsia="宋体" w:cs="宋体"/>
          <w:b w:val="0"/>
          <w:bCs w:val="0"/>
          <w:szCs w:val="21"/>
          <w:highlight w:val="none"/>
          <w:lang w:val="zh-CN"/>
        </w:rPr>
        <w:t>应提交</w:t>
      </w:r>
      <w:r>
        <w:rPr>
          <w:rFonts w:hint="eastAsia" w:ascii="宋体" w:hAnsi="宋体" w:cs="宋体"/>
          <w:b w:val="0"/>
          <w:bCs w:val="0"/>
          <w:szCs w:val="21"/>
          <w:highlight w:val="none"/>
          <w:lang w:val="zh-CN"/>
        </w:rPr>
        <w:t>响应文件</w:t>
      </w:r>
      <w:r>
        <w:rPr>
          <w:rFonts w:hint="eastAsia" w:ascii="宋体" w:hAnsi="宋体" w:eastAsia="宋体" w:cs="宋体"/>
          <w:b w:val="0"/>
          <w:bCs w:val="0"/>
          <w:szCs w:val="21"/>
          <w:highlight w:val="none"/>
          <w:lang w:val="zh-CN"/>
        </w:rPr>
        <w:t>正本1份、副本</w:t>
      </w:r>
      <w:r>
        <w:rPr>
          <w:rFonts w:hint="eastAsia" w:ascii="宋体" w:hAnsi="宋体" w:cs="宋体"/>
          <w:b w:val="0"/>
          <w:bCs w:val="0"/>
          <w:szCs w:val="21"/>
          <w:highlight w:val="none"/>
          <w:lang w:val="en-US" w:eastAsia="zh-CN"/>
        </w:rPr>
        <w:t>3</w:t>
      </w:r>
      <w:r>
        <w:rPr>
          <w:rFonts w:hint="eastAsia" w:ascii="宋体" w:hAnsi="宋体" w:eastAsia="宋体" w:cs="宋体"/>
          <w:b w:val="0"/>
          <w:bCs w:val="0"/>
          <w:szCs w:val="21"/>
          <w:highlight w:val="none"/>
          <w:lang w:val="zh-CN"/>
        </w:rPr>
        <w:t>份，并标明“正本”、“副本”字样，当正本与副本内容不一致时，以正</w:t>
      </w:r>
      <w:r>
        <w:rPr>
          <w:rFonts w:hint="eastAsia" w:ascii="宋体" w:hAnsi="宋体" w:eastAsia="宋体" w:cs="宋体"/>
          <w:szCs w:val="21"/>
          <w:highlight w:val="none"/>
          <w:lang w:val="zh-CN"/>
        </w:rPr>
        <w:t>本为准</w:t>
      </w:r>
      <w:r>
        <w:rPr>
          <w:rFonts w:hint="eastAsia" w:ascii="宋体" w:hAnsi="宋体" w:eastAsia="宋体" w:cs="宋体"/>
          <w:szCs w:val="21"/>
          <w:highlight w:val="none"/>
        </w:rPr>
        <w:t>。</w:t>
      </w:r>
    </w:p>
    <w:p w14:paraId="3ED3046A">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6.2响应文件的正本需打印或用不褪色墨水书写，并由</w:t>
      </w:r>
      <w:r>
        <w:rPr>
          <w:rFonts w:hint="eastAsia" w:ascii="宋体" w:hAnsi="宋体" w:cs="宋体"/>
          <w:szCs w:val="21"/>
          <w:highlight w:val="none"/>
          <w:lang w:eastAsia="zh-CN"/>
        </w:rPr>
        <w:t>供应商</w:t>
      </w:r>
      <w:r>
        <w:rPr>
          <w:rFonts w:hint="eastAsia" w:ascii="宋体" w:hAnsi="宋体" w:eastAsia="宋体" w:cs="宋体"/>
          <w:szCs w:val="21"/>
          <w:highlight w:val="none"/>
        </w:rPr>
        <w:t>的法定代表人或经其授权的代表在响应文件上签字并加盖单位印章。如响应文件需进行修改，则应有</w:t>
      </w:r>
      <w:r>
        <w:rPr>
          <w:rFonts w:hint="eastAsia" w:ascii="宋体" w:hAnsi="宋体" w:cs="宋体"/>
          <w:szCs w:val="21"/>
          <w:highlight w:val="none"/>
          <w:lang w:eastAsia="zh-CN"/>
        </w:rPr>
        <w:t>供应商</w:t>
      </w:r>
      <w:r>
        <w:rPr>
          <w:rFonts w:hint="eastAsia" w:ascii="宋体" w:hAnsi="宋体" w:eastAsia="宋体" w:cs="宋体"/>
          <w:szCs w:val="21"/>
          <w:highlight w:val="none"/>
        </w:rPr>
        <w:t>的法定代表人或经其授权的代表在修改的每一页上签字。响应文件的副本可以是正本的复印件。</w:t>
      </w:r>
    </w:p>
    <w:p w14:paraId="2E8F7DBE">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6.3任何行间插字、涂改和增删，必须由磋商招标响应按文件签字人签字或盖章后才有效。</w:t>
      </w:r>
    </w:p>
    <w:p w14:paraId="007E5AC0">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6.4响应文件因字迹潦草或表达不清所引起的后果由</w:t>
      </w:r>
      <w:r>
        <w:rPr>
          <w:rFonts w:hint="eastAsia" w:ascii="宋体" w:hAnsi="宋体" w:cs="宋体"/>
          <w:szCs w:val="21"/>
          <w:highlight w:val="none"/>
          <w:lang w:eastAsia="zh-CN"/>
        </w:rPr>
        <w:t>供应商</w:t>
      </w:r>
      <w:r>
        <w:rPr>
          <w:rFonts w:hint="eastAsia" w:ascii="宋体" w:hAnsi="宋体" w:eastAsia="宋体" w:cs="宋体"/>
          <w:szCs w:val="21"/>
          <w:highlight w:val="none"/>
        </w:rPr>
        <w:t>负责。</w:t>
      </w:r>
    </w:p>
    <w:p w14:paraId="5BA72BB1">
      <w:pPr>
        <w:keepNext w:val="0"/>
        <w:keepLines w:val="0"/>
        <w:pageBreakBefore w:val="0"/>
        <w:kinsoku/>
        <w:wordWrap/>
        <w:overflowPunct/>
        <w:topLinePunct w:val="0"/>
        <w:bidi w:val="0"/>
        <w:snapToGrid/>
        <w:spacing w:line="360" w:lineRule="auto"/>
        <w:ind w:firstLine="422" w:firstLineChars="200"/>
        <w:jc w:val="left"/>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第四部分</w:t>
      </w:r>
      <w:r>
        <w:rPr>
          <w:rFonts w:hint="eastAsia" w:ascii="宋体" w:hAnsi="宋体" w:cs="宋体"/>
          <w:b/>
          <w:bCs/>
          <w:szCs w:val="21"/>
          <w:highlight w:val="none"/>
          <w:lang w:eastAsia="zh-CN"/>
        </w:rPr>
        <w:t>、</w:t>
      </w:r>
      <w:r>
        <w:rPr>
          <w:rFonts w:hint="eastAsia" w:ascii="宋体" w:hAnsi="宋体" w:eastAsia="宋体" w:cs="宋体"/>
          <w:b/>
          <w:bCs/>
          <w:szCs w:val="21"/>
          <w:highlight w:val="none"/>
        </w:rPr>
        <w:t>响应文件的递交</w:t>
      </w:r>
    </w:p>
    <w:p w14:paraId="0B2142D8">
      <w:pPr>
        <w:keepNext w:val="0"/>
        <w:keepLines w:val="0"/>
        <w:pageBreakBefore w:val="0"/>
        <w:numPr>
          <w:ilvl w:val="0"/>
          <w:numId w:val="3"/>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响应文件的密封和标记</w:t>
      </w:r>
      <w:r>
        <w:rPr>
          <w:rFonts w:hint="eastAsia" w:ascii="宋体" w:hAnsi="宋体" w:cs="宋体"/>
          <w:szCs w:val="21"/>
          <w:highlight w:val="none"/>
          <w:lang w:eastAsia="zh-CN"/>
        </w:rPr>
        <w:t>：</w:t>
      </w:r>
      <w:r>
        <w:rPr>
          <w:rFonts w:hint="eastAsia" w:ascii="宋体" w:hAnsi="宋体" w:cs="宋体"/>
          <w:szCs w:val="21"/>
          <w:highlight w:val="none"/>
          <w:lang w:val="en-US" w:eastAsia="zh-CN"/>
        </w:rPr>
        <w:t>详见供应商须知前附表第</w:t>
      </w:r>
      <w:r>
        <w:rPr>
          <w:rFonts w:hint="eastAsia" w:ascii="宋体" w:hAnsi="宋体" w:eastAsia="宋体" w:cs="宋体"/>
          <w:sz w:val="21"/>
          <w:szCs w:val="21"/>
          <w:highlight w:val="none"/>
        </w:rPr>
        <w:t>33</w:t>
      </w:r>
      <w:r>
        <w:rPr>
          <w:rFonts w:hint="eastAsia" w:ascii="宋体" w:hAnsi="宋体" w:eastAsia="宋体" w:cs="宋体"/>
          <w:sz w:val="21"/>
          <w:szCs w:val="21"/>
          <w:highlight w:val="none"/>
          <w:lang w:val="en-US" w:eastAsia="zh-CN"/>
        </w:rPr>
        <w:t>项</w:t>
      </w:r>
    </w:p>
    <w:p w14:paraId="4A506A68">
      <w:pPr>
        <w:keepNext w:val="0"/>
        <w:keepLines w:val="0"/>
        <w:pageBreakBefore w:val="0"/>
        <w:numPr>
          <w:ilvl w:val="0"/>
          <w:numId w:val="4"/>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截止期</w:t>
      </w:r>
    </w:p>
    <w:p w14:paraId="1F3640A6">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2.1</w:t>
      </w:r>
      <w:r>
        <w:rPr>
          <w:rFonts w:hint="eastAsia" w:ascii="宋体" w:hAnsi="宋体" w:cs="宋体"/>
          <w:szCs w:val="21"/>
          <w:highlight w:val="none"/>
          <w:lang w:eastAsia="zh-CN"/>
        </w:rPr>
        <w:t>供应商</w:t>
      </w:r>
      <w:r>
        <w:rPr>
          <w:rFonts w:hint="eastAsia" w:ascii="宋体" w:hAnsi="宋体" w:eastAsia="宋体" w:cs="宋体"/>
          <w:szCs w:val="21"/>
          <w:highlight w:val="none"/>
        </w:rPr>
        <w:t>应在</w:t>
      </w:r>
      <w:r>
        <w:rPr>
          <w:rFonts w:hint="eastAsia" w:ascii="宋体" w:hAnsi="宋体" w:cs="宋体"/>
          <w:szCs w:val="21"/>
          <w:highlight w:val="none"/>
          <w:lang w:val="en-US" w:eastAsia="zh-CN"/>
        </w:rPr>
        <w:t>竞争性磋商文件</w:t>
      </w:r>
      <w:r>
        <w:rPr>
          <w:rFonts w:hint="eastAsia" w:ascii="宋体" w:hAnsi="宋体" w:eastAsia="宋体" w:cs="宋体"/>
          <w:szCs w:val="21"/>
          <w:highlight w:val="none"/>
        </w:rPr>
        <w:t>中规定的截止日期和时间内，将响应文件递交至</w:t>
      </w:r>
      <w:r>
        <w:rPr>
          <w:rFonts w:hint="eastAsia" w:ascii="宋体" w:hAnsi="宋体" w:cs="宋体"/>
          <w:szCs w:val="21"/>
          <w:highlight w:val="none"/>
          <w:lang w:val="en-US" w:eastAsia="zh-CN"/>
        </w:rPr>
        <w:t>竞争性磋商文件</w:t>
      </w:r>
      <w:r>
        <w:rPr>
          <w:rFonts w:hint="eastAsia" w:ascii="宋体" w:hAnsi="宋体" w:eastAsia="宋体" w:cs="宋体"/>
          <w:szCs w:val="21"/>
          <w:highlight w:val="none"/>
        </w:rPr>
        <w:t>中规定的地址。</w:t>
      </w:r>
    </w:p>
    <w:p w14:paraId="2981E938">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2.2</w:t>
      </w:r>
      <w:r>
        <w:rPr>
          <w:rFonts w:hint="eastAsia" w:ascii="宋体" w:hAnsi="宋体" w:cs="宋体"/>
          <w:szCs w:val="21"/>
          <w:highlight w:val="none"/>
          <w:lang w:val="en-US" w:eastAsia="zh-CN"/>
        </w:rPr>
        <w:t>采购人</w:t>
      </w:r>
      <w:r>
        <w:rPr>
          <w:rFonts w:hint="eastAsia" w:ascii="宋体" w:hAnsi="宋体" w:eastAsia="宋体" w:cs="宋体"/>
          <w:szCs w:val="21"/>
          <w:highlight w:val="none"/>
        </w:rPr>
        <w:t>有权按本须知的规定，通过修改</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延长响应文件递交的截止日期。在此情况下，</w:t>
      </w:r>
      <w:r>
        <w:rPr>
          <w:rFonts w:hint="eastAsia" w:ascii="宋体" w:hAnsi="宋体" w:cs="宋体"/>
          <w:szCs w:val="21"/>
          <w:highlight w:val="none"/>
          <w:lang w:val="en-US" w:eastAsia="zh-CN"/>
        </w:rPr>
        <w:t>采购人</w:t>
      </w:r>
      <w:r>
        <w:rPr>
          <w:rFonts w:hint="eastAsia" w:ascii="宋体" w:hAnsi="宋体" w:eastAsia="宋体" w:cs="宋体"/>
          <w:szCs w:val="21"/>
          <w:highlight w:val="none"/>
        </w:rPr>
        <w:t>和</w:t>
      </w:r>
      <w:r>
        <w:rPr>
          <w:rFonts w:hint="eastAsia" w:ascii="宋体" w:hAnsi="宋体" w:cs="宋体"/>
          <w:szCs w:val="21"/>
          <w:highlight w:val="none"/>
          <w:lang w:eastAsia="zh-CN"/>
        </w:rPr>
        <w:t>供应商</w:t>
      </w:r>
      <w:r>
        <w:rPr>
          <w:rFonts w:hint="eastAsia" w:ascii="宋体" w:hAnsi="宋体" w:eastAsia="宋体" w:cs="宋体"/>
          <w:szCs w:val="21"/>
          <w:highlight w:val="none"/>
        </w:rPr>
        <w:t>受截止期制约的所有权利和义务均应延长至新的截止期。</w:t>
      </w:r>
    </w:p>
    <w:p w14:paraId="3E32D6BF">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2.3</w:t>
      </w:r>
      <w:r>
        <w:rPr>
          <w:rFonts w:hint="eastAsia" w:ascii="宋体" w:hAnsi="宋体" w:eastAsia="宋体" w:cs="宋体"/>
          <w:szCs w:val="21"/>
          <w:highlight w:val="none"/>
          <w:lang w:val="en-US" w:eastAsia="zh-CN"/>
        </w:rPr>
        <w:t>采购代理机构</w:t>
      </w:r>
      <w:r>
        <w:rPr>
          <w:rFonts w:hint="eastAsia" w:ascii="宋体" w:hAnsi="宋体" w:eastAsia="宋体" w:cs="宋体"/>
          <w:szCs w:val="21"/>
          <w:highlight w:val="none"/>
        </w:rPr>
        <w:t>将拒绝并原封退回在本须知规定的截止期后收到的任何响应文件。</w:t>
      </w:r>
    </w:p>
    <w:p w14:paraId="1FF9F456">
      <w:pPr>
        <w:keepNext w:val="0"/>
        <w:keepLines w:val="0"/>
        <w:pageBreakBefore w:val="0"/>
        <w:numPr>
          <w:ilvl w:val="0"/>
          <w:numId w:val="5"/>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响应文件的修改与撤回</w:t>
      </w:r>
    </w:p>
    <w:p w14:paraId="23CDD6DB">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3.1响应文件递交以后，如果</w:t>
      </w:r>
      <w:r>
        <w:rPr>
          <w:rFonts w:hint="eastAsia" w:ascii="宋体" w:hAnsi="宋体" w:cs="宋体"/>
          <w:szCs w:val="21"/>
          <w:highlight w:val="none"/>
          <w:lang w:eastAsia="zh-CN"/>
        </w:rPr>
        <w:t>供应商</w:t>
      </w:r>
      <w:r>
        <w:rPr>
          <w:rFonts w:hint="eastAsia" w:ascii="宋体" w:hAnsi="宋体" w:eastAsia="宋体" w:cs="宋体"/>
          <w:szCs w:val="21"/>
          <w:highlight w:val="none"/>
        </w:rPr>
        <w:t>提出书面修改或撤标要求，在响应文件递交截止时间前送达磋商招标邀请书中规定的地点的，</w:t>
      </w:r>
      <w:r>
        <w:rPr>
          <w:rFonts w:hint="eastAsia" w:ascii="宋体" w:hAnsi="宋体" w:eastAsia="宋体" w:cs="宋体"/>
          <w:szCs w:val="21"/>
          <w:highlight w:val="none"/>
          <w:lang w:val="en-US" w:eastAsia="zh-CN"/>
        </w:rPr>
        <w:t>采购代理机构</w:t>
      </w:r>
      <w:r>
        <w:rPr>
          <w:rFonts w:hint="eastAsia" w:ascii="宋体" w:hAnsi="宋体" w:eastAsia="宋体" w:cs="宋体"/>
          <w:szCs w:val="21"/>
          <w:highlight w:val="none"/>
        </w:rPr>
        <w:t>将予以接受。</w:t>
      </w:r>
    </w:p>
    <w:p w14:paraId="615F644B">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3.2</w:t>
      </w:r>
      <w:r>
        <w:rPr>
          <w:rFonts w:hint="eastAsia" w:ascii="宋体" w:hAnsi="宋体" w:cs="宋体"/>
          <w:szCs w:val="21"/>
          <w:highlight w:val="none"/>
          <w:lang w:eastAsia="zh-CN"/>
        </w:rPr>
        <w:t>供应商</w:t>
      </w:r>
      <w:r>
        <w:rPr>
          <w:rFonts w:hint="eastAsia" w:ascii="宋体" w:hAnsi="宋体" w:eastAsia="宋体" w:cs="宋体"/>
          <w:szCs w:val="21"/>
          <w:highlight w:val="none"/>
        </w:rPr>
        <w:t>对响应文件的修改或撤回通知应按本须知规定编制、密封、标记和发送。</w:t>
      </w:r>
    </w:p>
    <w:p w14:paraId="6C4E02C9">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3.3在截止期之后，</w:t>
      </w:r>
      <w:r>
        <w:rPr>
          <w:rFonts w:hint="eastAsia" w:ascii="宋体" w:hAnsi="宋体" w:cs="宋体"/>
          <w:szCs w:val="21"/>
          <w:highlight w:val="none"/>
          <w:lang w:eastAsia="zh-CN"/>
        </w:rPr>
        <w:t>供应商</w:t>
      </w:r>
      <w:r>
        <w:rPr>
          <w:rFonts w:hint="eastAsia" w:ascii="宋体" w:hAnsi="宋体" w:eastAsia="宋体" w:cs="宋体"/>
          <w:szCs w:val="21"/>
          <w:highlight w:val="none"/>
        </w:rPr>
        <w:t>不得对其响应文件做任何修改。</w:t>
      </w:r>
    </w:p>
    <w:p w14:paraId="44EA6120">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3.4从截止期至</w:t>
      </w:r>
      <w:r>
        <w:rPr>
          <w:rFonts w:hint="eastAsia" w:ascii="宋体" w:hAnsi="宋体" w:cs="宋体"/>
          <w:szCs w:val="21"/>
          <w:highlight w:val="none"/>
          <w:lang w:eastAsia="zh-CN"/>
        </w:rPr>
        <w:t>供应商</w:t>
      </w:r>
      <w:r>
        <w:rPr>
          <w:rFonts w:hint="eastAsia" w:ascii="宋体" w:hAnsi="宋体" w:eastAsia="宋体" w:cs="宋体"/>
          <w:szCs w:val="21"/>
          <w:highlight w:val="none"/>
        </w:rPr>
        <w:t>在响应文件格式中确定的报价有效期之间，</w:t>
      </w:r>
      <w:r>
        <w:rPr>
          <w:rFonts w:hint="eastAsia" w:ascii="宋体" w:hAnsi="宋体" w:cs="宋体"/>
          <w:szCs w:val="21"/>
          <w:highlight w:val="none"/>
          <w:lang w:eastAsia="zh-CN"/>
        </w:rPr>
        <w:t>供应商</w:t>
      </w:r>
      <w:r>
        <w:rPr>
          <w:rFonts w:hint="eastAsia" w:ascii="宋体" w:hAnsi="宋体" w:eastAsia="宋体" w:cs="宋体"/>
          <w:szCs w:val="21"/>
          <w:highlight w:val="none"/>
        </w:rPr>
        <w:t>不得撤回其响应文件，否则其</w:t>
      </w:r>
      <w:r>
        <w:rPr>
          <w:rFonts w:hint="eastAsia" w:ascii="宋体" w:hAnsi="宋体" w:cs="宋体"/>
          <w:szCs w:val="21"/>
          <w:highlight w:val="none"/>
          <w:lang w:val="en-US" w:eastAsia="zh-CN"/>
        </w:rPr>
        <w:t>投标</w:t>
      </w:r>
      <w:r>
        <w:rPr>
          <w:rFonts w:hint="eastAsia" w:ascii="宋体" w:hAnsi="宋体" w:eastAsia="宋体" w:cs="宋体"/>
          <w:szCs w:val="21"/>
          <w:highlight w:val="none"/>
        </w:rPr>
        <w:t>保证金将按照本须知的规定不予退回。</w:t>
      </w:r>
    </w:p>
    <w:p w14:paraId="16B7ABC2">
      <w:pPr>
        <w:keepNext w:val="0"/>
        <w:keepLines w:val="0"/>
        <w:pageBreakBefore w:val="0"/>
        <w:kinsoku/>
        <w:wordWrap/>
        <w:overflowPunct/>
        <w:topLinePunct w:val="0"/>
        <w:bidi w:val="0"/>
        <w:snapToGrid/>
        <w:spacing w:line="360" w:lineRule="auto"/>
        <w:ind w:firstLine="422" w:firstLineChars="200"/>
        <w:jc w:val="left"/>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第五部分</w:t>
      </w:r>
      <w:r>
        <w:rPr>
          <w:rFonts w:hint="eastAsia" w:ascii="宋体" w:hAnsi="宋体" w:cs="宋体"/>
          <w:b/>
          <w:bCs/>
          <w:szCs w:val="21"/>
          <w:highlight w:val="none"/>
          <w:lang w:eastAsia="zh-CN"/>
        </w:rPr>
        <w:t>、</w:t>
      </w:r>
      <w:r>
        <w:rPr>
          <w:rFonts w:hint="eastAsia" w:ascii="宋体" w:hAnsi="宋体" w:eastAsia="宋体" w:cs="宋体"/>
          <w:b/>
          <w:bCs/>
          <w:szCs w:val="21"/>
          <w:highlight w:val="none"/>
        </w:rPr>
        <w:t>响应文件的评审</w:t>
      </w:r>
    </w:p>
    <w:p w14:paraId="65889115">
      <w:pPr>
        <w:keepNext w:val="0"/>
        <w:keepLines w:val="0"/>
        <w:pageBreakBefore w:val="0"/>
        <w:numPr>
          <w:ilvl w:val="0"/>
          <w:numId w:val="6"/>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组建磋商小组</w:t>
      </w:r>
    </w:p>
    <w:p w14:paraId="5F417A3B">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磋商小组根据</w:t>
      </w:r>
      <w:r>
        <w:rPr>
          <w:rFonts w:hint="eastAsia" w:ascii="宋体" w:hAnsi="宋体" w:cs="宋体"/>
          <w:szCs w:val="21"/>
          <w:highlight w:val="none"/>
          <w:lang w:val="en-US" w:eastAsia="zh-CN"/>
        </w:rPr>
        <w:t>项目</w:t>
      </w:r>
      <w:r>
        <w:rPr>
          <w:rFonts w:hint="eastAsia" w:ascii="宋体" w:hAnsi="宋体" w:eastAsia="宋体" w:cs="宋体"/>
          <w:szCs w:val="21"/>
          <w:highlight w:val="none"/>
        </w:rPr>
        <w:t>内容的特点进行组建，并负责评审工作。磋商小组的构成及抽取方式详见</w:t>
      </w:r>
      <w:r>
        <w:rPr>
          <w:rFonts w:hint="eastAsia" w:ascii="宋体" w:hAnsi="宋体" w:cs="宋体"/>
          <w:szCs w:val="21"/>
          <w:highlight w:val="none"/>
          <w:lang w:eastAsia="zh-CN"/>
        </w:rPr>
        <w:t>供应商</w:t>
      </w:r>
      <w:r>
        <w:rPr>
          <w:rFonts w:hint="eastAsia" w:ascii="宋体" w:hAnsi="宋体" w:eastAsia="宋体" w:cs="宋体"/>
          <w:szCs w:val="21"/>
          <w:highlight w:val="none"/>
        </w:rPr>
        <w:t>须知前附表。</w:t>
      </w:r>
    </w:p>
    <w:p w14:paraId="69154CEF">
      <w:pPr>
        <w:keepNext w:val="0"/>
        <w:keepLines w:val="0"/>
        <w:pageBreakBefore w:val="0"/>
        <w:numPr>
          <w:ilvl w:val="0"/>
          <w:numId w:val="6"/>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响应文件的初审与澄清</w:t>
      </w:r>
    </w:p>
    <w:p w14:paraId="223E43FD">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响应文件的初审分为形式、资格和响应性评审。形式、资格、响应性评审依据法律、法规和</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的规定，对响应文件中的资格证明、</w:t>
      </w:r>
      <w:r>
        <w:rPr>
          <w:rFonts w:hint="eastAsia" w:ascii="宋体" w:hAnsi="宋体" w:cs="宋体"/>
          <w:szCs w:val="21"/>
          <w:highlight w:val="none"/>
          <w:lang w:val="en-US" w:eastAsia="zh-CN"/>
        </w:rPr>
        <w:t>投标</w:t>
      </w:r>
      <w:r>
        <w:rPr>
          <w:rFonts w:hint="eastAsia" w:ascii="宋体" w:hAnsi="宋体" w:eastAsia="宋体" w:cs="宋体"/>
          <w:szCs w:val="21"/>
          <w:highlight w:val="none"/>
        </w:rPr>
        <w:t>保证金等进行审查，以确定</w:t>
      </w:r>
      <w:r>
        <w:rPr>
          <w:rFonts w:hint="eastAsia" w:ascii="宋体" w:hAnsi="宋体" w:cs="宋体"/>
          <w:szCs w:val="21"/>
          <w:highlight w:val="none"/>
          <w:lang w:eastAsia="zh-CN"/>
        </w:rPr>
        <w:t>供应商</w:t>
      </w:r>
      <w:r>
        <w:rPr>
          <w:rFonts w:hint="eastAsia" w:ascii="宋体" w:hAnsi="宋体" w:eastAsia="宋体" w:cs="宋体"/>
          <w:szCs w:val="21"/>
          <w:highlight w:val="none"/>
        </w:rPr>
        <w:t>是否具备报价资格。</w:t>
      </w:r>
    </w:p>
    <w:p w14:paraId="396EE78B">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响应文件的澄清</w:t>
      </w:r>
    </w:p>
    <w:p w14:paraId="21A56478">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3.1在评审期间，磋商小组有权以书面方式要求</w:t>
      </w:r>
      <w:r>
        <w:rPr>
          <w:rFonts w:hint="eastAsia" w:ascii="宋体" w:hAnsi="宋体" w:cs="宋体"/>
          <w:szCs w:val="21"/>
          <w:highlight w:val="none"/>
          <w:lang w:eastAsia="zh-CN"/>
        </w:rPr>
        <w:t>供应商</w:t>
      </w:r>
      <w:r>
        <w:rPr>
          <w:rFonts w:hint="eastAsia" w:ascii="宋体" w:hAnsi="宋体" w:eastAsia="宋体" w:cs="宋体"/>
          <w:szCs w:val="21"/>
          <w:highlight w:val="none"/>
        </w:rPr>
        <w:t>对其响应文件中含义不明确、对同类问题表述不一致或者有明显文字和计算错误的内容做必要的澄清。</w:t>
      </w:r>
      <w:r>
        <w:rPr>
          <w:rFonts w:hint="eastAsia" w:ascii="宋体" w:hAnsi="宋体" w:cs="宋体"/>
          <w:szCs w:val="21"/>
          <w:highlight w:val="none"/>
          <w:lang w:eastAsia="zh-CN"/>
        </w:rPr>
        <w:t>供应商</w:t>
      </w:r>
      <w:r>
        <w:rPr>
          <w:rFonts w:hint="eastAsia" w:ascii="宋体" w:hAnsi="宋体" w:eastAsia="宋体" w:cs="宋体"/>
          <w:szCs w:val="21"/>
          <w:highlight w:val="none"/>
        </w:rPr>
        <w:t>澄清应在磋商小组规定的时间内以书面方式进行，并不得超出响应文件范围或者改变响应文件的实质性内容。</w:t>
      </w:r>
    </w:p>
    <w:p w14:paraId="6AB0CAFC">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3.2澄清文件将作为响应文件内容的一部分。</w:t>
      </w:r>
    </w:p>
    <w:p w14:paraId="51BF6227">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4.比较与评价</w:t>
      </w:r>
    </w:p>
    <w:p w14:paraId="6354FD91">
      <w:pPr>
        <w:keepNext w:val="0"/>
        <w:keepLines w:val="0"/>
        <w:pageBreakBefore w:val="0"/>
        <w:widowControl/>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4.1经审查合格的响应文件。</w:t>
      </w:r>
    </w:p>
    <w:p w14:paraId="7CA95AFD">
      <w:pPr>
        <w:keepNext w:val="0"/>
        <w:keepLines w:val="0"/>
        <w:pageBreakBefore w:val="0"/>
        <w:widowControl/>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4.1.1磋商小组所有成员应当集中与单一</w:t>
      </w:r>
      <w:r>
        <w:rPr>
          <w:rFonts w:hint="eastAsia" w:ascii="宋体" w:hAnsi="宋体" w:cs="宋体"/>
          <w:szCs w:val="21"/>
          <w:highlight w:val="none"/>
          <w:lang w:eastAsia="zh-CN"/>
        </w:rPr>
        <w:t>供应商</w:t>
      </w:r>
      <w:r>
        <w:rPr>
          <w:rFonts w:hint="eastAsia" w:ascii="宋体" w:hAnsi="宋体" w:eastAsia="宋体" w:cs="宋体"/>
          <w:szCs w:val="21"/>
          <w:highlight w:val="none"/>
        </w:rPr>
        <w:t>分别进行磋商，并给予所有参加磋商的</w:t>
      </w:r>
      <w:r>
        <w:rPr>
          <w:rFonts w:hint="eastAsia" w:ascii="宋体" w:hAnsi="宋体" w:cs="宋体"/>
          <w:szCs w:val="21"/>
          <w:highlight w:val="none"/>
          <w:lang w:eastAsia="zh-CN"/>
        </w:rPr>
        <w:t>供应商</w:t>
      </w:r>
      <w:r>
        <w:rPr>
          <w:rFonts w:hint="eastAsia" w:ascii="宋体" w:hAnsi="宋体" w:eastAsia="宋体" w:cs="宋体"/>
          <w:szCs w:val="21"/>
          <w:highlight w:val="none"/>
        </w:rPr>
        <w:t>平等的磋商机会。在磋商过程中，磋商小组可以根据</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和磋商情况实质性变动</w:t>
      </w:r>
      <w:r>
        <w:rPr>
          <w:rFonts w:hint="eastAsia" w:ascii="宋体" w:hAnsi="宋体" w:cs="宋体"/>
          <w:szCs w:val="21"/>
          <w:highlight w:val="none"/>
          <w:lang w:val="en-US" w:eastAsia="zh-CN"/>
        </w:rPr>
        <w:t>采购</w:t>
      </w:r>
      <w:r>
        <w:rPr>
          <w:rFonts w:hint="eastAsia" w:ascii="宋体" w:hAnsi="宋体" w:eastAsia="宋体" w:cs="宋体"/>
          <w:szCs w:val="21"/>
          <w:highlight w:val="none"/>
        </w:rPr>
        <w:t>需求中的技术、服务要求以及合同草案条款，但不变动</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中的其他内容。实质性变动的内容，须经</w:t>
      </w:r>
      <w:r>
        <w:rPr>
          <w:rFonts w:hint="eastAsia" w:ascii="宋体" w:hAnsi="宋体" w:eastAsia="宋体" w:cs="宋体"/>
          <w:szCs w:val="21"/>
          <w:highlight w:val="none"/>
          <w:lang w:val="en-US" w:eastAsia="zh-CN"/>
        </w:rPr>
        <w:t>采购人</w:t>
      </w:r>
      <w:r>
        <w:rPr>
          <w:rFonts w:hint="eastAsia" w:ascii="宋体" w:hAnsi="宋体" w:eastAsia="宋体" w:cs="宋体"/>
          <w:szCs w:val="21"/>
          <w:highlight w:val="none"/>
        </w:rPr>
        <w:t>代表确认。</w:t>
      </w:r>
    </w:p>
    <w:p w14:paraId="17156143">
      <w:pPr>
        <w:keepNext w:val="0"/>
        <w:keepLines w:val="0"/>
        <w:pageBreakBefore w:val="0"/>
        <w:widowControl/>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4.1.2对</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作出的实质性变动是</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的有效组成部分，磋商小组将及时以书面形式同时通知所有参加磋商的</w:t>
      </w:r>
      <w:r>
        <w:rPr>
          <w:rFonts w:hint="eastAsia" w:ascii="宋体" w:hAnsi="宋体" w:cs="宋体"/>
          <w:szCs w:val="21"/>
          <w:highlight w:val="none"/>
          <w:lang w:eastAsia="zh-CN"/>
        </w:rPr>
        <w:t>供应商</w:t>
      </w:r>
      <w:r>
        <w:rPr>
          <w:rFonts w:hint="eastAsia" w:ascii="宋体" w:hAnsi="宋体" w:eastAsia="宋体" w:cs="宋体"/>
          <w:szCs w:val="21"/>
          <w:highlight w:val="none"/>
        </w:rPr>
        <w:t>。</w:t>
      </w:r>
    </w:p>
    <w:p w14:paraId="6A0B3DE3">
      <w:pPr>
        <w:keepNext w:val="0"/>
        <w:keepLines w:val="0"/>
        <w:pageBreakBefore w:val="0"/>
        <w:widowControl/>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4.1.3</w:t>
      </w:r>
      <w:r>
        <w:rPr>
          <w:rFonts w:hint="eastAsia" w:ascii="宋体" w:hAnsi="宋体" w:cs="宋体"/>
          <w:szCs w:val="21"/>
          <w:highlight w:val="none"/>
          <w:lang w:eastAsia="zh-CN"/>
        </w:rPr>
        <w:t>供应商</w:t>
      </w:r>
      <w:r>
        <w:rPr>
          <w:rFonts w:hint="eastAsia" w:ascii="宋体" w:hAnsi="宋体" w:eastAsia="宋体" w:cs="宋体"/>
          <w:szCs w:val="21"/>
          <w:highlight w:val="none"/>
        </w:rPr>
        <w:t>应当按照</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的变动情况和磋商小组的要求重新提交响应文件，并由其法定代表人或授权代表签字或者加盖公章。由授权代表签字的，应当附法定代表人授权书。</w:t>
      </w:r>
      <w:r>
        <w:rPr>
          <w:rFonts w:hint="eastAsia" w:ascii="宋体" w:hAnsi="宋体" w:cs="宋体"/>
          <w:szCs w:val="21"/>
          <w:highlight w:val="none"/>
          <w:lang w:eastAsia="zh-CN"/>
        </w:rPr>
        <w:t>供应商</w:t>
      </w:r>
      <w:r>
        <w:rPr>
          <w:rFonts w:hint="eastAsia" w:ascii="宋体" w:hAnsi="宋体" w:eastAsia="宋体" w:cs="宋体"/>
          <w:szCs w:val="21"/>
          <w:highlight w:val="none"/>
        </w:rPr>
        <w:t>为自然人的，应当由本人签字并附身份证明。</w:t>
      </w:r>
    </w:p>
    <w:p w14:paraId="0E4A820D">
      <w:pPr>
        <w:keepNext w:val="0"/>
        <w:keepLines w:val="0"/>
        <w:pageBreakBefore w:val="0"/>
        <w:widowControl/>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4.1.4</w:t>
      </w:r>
      <w:r>
        <w:rPr>
          <w:rFonts w:hint="eastAsia" w:ascii="宋体" w:hAnsi="宋体" w:cs="宋体"/>
          <w:szCs w:val="21"/>
          <w:highlight w:val="none"/>
          <w:lang w:val="en-US" w:eastAsia="zh-CN"/>
        </w:rPr>
        <w:t>磋商</w:t>
      </w:r>
      <w:r>
        <w:rPr>
          <w:rFonts w:hint="eastAsia" w:ascii="宋体" w:hAnsi="宋体" w:eastAsia="宋体" w:cs="宋体"/>
          <w:szCs w:val="21"/>
          <w:highlight w:val="none"/>
        </w:rPr>
        <w:t>结束后，磋商小组将要求所有实质性响应的</w:t>
      </w:r>
      <w:r>
        <w:rPr>
          <w:rFonts w:hint="eastAsia" w:ascii="宋体" w:hAnsi="宋体" w:cs="宋体"/>
          <w:szCs w:val="21"/>
          <w:highlight w:val="none"/>
          <w:lang w:eastAsia="zh-CN"/>
        </w:rPr>
        <w:t>供应商</w:t>
      </w:r>
      <w:r>
        <w:rPr>
          <w:rFonts w:hint="eastAsia" w:ascii="宋体" w:hAnsi="宋体" w:eastAsia="宋体" w:cs="宋体"/>
          <w:szCs w:val="21"/>
          <w:highlight w:val="none"/>
        </w:rPr>
        <w:t>在规定时间内提交最后报价，提交最后报价的</w:t>
      </w:r>
      <w:r>
        <w:rPr>
          <w:rFonts w:hint="eastAsia" w:ascii="宋体" w:hAnsi="宋体" w:cs="宋体"/>
          <w:szCs w:val="21"/>
          <w:highlight w:val="none"/>
          <w:lang w:eastAsia="zh-CN"/>
        </w:rPr>
        <w:t>供应商</w:t>
      </w:r>
      <w:r>
        <w:rPr>
          <w:rFonts w:hint="eastAsia" w:ascii="宋体" w:hAnsi="宋体" w:eastAsia="宋体" w:cs="宋体"/>
          <w:szCs w:val="21"/>
          <w:highlight w:val="none"/>
        </w:rPr>
        <w:t>不得少于3家。最后报价是</w:t>
      </w:r>
      <w:r>
        <w:rPr>
          <w:rFonts w:hint="eastAsia" w:ascii="宋体" w:hAnsi="宋体" w:cs="宋体"/>
          <w:szCs w:val="21"/>
          <w:highlight w:val="none"/>
          <w:lang w:eastAsia="zh-CN"/>
        </w:rPr>
        <w:t>供应商</w:t>
      </w:r>
      <w:r>
        <w:rPr>
          <w:rFonts w:hint="eastAsia" w:ascii="宋体" w:hAnsi="宋体" w:eastAsia="宋体" w:cs="宋体"/>
          <w:szCs w:val="21"/>
          <w:highlight w:val="none"/>
        </w:rPr>
        <w:t>响应文件的有效组成部分</w:t>
      </w:r>
      <w:r>
        <w:rPr>
          <w:rFonts w:hint="eastAsia" w:ascii="宋体" w:hAnsi="宋体" w:cs="宋体"/>
          <w:szCs w:val="21"/>
          <w:highlight w:val="none"/>
          <w:lang w:eastAsia="zh-CN"/>
        </w:rPr>
        <w:t>。</w:t>
      </w:r>
    </w:p>
    <w:p w14:paraId="5003B38C">
      <w:pPr>
        <w:keepNext w:val="0"/>
        <w:keepLines w:val="0"/>
        <w:pageBreakBefore w:val="0"/>
        <w:widowControl/>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4.1.5已提交响应文件的</w:t>
      </w:r>
      <w:r>
        <w:rPr>
          <w:rFonts w:hint="eastAsia" w:ascii="宋体" w:hAnsi="宋体" w:cs="宋体"/>
          <w:szCs w:val="21"/>
          <w:highlight w:val="none"/>
          <w:lang w:eastAsia="zh-CN"/>
        </w:rPr>
        <w:t>供应商</w:t>
      </w:r>
      <w:r>
        <w:rPr>
          <w:rFonts w:hint="eastAsia" w:ascii="宋体" w:hAnsi="宋体" w:eastAsia="宋体" w:cs="宋体"/>
          <w:szCs w:val="21"/>
          <w:highlight w:val="none"/>
        </w:rPr>
        <w:t>，在提交最后报价之前，可以根据磋商情况退出磋商</w:t>
      </w:r>
      <w:r>
        <w:rPr>
          <w:rFonts w:hint="eastAsia" w:ascii="宋体" w:hAnsi="宋体" w:cs="宋体"/>
          <w:szCs w:val="21"/>
          <w:highlight w:val="none"/>
          <w:lang w:val="en-US" w:eastAsia="zh-CN"/>
        </w:rPr>
        <w:t>活动</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采购人</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采购代理机构</w:t>
      </w:r>
      <w:r>
        <w:rPr>
          <w:rFonts w:hint="eastAsia" w:ascii="宋体" w:hAnsi="宋体" w:eastAsia="宋体" w:cs="宋体"/>
          <w:szCs w:val="21"/>
          <w:highlight w:val="none"/>
        </w:rPr>
        <w:t>将退还退出磋商招标的</w:t>
      </w:r>
      <w:r>
        <w:rPr>
          <w:rFonts w:hint="eastAsia" w:ascii="宋体" w:hAnsi="宋体" w:cs="宋体"/>
          <w:szCs w:val="21"/>
          <w:highlight w:val="none"/>
          <w:lang w:eastAsia="zh-CN"/>
        </w:rPr>
        <w:t>供应商</w:t>
      </w:r>
      <w:r>
        <w:rPr>
          <w:rFonts w:hint="eastAsia" w:ascii="宋体" w:hAnsi="宋体" w:eastAsia="宋体" w:cs="宋体"/>
          <w:szCs w:val="21"/>
          <w:highlight w:val="none"/>
        </w:rPr>
        <w:t>的磋商招标保证金。</w:t>
      </w:r>
    </w:p>
    <w:p w14:paraId="3BD67280">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4.1.6经确定最终采购需求和提交最后报价的</w:t>
      </w:r>
      <w:r>
        <w:rPr>
          <w:rFonts w:hint="eastAsia" w:ascii="宋体" w:hAnsi="宋体" w:cs="宋体"/>
          <w:szCs w:val="21"/>
          <w:highlight w:val="none"/>
          <w:lang w:eastAsia="zh-CN"/>
        </w:rPr>
        <w:t>供应商</w:t>
      </w:r>
      <w:r>
        <w:rPr>
          <w:rFonts w:hint="eastAsia" w:ascii="宋体" w:hAnsi="宋体" w:eastAsia="宋体" w:cs="宋体"/>
          <w:szCs w:val="21"/>
          <w:highlight w:val="none"/>
        </w:rPr>
        <w:t>后，由磋商小组采用综合评分法对提交最后报价的</w:t>
      </w:r>
      <w:r>
        <w:rPr>
          <w:rFonts w:hint="eastAsia" w:ascii="宋体" w:hAnsi="宋体" w:cs="宋体"/>
          <w:szCs w:val="21"/>
          <w:highlight w:val="none"/>
          <w:lang w:eastAsia="zh-CN"/>
        </w:rPr>
        <w:t>供应商</w:t>
      </w:r>
      <w:r>
        <w:rPr>
          <w:rFonts w:hint="eastAsia" w:ascii="宋体" w:hAnsi="宋体" w:eastAsia="宋体" w:cs="宋体"/>
          <w:szCs w:val="21"/>
          <w:highlight w:val="none"/>
        </w:rPr>
        <w:t>的响应文件和最后报价进行综合评分。</w:t>
      </w:r>
    </w:p>
    <w:p w14:paraId="4F362712">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4.2评审严格按照</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的要求和条件进行。评审时将考虑以下因素：</w:t>
      </w:r>
    </w:p>
    <w:p w14:paraId="27D077E9">
      <w:pPr>
        <w:keepNext w:val="0"/>
        <w:keepLines w:val="0"/>
        <w:pageBreakBefore w:val="0"/>
        <w:numPr>
          <w:ilvl w:val="0"/>
          <w:numId w:val="7"/>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cs="宋体"/>
          <w:szCs w:val="21"/>
          <w:highlight w:val="none"/>
          <w:lang w:eastAsia="zh-CN"/>
        </w:rPr>
        <w:t>供应商</w:t>
      </w:r>
      <w:r>
        <w:rPr>
          <w:rFonts w:hint="eastAsia" w:ascii="宋体" w:hAnsi="宋体" w:eastAsia="宋体" w:cs="宋体"/>
          <w:szCs w:val="21"/>
          <w:highlight w:val="none"/>
        </w:rPr>
        <w:t>资信实力；</w:t>
      </w:r>
    </w:p>
    <w:p w14:paraId="0923DFC4">
      <w:pPr>
        <w:keepNext w:val="0"/>
        <w:keepLines w:val="0"/>
        <w:pageBreakBefore w:val="0"/>
        <w:numPr>
          <w:ilvl w:val="0"/>
          <w:numId w:val="7"/>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报价的合理性；</w:t>
      </w:r>
    </w:p>
    <w:p w14:paraId="44E07537">
      <w:pPr>
        <w:keepNext w:val="0"/>
        <w:keepLines w:val="0"/>
        <w:pageBreakBefore w:val="0"/>
        <w:numPr>
          <w:ilvl w:val="0"/>
          <w:numId w:val="7"/>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技术服务方案； </w:t>
      </w:r>
    </w:p>
    <w:p w14:paraId="4E3C4F5D">
      <w:pPr>
        <w:keepNext w:val="0"/>
        <w:keepLines w:val="0"/>
        <w:pageBreakBefore w:val="0"/>
        <w:numPr>
          <w:ilvl w:val="0"/>
          <w:numId w:val="7"/>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商务响应；</w:t>
      </w:r>
    </w:p>
    <w:p w14:paraId="12BB5D75">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4.3本次评审将采用下列方法：</w:t>
      </w:r>
    </w:p>
    <w:p w14:paraId="1FCBDC93">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详见评分标准。</w:t>
      </w:r>
    </w:p>
    <w:p w14:paraId="2F816D7E">
      <w:pPr>
        <w:keepNext w:val="0"/>
        <w:keepLines w:val="0"/>
        <w:pageBreakBefore w:val="0"/>
        <w:numPr>
          <w:ilvl w:val="0"/>
          <w:numId w:val="8"/>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评审过程及保密原则</w:t>
      </w:r>
    </w:p>
    <w:p w14:paraId="235AFEAF">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5.1响应文件递交后，直接授予成交</w:t>
      </w:r>
      <w:r>
        <w:rPr>
          <w:rFonts w:hint="eastAsia" w:ascii="宋体" w:hAnsi="宋体" w:cs="宋体"/>
          <w:szCs w:val="21"/>
          <w:highlight w:val="none"/>
          <w:lang w:eastAsia="zh-CN"/>
        </w:rPr>
        <w:t>供应商</w:t>
      </w:r>
      <w:r>
        <w:rPr>
          <w:rFonts w:hint="eastAsia" w:ascii="宋体" w:hAnsi="宋体" w:eastAsia="宋体" w:cs="宋体"/>
          <w:szCs w:val="21"/>
          <w:highlight w:val="none"/>
        </w:rPr>
        <w:t>合同止，凡与本次采购有关人员对属于审查、澄清、评价和比较报价的有关资料以及授标意向等，均不得向</w:t>
      </w:r>
      <w:r>
        <w:rPr>
          <w:rFonts w:hint="eastAsia" w:ascii="宋体" w:hAnsi="宋体" w:cs="宋体"/>
          <w:szCs w:val="21"/>
          <w:highlight w:val="none"/>
          <w:lang w:eastAsia="zh-CN"/>
        </w:rPr>
        <w:t>供应商</w:t>
      </w:r>
      <w:r>
        <w:rPr>
          <w:rFonts w:hint="eastAsia" w:ascii="宋体" w:hAnsi="宋体" w:eastAsia="宋体" w:cs="宋体"/>
          <w:szCs w:val="21"/>
          <w:highlight w:val="none"/>
        </w:rPr>
        <w:t>或其他无关的人员透露。</w:t>
      </w:r>
    </w:p>
    <w:p w14:paraId="6B1BEB54">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5.2在磋商评审期间，</w:t>
      </w:r>
      <w:r>
        <w:rPr>
          <w:rFonts w:hint="eastAsia" w:ascii="宋体" w:hAnsi="宋体" w:cs="宋体"/>
          <w:szCs w:val="21"/>
          <w:highlight w:val="none"/>
          <w:lang w:eastAsia="zh-CN"/>
        </w:rPr>
        <w:t>供应商</w:t>
      </w:r>
      <w:r>
        <w:rPr>
          <w:rFonts w:hint="eastAsia" w:ascii="宋体" w:hAnsi="宋体" w:eastAsia="宋体" w:cs="宋体"/>
          <w:szCs w:val="21"/>
          <w:highlight w:val="none"/>
        </w:rPr>
        <w:t>试图影响采购单位和磋商小组的任何活动，将导致其报价被拒绝，并承担相应的法律责任。</w:t>
      </w:r>
    </w:p>
    <w:p w14:paraId="056D2602">
      <w:pPr>
        <w:pStyle w:val="38"/>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6.本项目采用综合评分法，评审标准详见附表《评审细则》，评审时</w:t>
      </w:r>
      <w:r>
        <w:rPr>
          <w:rFonts w:hint="eastAsia" w:ascii="宋体" w:hAnsi="宋体" w:cs="宋体"/>
          <w:szCs w:val="21"/>
          <w:highlight w:val="none"/>
          <w:lang w:eastAsia="zh-CN"/>
        </w:rPr>
        <w:t>磋商小组</w:t>
      </w:r>
      <w:r>
        <w:rPr>
          <w:rFonts w:hint="eastAsia" w:ascii="宋体" w:hAnsi="宋体" w:eastAsia="宋体" w:cs="宋体"/>
          <w:szCs w:val="21"/>
          <w:highlight w:val="none"/>
        </w:rPr>
        <w:t>将严格按照评审细则中的分值设置与评审因素进行量化打分。</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中没有规定的评审标准不得作为评审依据。评审时，</w:t>
      </w:r>
      <w:r>
        <w:rPr>
          <w:rFonts w:hint="eastAsia" w:ascii="宋体" w:hAnsi="宋体" w:cs="宋体"/>
          <w:szCs w:val="21"/>
          <w:highlight w:val="none"/>
          <w:lang w:eastAsia="zh-CN"/>
        </w:rPr>
        <w:t>磋商小组</w:t>
      </w:r>
      <w:r>
        <w:rPr>
          <w:rFonts w:hint="eastAsia" w:ascii="宋体" w:hAnsi="宋体" w:eastAsia="宋体" w:cs="宋体"/>
          <w:szCs w:val="21"/>
          <w:highlight w:val="none"/>
        </w:rPr>
        <w:t>各成员独立对每个有效响应的文件进行评价、打分，然后汇总每个</w:t>
      </w:r>
      <w:r>
        <w:rPr>
          <w:rFonts w:hint="eastAsia" w:ascii="宋体" w:hAnsi="宋体" w:cs="宋体"/>
          <w:szCs w:val="21"/>
          <w:highlight w:val="none"/>
          <w:lang w:eastAsia="zh-CN"/>
        </w:rPr>
        <w:t>供应商</w:t>
      </w:r>
      <w:r>
        <w:rPr>
          <w:rFonts w:hint="eastAsia" w:ascii="宋体" w:hAnsi="宋体" w:eastAsia="宋体" w:cs="宋体"/>
          <w:szCs w:val="21"/>
          <w:highlight w:val="none"/>
        </w:rPr>
        <w:t>每项评分因素的得分。</w:t>
      </w:r>
    </w:p>
    <w:p w14:paraId="31AD0AE3">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7.</w:t>
      </w:r>
      <w:r>
        <w:rPr>
          <w:rFonts w:hint="eastAsia" w:ascii="宋体" w:hAnsi="宋体" w:cs="宋体"/>
          <w:szCs w:val="21"/>
          <w:highlight w:val="none"/>
          <w:lang w:eastAsia="zh-CN"/>
        </w:rPr>
        <w:t>磋商小组</w:t>
      </w:r>
      <w:r>
        <w:rPr>
          <w:rFonts w:hint="eastAsia" w:ascii="宋体" w:hAnsi="宋体" w:eastAsia="宋体" w:cs="宋体"/>
          <w:szCs w:val="21"/>
          <w:highlight w:val="none"/>
        </w:rPr>
        <w:t>根据综合评分情况，按照评审得分由高到低顺序推荐3名成交候选</w:t>
      </w:r>
      <w:r>
        <w:rPr>
          <w:rFonts w:hint="eastAsia" w:ascii="宋体" w:hAnsi="宋体" w:cs="宋体"/>
          <w:szCs w:val="21"/>
          <w:highlight w:val="none"/>
          <w:lang w:eastAsia="zh-CN"/>
        </w:rPr>
        <w:t>供应商</w:t>
      </w:r>
      <w:r>
        <w:rPr>
          <w:rFonts w:hint="eastAsia" w:ascii="宋体" w:hAnsi="宋体" w:eastAsia="宋体" w:cs="宋体"/>
          <w:szCs w:val="21"/>
          <w:highlight w:val="none"/>
        </w:rPr>
        <w:t>，并编写评审报告。评审得分相同的，按照最后报价由低到高的顺序推荐。评审得分且最后报价相同的，按照技术部分优劣顺序推荐。</w:t>
      </w:r>
    </w:p>
    <w:p w14:paraId="563EEB05">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Cs/>
          <w:szCs w:val="21"/>
          <w:highlight w:val="none"/>
        </w:rPr>
      </w:pPr>
      <w:r>
        <w:rPr>
          <w:rFonts w:hint="eastAsia" w:ascii="宋体" w:hAnsi="宋体" w:eastAsia="宋体" w:cs="宋体"/>
          <w:szCs w:val="21"/>
          <w:highlight w:val="none"/>
        </w:rPr>
        <w:t>8.</w:t>
      </w:r>
      <w:r>
        <w:rPr>
          <w:rFonts w:hint="eastAsia" w:ascii="宋体" w:hAnsi="宋体" w:eastAsia="宋体" w:cs="宋体"/>
          <w:bCs/>
          <w:szCs w:val="21"/>
          <w:highlight w:val="none"/>
        </w:rPr>
        <w:t xml:space="preserve"> 原则上推荐排名位于第一名的成交候选</w:t>
      </w:r>
      <w:r>
        <w:rPr>
          <w:rFonts w:hint="eastAsia" w:ascii="宋体" w:hAnsi="宋体" w:cs="宋体"/>
          <w:bCs/>
          <w:szCs w:val="21"/>
          <w:highlight w:val="none"/>
          <w:lang w:eastAsia="zh-CN"/>
        </w:rPr>
        <w:t>供应商</w:t>
      </w:r>
      <w:r>
        <w:rPr>
          <w:rFonts w:hint="eastAsia" w:ascii="宋体" w:hAnsi="宋体" w:eastAsia="宋体" w:cs="宋体"/>
          <w:bCs/>
          <w:szCs w:val="21"/>
          <w:highlight w:val="none"/>
        </w:rPr>
        <w:t>为</w:t>
      </w:r>
      <w:r>
        <w:rPr>
          <w:rFonts w:hint="eastAsia" w:ascii="宋体" w:hAnsi="宋体" w:cs="宋体"/>
          <w:bCs/>
          <w:szCs w:val="21"/>
          <w:highlight w:val="none"/>
          <w:lang w:val="en-US" w:eastAsia="zh-CN"/>
        </w:rPr>
        <w:t>成交</w:t>
      </w:r>
      <w:r>
        <w:rPr>
          <w:rFonts w:hint="eastAsia" w:ascii="宋体" w:hAnsi="宋体" w:cs="宋体"/>
          <w:bCs/>
          <w:szCs w:val="21"/>
          <w:highlight w:val="none"/>
          <w:lang w:eastAsia="zh-CN"/>
        </w:rPr>
        <w:t>供应商</w:t>
      </w:r>
      <w:r>
        <w:rPr>
          <w:rFonts w:hint="eastAsia" w:ascii="宋体" w:hAnsi="宋体" w:eastAsia="宋体" w:cs="宋体"/>
          <w:bCs/>
          <w:szCs w:val="21"/>
          <w:highlight w:val="none"/>
        </w:rPr>
        <w:t>。若排名第一的成交候选</w:t>
      </w:r>
      <w:r>
        <w:rPr>
          <w:rFonts w:hint="eastAsia" w:ascii="宋体" w:hAnsi="宋体" w:cs="宋体"/>
          <w:bCs/>
          <w:szCs w:val="21"/>
          <w:highlight w:val="none"/>
          <w:lang w:eastAsia="zh-CN"/>
        </w:rPr>
        <w:t>供应商</w:t>
      </w:r>
      <w:r>
        <w:rPr>
          <w:rFonts w:hint="eastAsia" w:ascii="宋体" w:hAnsi="宋体" w:eastAsia="宋体" w:cs="宋体"/>
          <w:bCs/>
          <w:szCs w:val="21"/>
          <w:highlight w:val="none"/>
        </w:rPr>
        <w:t>放弃中标、因不可抗力提出不能履行合同或</w:t>
      </w:r>
      <w:r>
        <w:rPr>
          <w:rFonts w:hint="eastAsia" w:ascii="宋体" w:hAnsi="宋体" w:cs="宋体"/>
          <w:bCs/>
          <w:szCs w:val="21"/>
          <w:highlight w:val="none"/>
          <w:lang w:eastAsia="zh-CN"/>
        </w:rPr>
        <w:t>竞争性磋商文件</w:t>
      </w:r>
      <w:r>
        <w:rPr>
          <w:rFonts w:hint="eastAsia" w:ascii="宋体" w:hAnsi="宋体" w:eastAsia="宋体" w:cs="宋体"/>
          <w:bCs/>
          <w:szCs w:val="21"/>
          <w:highlight w:val="none"/>
        </w:rPr>
        <w:t>规定应当提交履约保证金而在规定的期限内未能提交的，采购人有权选择重新招标，或者采购人确定排名第二的成交候选</w:t>
      </w:r>
      <w:r>
        <w:rPr>
          <w:rFonts w:hint="eastAsia" w:ascii="宋体" w:hAnsi="宋体" w:cs="宋体"/>
          <w:bCs/>
          <w:szCs w:val="21"/>
          <w:highlight w:val="none"/>
          <w:lang w:eastAsia="zh-CN"/>
        </w:rPr>
        <w:t>供应商</w:t>
      </w:r>
      <w:r>
        <w:rPr>
          <w:rFonts w:hint="eastAsia" w:ascii="宋体" w:hAnsi="宋体" w:eastAsia="宋体" w:cs="宋体"/>
          <w:bCs/>
          <w:szCs w:val="21"/>
          <w:highlight w:val="none"/>
        </w:rPr>
        <w:t>为</w:t>
      </w:r>
      <w:r>
        <w:rPr>
          <w:rFonts w:hint="eastAsia" w:ascii="宋体" w:hAnsi="宋体" w:cs="宋体"/>
          <w:bCs/>
          <w:szCs w:val="21"/>
          <w:highlight w:val="none"/>
          <w:lang w:val="en-US" w:eastAsia="zh-CN"/>
        </w:rPr>
        <w:t>成交</w:t>
      </w:r>
      <w:r>
        <w:rPr>
          <w:rFonts w:hint="eastAsia" w:ascii="宋体" w:hAnsi="宋体" w:cs="宋体"/>
          <w:bCs/>
          <w:szCs w:val="21"/>
          <w:highlight w:val="none"/>
          <w:lang w:eastAsia="zh-CN"/>
        </w:rPr>
        <w:t>供应商</w:t>
      </w:r>
      <w:r>
        <w:rPr>
          <w:rFonts w:hint="eastAsia" w:ascii="宋体" w:hAnsi="宋体" w:eastAsia="宋体" w:cs="宋体"/>
          <w:bCs/>
          <w:szCs w:val="21"/>
          <w:highlight w:val="none"/>
        </w:rPr>
        <w:t>，以此类推。</w:t>
      </w:r>
    </w:p>
    <w:p w14:paraId="016AAC29">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Cs/>
          <w:szCs w:val="21"/>
          <w:highlight w:val="none"/>
        </w:rPr>
      </w:pPr>
      <w:r>
        <w:rPr>
          <w:rFonts w:hint="eastAsia" w:ascii="宋体" w:hAnsi="宋体" w:eastAsia="宋体" w:cs="宋体"/>
          <w:bCs/>
          <w:szCs w:val="21"/>
          <w:highlight w:val="none"/>
        </w:rPr>
        <w:t xml:space="preserve">9. </w:t>
      </w:r>
      <w:r>
        <w:rPr>
          <w:rFonts w:hint="eastAsia" w:ascii="宋体" w:hAnsi="宋体" w:cs="宋体"/>
          <w:bCs/>
          <w:szCs w:val="21"/>
          <w:highlight w:val="none"/>
          <w:lang w:eastAsia="zh-CN"/>
        </w:rPr>
        <w:t>磋商小组</w:t>
      </w:r>
      <w:r>
        <w:rPr>
          <w:rFonts w:hint="eastAsia" w:ascii="宋体" w:hAnsi="宋体" w:eastAsia="宋体" w:cs="宋体"/>
          <w:bCs/>
          <w:szCs w:val="21"/>
          <w:highlight w:val="none"/>
        </w:rPr>
        <w:t>完成评标后，应当向采购人提交书面评标报告。</w:t>
      </w:r>
    </w:p>
    <w:p w14:paraId="1CBC7D0F">
      <w:pPr>
        <w:rPr>
          <w:rFonts w:hint="eastAsia" w:ascii="宋体" w:hAnsi="宋体" w:eastAsia="宋体" w:cs="宋体"/>
          <w:highlight w:val="none"/>
        </w:rPr>
      </w:pPr>
      <w:r>
        <w:rPr>
          <w:rFonts w:hint="eastAsia" w:ascii="宋体" w:hAnsi="宋体" w:eastAsia="宋体" w:cs="宋体"/>
          <w:highlight w:val="none"/>
        </w:rPr>
        <w:br w:type="page"/>
      </w:r>
    </w:p>
    <w:p w14:paraId="74628B90">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zh-CN" w:eastAsia="zh-CN"/>
        </w:rPr>
      </w:pPr>
      <w:bookmarkStart w:id="19" w:name="_Toc23467"/>
      <w:bookmarkStart w:id="20" w:name="_Toc22415"/>
      <w:r>
        <w:rPr>
          <w:rFonts w:hint="eastAsia" w:ascii="宋体" w:hAnsi="宋体" w:eastAsia="宋体" w:cs="宋体"/>
          <w:b/>
          <w:sz w:val="32"/>
          <w:szCs w:val="28"/>
          <w:highlight w:val="none"/>
          <w:lang w:val="zh-CN" w:eastAsia="zh-CN"/>
        </w:rPr>
        <w:t>第三章、评标办法</w:t>
      </w:r>
      <w:bookmarkEnd w:id="19"/>
      <w:bookmarkEnd w:id="20"/>
    </w:p>
    <w:p w14:paraId="027DB2DC">
      <w:pPr>
        <w:bidi w:val="0"/>
        <w:jc w:val="center"/>
        <w:rPr>
          <w:rFonts w:hint="eastAsia" w:ascii="宋体" w:hAnsi="宋体" w:eastAsia="宋体" w:cs="宋体"/>
          <w:highlight w:val="none"/>
          <w:lang w:val="zh-CN"/>
        </w:rPr>
      </w:pPr>
      <w:bookmarkStart w:id="21" w:name="_Toc2149"/>
      <w:bookmarkStart w:id="22" w:name="_Toc382396561"/>
      <w:r>
        <w:rPr>
          <w:rFonts w:hint="eastAsia" w:ascii="宋体" w:hAnsi="宋体" w:eastAsia="宋体" w:cs="宋体"/>
          <w:highlight w:val="none"/>
          <w:lang w:val="zh-CN"/>
        </w:rPr>
        <w:t>评标办法前附表（一）</w:t>
      </w:r>
      <w:bookmarkEnd w:id="21"/>
      <w:bookmarkEnd w:id="22"/>
    </w:p>
    <w:tbl>
      <w:tblPr>
        <w:tblStyle w:val="22"/>
        <w:tblpPr w:leftFromText="180" w:rightFromText="180" w:vertAnchor="text" w:horzAnchor="page" w:tblpX="879" w:tblpY="393"/>
        <w:tblOverlap w:val="never"/>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71"/>
        <w:gridCol w:w="2023"/>
        <w:gridCol w:w="6241"/>
      </w:tblGrid>
      <w:tr w14:paraId="1246E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blHeader/>
        </w:trPr>
        <w:tc>
          <w:tcPr>
            <w:tcW w:w="1695" w:type="dxa"/>
            <w:gridSpan w:val="2"/>
            <w:noWrap w:val="0"/>
            <w:vAlign w:val="center"/>
          </w:tcPr>
          <w:p w14:paraId="3C91C3DC">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条款号</w:t>
            </w:r>
          </w:p>
        </w:tc>
        <w:tc>
          <w:tcPr>
            <w:tcW w:w="2023" w:type="dxa"/>
            <w:noWrap w:val="0"/>
            <w:vAlign w:val="center"/>
          </w:tcPr>
          <w:p w14:paraId="54B5E8B7">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评审因素</w:t>
            </w:r>
          </w:p>
        </w:tc>
        <w:tc>
          <w:tcPr>
            <w:tcW w:w="6241" w:type="dxa"/>
            <w:noWrap w:val="0"/>
            <w:vAlign w:val="center"/>
          </w:tcPr>
          <w:p w14:paraId="57B7BEAB">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评审标准</w:t>
            </w:r>
          </w:p>
        </w:tc>
      </w:tr>
      <w:tr w14:paraId="191ED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824" w:type="dxa"/>
            <w:vMerge w:val="restart"/>
            <w:noWrap w:val="0"/>
            <w:vAlign w:val="center"/>
          </w:tcPr>
          <w:p w14:paraId="1F51C629">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2.1.2</w:t>
            </w:r>
          </w:p>
        </w:tc>
        <w:tc>
          <w:tcPr>
            <w:tcW w:w="871" w:type="dxa"/>
            <w:vMerge w:val="restart"/>
            <w:noWrap w:val="0"/>
            <w:vAlign w:val="center"/>
          </w:tcPr>
          <w:p w14:paraId="2B89B85D">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资格评审标准</w:t>
            </w:r>
          </w:p>
          <w:p w14:paraId="29DF8C5F">
            <w:pPr>
              <w:autoSpaceDE w:val="0"/>
              <w:autoSpaceDN w:val="0"/>
              <w:adjustRightInd w:val="0"/>
              <w:spacing w:line="0" w:lineRule="atLeast"/>
              <w:jc w:val="center"/>
              <w:rPr>
                <w:rFonts w:hint="eastAsia" w:ascii="宋体" w:hAnsi="宋体" w:cs="宋体"/>
                <w:bCs/>
                <w:color w:val="auto"/>
                <w:szCs w:val="21"/>
                <w:highlight w:val="none"/>
                <w:lang w:val="zh-CN"/>
              </w:rPr>
            </w:pPr>
          </w:p>
        </w:tc>
        <w:tc>
          <w:tcPr>
            <w:tcW w:w="2023" w:type="dxa"/>
            <w:noWrap w:val="0"/>
            <w:vAlign w:val="center"/>
          </w:tcPr>
          <w:p w14:paraId="7AA6F375">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营业执照</w:t>
            </w:r>
          </w:p>
        </w:tc>
        <w:tc>
          <w:tcPr>
            <w:tcW w:w="6241" w:type="dxa"/>
            <w:noWrap w:val="0"/>
            <w:vAlign w:val="center"/>
          </w:tcPr>
          <w:p w14:paraId="37DC603B">
            <w:pPr>
              <w:autoSpaceDE w:val="0"/>
              <w:autoSpaceDN w:val="0"/>
              <w:adjustRightInd w:val="0"/>
              <w:spacing w:line="0" w:lineRule="atLeast"/>
              <w:rPr>
                <w:rFonts w:hint="eastAsia" w:ascii="宋体" w:hAnsi="宋体" w:cs="宋体"/>
                <w:color w:val="auto"/>
                <w:szCs w:val="21"/>
                <w:highlight w:val="none"/>
                <w:lang w:val="zh-CN"/>
              </w:rPr>
            </w:pP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lang w:val="zh-CN" w:eastAsia="zh-CN"/>
              </w:rPr>
              <w:t>具有独立法人资格</w:t>
            </w:r>
            <w:r>
              <w:rPr>
                <w:rFonts w:hint="eastAsia" w:ascii="宋体" w:hAnsi="宋体" w:eastAsia="宋体" w:cs="宋体"/>
                <w:sz w:val="21"/>
                <w:szCs w:val="21"/>
                <w:highlight w:val="none"/>
                <w:lang w:val="en-US" w:eastAsia="zh-CN"/>
              </w:rPr>
              <w:t>或其他组织</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具备有效的营业执照</w:t>
            </w:r>
            <w:r>
              <w:rPr>
                <w:rFonts w:hint="eastAsia" w:ascii="宋体" w:hAnsi="宋体" w:cs="宋体"/>
                <w:color w:val="auto"/>
                <w:szCs w:val="21"/>
                <w:highlight w:val="none"/>
                <w:lang w:val="zh-CN"/>
              </w:rPr>
              <w:t>；</w:t>
            </w:r>
          </w:p>
          <w:p w14:paraId="7788E0ED">
            <w:pPr>
              <w:autoSpaceDE w:val="0"/>
              <w:autoSpaceDN w:val="0"/>
              <w:adjustRightInd w:val="0"/>
              <w:spacing w:line="0" w:lineRule="atLeast"/>
              <w:rPr>
                <w:rFonts w:hint="eastAsia" w:ascii="宋体" w:hAnsi="宋体" w:cs="宋体"/>
                <w:color w:val="auto"/>
                <w:szCs w:val="21"/>
                <w:highlight w:val="none"/>
                <w:lang w:val="zh-CN"/>
              </w:rPr>
            </w:pPr>
            <w:r>
              <w:rPr>
                <w:rFonts w:hint="eastAsia" w:ascii="宋体" w:hAnsi="宋体" w:cs="宋体"/>
                <w:b/>
                <w:bCs/>
                <w:color w:val="auto"/>
                <w:szCs w:val="21"/>
                <w:highlight w:val="none"/>
                <w:lang w:val="zh-CN"/>
              </w:rPr>
              <w:t>注：提供营业执照（副本），投标文件内附复印件加盖供应商公章。</w:t>
            </w:r>
          </w:p>
        </w:tc>
      </w:tr>
      <w:tr w14:paraId="562D3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824" w:type="dxa"/>
            <w:vMerge w:val="continue"/>
            <w:noWrap w:val="0"/>
            <w:vAlign w:val="center"/>
          </w:tcPr>
          <w:p w14:paraId="79481693">
            <w:pPr>
              <w:autoSpaceDE w:val="0"/>
              <w:autoSpaceDN w:val="0"/>
              <w:adjustRightInd w:val="0"/>
              <w:spacing w:line="0" w:lineRule="atLeast"/>
              <w:rPr>
                <w:rFonts w:hint="eastAsia" w:ascii="宋体" w:hAnsi="宋体" w:cs="宋体"/>
                <w:bCs/>
                <w:color w:val="auto"/>
                <w:szCs w:val="21"/>
                <w:highlight w:val="none"/>
                <w:lang w:val="zh-CN"/>
              </w:rPr>
            </w:pPr>
          </w:p>
        </w:tc>
        <w:tc>
          <w:tcPr>
            <w:tcW w:w="871" w:type="dxa"/>
            <w:vMerge w:val="continue"/>
            <w:noWrap w:val="0"/>
            <w:vAlign w:val="center"/>
          </w:tcPr>
          <w:p w14:paraId="45BE4AC8">
            <w:pPr>
              <w:autoSpaceDE w:val="0"/>
              <w:autoSpaceDN w:val="0"/>
              <w:adjustRightInd w:val="0"/>
              <w:spacing w:line="0" w:lineRule="atLeast"/>
              <w:rPr>
                <w:rFonts w:hint="eastAsia" w:ascii="宋体" w:hAnsi="宋体" w:cs="宋体"/>
                <w:bCs/>
                <w:color w:val="auto"/>
                <w:szCs w:val="21"/>
                <w:highlight w:val="none"/>
                <w:lang w:val="zh-CN"/>
              </w:rPr>
            </w:pPr>
          </w:p>
        </w:tc>
        <w:tc>
          <w:tcPr>
            <w:tcW w:w="2023" w:type="dxa"/>
            <w:noWrap w:val="0"/>
            <w:vAlign w:val="center"/>
          </w:tcPr>
          <w:p w14:paraId="510FACED">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财务要求</w:t>
            </w:r>
          </w:p>
        </w:tc>
        <w:tc>
          <w:tcPr>
            <w:tcW w:w="6241" w:type="dxa"/>
            <w:noWrap w:val="0"/>
            <w:vAlign w:val="center"/>
          </w:tcPr>
          <w:p w14:paraId="5005284C">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具有良好的商业信誉和健全的财务会计制度，需</w:t>
            </w:r>
            <w:r>
              <w:rPr>
                <w:rFonts w:hint="eastAsia" w:ascii="宋体" w:hAnsi="宋体" w:cs="宋体"/>
                <w:color w:val="auto"/>
                <w:sz w:val="21"/>
                <w:szCs w:val="21"/>
                <w:highlight w:val="none"/>
                <w:lang w:val="en-US" w:eastAsia="zh-CN"/>
              </w:rPr>
              <w:t>提供资格条件</w:t>
            </w:r>
            <w:r>
              <w:rPr>
                <w:rFonts w:hint="eastAsia" w:ascii="宋体" w:hAnsi="宋体" w:eastAsia="宋体" w:cs="宋体"/>
                <w:color w:val="auto"/>
                <w:sz w:val="21"/>
                <w:szCs w:val="21"/>
                <w:highlight w:val="none"/>
                <w:lang w:val="en-US" w:eastAsia="zh-CN"/>
              </w:rPr>
              <w:t>承诺函。</w:t>
            </w:r>
          </w:p>
        </w:tc>
      </w:tr>
      <w:tr w14:paraId="03B98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824" w:type="dxa"/>
            <w:vMerge w:val="continue"/>
            <w:noWrap w:val="0"/>
            <w:vAlign w:val="center"/>
          </w:tcPr>
          <w:p w14:paraId="6AC720F6">
            <w:pPr>
              <w:autoSpaceDE w:val="0"/>
              <w:autoSpaceDN w:val="0"/>
              <w:adjustRightInd w:val="0"/>
              <w:spacing w:line="0" w:lineRule="atLeast"/>
              <w:rPr>
                <w:rFonts w:hint="eastAsia" w:ascii="宋体" w:hAnsi="宋体" w:cs="宋体"/>
                <w:bCs/>
                <w:color w:val="auto"/>
                <w:szCs w:val="21"/>
                <w:highlight w:val="none"/>
                <w:lang w:val="zh-CN"/>
              </w:rPr>
            </w:pPr>
          </w:p>
        </w:tc>
        <w:tc>
          <w:tcPr>
            <w:tcW w:w="871" w:type="dxa"/>
            <w:vMerge w:val="continue"/>
            <w:noWrap w:val="0"/>
            <w:vAlign w:val="center"/>
          </w:tcPr>
          <w:p w14:paraId="758D147E">
            <w:pPr>
              <w:autoSpaceDE w:val="0"/>
              <w:autoSpaceDN w:val="0"/>
              <w:adjustRightInd w:val="0"/>
              <w:spacing w:line="0" w:lineRule="atLeast"/>
              <w:rPr>
                <w:rFonts w:hint="eastAsia" w:ascii="宋体" w:hAnsi="宋体" w:cs="宋体"/>
                <w:bCs/>
                <w:color w:val="auto"/>
                <w:szCs w:val="21"/>
                <w:highlight w:val="none"/>
                <w:lang w:val="zh-CN"/>
              </w:rPr>
            </w:pPr>
          </w:p>
        </w:tc>
        <w:tc>
          <w:tcPr>
            <w:tcW w:w="2023" w:type="dxa"/>
            <w:noWrap w:val="0"/>
            <w:vAlign w:val="center"/>
          </w:tcPr>
          <w:p w14:paraId="2C5029EA">
            <w:pPr>
              <w:autoSpaceDE w:val="0"/>
              <w:autoSpaceDN w:val="0"/>
              <w:adjustRightInd w:val="0"/>
              <w:spacing w:line="0" w:lineRule="atLeast"/>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lang w:val="zh-CN"/>
              </w:rPr>
              <w:t>依法缴纳税收和社会保障资金</w:t>
            </w:r>
            <w:r>
              <w:rPr>
                <w:rFonts w:hint="eastAsia" w:ascii="新宋体" w:hAnsi="新宋体" w:eastAsia="新宋体" w:cs="新宋体"/>
                <w:color w:val="auto"/>
                <w:szCs w:val="21"/>
                <w:highlight w:val="none"/>
              </w:rPr>
              <w:t>要求</w:t>
            </w:r>
          </w:p>
        </w:tc>
        <w:tc>
          <w:tcPr>
            <w:tcW w:w="6241" w:type="dxa"/>
            <w:noWrap w:val="0"/>
            <w:vAlign w:val="center"/>
          </w:tcPr>
          <w:p w14:paraId="592A16D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新宋体" w:hAnsi="新宋体" w:eastAsia="新宋体" w:cs="新宋体"/>
                <w:color w:val="auto"/>
                <w:szCs w:val="21"/>
                <w:highlight w:val="none"/>
                <w:lang w:val="zh-CN"/>
              </w:rPr>
            </w:pPr>
            <w:r>
              <w:rPr>
                <w:rFonts w:hint="eastAsia" w:ascii="宋体" w:hAnsi="宋体" w:eastAsia="宋体" w:cs="宋体"/>
                <w:color w:val="auto"/>
                <w:sz w:val="21"/>
                <w:szCs w:val="21"/>
                <w:highlight w:val="none"/>
                <w:lang w:val="en-US" w:eastAsia="zh-CN"/>
              </w:rPr>
              <w:t>具有依法缴纳税收和依法缴纳社会保障资金的良好记录，需</w:t>
            </w:r>
            <w:r>
              <w:rPr>
                <w:rFonts w:hint="eastAsia" w:ascii="宋体" w:hAnsi="宋体" w:cs="宋体"/>
                <w:color w:val="auto"/>
                <w:sz w:val="21"/>
                <w:szCs w:val="21"/>
                <w:highlight w:val="none"/>
                <w:lang w:val="en-US" w:eastAsia="zh-CN"/>
              </w:rPr>
              <w:t>提供资格条件</w:t>
            </w:r>
            <w:r>
              <w:rPr>
                <w:rFonts w:hint="eastAsia" w:ascii="宋体" w:hAnsi="宋体" w:eastAsia="宋体" w:cs="宋体"/>
                <w:color w:val="auto"/>
                <w:sz w:val="21"/>
                <w:szCs w:val="21"/>
                <w:highlight w:val="none"/>
                <w:lang w:val="en-US" w:eastAsia="zh-CN"/>
              </w:rPr>
              <w:t>承诺函。</w:t>
            </w:r>
          </w:p>
        </w:tc>
      </w:tr>
      <w:tr w14:paraId="69BDD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2" w:hRule="atLeast"/>
        </w:trPr>
        <w:tc>
          <w:tcPr>
            <w:tcW w:w="824" w:type="dxa"/>
            <w:vMerge w:val="continue"/>
            <w:noWrap w:val="0"/>
            <w:vAlign w:val="center"/>
          </w:tcPr>
          <w:p w14:paraId="14E432C6">
            <w:pPr>
              <w:autoSpaceDE w:val="0"/>
              <w:autoSpaceDN w:val="0"/>
              <w:adjustRightInd w:val="0"/>
              <w:spacing w:line="0" w:lineRule="atLeast"/>
              <w:rPr>
                <w:rFonts w:hint="eastAsia" w:ascii="宋体" w:hAnsi="宋体" w:cs="宋体"/>
                <w:bCs/>
                <w:color w:val="auto"/>
                <w:szCs w:val="21"/>
                <w:highlight w:val="none"/>
                <w:lang w:val="zh-CN"/>
              </w:rPr>
            </w:pPr>
          </w:p>
        </w:tc>
        <w:tc>
          <w:tcPr>
            <w:tcW w:w="871" w:type="dxa"/>
            <w:vMerge w:val="continue"/>
            <w:noWrap w:val="0"/>
            <w:vAlign w:val="center"/>
          </w:tcPr>
          <w:p w14:paraId="4E114716">
            <w:pPr>
              <w:autoSpaceDE w:val="0"/>
              <w:autoSpaceDN w:val="0"/>
              <w:adjustRightInd w:val="0"/>
              <w:spacing w:line="0" w:lineRule="atLeast"/>
              <w:rPr>
                <w:rFonts w:hint="eastAsia" w:ascii="宋体" w:hAnsi="宋体" w:cs="宋体"/>
                <w:bCs/>
                <w:color w:val="auto"/>
                <w:szCs w:val="21"/>
                <w:highlight w:val="none"/>
                <w:lang w:val="zh-CN"/>
              </w:rPr>
            </w:pPr>
          </w:p>
        </w:tc>
        <w:tc>
          <w:tcPr>
            <w:tcW w:w="2023" w:type="dxa"/>
            <w:noWrap w:val="0"/>
            <w:vAlign w:val="center"/>
          </w:tcPr>
          <w:p w14:paraId="6471AD03">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信誉要求</w:t>
            </w:r>
          </w:p>
        </w:tc>
        <w:tc>
          <w:tcPr>
            <w:tcW w:w="6241" w:type="dxa"/>
            <w:noWrap w:val="0"/>
            <w:vAlign w:val="center"/>
          </w:tcPr>
          <w:p w14:paraId="0E7662E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）拒绝列入政府取消投标资格记录期间的企业或个人投标。</w:t>
            </w:r>
          </w:p>
          <w:p w14:paraId="7863B49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按照《财政部关于在政府采购活动中查询及使用信用记录有关问题的通知》（财库〔2016〕125号）的要求，根据递交响应文件截止时间“信用中国”网站（www.creditchina.gov.cn）、中国政府采购网（www.ccgp.gov.cn）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72DEF5B0">
            <w:pPr>
              <w:autoSpaceDE w:val="0"/>
              <w:autoSpaceDN w:val="0"/>
              <w:adjustRightInd w:val="0"/>
              <w:spacing w:line="0" w:lineRule="atLeast"/>
              <w:rPr>
                <w:rFonts w:hint="eastAsia" w:ascii="宋体" w:hAnsi="宋体" w:cs="宋体"/>
                <w:b/>
                <w:bCs/>
                <w:color w:val="auto"/>
                <w:szCs w:val="21"/>
                <w:highlight w:val="none"/>
                <w:lang w:val="zh-CN"/>
              </w:rPr>
            </w:pPr>
            <w:r>
              <w:rPr>
                <w:rFonts w:hint="eastAsia" w:ascii="宋体" w:hAnsi="宋体" w:eastAsia="宋体" w:cs="宋体"/>
                <w:b w:val="0"/>
                <w:color w:val="auto"/>
                <w:sz w:val="21"/>
                <w:szCs w:val="21"/>
                <w:highlight w:val="none"/>
                <w:lang w:val="en-US" w:eastAsia="zh-CN"/>
              </w:rPr>
              <w:t>标书内（1）附</w:t>
            </w:r>
            <w:r>
              <w:rPr>
                <w:rFonts w:hint="eastAsia" w:ascii="宋体" w:hAnsi="宋体" w:eastAsia="宋体" w:cs="宋体"/>
                <w:bCs/>
                <w:color w:val="auto"/>
                <w:kern w:val="15"/>
                <w:sz w:val="21"/>
                <w:szCs w:val="21"/>
                <w:highlight w:val="none"/>
                <w:lang w:val="zh-CN"/>
              </w:rPr>
              <w:t>由法定代表人</w:t>
            </w:r>
            <w:r>
              <w:rPr>
                <w:rFonts w:hint="eastAsia" w:ascii="宋体" w:hAnsi="宋体" w:eastAsia="宋体" w:cs="宋体"/>
                <w:bCs/>
                <w:color w:val="auto"/>
                <w:kern w:val="15"/>
                <w:sz w:val="21"/>
                <w:szCs w:val="21"/>
                <w:highlight w:val="none"/>
                <w:lang w:val="zh-CN" w:eastAsia="zh-CN"/>
              </w:rPr>
              <w:t>或其委托代理人</w:t>
            </w:r>
            <w:r>
              <w:rPr>
                <w:rFonts w:hint="eastAsia" w:ascii="宋体" w:hAnsi="宋体" w:eastAsia="宋体" w:cs="宋体"/>
                <w:bCs/>
                <w:color w:val="auto"/>
                <w:kern w:val="15"/>
                <w:sz w:val="21"/>
                <w:szCs w:val="21"/>
                <w:highlight w:val="none"/>
                <w:lang w:val="zh-CN"/>
              </w:rPr>
              <w:t>签字并加盖供应商公章的承诺书，（</w:t>
            </w:r>
            <w:r>
              <w:rPr>
                <w:rFonts w:hint="eastAsia" w:ascii="宋体" w:hAnsi="宋体" w:eastAsia="宋体" w:cs="宋体"/>
                <w:bCs/>
                <w:color w:val="auto"/>
                <w:kern w:val="15"/>
                <w:sz w:val="21"/>
                <w:szCs w:val="21"/>
                <w:highlight w:val="none"/>
                <w:lang w:val="en-US" w:eastAsia="zh-CN"/>
              </w:rPr>
              <w:t>2</w:t>
            </w:r>
            <w:r>
              <w:rPr>
                <w:rFonts w:hint="eastAsia" w:ascii="宋体" w:hAnsi="宋体" w:eastAsia="宋体" w:cs="宋体"/>
                <w:bCs/>
                <w:color w:val="auto"/>
                <w:kern w:val="15"/>
                <w:sz w:val="21"/>
                <w:szCs w:val="21"/>
                <w:highlight w:val="none"/>
                <w:lang w:val="zh-CN"/>
              </w:rPr>
              <w:t>）附网站查询截图复印件加盖供应商</w:t>
            </w:r>
            <w:r>
              <w:rPr>
                <w:rFonts w:hint="eastAsia" w:ascii="宋体" w:hAnsi="宋体" w:eastAsia="宋体" w:cs="宋体"/>
                <w:bCs/>
                <w:color w:val="auto"/>
                <w:kern w:val="15"/>
                <w:sz w:val="21"/>
                <w:szCs w:val="21"/>
                <w:highlight w:val="none"/>
                <w:lang w:val="en-US" w:eastAsia="zh-CN"/>
              </w:rPr>
              <w:t>单位</w:t>
            </w:r>
            <w:r>
              <w:rPr>
                <w:rFonts w:hint="eastAsia" w:ascii="宋体" w:hAnsi="宋体" w:eastAsia="宋体" w:cs="宋体"/>
                <w:bCs/>
                <w:color w:val="auto"/>
                <w:kern w:val="15"/>
                <w:sz w:val="21"/>
                <w:szCs w:val="21"/>
                <w:highlight w:val="none"/>
                <w:lang w:val="zh-CN"/>
              </w:rPr>
              <w:t>公章。</w:t>
            </w:r>
          </w:p>
        </w:tc>
      </w:tr>
      <w:tr w14:paraId="1E7A9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824" w:type="dxa"/>
            <w:vMerge w:val="continue"/>
            <w:noWrap w:val="0"/>
            <w:vAlign w:val="center"/>
          </w:tcPr>
          <w:p w14:paraId="66CEEEEE">
            <w:pPr>
              <w:autoSpaceDE w:val="0"/>
              <w:autoSpaceDN w:val="0"/>
              <w:adjustRightInd w:val="0"/>
              <w:spacing w:line="0" w:lineRule="atLeast"/>
              <w:rPr>
                <w:rFonts w:hint="eastAsia" w:ascii="宋体" w:hAnsi="宋体" w:cs="宋体"/>
                <w:bCs/>
                <w:color w:val="auto"/>
                <w:szCs w:val="21"/>
                <w:highlight w:val="none"/>
                <w:lang w:val="zh-CN"/>
              </w:rPr>
            </w:pPr>
          </w:p>
        </w:tc>
        <w:tc>
          <w:tcPr>
            <w:tcW w:w="871" w:type="dxa"/>
            <w:vMerge w:val="continue"/>
            <w:noWrap w:val="0"/>
            <w:vAlign w:val="center"/>
          </w:tcPr>
          <w:p w14:paraId="435F6DB3">
            <w:pPr>
              <w:autoSpaceDE w:val="0"/>
              <w:autoSpaceDN w:val="0"/>
              <w:adjustRightInd w:val="0"/>
              <w:spacing w:line="0" w:lineRule="atLeast"/>
              <w:rPr>
                <w:rFonts w:hint="eastAsia" w:ascii="宋体" w:hAnsi="宋体" w:cs="宋体"/>
                <w:bCs/>
                <w:color w:val="auto"/>
                <w:szCs w:val="21"/>
                <w:highlight w:val="none"/>
                <w:lang w:val="zh-CN"/>
              </w:rPr>
            </w:pPr>
          </w:p>
        </w:tc>
        <w:tc>
          <w:tcPr>
            <w:tcW w:w="2023" w:type="dxa"/>
            <w:noWrap w:val="0"/>
            <w:vAlign w:val="center"/>
          </w:tcPr>
          <w:p w14:paraId="5D08BB10">
            <w:pPr>
              <w:autoSpaceDE w:val="0"/>
              <w:autoSpaceDN w:val="0"/>
              <w:adjustRightInd w:val="0"/>
              <w:spacing w:line="0" w:lineRule="atLeas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中小企业声明函</w:t>
            </w:r>
          </w:p>
        </w:tc>
        <w:tc>
          <w:tcPr>
            <w:tcW w:w="6241" w:type="dxa"/>
            <w:noWrap w:val="0"/>
            <w:vAlign w:val="center"/>
          </w:tcPr>
          <w:p w14:paraId="0C568215">
            <w:pPr>
              <w:autoSpaceDE w:val="0"/>
              <w:autoSpaceDN w:val="0"/>
              <w:adjustRightInd w:val="0"/>
              <w:spacing w:line="0" w:lineRule="atLeast"/>
              <w:rPr>
                <w:rFonts w:hint="default" w:ascii="宋体" w:hAnsi="宋体" w:eastAsia="宋体" w:cs="宋体"/>
                <w:b w:val="0"/>
                <w:color w:val="auto"/>
                <w:sz w:val="21"/>
                <w:szCs w:val="21"/>
                <w:highlight w:val="none"/>
                <w:lang w:val="en-US" w:eastAsia="zh-CN"/>
              </w:rPr>
            </w:pPr>
            <w:r>
              <w:rPr>
                <w:rFonts w:hint="eastAsia" w:ascii="宋体" w:hAnsi="宋体" w:cs="宋体"/>
                <w:b w:val="0"/>
                <w:color w:val="auto"/>
                <w:sz w:val="21"/>
                <w:szCs w:val="21"/>
                <w:highlight w:val="none"/>
                <w:lang w:val="en-US" w:eastAsia="zh-CN"/>
              </w:rPr>
              <w:t>标书内附《中小企业声明函》</w:t>
            </w:r>
          </w:p>
        </w:tc>
      </w:tr>
      <w:tr w14:paraId="57AD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824" w:type="dxa"/>
            <w:vMerge w:val="restart"/>
            <w:noWrap w:val="0"/>
            <w:vAlign w:val="center"/>
          </w:tcPr>
          <w:p w14:paraId="5F412913">
            <w:pPr>
              <w:autoSpaceDE w:val="0"/>
              <w:autoSpaceDN w:val="0"/>
              <w:adjustRightInd w:val="0"/>
              <w:spacing w:line="0" w:lineRule="atLeas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2.1.3</w:t>
            </w:r>
          </w:p>
        </w:tc>
        <w:tc>
          <w:tcPr>
            <w:tcW w:w="871" w:type="dxa"/>
            <w:vMerge w:val="restart"/>
            <w:noWrap w:val="0"/>
            <w:vAlign w:val="center"/>
          </w:tcPr>
          <w:p w14:paraId="4961D7B9">
            <w:pPr>
              <w:autoSpaceDE w:val="0"/>
              <w:autoSpaceDN w:val="0"/>
              <w:adjustRightInd w:val="0"/>
              <w:spacing w:line="0" w:lineRule="atLeas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符合性评审</w:t>
            </w:r>
          </w:p>
        </w:tc>
        <w:tc>
          <w:tcPr>
            <w:tcW w:w="2023" w:type="dxa"/>
            <w:noWrap w:val="0"/>
            <w:vAlign w:val="center"/>
          </w:tcPr>
          <w:p w14:paraId="61D1D108">
            <w:pPr>
              <w:autoSpaceDE w:val="0"/>
              <w:autoSpaceDN w:val="0"/>
              <w:adjustRightInd w:val="0"/>
              <w:spacing w:line="0" w:lineRule="atLeast"/>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合同履行期限</w:t>
            </w:r>
          </w:p>
        </w:tc>
        <w:tc>
          <w:tcPr>
            <w:tcW w:w="6241" w:type="dxa"/>
            <w:noWrap w:val="0"/>
            <w:vAlign w:val="center"/>
          </w:tcPr>
          <w:p w14:paraId="4DE8E8B4">
            <w:pPr>
              <w:autoSpaceDE w:val="0"/>
              <w:autoSpaceDN w:val="0"/>
              <w:adjustRightInd w:val="0"/>
              <w:spacing w:line="0" w:lineRule="atLeas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自合同签订之日起至验收合格90个工作日</w:t>
            </w:r>
          </w:p>
        </w:tc>
      </w:tr>
      <w:tr w14:paraId="43B03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824" w:type="dxa"/>
            <w:vMerge w:val="continue"/>
            <w:noWrap w:val="0"/>
            <w:vAlign w:val="top"/>
          </w:tcPr>
          <w:p w14:paraId="410F9778">
            <w:pPr>
              <w:autoSpaceDE w:val="0"/>
              <w:autoSpaceDN w:val="0"/>
              <w:adjustRightInd w:val="0"/>
              <w:spacing w:line="0" w:lineRule="atLeast"/>
              <w:jc w:val="left"/>
              <w:rPr>
                <w:rFonts w:hint="eastAsia" w:ascii="宋体" w:hAnsi="宋体" w:cs="宋体"/>
                <w:bCs/>
                <w:color w:val="auto"/>
                <w:szCs w:val="21"/>
                <w:highlight w:val="none"/>
                <w:lang w:val="en-US" w:eastAsia="zh-CN"/>
              </w:rPr>
            </w:pPr>
          </w:p>
        </w:tc>
        <w:tc>
          <w:tcPr>
            <w:tcW w:w="871" w:type="dxa"/>
            <w:vMerge w:val="continue"/>
            <w:noWrap w:val="0"/>
            <w:vAlign w:val="top"/>
          </w:tcPr>
          <w:p w14:paraId="163A5893">
            <w:pPr>
              <w:autoSpaceDE w:val="0"/>
              <w:autoSpaceDN w:val="0"/>
              <w:adjustRightInd w:val="0"/>
              <w:spacing w:line="0" w:lineRule="atLeast"/>
              <w:jc w:val="left"/>
              <w:rPr>
                <w:rFonts w:hint="eastAsia" w:ascii="宋体" w:hAnsi="宋体" w:cs="宋体"/>
                <w:bCs/>
                <w:color w:val="auto"/>
                <w:szCs w:val="21"/>
                <w:highlight w:val="none"/>
                <w:lang w:val="en-US" w:eastAsia="zh-CN"/>
              </w:rPr>
            </w:pPr>
          </w:p>
        </w:tc>
        <w:tc>
          <w:tcPr>
            <w:tcW w:w="2023" w:type="dxa"/>
            <w:noWrap w:val="0"/>
            <w:vAlign w:val="center"/>
          </w:tcPr>
          <w:p w14:paraId="229F402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cs="宋体"/>
                <w:color w:val="auto"/>
                <w:szCs w:val="21"/>
                <w:highlight w:val="none"/>
                <w:lang w:val="zh-CN"/>
              </w:rPr>
            </w:pPr>
            <w:r>
              <w:rPr>
                <w:rFonts w:hint="eastAsia" w:ascii="宋体" w:hAnsi="宋体" w:eastAsia="宋体" w:cs="宋体"/>
                <w:b w:val="0"/>
                <w:color w:val="auto"/>
                <w:sz w:val="21"/>
                <w:szCs w:val="21"/>
                <w:highlight w:val="none"/>
                <w:lang w:val="zh-CN"/>
              </w:rPr>
              <w:t>供应商名称</w:t>
            </w:r>
          </w:p>
        </w:tc>
        <w:tc>
          <w:tcPr>
            <w:tcW w:w="6241" w:type="dxa"/>
            <w:noWrap w:val="0"/>
            <w:vAlign w:val="center"/>
          </w:tcPr>
          <w:p w14:paraId="4688F71E">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zh-CN"/>
              </w:rPr>
              <w:t>与营业执照一致</w:t>
            </w:r>
          </w:p>
        </w:tc>
      </w:tr>
      <w:tr w14:paraId="7E39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824" w:type="dxa"/>
            <w:vMerge w:val="continue"/>
            <w:noWrap w:val="0"/>
            <w:vAlign w:val="top"/>
          </w:tcPr>
          <w:p w14:paraId="4CDD8AE9">
            <w:pPr>
              <w:autoSpaceDE w:val="0"/>
              <w:autoSpaceDN w:val="0"/>
              <w:adjustRightInd w:val="0"/>
              <w:spacing w:line="0" w:lineRule="atLeast"/>
              <w:jc w:val="left"/>
              <w:rPr>
                <w:rFonts w:hint="eastAsia" w:ascii="宋体" w:hAnsi="宋体" w:cs="宋体"/>
                <w:bCs/>
                <w:color w:val="auto"/>
                <w:szCs w:val="21"/>
                <w:highlight w:val="none"/>
                <w:lang w:val="en-US" w:eastAsia="zh-CN"/>
              </w:rPr>
            </w:pPr>
          </w:p>
        </w:tc>
        <w:tc>
          <w:tcPr>
            <w:tcW w:w="871" w:type="dxa"/>
            <w:vMerge w:val="continue"/>
            <w:noWrap w:val="0"/>
            <w:vAlign w:val="top"/>
          </w:tcPr>
          <w:p w14:paraId="5074F33E">
            <w:pPr>
              <w:autoSpaceDE w:val="0"/>
              <w:autoSpaceDN w:val="0"/>
              <w:adjustRightInd w:val="0"/>
              <w:spacing w:line="0" w:lineRule="atLeast"/>
              <w:jc w:val="left"/>
              <w:rPr>
                <w:rFonts w:hint="eastAsia" w:ascii="宋体" w:hAnsi="宋体" w:cs="宋体"/>
                <w:bCs/>
                <w:color w:val="auto"/>
                <w:szCs w:val="21"/>
                <w:highlight w:val="none"/>
                <w:lang w:val="en-US" w:eastAsia="zh-CN"/>
              </w:rPr>
            </w:pPr>
          </w:p>
        </w:tc>
        <w:tc>
          <w:tcPr>
            <w:tcW w:w="2023" w:type="dxa"/>
            <w:noWrap w:val="0"/>
            <w:vAlign w:val="center"/>
          </w:tcPr>
          <w:p w14:paraId="5C6865A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cs="宋体"/>
                <w:color w:val="auto"/>
                <w:szCs w:val="21"/>
                <w:highlight w:val="none"/>
                <w:lang w:val="zh-CN"/>
              </w:rPr>
            </w:pPr>
            <w:r>
              <w:rPr>
                <w:rFonts w:hint="eastAsia" w:ascii="宋体" w:hAnsi="宋体" w:cs="宋体"/>
                <w:b w:val="0"/>
                <w:color w:val="auto"/>
                <w:sz w:val="21"/>
                <w:szCs w:val="21"/>
                <w:highlight w:val="none"/>
                <w:lang w:val="zh-CN"/>
              </w:rPr>
              <w:t>投标文件</w:t>
            </w:r>
            <w:r>
              <w:rPr>
                <w:rFonts w:hint="eastAsia" w:ascii="宋体" w:hAnsi="宋体" w:eastAsia="宋体" w:cs="宋体"/>
                <w:b w:val="0"/>
                <w:color w:val="auto"/>
                <w:sz w:val="21"/>
                <w:szCs w:val="21"/>
                <w:highlight w:val="none"/>
                <w:lang w:val="zh-CN"/>
              </w:rPr>
              <w:t>签字、盖章要求</w:t>
            </w:r>
          </w:p>
        </w:tc>
        <w:tc>
          <w:tcPr>
            <w:tcW w:w="6241" w:type="dxa"/>
            <w:noWrap w:val="0"/>
            <w:vAlign w:val="center"/>
          </w:tcPr>
          <w:p w14:paraId="2BBDDCF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zh-CN"/>
              </w:rPr>
              <w:t>符合</w:t>
            </w:r>
            <w:r>
              <w:rPr>
                <w:rFonts w:hint="eastAsia" w:ascii="宋体" w:hAnsi="宋体" w:cs="宋体"/>
                <w:b w:val="0"/>
                <w:color w:val="auto"/>
                <w:sz w:val="21"/>
                <w:szCs w:val="21"/>
                <w:highlight w:val="none"/>
                <w:lang w:val="en-US" w:eastAsia="zh-CN"/>
              </w:rPr>
              <w:t>竞争性磋商文件的</w:t>
            </w:r>
            <w:r>
              <w:rPr>
                <w:rFonts w:hint="eastAsia" w:ascii="宋体" w:hAnsi="宋体" w:eastAsia="宋体" w:cs="宋体"/>
                <w:b w:val="0"/>
                <w:color w:val="auto"/>
                <w:sz w:val="21"/>
                <w:szCs w:val="21"/>
                <w:highlight w:val="none"/>
                <w:lang w:val="zh-CN"/>
              </w:rPr>
              <w:t>要求</w:t>
            </w:r>
          </w:p>
        </w:tc>
      </w:tr>
      <w:tr w14:paraId="61965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824" w:type="dxa"/>
            <w:vMerge w:val="continue"/>
            <w:noWrap w:val="0"/>
            <w:vAlign w:val="top"/>
          </w:tcPr>
          <w:p w14:paraId="08B6C339">
            <w:pPr>
              <w:autoSpaceDE w:val="0"/>
              <w:autoSpaceDN w:val="0"/>
              <w:adjustRightInd w:val="0"/>
              <w:spacing w:line="0" w:lineRule="atLeast"/>
              <w:jc w:val="left"/>
              <w:rPr>
                <w:rFonts w:hint="eastAsia" w:ascii="宋体" w:hAnsi="宋体" w:cs="宋体"/>
                <w:bCs/>
                <w:color w:val="auto"/>
                <w:szCs w:val="21"/>
                <w:highlight w:val="none"/>
                <w:lang w:val="en-US" w:eastAsia="zh-CN"/>
              </w:rPr>
            </w:pPr>
          </w:p>
        </w:tc>
        <w:tc>
          <w:tcPr>
            <w:tcW w:w="871" w:type="dxa"/>
            <w:vMerge w:val="continue"/>
            <w:noWrap w:val="0"/>
            <w:vAlign w:val="top"/>
          </w:tcPr>
          <w:p w14:paraId="59BE3B32">
            <w:pPr>
              <w:autoSpaceDE w:val="0"/>
              <w:autoSpaceDN w:val="0"/>
              <w:adjustRightInd w:val="0"/>
              <w:spacing w:line="0" w:lineRule="atLeast"/>
              <w:jc w:val="left"/>
              <w:rPr>
                <w:rFonts w:hint="eastAsia" w:ascii="宋体" w:hAnsi="宋体" w:cs="宋体"/>
                <w:bCs/>
                <w:color w:val="auto"/>
                <w:szCs w:val="21"/>
                <w:highlight w:val="none"/>
                <w:lang w:val="en-US" w:eastAsia="zh-CN"/>
              </w:rPr>
            </w:pPr>
          </w:p>
        </w:tc>
        <w:tc>
          <w:tcPr>
            <w:tcW w:w="2023" w:type="dxa"/>
            <w:noWrap w:val="0"/>
            <w:vAlign w:val="center"/>
          </w:tcPr>
          <w:p w14:paraId="03D1A61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cs="宋体"/>
                <w:color w:val="auto"/>
                <w:szCs w:val="21"/>
                <w:highlight w:val="none"/>
                <w:lang w:val="zh-CN"/>
              </w:rPr>
            </w:pPr>
            <w:r>
              <w:rPr>
                <w:rFonts w:hint="eastAsia" w:ascii="宋体" w:hAnsi="宋体" w:cs="宋体"/>
                <w:b w:val="0"/>
                <w:color w:val="auto"/>
                <w:sz w:val="21"/>
                <w:szCs w:val="21"/>
                <w:highlight w:val="none"/>
                <w:lang w:val="zh-CN"/>
              </w:rPr>
              <w:t>投标文件</w:t>
            </w:r>
            <w:r>
              <w:rPr>
                <w:rFonts w:hint="eastAsia" w:ascii="宋体" w:hAnsi="宋体" w:eastAsia="宋体" w:cs="宋体"/>
                <w:b w:val="0"/>
                <w:color w:val="auto"/>
                <w:sz w:val="21"/>
                <w:szCs w:val="21"/>
                <w:highlight w:val="none"/>
                <w:lang w:val="zh-CN"/>
              </w:rPr>
              <w:t>格式</w:t>
            </w:r>
          </w:p>
        </w:tc>
        <w:tc>
          <w:tcPr>
            <w:tcW w:w="6241" w:type="dxa"/>
            <w:noWrap w:val="0"/>
            <w:vAlign w:val="center"/>
          </w:tcPr>
          <w:p w14:paraId="5C6BFD1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zh-CN"/>
              </w:rPr>
              <w:t>符合“</w:t>
            </w:r>
            <w:r>
              <w:rPr>
                <w:rFonts w:hint="eastAsia" w:ascii="宋体" w:hAnsi="宋体" w:cs="宋体"/>
                <w:b w:val="0"/>
                <w:color w:val="auto"/>
                <w:sz w:val="21"/>
                <w:szCs w:val="21"/>
                <w:highlight w:val="none"/>
                <w:lang w:val="en-US" w:eastAsia="zh-CN"/>
              </w:rPr>
              <w:t>投标</w:t>
            </w:r>
            <w:r>
              <w:rPr>
                <w:rFonts w:hint="eastAsia" w:ascii="宋体" w:hAnsi="宋体" w:eastAsia="宋体" w:cs="宋体"/>
                <w:b w:val="0"/>
                <w:color w:val="auto"/>
                <w:sz w:val="21"/>
                <w:szCs w:val="21"/>
                <w:highlight w:val="none"/>
                <w:lang w:val="zh-CN"/>
              </w:rPr>
              <w:t>文件格式”的要求。并满足</w:t>
            </w:r>
            <w:r>
              <w:rPr>
                <w:rFonts w:hint="eastAsia" w:ascii="宋体" w:hAnsi="宋体" w:cs="宋体"/>
                <w:b w:val="0"/>
                <w:color w:val="auto"/>
                <w:sz w:val="21"/>
                <w:szCs w:val="21"/>
                <w:highlight w:val="none"/>
                <w:lang w:val="en-US" w:eastAsia="zh-CN"/>
              </w:rPr>
              <w:t>招标</w:t>
            </w:r>
            <w:r>
              <w:rPr>
                <w:rFonts w:hint="eastAsia" w:ascii="宋体" w:hAnsi="宋体" w:eastAsia="宋体" w:cs="宋体"/>
                <w:b w:val="0"/>
                <w:color w:val="auto"/>
                <w:sz w:val="21"/>
                <w:szCs w:val="21"/>
                <w:highlight w:val="none"/>
                <w:lang w:val="en-US" w:eastAsia="zh-CN"/>
              </w:rPr>
              <w:t>文件</w:t>
            </w:r>
            <w:r>
              <w:rPr>
                <w:rFonts w:hint="eastAsia" w:ascii="宋体" w:hAnsi="宋体" w:eastAsia="宋体" w:cs="宋体"/>
                <w:b w:val="0"/>
                <w:color w:val="auto"/>
                <w:sz w:val="21"/>
                <w:szCs w:val="21"/>
                <w:highlight w:val="none"/>
                <w:lang w:val="zh-CN"/>
              </w:rPr>
              <w:t>要求的签字盖章要求</w:t>
            </w:r>
          </w:p>
        </w:tc>
      </w:tr>
      <w:tr w14:paraId="0B25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824" w:type="dxa"/>
            <w:vMerge w:val="continue"/>
            <w:noWrap w:val="0"/>
            <w:vAlign w:val="top"/>
          </w:tcPr>
          <w:p w14:paraId="3595FE2A">
            <w:pPr>
              <w:autoSpaceDE w:val="0"/>
              <w:autoSpaceDN w:val="0"/>
              <w:adjustRightInd w:val="0"/>
              <w:spacing w:line="0" w:lineRule="atLeast"/>
              <w:jc w:val="left"/>
              <w:rPr>
                <w:rFonts w:hint="eastAsia" w:ascii="宋体" w:hAnsi="宋体" w:cs="宋体"/>
                <w:bCs/>
                <w:color w:val="auto"/>
                <w:szCs w:val="21"/>
                <w:highlight w:val="none"/>
                <w:lang w:val="en-US" w:eastAsia="zh-CN"/>
              </w:rPr>
            </w:pPr>
          </w:p>
        </w:tc>
        <w:tc>
          <w:tcPr>
            <w:tcW w:w="871" w:type="dxa"/>
            <w:vMerge w:val="continue"/>
            <w:noWrap w:val="0"/>
            <w:vAlign w:val="top"/>
          </w:tcPr>
          <w:p w14:paraId="7347B395">
            <w:pPr>
              <w:autoSpaceDE w:val="0"/>
              <w:autoSpaceDN w:val="0"/>
              <w:adjustRightInd w:val="0"/>
              <w:spacing w:line="0" w:lineRule="atLeast"/>
              <w:jc w:val="left"/>
              <w:rPr>
                <w:rFonts w:hint="eastAsia" w:ascii="宋体" w:hAnsi="宋体" w:cs="宋体"/>
                <w:bCs/>
                <w:color w:val="auto"/>
                <w:szCs w:val="21"/>
                <w:highlight w:val="none"/>
                <w:lang w:val="en-US" w:eastAsia="zh-CN"/>
              </w:rPr>
            </w:pPr>
          </w:p>
        </w:tc>
        <w:tc>
          <w:tcPr>
            <w:tcW w:w="2023" w:type="dxa"/>
            <w:noWrap w:val="0"/>
            <w:vAlign w:val="center"/>
          </w:tcPr>
          <w:p w14:paraId="5DCF444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cs="宋体"/>
                <w:color w:val="auto"/>
                <w:szCs w:val="21"/>
                <w:highlight w:val="none"/>
                <w:lang w:val="zh-CN"/>
              </w:rPr>
            </w:pPr>
            <w:r>
              <w:rPr>
                <w:rFonts w:hint="eastAsia" w:ascii="宋体" w:hAnsi="宋体" w:eastAsia="宋体" w:cs="宋体"/>
                <w:b w:val="0"/>
                <w:color w:val="auto"/>
                <w:sz w:val="21"/>
                <w:szCs w:val="21"/>
                <w:highlight w:val="none"/>
                <w:lang w:val="zh-CN"/>
              </w:rPr>
              <w:t>报价唯一</w:t>
            </w:r>
          </w:p>
        </w:tc>
        <w:tc>
          <w:tcPr>
            <w:tcW w:w="6241" w:type="dxa"/>
            <w:noWrap w:val="0"/>
            <w:vAlign w:val="center"/>
          </w:tcPr>
          <w:p w14:paraId="6FD5D75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zh-CN"/>
              </w:rPr>
              <w:t>只能有一个有效报价</w:t>
            </w:r>
            <w:r>
              <w:rPr>
                <w:rFonts w:hint="eastAsia" w:ascii="宋体" w:hAnsi="宋体" w:eastAsia="宋体" w:cs="宋体"/>
                <w:b w:val="0"/>
                <w:color w:val="auto"/>
                <w:sz w:val="21"/>
                <w:szCs w:val="21"/>
                <w:highlight w:val="none"/>
                <w:lang w:val="en-US" w:eastAsia="zh-CN"/>
              </w:rPr>
              <w:t>且不得超过预算金额</w:t>
            </w:r>
          </w:p>
        </w:tc>
      </w:tr>
      <w:tr w14:paraId="1C9F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824" w:type="dxa"/>
            <w:vMerge w:val="continue"/>
            <w:noWrap w:val="0"/>
            <w:vAlign w:val="top"/>
          </w:tcPr>
          <w:p w14:paraId="12E447E2">
            <w:pPr>
              <w:autoSpaceDE w:val="0"/>
              <w:autoSpaceDN w:val="0"/>
              <w:adjustRightInd w:val="0"/>
              <w:spacing w:line="0" w:lineRule="atLeast"/>
              <w:jc w:val="left"/>
              <w:rPr>
                <w:rFonts w:hint="eastAsia" w:ascii="宋体" w:hAnsi="宋体" w:cs="宋体"/>
                <w:bCs/>
                <w:color w:val="auto"/>
                <w:szCs w:val="21"/>
                <w:highlight w:val="none"/>
                <w:lang w:val="en-US" w:eastAsia="zh-CN"/>
              </w:rPr>
            </w:pPr>
          </w:p>
        </w:tc>
        <w:tc>
          <w:tcPr>
            <w:tcW w:w="871" w:type="dxa"/>
            <w:vMerge w:val="continue"/>
            <w:noWrap w:val="0"/>
            <w:vAlign w:val="top"/>
          </w:tcPr>
          <w:p w14:paraId="332D5EFA">
            <w:pPr>
              <w:autoSpaceDE w:val="0"/>
              <w:autoSpaceDN w:val="0"/>
              <w:adjustRightInd w:val="0"/>
              <w:spacing w:line="0" w:lineRule="atLeast"/>
              <w:jc w:val="left"/>
              <w:rPr>
                <w:rFonts w:hint="eastAsia" w:ascii="宋体" w:hAnsi="宋体" w:cs="宋体"/>
                <w:bCs/>
                <w:color w:val="auto"/>
                <w:szCs w:val="21"/>
                <w:highlight w:val="none"/>
                <w:lang w:val="en-US" w:eastAsia="zh-CN"/>
              </w:rPr>
            </w:pPr>
          </w:p>
        </w:tc>
        <w:tc>
          <w:tcPr>
            <w:tcW w:w="2023" w:type="dxa"/>
            <w:noWrap w:val="0"/>
            <w:vAlign w:val="center"/>
          </w:tcPr>
          <w:p w14:paraId="04D9A86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服务地点</w:t>
            </w:r>
          </w:p>
        </w:tc>
        <w:tc>
          <w:tcPr>
            <w:tcW w:w="6241" w:type="dxa"/>
            <w:noWrap w:val="0"/>
            <w:vAlign w:val="center"/>
          </w:tcPr>
          <w:p w14:paraId="6E96610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color w:val="auto"/>
                <w:sz w:val="21"/>
                <w:szCs w:val="21"/>
                <w:highlight w:val="none"/>
                <w:lang w:val="zh-CN"/>
              </w:rPr>
            </w:pPr>
            <w:r>
              <w:rPr>
                <w:rFonts w:hint="eastAsia" w:ascii="宋体" w:hAnsi="宋体" w:eastAsia="宋体" w:cs="宋体"/>
                <w:b w:val="0"/>
                <w:color w:val="auto"/>
                <w:sz w:val="21"/>
                <w:szCs w:val="21"/>
                <w:highlight w:val="none"/>
                <w:lang w:val="en-US" w:eastAsia="zh-CN"/>
              </w:rPr>
              <w:t>德惠市人民医院</w:t>
            </w:r>
          </w:p>
        </w:tc>
      </w:tr>
      <w:tr w14:paraId="0E0B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824" w:type="dxa"/>
            <w:vMerge w:val="continue"/>
            <w:noWrap w:val="0"/>
            <w:vAlign w:val="top"/>
          </w:tcPr>
          <w:p w14:paraId="64A1AEC1">
            <w:pPr>
              <w:autoSpaceDE w:val="0"/>
              <w:autoSpaceDN w:val="0"/>
              <w:adjustRightInd w:val="0"/>
              <w:spacing w:line="0" w:lineRule="atLeast"/>
              <w:jc w:val="left"/>
              <w:rPr>
                <w:rFonts w:hint="eastAsia" w:ascii="宋体" w:hAnsi="宋体" w:cs="宋体"/>
                <w:bCs/>
                <w:color w:val="auto"/>
                <w:szCs w:val="21"/>
                <w:highlight w:val="none"/>
                <w:lang w:val="en-US" w:eastAsia="zh-CN"/>
              </w:rPr>
            </w:pPr>
          </w:p>
        </w:tc>
        <w:tc>
          <w:tcPr>
            <w:tcW w:w="871" w:type="dxa"/>
            <w:vMerge w:val="continue"/>
            <w:noWrap w:val="0"/>
            <w:vAlign w:val="top"/>
          </w:tcPr>
          <w:p w14:paraId="168057DC">
            <w:pPr>
              <w:autoSpaceDE w:val="0"/>
              <w:autoSpaceDN w:val="0"/>
              <w:adjustRightInd w:val="0"/>
              <w:spacing w:line="0" w:lineRule="atLeast"/>
              <w:jc w:val="left"/>
              <w:rPr>
                <w:rFonts w:hint="eastAsia" w:ascii="宋体" w:hAnsi="宋体" w:cs="宋体"/>
                <w:bCs/>
                <w:color w:val="auto"/>
                <w:szCs w:val="21"/>
                <w:highlight w:val="none"/>
                <w:lang w:val="en-US" w:eastAsia="zh-CN"/>
              </w:rPr>
            </w:pPr>
          </w:p>
        </w:tc>
        <w:tc>
          <w:tcPr>
            <w:tcW w:w="2023" w:type="dxa"/>
            <w:noWrap w:val="0"/>
            <w:vAlign w:val="center"/>
          </w:tcPr>
          <w:p w14:paraId="3FC9CB8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color w:val="auto"/>
                <w:sz w:val="21"/>
                <w:szCs w:val="21"/>
                <w:highlight w:val="none"/>
                <w:lang w:val="zh-CN" w:eastAsia="zh-CN"/>
              </w:rPr>
            </w:pPr>
            <w:r>
              <w:rPr>
                <w:rFonts w:hint="eastAsia" w:ascii="宋体" w:hAnsi="宋体" w:eastAsia="宋体" w:cs="宋体"/>
                <w:b w:val="0"/>
                <w:color w:val="auto"/>
                <w:sz w:val="21"/>
                <w:szCs w:val="21"/>
                <w:highlight w:val="none"/>
                <w:lang w:val="en-US" w:eastAsia="zh-CN"/>
              </w:rPr>
              <w:t>质保期</w:t>
            </w:r>
          </w:p>
        </w:tc>
        <w:tc>
          <w:tcPr>
            <w:tcW w:w="6241" w:type="dxa"/>
            <w:noWrap w:val="0"/>
            <w:vAlign w:val="center"/>
          </w:tcPr>
          <w:p w14:paraId="6B887AC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color w:val="auto"/>
                <w:sz w:val="21"/>
                <w:szCs w:val="21"/>
                <w:highlight w:val="none"/>
                <w:lang w:val="zh-CN" w:eastAsia="zh-CN"/>
              </w:rPr>
            </w:pPr>
            <w:r>
              <w:rPr>
                <w:rFonts w:hint="eastAsia" w:ascii="宋体" w:hAnsi="宋体" w:eastAsia="宋体" w:cs="宋体"/>
                <w:b w:val="0"/>
                <w:color w:val="auto"/>
                <w:sz w:val="21"/>
                <w:szCs w:val="21"/>
                <w:highlight w:val="none"/>
                <w:lang w:val="en-US" w:eastAsia="zh-CN"/>
              </w:rPr>
              <w:t>自验收之日起，提供三年免费维保服务</w:t>
            </w:r>
          </w:p>
        </w:tc>
      </w:tr>
      <w:tr w14:paraId="2E390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824" w:type="dxa"/>
            <w:vMerge w:val="continue"/>
            <w:noWrap w:val="0"/>
            <w:vAlign w:val="top"/>
          </w:tcPr>
          <w:p w14:paraId="00454C9A">
            <w:pPr>
              <w:autoSpaceDE w:val="0"/>
              <w:autoSpaceDN w:val="0"/>
              <w:adjustRightInd w:val="0"/>
              <w:spacing w:line="0" w:lineRule="atLeast"/>
              <w:jc w:val="left"/>
              <w:rPr>
                <w:rFonts w:hint="eastAsia" w:ascii="宋体" w:hAnsi="宋体" w:cs="宋体"/>
                <w:bCs/>
                <w:color w:val="auto"/>
                <w:szCs w:val="21"/>
                <w:highlight w:val="none"/>
                <w:lang w:val="zh-CN"/>
              </w:rPr>
            </w:pPr>
          </w:p>
        </w:tc>
        <w:tc>
          <w:tcPr>
            <w:tcW w:w="871" w:type="dxa"/>
            <w:vMerge w:val="continue"/>
            <w:noWrap w:val="0"/>
            <w:vAlign w:val="top"/>
          </w:tcPr>
          <w:p w14:paraId="46ADD207">
            <w:pPr>
              <w:autoSpaceDE w:val="0"/>
              <w:autoSpaceDN w:val="0"/>
              <w:adjustRightInd w:val="0"/>
              <w:spacing w:line="0" w:lineRule="atLeast"/>
              <w:jc w:val="left"/>
              <w:rPr>
                <w:rFonts w:hint="eastAsia" w:ascii="宋体" w:hAnsi="宋体" w:cs="宋体"/>
                <w:bCs/>
                <w:color w:val="auto"/>
                <w:szCs w:val="21"/>
                <w:highlight w:val="none"/>
                <w:lang w:val="zh-CN"/>
              </w:rPr>
            </w:pPr>
          </w:p>
        </w:tc>
        <w:tc>
          <w:tcPr>
            <w:tcW w:w="2023" w:type="dxa"/>
            <w:noWrap w:val="0"/>
            <w:vAlign w:val="center"/>
          </w:tcPr>
          <w:p w14:paraId="5461F04A">
            <w:pPr>
              <w:autoSpaceDE w:val="0"/>
              <w:autoSpaceDN w:val="0"/>
              <w:adjustRightInd w:val="0"/>
              <w:spacing w:line="0" w:lineRule="atLeast"/>
              <w:jc w:val="center"/>
              <w:rPr>
                <w:rFonts w:hint="eastAsia" w:ascii="宋体" w:hAnsi="宋体" w:eastAsia="宋体" w:cs="宋体"/>
                <w:bCs/>
                <w:color w:val="auto"/>
                <w:szCs w:val="21"/>
                <w:highlight w:val="none"/>
                <w:lang w:val="zh-CN" w:eastAsia="zh-CN"/>
              </w:rPr>
            </w:pPr>
            <w:r>
              <w:rPr>
                <w:rFonts w:hint="eastAsia" w:ascii="宋体" w:hAnsi="宋体" w:cs="宋体"/>
                <w:bCs/>
                <w:color w:val="auto"/>
                <w:szCs w:val="21"/>
                <w:highlight w:val="none"/>
                <w:lang w:val="en-US" w:eastAsia="zh-CN"/>
              </w:rPr>
              <w:t>服务标准</w:t>
            </w:r>
          </w:p>
        </w:tc>
        <w:tc>
          <w:tcPr>
            <w:tcW w:w="6241" w:type="dxa"/>
            <w:noWrap w:val="0"/>
            <w:vAlign w:val="center"/>
          </w:tcPr>
          <w:p w14:paraId="060E03A2">
            <w:pPr>
              <w:autoSpaceDE w:val="0"/>
              <w:autoSpaceDN w:val="0"/>
              <w:adjustRightInd w:val="0"/>
              <w:spacing w:line="0" w:lineRule="atLeast"/>
              <w:jc w:val="left"/>
              <w:rPr>
                <w:rFonts w:hint="eastAsia" w:ascii="宋体" w:hAnsi="宋体" w:cs="宋体"/>
                <w:bCs/>
                <w:color w:val="auto"/>
                <w:szCs w:val="21"/>
                <w:highlight w:val="none"/>
                <w:lang w:val="zh-CN"/>
              </w:rPr>
            </w:pPr>
            <w:r>
              <w:rPr>
                <w:rFonts w:hint="eastAsia" w:ascii="宋体" w:hAnsi="宋体" w:cs="宋体"/>
                <w:color w:val="auto"/>
                <w:szCs w:val="21"/>
                <w:highlight w:val="none"/>
                <w:lang w:val="en-US" w:eastAsia="zh-CN"/>
              </w:rPr>
              <w:t>优质服务</w:t>
            </w:r>
          </w:p>
        </w:tc>
      </w:tr>
      <w:tr w14:paraId="4838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824" w:type="dxa"/>
            <w:vMerge w:val="continue"/>
            <w:noWrap w:val="0"/>
            <w:vAlign w:val="top"/>
          </w:tcPr>
          <w:p w14:paraId="6F864C4D">
            <w:pPr>
              <w:autoSpaceDE w:val="0"/>
              <w:autoSpaceDN w:val="0"/>
              <w:adjustRightInd w:val="0"/>
              <w:spacing w:line="0" w:lineRule="atLeast"/>
              <w:jc w:val="left"/>
              <w:rPr>
                <w:rFonts w:hint="eastAsia" w:ascii="宋体" w:hAnsi="宋体" w:cs="宋体"/>
                <w:bCs/>
                <w:color w:val="auto"/>
                <w:szCs w:val="21"/>
                <w:highlight w:val="none"/>
                <w:lang w:val="zh-CN"/>
              </w:rPr>
            </w:pPr>
          </w:p>
        </w:tc>
        <w:tc>
          <w:tcPr>
            <w:tcW w:w="871" w:type="dxa"/>
            <w:vMerge w:val="continue"/>
            <w:noWrap w:val="0"/>
            <w:vAlign w:val="top"/>
          </w:tcPr>
          <w:p w14:paraId="50F98CE7">
            <w:pPr>
              <w:autoSpaceDE w:val="0"/>
              <w:autoSpaceDN w:val="0"/>
              <w:adjustRightInd w:val="0"/>
              <w:spacing w:line="0" w:lineRule="atLeast"/>
              <w:jc w:val="left"/>
              <w:rPr>
                <w:rFonts w:hint="eastAsia" w:ascii="宋体" w:hAnsi="宋体" w:cs="宋体"/>
                <w:bCs/>
                <w:color w:val="auto"/>
                <w:szCs w:val="21"/>
                <w:highlight w:val="none"/>
                <w:lang w:val="zh-CN"/>
              </w:rPr>
            </w:pPr>
          </w:p>
        </w:tc>
        <w:tc>
          <w:tcPr>
            <w:tcW w:w="2023" w:type="dxa"/>
            <w:noWrap w:val="0"/>
            <w:vAlign w:val="center"/>
          </w:tcPr>
          <w:p w14:paraId="5C59F7E6">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投标有效期</w:t>
            </w:r>
          </w:p>
        </w:tc>
        <w:tc>
          <w:tcPr>
            <w:tcW w:w="6241" w:type="dxa"/>
            <w:noWrap w:val="0"/>
            <w:vAlign w:val="center"/>
          </w:tcPr>
          <w:p w14:paraId="4A7D8A6E">
            <w:pPr>
              <w:autoSpaceDE w:val="0"/>
              <w:autoSpaceDN w:val="0"/>
              <w:adjustRightInd w:val="0"/>
              <w:spacing w:line="0" w:lineRule="atLeas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投标截止之日后90天（日历天）</w:t>
            </w:r>
          </w:p>
        </w:tc>
      </w:tr>
      <w:tr w14:paraId="4CBED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824" w:type="dxa"/>
            <w:vMerge w:val="continue"/>
            <w:noWrap w:val="0"/>
            <w:vAlign w:val="top"/>
          </w:tcPr>
          <w:p w14:paraId="398CB474">
            <w:pPr>
              <w:autoSpaceDE w:val="0"/>
              <w:autoSpaceDN w:val="0"/>
              <w:adjustRightInd w:val="0"/>
              <w:spacing w:line="0" w:lineRule="atLeast"/>
              <w:jc w:val="left"/>
              <w:rPr>
                <w:rFonts w:hint="eastAsia" w:ascii="宋体" w:hAnsi="宋体" w:cs="宋体"/>
                <w:bCs/>
                <w:color w:val="auto"/>
                <w:szCs w:val="21"/>
                <w:highlight w:val="none"/>
                <w:lang w:val="zh-CN"/>
              </w:rPr>
            </w:pPr>
          </w:p>
        </w:tc>
        <w:tc>
          <w:tcPr>
            <w:tcW w:w="871" w:type="dxa"/>
            <w:vMerge w:val="continue"/>
            <w:noWrap w:val="0"/>
            <w:vAlign w:val="top"/>
          </w:tcPr>
          <w:p w14:paraId="2B5AC92B">
            <w:pPr>
              <w:autoSpaceDE w:val="0"/>
              <w:autoSpaceDN w:val="0"/>
              <w:adjustRightInd w:val="0"/>
              <w:spacing w:line="0" w:lineRule="atLeast"/>
              <w:jc w:val="left"/>
              <w:rPr>
                <w:rFonts w:hint="eastAsia" w:ascii="宋体" w:hAnsi="宋体" w:cs="宋体"/>
                <w:bCs/>
                <w:color w:val="auto"/>
                <w:szCs w:val="21"/>
                <w:highlight w:val="none"/>
                <w:lang w:val="zh-CN"/>
              </w:rPr>
            </w:pPr>
          </w:p>
        </w:tc>
        <w:tc>
          <w:tcPr>
            <w:tcW w:w="2023" w:type="dxa"/>
            <w:noWrap w:val="0"/>
            <w:vAlign w:val="center"/>
          </w:tcPr>
          <w:p w14:paraId="73173B6F">
            <w:pPr>
              <w:spacing w:line="0" w:lineRule="atLeast"/>
              <w:jc w:val="center"/>
              <w:rPr>
                <w:rFonts w:hint="eastAsia" w:ascii="宋体" w:hAnsi="宋体" w:cs="宋体"/>
                <w:bCs/>
                <w:color w:val="auto"/>
                <w:szCs w:val="21"/>
                <w:highlight w:val="none"/>
                <w:lang w:val="zh-CN"/>
              </w:rPr>
            </w:pPr>
            <w:r>
              <w:rPr>
                <w:rFonts w:hint="eastAsia" w:ascii="宋体" w:hAnsi="宋体" w:cs="宋体"/>
                <w:color w:val="auto"/>
                <w:szCs w:val="21"/>
                <w:highlight w:val="none"/>
              </w:rPr>
              <w:t>采购预算</w:t>
            </w:r>
          </w:p>
        </w:tc>
        <w:tc>
          <w:tcPr>
            <w:tcW w:w="6241" w:type="dxa"/>
            <w:noWrap w:val="0"/>
            <w:vAlign w:val="center"/>
          </w:tcPr>
          <w:p w14:paraId="1C546D5A">
            <w:pPr>
              <w:spacing w:line="0" w:lineRule="atLeast"/>
              <w:jc w:val="left"/>
              <w:rPr>
                <w:rFonts w:hint="eastAsia" w:ascii="宋体" w:hAnsi="宋体" w:cs="宋体"/>
                <w:color w:val="auto"/>
                <w:szCs w:val="21"/>
                <w:highlight w:val="none"/>
              </w:rPr>
            </w:pPr>
            <w:r>
              <w:rPr>
                <w:rFonts w:hint="eastAsia" w:ascii="新宋体" w:hAnsi="新宋体" w:eastAsia="新宋体" w:cs="新宋体"/>
                <w:color w:val="auto"/>
                <w:szCs w:val="21"/>
                <w:highlight w:val="none"/>
                <w:lang w:val="en-US" w:eastAsia="zh-CN" w:bidi="ar"/>
              </w:rPr>
              <w:t>180万元</w:t>
            </w:r>
          </w:p>
          <w:p w14:paraId="50DEEB29">
            <w:pPr>
              <w:spacing w:line="0" w:lineRule="atLeast"/>
              <w:jc w:val="left"/>
              <w:rPr>
                <w:rFonts w:hint="eastAsia" w:ascii="宋体" w:hAnsi="宋体" w:cs="宋体"/>
                <w:bCs/>
                <w:color w:val="auto"/>
                <w:szCs w:val="21"/>
                <w:highlight w:val="none"/>
                <w:lang w:val="zh-CN"/>
              </w:rPr>
            </w:pPr>
            <w:r>
              <w:rPr>
                <w:rFonts w:hint="eastAsia" w:ascii="宋体" w:hAnsi="宋体" w:cs="宋体"/>
                <w:b/>
                <w:bCs/>
                <w:color w:val="auto"/>
                <w:szCs w:val="21"/>
                <w:highlight w:val="none"/>
              </w:rPr>
              <w:t>注：超出此采购预算的投标报价视为无效报价，其投标将被否决</w:t>
            </w:r>
          </w:p>
        </w:tc>
      </w:tr>
      <w:tr w14:paraId="052C3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824" w:type="dxa"/>
            <w:vMerge w:val="continue"/>
            <w:noWrap w:val="0"/>
            <w:vAlign w:val="top"/>
          </w:tcPr>
          <w:p w14:paraId="26227904">
            <w:pPr>
              <w:autoSpaceDE w:val="0"/>
              <w:autoSpaceDN w:val="0"/>
              <w:adjustRightInd w:val="0"/>
              <w:spacing w:line="0" w:lineRule="atLeast"/>
              <w:jc w:val="left"/>
              <w:rPr>
                <w:rFonts w:hint="eastAsia" w:ascii="宋体" w:hAnsi="宋体" w:cs="宋体"/>
                <w:bCs/>
                <w:color w:val="auto"/>
                <w:szCs w:val="21"/>
                <w:highlight w:val="none"/>
                <w:lang w:val="zh-CN"/>
              </w:rPr>
            </w:pPr>
          </w:p>
        </w:tc>
        <w:tc>
          <w:tcPr>
            <w:tcW w:w="871" w:type="dxa"/>
            <w:vMerge w:val="continue"/>
            <w:noWrap w:val="0"/>
            <w:vAlign w:val="top"/>
          </w:tcPr>
          <w:p w14:paraId="1D2D70E5">
            <w:pPr>
              <w:autoSpaceDE w:val="0"/>
              <w:autoSpaceDN w:val="0"/>
              <w:adjustRightInd w:val="0"/>
              <w:spacing w:line="0" w:lineRule="atLeast"/>
              <w:jc w:val="left"/>
              <w:rPr>
                <w:rFonts w:hint="eastAsia" w:ascii="宋体" w:hAnsi="宋体" w:cs="宋体"/>
                <w:bCs/>
                <w:color w:val="auto"/>
                <w:szCs w:val="21"/>
                <w:highlight w:val="none"/>
                <w:lang w:val="zh-CN"/>
              </w:rPr>
            </w:pPr>
          </w:p>
        </w:tc>
        <w:tc>
          <w:tcPr>
            <w:tcW w:w="2023" w:type="dxa"/>
            <w:noWrap w:val="0"/>
            <w:vAlign w:val="center"/>
          </w:tcPr>
          <w:p w14:paraId="24BFAF54">
            <w:pPr>
              <w:spacing w:line="0" w:lineRule="atLeas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其他要求</w:t>
            </w:r>
          </w:p>
        </w:tc>
        <w:tc>
          <w:tcPr>
            <w:tcW w:w="6241" w:type="dxa"/>
            <w:noWrap w:val="0"/>
            <w:vAlign w:val="center"/>
          </w:tcPr>
          <w:p w14:paraId="10A7D723">
            <w:pPr>
              <w:spacing w:line="0" w:lineRule="atLeast"/>
              <w:jc w:val="left"/>
              <w:rPr>
                <w:rFonts w:hint="default" w:ascii="宋体" w:hAnsi="宋体" w:eastAsia="宋体" w:cs="宋体"/>
                <w:color w:val="auto"/>
                <w:szCs w:val="21"/>
                <w:highlight w:val="none"/>
                <w:lang w:val="en-US" w:eastAsia="zh-CN"/>
              </w:rPr>
            </w:pPr>
            <w:r>
              <w:rPr>
                <w:rFonts w:hint="eastAsia" w:ascii="宋体" w:hAnsi="宋体" w:cs="Times New Roman"/>
                <w:b w:val="0"/>
                <w:bCs/>
                <w:color w:val="auto"/>
                <w:kern w:val="0"/>
                <w:szCs w:val="21"/>
                <w:highlight w:val="none"/>
                <w:lang w:val="en-US" w:eastAsia="zh-CN"/>
              </w:rPr>
              <w:t>符合招标文件规定的其他要求</w:t>
            </w:r>
          </w:p>
        </w:tc>
      </w:tr>
    </w:tbl>
    <w:p w14:paraId="17BFFF0D">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br w:type="page"/>
      </w:r>
    </w:p>
    <w:p w14:paraId="03B27702">
      <w:pPr>
        <w:bidi w:val="0"/>
        <w:jc w:val="center"/>
        <w:rPr>
          <w:rFonts w:hint="eastAsia" w:ascii="宋体" w:hAnsi="宋体" w:eastAsia="宋体" w:cs="宋体"/>
          <w:highlight w:val="none"/>
          <w:lang w:val="zh-CN"/>
        </w:rPr>
      </w:pPr>
      <w:bookmarkStart w:id="23" w:name="_Toc31653"/>
      <w:r>
        <w:rPr>
          <w:rFonts w:hint="eastAsia" w:ascii="宋体" w:hAnsi="宋体" w:eastAsia="宋体" w:cs="宋体"/>
          <w:highlight w:val="none"/>
          <w:lang w:val="zh-CN"/>
        </w:rPr>
        <w:t>评标办法前附表（二）</w:t>
      </w:r>
      <w:bookmarkEnd w:id="23"/>
    </w:p>
    <w:tbl>
      <w:tblPr>
        <w:tblStyle w:val="22"/>
        <w:tblpPr w:leftFromText="180" w:rightFromText="180" w:vertAnchor="text" w:horzAnchor="page" w:tblpX="1373" w:tblpY="323"/>
        <w:tblOverlap w:val="never"/>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0"/>
        <w:gridCol w:w="2366"/>
        <w:gridCol w:w="5572"/>
      </w:tblGrid>
      <w:tr w14:paraId="3D16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1559" w:type="dxa"/>
            <w:gridSpan w:val="2"/>
            <w:vAlign w:val="center"/>
          </w:tcPr>
          <w:p w14:paraId="38C703B3">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条款号</w:t>
            </w:r>
          </w:p>
        </w:tc>
        <w:tc>
          <w:tcPr>
            <w:tcW w:w="2366" w:type="dxa"/>
            <w:vAlign w:val="center"/>
          </w:tcPr>
          <w:p w14:paraId="418367FC">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评审因素</w:t>
            </w:r>
          </w:p>
        </w:tc>
        <w:tc>
          <w:tcPr>
            <w:tcW w:w="5572" w:type="dxa"/>
            <w:vAlign w:val="center"/>
          </w:tcPr>
          <w:p w14:paraId="27226EEF">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评审标准</w:t>
            </w:r>
          </w:p>
        </w:tc>
      </w:tr>
      <w:tr w14:paraId="0C22A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559" w:type="dxa"/>
            <w:gridSpan w:val="2"/>
            <w:vAlign w:val="center"/>
          </w:tcPr>
          <w:p w14:paraId="5C301EA9">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2.2.1</w:t>
            </w:r>
          </w:p>
          <w:p w14:paraId="3B393616">
            <w:pPr>
              <w:rPr>
                <w:rFonts w:cs="宋体" w:asciiTheme="majorEastAsia" w:hAnsiTheme="majorEastAsia" w:eastAsiaTheme="majorEastAsia"/>
                <w:sz w:val="24"/>
                <w:szCs w:val="24"/>
              </w:rPr>
            </w:pPr>
          </w:p>
        </w:tc>
        <w:tc>
          <w:tcPr>
            <w:tcW w:w="2366" w:type="dxa"/>
            <w:vAlign w:val="center"/>
          </w:tcPr>
          <w:p w14:paraId="663F7634">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分值构成</w:t>
            </w:r>
          </w:p>
          <w:p w14:paraId="093C65F1">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(总分100分)</w:t>
            </w:r>
          </w:p>
        </w:tc>
        <w:tc>
          <w:tcPr>
            <w:tcW w:w="5572" w:type="dxa"/>
            <w:vAlign w:val="center"/>
          </w:tcPr>
          <w:p w14:paraId="136C605D">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技术部分：60分</w:t>
            </w:r>
          </w:p>
          <w:p w14:paraId="414AF38E">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商务部分：40分（含投标报价10分）</w:t>
            </w:r>
          </w:p>
        </w:tc>
      </w:tr>
      <w:tr w14:paraId="5707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59" w:type="dxa"/>
            <w:gridSpan w:val="2"/>
            <w:vAlign w:val="center"/>
          </w:tcPr>
          <w:p w14:paraId="45BF8ACD">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2.2.2</w:t>
            </w:r>
          </w:p>
        </w:tc>
        <w:tc>
          <w:tcPr>
            <w:tcW w:w="2366" w:type="dxa"/>
            <w:vAlign w:val="center"/>
          </w:tcPr>
          <w:p w14:paraId="69E0F190">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评标基准价计算方法</w:t>
            </w:r>
          </w:p>
        </w:tc>
        <w:tc>
          <w:tcPr>
            <w:tcW w:w="5572" w:type="dxa"/>
            <w:vAlign w:val="center"/>
          </w:tcPr>
          <w:p w14:paraId="7E787CCF">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评标基准价为经过评标委员会评审合格的所有有效投标人投标报价的最低值。</w:t>
            </w:r>
          </w:p>
        </w:tc>
      </w:tr>
      <w:tr w14:paraId="707BA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59" w:type="dxa"/>
            <w:gridSpan w:val="2"/>
            <w:vAlign w:val="center"/>
          </w:tcPr>
          <w:p w14:paraId="593E79FE">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条款号</w:t>
            </w:r>
          </w:p>
        </w:tc>
        <w:tc>
          <w:tcPr>
            <w:tcW w:w="2366" w:type="dxa"/>
            <w:vAlign w:val="center"/>
          </w:tcPr>
          <w:p w14:paraId="0CA44C37">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评分因素</w:t>
            </w:r>
          </w:p>
        </w:tc>
        <w:tc>
          <w:tcPr>
            <w:tcW w:w="5572" w:type="dxa"/>
            <w:vAlign w:val="center"/>
          </w:tcPr>
          <w:p w14:paraId="4724B0DD">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评分标准</w:t>
            </w:r>
          </w:p>
        </w:tc>
      </w:tr>
      <w:tr w14:paraId="1D971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9" w:hRule="atLeast"/>
        </w:trPr>
        <w:tc>
          <w:tcPr>
            <w:tcW w:w="709" w:type="dxa"/>
            <w:vMerge w:val="restart"/>
            <w:vAlign w:val="center"/>
          </w:tcPr>
          <w:p w14:paraId="17C75B77">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2.2.4</w:t>
            </w:r>
          </w:p>
          <w:p w14:paraId="1CD9B4E2">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(l)</w:t>
            </w:r>
          </w:p>
          <w:p w14:paraId="39E35795">
            <w:pPr>
              <w:rPr>
                <w:rFonts w:cs="宋体" w:asciiTheme="majorEastAsia" w:hAnsiTheme="majorEastAsia" w:eastAsiaTheme="majorEastAsia"/>
                <w:sz w:val="24"/>
                <w:szCs w:val="24"/>
              </w:rPr>
            </w:pPr>
          </w:p>
        </w:tc>
        <w:tc>
          <w:tcPr>
            <w:tcW w:w="850" w:type="dxa"/>
            <w:vMerge w:val="restart"/>
            <w:vAlign w:val="center"/>
          </w:tcPr>
          <w:p w14:paraId="6E60D72D">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技术</w:t>
            </w:r>
          </w:p>
          <w:p w14:paraId="7CFF010E">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部分，60分</w:t>
            </w:r>
          </w:p>
        </w:tc>
        <w:tc>
          <w:tcPr>
            <w:tcW w:w="2366" w:type="dxa"/>
            <w:shd w:val="clear" w:color="auto" w:fill="auto"/>
            <w:vAlign w:val="center"/>
          </w:tcPr>
          <w:p w14:paraId="0679DAA5">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项目整体方案设计（12分）</w:t>
            </w:r>
          </w:p>
        </w:tc>
        <w:tc>
          <w:tcPr>
            <w:tcW w:w="5572" w:type="dxa"/>
            <w:shd w:val="clear" w:color="auto" w:fill="auto"/>
            <w:vAlign w:val="center"/>
          </w:tcPr>
          <w:p w14:paraId="4C1420E3">
            <w:pPr>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zh-CN"/>
              </w:rPr>
              <w:t>投标人对本项目建设背景及项目现状具有充分了解，方案总体设计科学，充分理解本次项目的建设需求和目标，技术路线清晰可行，并提出规范合理的总体设计方案，能满足业主方需求</w:t>
            </w:r>
            <w:r>
              <w:rPr>
                <w:rFonts w:hint="eastAsia" w:cs="宋体" w:asciiTheme="majorEastAsia" w:hAnsiTheme="majorEastAsia" w:eastAsiaTheme="majorEastAsia"/>
                <w:sz w:val="24"/>
                <w:szCs w:val="24"/>
              </w:rPr>
              <w:t>，</w:t>
            </w:r>
            <w:r>
              <w:rPr>
                <w:rFonts w:hint="eastAsia" w:cs="宋体" w:asciiTheme="majorEastAsia" w:hAnsiTheme="majorEastAsia" w:eastAsiaTheme="majorEastAsia"/>
                <w:sz w:val="24"/>
                <w:szCs w:val="24"/>
                <w:lang w:val="zh-CN"/>
              </w:rPr>
              <w:t>包括但不限于以下几个方面：</w:t>
            </w:r>
          </w:p>
          <w:p w14:paraId="6F63FFFF">
            <w:pPr>
              <w:numPr>
                <w:ilvl w:val="0"/>
                <w:numId w:val="9"/>
              </w:num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针对院内要求，项目要求建设的各系统运行流程与院内就诊流程匹配，满足院方及患者就诊需要；</w:t>
            </w:r>
          </w:p>
          <w:p w14:paraId="3719CEB4">
            <w:pPr>
              <w:numPr>
                <w:ilvl w:val="0"/>
                <w:numId w:val="9"/>
              </w:num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数据安全、软件系统平稳过渡方案；</w:t>
            </w:r>
          </w:p>
          <w:p w14:paraId="2E569AFD">
            <w:pPr>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3、软件项目管理方案、软件系统实施方案、软件系统测试方案等内容；</w:t>
            </w:r>
          </w:p>
          <w:p w14:paraId="02540B4D">
            <w:pPr>
              <w:rPr>
                <w:rFonts w:cs="宋体" w:asciiTheme="majorEastAsia" w:hAnsiTheme="majorEastAsia" w:eastAsiaTheme="majorEastAsia"/>
                <w:sz w:val="24"/>
                <w:szCs w:val="24"/>
                <w:lang w:val="zh-CN"/>
              </w:rPr>
            </w:pPr>
            <w:r>
              <w:rPr>
                <w:rFonts w:hint="eastAsia" w:cs="宋体" w:asciiTheme="majorEastAsia" w:hAnsiTheme="majorEastAsia" w:eastAsiaTheme="majorEastAsia"/>
                <w:sz w:val="24"/>
                <w:szCs w:val="24"/>
                <w:lang w:val="zh-CN"/>
              </w:rPr>
              <w:t>对以上</w:t>
            </w:r>
            <w:r>
              <w:rPr>
                <w:rFonts w:hint="eastAsia" w:cs="宋体" w:asciiTheme="majorEastAsia" w:hAnsiTheme="majorEastAsia" w:eastAsiaTheme="majorEastAsia"/>
                <w:sz w:val="24"/>
                <w:szCs w:val="24"/>
              </w:rPr>
              <w:t>三</w:t>
            </w:r>
            <w:r>
              <w:rPr>
                <w:rFonts w:hint="eastAsia" w:cs="宋体" w:asciiTheme="majorEastAsia" w:hAnsiTheme="majorEastAsia" w:eastAsiaTheme="majorEastAsia"/>
                <w:sz w:val="24"/>
                <w:szCs w:val="24"/>
                <w:lang w:val="zh-CN"/>
              </w:rPr>
              <w:t>项方案进行阐述，每提供一项内容且适用于本项目且无缺失的方案得</w:t>
            </w:r>
            <w:r>
              <w:rPr>
                <w:rFonts w:hint="eastAsia" w:cs="宋体" w:asciiTheme="majorEastAsia" w:hAnsiTheme="majorEastAsia" w:eastAsiaTheme="majorEastAsia"/>
                <w:sz w:val="24"/>
                <w:szCs w:val="24"/>
              </w:rPr>
              <w:t>4</w:t>
            </w:r>
            <w:r>
              <w:rPr>
                <w:rFonts w:hint="eastAsia" w:cs="宋体" w:asciiTheme="majorEastAsia" w:hAnsiTheme="majorEastAsia" w:eastAsiaTheme="majorEastAsia"/>
                <w:sz w:val="24"/>
                <w:szCs w:val="24"/>
                <w:lang w:val="zh-CN"/>
              </w:rPr>
              <w:t>分，方案有缺失或不完善的得</w:t>
            </w:r>
            <w:r>
              <w:rPr>
                <w:rFonts w:hint="eastAsia" w:cs="宋体" w:asciiTheme="majorEastAsia" w:hAnsiTheme="majorEastAsia" w:eastAsiaTheme="majorEastAsia"/>
                <w:sz w:val="24"/>
                <w:szCs w:val="24"/>
              </w:rPr>
              <w:t>2</w:t>
            </w:r>
            <w:r>
              <w:rPr>
                <w:rFonts w:hint="eastAsia" w:cs="宋体" w:asciiTheme="majorEastAsia" w:hAnsiTheme="majorEastAsia" w:eastAsiaTheme="majorEastAsia"/>
                <w:sz w:val="24"/>
                <w:szCs w:val="24"/>
                <w:lang w:val="zh-CN"/>
              </w:rPr>
              <w:t>分，方案不适用于本项目的或不提供的不得分，满分</w:t>
            </w:r>
            <w:r>
              <w:rPr>
                <w:rFonts w:hint="eastAsia" w:cs="宋体" w:asciiTheme="majorEastAsia" w:hAnsiTheme="majorEastAsia" w:eastAsiaTheme="majorEastAsia"/>
                <w:sz w:val="24"/>
                <w:szCs w:val="24"/>
              </w:rPr>
              <w:t>12</w:t>
            </w:r>
            <w:r>
              <w:rPr>
                <w:rFonts w:hint="eastAsia" w:cs="宋体" w:asciiTheme="majorEastAsia" w:hAnsiTheme="majorEastAsia" w:eastAsiaTheme="majorEastAsia"/>
                <w:sz w:val="24"/>
                <w:szCs w:val="24"/>
                <w:lang w:val="zh-CN"/>
              </w:rPr>
              <w:t>分。</w:t>
            </w:r>
          </w:p>
          <w:p w14:paraId="39332D3D">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zh-CN"/>
              </w:rPr>
              <w:t>（缺失是指：不符合实际，存在偏离内容、内容前后不一致、文不对题、前后逻辑错误、内容缺失有瑕疵、无具体流程细节描述之处）</w:t>
            </w:r>
          </w:p>
        </w:tc>
      </w:tr>
      <w:tr w14:paraId="1C93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trPr>
        <w:tc>
          <w:tcPr>
            <w:tcW w:w="709" w:type="dxa"/>
            <w:vMerge w:val="continue"/>
            <w:vAlign w:val="center"/>
          </w:tcPr>
          <w:p w14:paraId="3688D488">
            <w:pPr>
              <w:rPr>
                <w:rFonts w:cs="宋体" w:asciiTheme="majorEastAsia" w:hAnsiTheme="majorEastAsia" w:eastAsiaTheme="majorEastAsia"/>
                <w:sz w:val="24"/>
                <w:szCs w:val="24"/>
              </w:rPr>
            </w:pPr>
          </w:p>
        </w:tc>
        <w:tc>
          <w:tcPr>
            <w:tcW w:w="850" w:type="dxa"/>
            <w:vMerge w:val="continue"/>
            <w:vAlign w:val="center"/>
          </w:tcPr>
          <w:p w14:paraId="4F254B1F">
            <w:pPr>
              <w:rPr>
                <w:rFonts w:cs="宋体" w:asciiTheme="majorEastAsia" w:hAnsiTheme="majorEastAsia" w:eastAsiaTheme="majorEastAsia"/>
                <w:sz w:val="24"/>
                <w:szCs w:val="24"/>
              </w:rPr>
            </w:pPr>
          </w:p>
        </w:tc>
        <w:tc>
          <w:tcPr>
            <w:tcW w:w="2366" w:type="dxa"/>
            <w:shd w:val="clear" w:color="auto" w:fill="auto"/>
            <w:vAlign w:val="center"/>
          </w:tcPr>
          <w:p w14:paraId="0E91ADE4">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培训方案（12分）</w:t>
            </w:r>
          </w:p>
        </w:tc>
        <w:tc>
          <w:tcPr>
            <w:tcW w:w="5572" w:type="dxa"/>
            <w:shd w:val="clear" w:color="auto" w:fill="auto"/>
            <w:vAlign w:val="center"/>
          </w:tcPr>
          <w:p w14:paraId="02C1C4C3">
            <w:pPr>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针对本项目招标内容，提供详细培训方案，方案需至少包含</w:t>
            </w:r>
            <w:r>
              <w:rPr>
                <w:rFonts w:hint="eastAsia" w:cs="宋体" w:asciiTheme="majorEastAsia" w:hAnsiTheme="majorEastAsia" w:eastAsiaTheme="majorEastAsia"/>
                <w:bCs/>
                <w:szCs w:val="21"/>
                <w:lang w:val="zh-CN"/>
              </w:rPr>
              <w:t>以下几个方面：</w:t>
            </w:r>
          </w:p>
          <w:p w14:paraId="093B51BB">
            <w:pPr>
              <w:numPr>
                <w:ilvl w:val="0"/>
                <w:numId w:val="10"/>
              </w:num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培训目标措施方案，包括但不限于提升医护人员对系统的操作熟练度，使相关人员熟练掌握医院信息系统的核心功能，确保系统高效稳定运行；</w:t>
            </w:r>
          </w:p>
          <w:p w14:paraId="305773B9">
            <w:pPr>
              <w:numPr>
                <w:ilvl w:val="0"/>
                <w:numId w:val="10"/>
              </w:num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培训对象措施方案，包括但不限于根据医院软件系统的使用范围，确定不同的培训对象，包括门诊收费挂号窗口人员、住院部管理人员、财务科管理人员、系统管理员等；</w:t>
            </w:r>
          </w:p>
          <w:p w14:paraId="43286313">
            <w:pPr>
              <w:numPr>
                <w:ilvl w:val="0"/>
                <w:numId w:val="10"/>
              </w:num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系统基础认知培训方案：包括但不限于介绍软件系统的整体架构、功能模块组成、应用场景及对医院业务流程的优化作用；</w:t>
            </w:r>
          </w:p>
          <w:p w14:paraId="3BC173C1">
            <w:pPr>
              <w:rPr>
                <w:rFonts w:cs="宋体" w:asciiTheme="majorEastAsia" w:hAnsiTheme="majorEastAsia" w:eastAsiaTheme="majorEastAsia"/>
                <w:sz w:val="24"/>
                <w:szCs w:val="24"/>
                <w:lang w:val="zh-CN"/>
              </w:rPr>
            </w:pPr>
            <w:r>
              <w:rPr>
                <w:rFonts w:hint="eastAsia" w:cs="宋体" w:asciiTheme="majorEastAsia" w:hAnsiTheme="majorEastAsia" w:eastAsiaTheme="majorEastAsia"/>
                <w:sz w:val="24"/>
                <w:szCs w:val="24"/>
                <w:lang w:val="zh-CN"/>
              </w:rPr>
              <w:t>对以上</w:t>
            </w:r>
            <w:r>
              <w:rPr>
                <w:rFonts w:hint="eastAsia" w:cs="宋体" w:asciiTheme="majorEastAsia" w:hAnsiTheme="majorEastAsia" w:eastAsiaTheme="majorEastAsia"/>
                <w:sz w:val="24"/>
                <w:szCs w:val="24"/>
              </w:rPr>
              <w:t>三</w:t>
            </w:r>
            <w:r>
              <w:rPr>
                <w:rFonts w:hint="eastAsia" w:cs="宋体" w:asciiTheme="majorEastAsia" w:hAnsiTheme="majorEastAsia" w:eastAsiaTheme="majorEastAsia"/>
                <w:sz w:val="24"/>
                <w:szCs w:val="24"/>
                <w:lang w:val="zh-CN"/>
              </w:rPr>
              <w:t>项方案进行阐述，每提供一项内容且适用于本项目且无缺失的方案得</w:t>
            </w:r>
            <w:r>
              <w:rPr>
                <w:rFonts w:hint="eastAsia" w:cs="宋体" w:asciiTheme="majorEastAsia" w:hAnsiTheme="majorEastAsia" w:eastAsiaTheme="majorEastAsia"/>
                <w:sz w:val="24"/>
                <w:szCs w:val="24"/>
              </w:rPr>
              <w:t>4</w:t>
            </w:r>
            <w:r>
              <w:rPr>
                <w:rFonts w:hint="eastAsia" w:cs="宋体" w:asciiTheme="majorEastAsia" w:hAnsiTheme="majorEastAsia" w:eastAsiaTheme="majorEastAsia"/>
                <w:sz w:val="24"/>
                <w:szCs w:val="24"/>
                <w:lang w:val="zh-CN"/>
              </w:rPr>
              <w:t>分，方案有缺失或不完善的得</w:t>
            </w:r>
            <w:r>
              <w:rPr>
                <w:rFonts w:hint="eastAsia" w:cs="宋体" w:asciiTheme="majorEastAsia" w:hAnsiTheme="majorEastAsia" w:eastAsiaTheme="majorEastAsia"/>
                <w:sz w:val="24"/>
                <w:szCs w:val="24"/>
              </w:rPr>
              <w:t>2</w:t>
            </w:r>
            <w:r>
              <w:rPr>
                <w:rFonts w:hint="eastAsia" w:cs="宋体" w:asciiTheme="majorEastAsia" w:hAnsiTheme="majorEastAsia" w:eastAsiaTheme="majorEastAsia"/>
                <w:sz w:val="24"/>
                <w:szCs w:val="24"/>
                <w:lang w:val="zh-CN"/>
              </w:rPr>
              <w:t>分，方案不适用于本项目的或不提供的不得分，满分</w:t>
            </w:r>
            <w:r>
              <w:rPr>
                <w:rFonts w:hint="eastAsia" w:cs="宋体" w:asciiTheme="majorEastAsia" w:hAnsiTheme="majorEastAsia" w:eastAsiaTheme="majorEastAsia"/>
                <w:sz w:val="24"/>
                <w:szCs w:val="24"/>
              </w:rPr>
              <w:t>12</w:t>
            </w:r>
            <w:r>
              <w:rPr>
                <w:rFonts w:hint="eastAsia" w:cs="宋体" w:asciiTheme="majorEastAsia" w:hAnsiTheme="majorEastAsia" w:eastAsiaTheme="majorEastAsia"/>
                <w:sz w:val="24"/>
                <w:szCs w:val="24"/>
                <w:lang w:val="zh-CN"/>
              </w:rPr>
              <w:t>分。</w:t>
            </w:r>
          </w:p>
          <w:p w14:paraId="294C586D">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zh-CN"/>
              </w:rPr>
              <w:t>（缺失是指：不符合实际，存在偏离内容、内容前后不一致、文不对题、前后逻辑错误、内容缺失有瑕疵、无具体流程细节描述之处）</w:t>
            </w:r>
          </w:p>
        </w:tc>
      </w:tr>
      <w:tr w14:paraId="34F02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09" w:type="dxa"/>
            <w:vMerge w:val="continue"/>
            <w:vAlign w:val="center"/>
          </w:tcPr>
          <w:p w14:paraId="0630892A">
            <w:pPr>
              <w:rPr>
                <w:rFonts w:cs="宋体" w:asciiTheme="majorEastAsia" w:hAnsiTheme="majorEastAsia" w:eastAsiaTheme="majorEastAsia"/>
                <w:sz w:val="24"/>
                <w:szCs w:val="24"/>
              </w:rPr>
            </w:pPr>
          </w:p>
        </w:tc>
        <w:tc>
          <w:tcPr>
            <w:tcW w:w="850" w:type="dxa"/>
            <w:vMerge w:val="continue"/>
            <w:vAlign w:val="center"/>
          </w:tcPr>
          <w:p w14:paraId="7F219337">
            <w:pPr>
              <w:rPr>
                <w:rFonts w:cs="宋体" w:asciiTheme="majorEastAsia" w:hAnsiTheme="majorEastAsia" w:eastAsiaTheme="majorEastAsia"/>
                <w:sz w:val="24"/>
                <w:szCs w:val="24"/>
              </w:rPr>
            </w:pPr>
          </w:p>
        </w:tc>
        <w:tc>
          <w:tcPr>
            <w:tcW w:w="2366" w:type="dxa"/>
            <w:shd w:val="clear" w:color="auto" w:fill="auto"/>
            <w:vAlign w:val="center"/>
          </w:tcPr>
          <w:p w14:paraId="0ACA235A">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保密措施服务方案（12分）</w:t>
            </w:r>
          </w:p>
        </w:tc>
        <w:tc>
          <w:tcPr>
            <w:tcW w:w="5572" w:type="dxa"/>
            <w:shd w:val="clear" w:color="auto" w:fill="auto"/>
            <w:vAlign w:val="center"/>
          </w:tcPr>
          <w:p w14:paraId="5B80DE9A">
            <w:pPr>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针对本项目招标内容，提供保密措施服务方案，方案需包含</w:t>
            </w:r>
            <w:r>
              <w:rPr>
                <w:rFonts w:hint="eastAsia" w:cs="宋体" w:asciiTheme="majorEastAsia" w:hAnsiTheme="majorEastAsia" w:eastAsiaTheme="majorEastAsia"/>
                <w:bCs/>
                <w:szCs w:val="21"/>
                <w:lang w:val="zh-CN"/>
              </w:rPr>
              <w:t>以下几个方面：</w:t>
            </w:r>
          </w:p>
          <w:p w14:paraId="1C5E1DC6">
            <w:pPr>
              <w:numPr>
                <w:ilvl w:val="0"/>
                <w:numId w:val="11"/>
              </w:num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通过采用系统数据传输加密、数据治理脱敏、数据隔离等措施方案；</w:t>
            </w:r>
          </w:p>
          <w:p w14:paraId="1A5E3A8B">
            <w:pPr>
              <w:numPr>
                <w:ilvl w:val="0"/>
                <w:numId w:val="11"/>
              </w:num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根据需求制定相应系统保密制度；</w:t>
            </w:r>
          </w:p>
          <w:p w14:paraId="1C52C9D9">
            <w:pPr>
              <w:numPr>
                <w:ilvl w:val="0"/>
                <w:numId w:val="11"/>
              </w:num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针对项目研发实施人员出具保密教育措施方案：</w:t>
            </w:r>
          </w:p>
          <w:p w14:paraId="02DEC86B">
            <w:pPr>
              <w:rPr>
                <w:rFonts w:cs="宋体" w:asciiTheme="majorEastAsia" w:hAnsiTheme="majorEastAsia" w:eastAsiaTheme="majorEastAsia"/>
                <w:sz w:val="24"/>
                <w:szCs w:val="24"/>
                <w:lang w:val="zh-CN"/>
              </w:rPr>
            </w:pPr>
            <w:r>
              <w:rPr>
                <w:rFonts w:hint="eastAsia" w:cs="宋体" w:asciiTheme="majorEastAsia" w:hAnsiTheme="majorEastAsia" w:eastAsiaTheme="majorEastAsia"/>
                <w:sz w:val="24"/>
                <w:szCs w:val="24"/>
                <w:lang w:val="zh-CN"/>
              </w:rPr>
              <w:t>对以上</w:t>
            </w:r>
            <w:r>
              <w:rPr>
                <w:rFonts w:hint="eastAsia" w:cs="宋体" w:asciiTheme="majorEastAsia" w:hAnsiTheme="majorEastAsia" w:eastAsiaTheme="majorEastAsia"/>
                <w:sz w:val="24"/>
                <w:szCs w:val="24"/>
              </w:rPr>
              <w:t>三</w:t>
            </w:r>
            <w:r>
              <w:rPr>
                <w:rFonts w:hint="eastAsia" w:cs="宋体" w:asciiTheme="majorEastAsia" w:hAnsiTheme="majorEastAsia" w:eastAsiaTheme="majorEastAsia"/>
                <w:sz w:val="24"/>
                <w:szCs w:val="24"/>
                <w:lang w:val="zh-CN"/>
              </w:rPr>
              <w:t>项方案进行阐述，每提供一项内容且适用于本项目且无缺失的方案得</w:t>
            </w:r>
            <w:r>
              <w:rPr>
                <w:rFonts w:hint="eastAsia" w:cs="宋体" w:asciiTheme="majorEastAsia" w:hAnsiTheme="majorEastAsia" w:eastAsiaTheme="majorEastAsia"/>
                <w:sz w:val="24"/>
                <w:szCs w:val="24"/>
              </w:rPr>
              <w:t>4</w:t>
            </w:r>
            <w:r>
              <w:rPr>
                <w:rFonts w:hint="eastAsia" w:cs="宋体" w:asciiTheme="majorEastAsia" w:hAnsiTheme="majorEastAsia" w:eastAsiaTheme="majorEastAsia"/>
                <w:sz w:val="24"/>
                <w:szCs w:val="24"/>
                <w:lang w:val="zh-CN"/>
              </w:rPr>
              <w:t>分，方案有缺失或不完善的得</w:t>
            </w:r>
            <w:r>
              <w:rPr>
                <w:rFonts w:hint="eastAsia" w:cs="宋体" w:asciiTheme="majorEastAsia" w:hAnsiTheme="majorEastAsia" w:eastAsiaTheme="majorEastAsia"/>
                <w:sz w:val="24"/>
                <w:szCs w:val="24"/>
              </w:rPr>
              <w:t>2</w:t>
            </w:r>
            <w:r>
              <w:rPr>
                <w:rFonts w:hint="eastAsia" w:cs="宋体" w:asciiTheme="majorEastAsia" w:hAnsiTheme="majorEastAsia" w:eastAsiaTheme="majorEastAsia"/>
                <w:sz w:val="24"/>
                <w:szCs w:val="24"/>
                <w:lang w:val="zh-CN"/>
              </w:rPr>
              <w:t>分，方案不适用于本项目的或不提供的不得分，满分</w:t>
            </w:r>
            <w:r>
              <w:rPr>
                <w:rFonts w:hint="eastAsia" w:cs="宋体" w:asciiTheme="majorEastAsia" w:hAnsiTheme="majorEastAsia" w:eastAsiaTheme="majorEastAsia"/>
                <w:sz w:val="24"/>
                <w:szCs w:val="24"/>
              </w:rPr>
              <w:t>12</w:t>
            </w:r>
            <w:r>
              <w:rPr>
                <w:rFonts w:hint="eastAsia" w:cs="宋体" w:asciiTheme="majorEastAsia" w:hAnsiTheme="majorEastAsia" w:eastAsiaTheme="majorEastAsia"/>
                <w:sz w:val="24"/>
                <w:szCs w:val="24"/>
                <w:lang w:val="zh-CN"/>
              </w:rPr>
              <w:t>分。</w:t>
            </w:r>
          </w:p>
          <w:p w14:paraId="24638D15">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zh-CN"/>
              </w:rPr>
              <w:t>（缺失是指：不符合实际，存在偏离内容、内容前后不一致、文不对题、前后逻辑错误、内容缺失有瑕疵、无具体流程细节描述之处）</w:t>
            </w:r>
          </w:p>
        </w:tc>
      </w:tr>
      <w:tr w14:paraId="20C39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3" w:hRule="atLeast"/>
        </w:trPr>
        <w:tc>
          <w:tcPr>
            <w:tcW w:w="709" w:type="dxa"/>
            <w:vMerge w:val="continue"/>
            <w:vAlign w:val="center"/>
          </w:tcPr>
          <w:p w14:paraId="66A145A9">
            <w:pPr>
              <w:rPr>
                <w:rFonts w:cs="宋体" w:asciiTheme="majorEastAsia" w:hAnsiTheme="majorEastAsia" w:eastAsiaTheme="majorEastAsia"/>
                <w:sz w:val="24"/>
                <w:szCs w:val="24"/>
              </w:rPr>
            </w:pPr>
          </w:p>
        </w:tc>
        <w:tc>
          <w:tcPr>
            <w:tcW w:w="850" w:type="dxa"/>
            <w:vMerge w:val="continue"/>
            <w:vAlign w:val="center"/>
          </w:tcPr>
          <w:p w14:paraId="4EC3D3EA">
            <w:pPr>
              <w:rPr>
                <w:rFonts w:cs="宋体" w:asciiTheme="majorEastAsia" w:hAnsiTheme="majorEastAsia" w:eastAsiaTheme="majorEastAsia"/>
                <w:sz w:val="24"/>
                <w:szCs w:val="24"/>
              </w:rPr>
            </w:pPr>
          </w:p>
        </w:tc>
        <w:tc>
          <w:tcPr>
            <w:tcW w:w="2366" w:type="dxa"/>
            <w:shd w:val="clear" w:color="auto" w:fill="auto"/>
            <w:vAlign w:val="center"/>
          </w:tcPr>
          <w:p w14:paraId="3EF88337">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售后服务措施方案（12分）</w:t>
            </w:r>
          </w:p>
        </w:tc>
        <w:tc>
          <w:tcPr>
            <w:tcW w:w="5572" w:type="dxa"/>
            <w:shd w:val="clear" w:color="auto" w:fill="auto"/>
            <w:vAlign w:val="center"/>
          </w:tcPr>
          <w:p w14:paraId="4BC16272">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针对故障响应及问题解决时间及非工作时间问题故障响应及问题解决时间提供相关服务措施方案，方案需包含</w:t>
            </w:r>
            <w:r>
              <w:rPr>
                <w:rFonts w:hint="eastAsia" w:cs="宋体" w:asciiTheme="majorEastAsia" w:hAnsiTheme="majorEastAsia" w:eastAsiaTheme="majorEastAsia"/>
                <w:bCs/>
                <w:szCs w:val="21"/>
                <w:lang w:val="zh-CN"/>
              </w:rPr>
              <w:t>以下几个方面：</w:t>
            </w:r>
          </w:p>
          <w:p w14:paraId="4DA63B69">
            <w:pPr>
              <w:numPr>
                <w:ilvl w:val="0"/>
                <w:numId w:val="12"/>
              </w:num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保障系统稳定运行措施；</w:t>
            </w:r>
          </w:p>
          <w:p w14:paraId="0C2268F1">
            <w:pPr>
              <w:numPr>
                <w:ilvl w:val="0"/>
                <w:numId w:val="12"/>
              </w:num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故障响应时间；</w:t>
            </w:r>
          </w:p>
          <w:p w14:paraId="291BDC01">
            <w:pPr>
              <w:numPr>
                <w:ilvl w:val="0"/>
                <w:numId w:val="12"/>
              </w:num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系统维护升级措施：</w:t>
            </w:r>
          </w:p>
          <w:p w14:paraId="2B7758BC">
            <w:pPr>
              <w:rPr>
                <w:rFonts w:cs="宋体" w:asciiTheme="majorEastAsia" w:hAnsiTheme="majorEastAsia" w:eastAsiaTheme="majorEastAsia"/>
                <w:sz w:val="24"/>
                <w:szCs w:val="24"/>
                <w:lang w:val="zh-CN"/>
              </w:rPr>
            </w:pPr>
            <w:r>
              <w:rPr>
                <w:rFonts w:hint="eastAsia" w:cs="宋体" w:asciiTheme="majorEastAsia" w:hAnsiTheme="majorEastAsia" w:eastAsiaTheme="majorEastAsia"/>
                <w:sz w:val="24"/>
                <w:szCs w:val="24"/>
                <w:lang w:val="zh-CN"/>
              </w:rPr>
              <w:t>对以上</w:t>
            </w:r>
            <w:r>
              <w:rPr>
                <w:rFonts w:hint="eastAsia" w:cs="宋体" w:asciiTheme="majorEastAsia" w:hAnsiTheme="majorEastAsia" w:eastAsiaTheme="majorEastAsia"/>
                <w:sz w:val="24"/>
                <w:szCs w:val="24"/>
              </w:rPr>
              <w:t>三</w:t>
            </w:r>
            <w:r>
              <w:rPr>
                <w:rFonts w:hint="eastAsia" w:cs="宋体" w:asciiTheme="majorEastAsia" w:hAnsiTheme="majorEastAsia" w:eastAsiaTheme="majorEastAsia"/>
                <w:sz w:val="24"/>
                <w:szCs w:val="24"/>
                <w:lang w:val="zh-CN"/>
              </w:rPr>
              <w:t>项需求进行阐述，每提供一项内容且适用于本项目且无缺失的方案得</w:t>
            </w:r>
            <w:r>
              <w:rPr>
                <w:rFonts w:hint="eastAsia" w:cs="宋体" w:asciiTheme="majorEastAsia" w:hAnsiTheme="majorEastAsia" w:eastAsiaTheme="majorEastAsia"/>
                <w:sz w:val="24"/>
                <w:szCs w:val="24"/>
              </w:rPr>
              <w:t>4</w:t>
            </w:r>
            <w:r>
              <w:rPr>
                <w:rFonts w:hint="eastAsia" w:cs="宋体" w:asciiTheme="majorEastAsia" w:hAnsiTheme="majorEastAsia" w:eastAsiaTheme="majorEastAsia"/>
                <w:sz w:val="24"/>
                <w:szCs w:val="24"/>
                <w:lang w:val="zh-CN"/>
              </w:rPr>
              <w:t>分，方案有缺失或不完善的得</w:t>
            </w:r>
            <w:r>
              <w:rPr>
                <w:rFonts w:hint="eastAsia" w:cs="宋体" w:asciiTheme="majorEastAsia" w:hAnsiTheme="majorEastAsia" w:eastAsiaTheme="majorEastAsia"/>
                <w:sz w:val="24"/>
                <w:szCs w:val="24"/>
              </w:rPr>
              <w:t>2</w:t>
            </w:r>
            <w:r>
              <w:rPr>
                <w:rFonts w:hint="eastAsia" w:cs="宋体" w:asciiTheme="majorEastAsia" w:hAnsiTheme="majorEastAsia" w:eastAsiaTheme="majorEastAsia"/>
                <w:sz w:val="24"/>
                <w:szCs w:val="24"/>
                <w:lang w:val="zh-CN"/>
              </w:rPr>
              <w:t>分，方案不适用于本项目的或不提供的不得分，满分</w:t>
            </w:r>
            <w:r>
              <w:rPr>
                <w:rFonts w:hint="eastAsia" w:cs="宋体" w:asciiTheme="majorEastAsia" w:hAnsiTheme="majorEastAsia" w:eastAsiaTheme="majorEastAsia"/>
                <w:sz w:val="24"/>
                <w:szCs w:val="24"/>
              </w:rPr>
              <w:t>12</w:t>
            </w:r>
            <w:r>
              <w:rPr>
                <w:rFonts w:hint="eastAsia" w:cs="宋体" w:asciiTheme="majorEastAsia" w:hAnsiTheme="majorEastAsia" w:eastAsiaTheme="majorEastAsia"/>
                <w:sz w:val="24"/>
                <w:szCs w:val="24"/>
                <w:lang w:val="zh-CN"/>
              </w:rPr>
              <w:t>分。</w:t>
            </w:r>
          </w:p>
          <w:p w14:paraId="238B41AD">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zh-CN"/>
              </w:rPr>
              <w:t>（缺失是指：不符合实际，存在偏离内容、内容前后不一致、文不对题、前后逻辑错误、内容缺失有瑕疵、无具体流程细节描述之处）</w:t>
            </w:r>
          </w:p>
        </w:tc>
      </w:tr>
      <w:tr w14:paraId="0CEB4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trPr>
        <w:tc>
          <w:tcPr>
            <w:tcW w:w="709" w:type="dxa"/>
            <w:vMerge w:val="continue"/>
            <w:vAlign w:val="center"/>
          </w:tcPr>
          <w:p w14:paraId="733D58D4">
            <w:pPr>
              <w:rPr>
                <w:rFonts w:cs="宋体" w:asciiTheme="majorEastAsia" w:hAnsiTheme="majorEastAsia" w:eastAsiaTheme="majorEastAsia"/>
                <w:sz w:val="24"/>
                <w:szCs w:val="24"/>
              </w:rPr>
            </w:pPr>
          </w:p>
        </w:tc>
        <w:tc>
          <w:tcPr>
            <w:tcW w:w="850" w:type="dxa"/>
            <w:vMerge w:val="continue"/>
            <w:vAlign w:val="center"/>
          </w:tcPr>
          <w:p w14:paraId="72250967">
            <w:pPr>
              <w:rPr>
                <w:rFonts w:cs="宋体" w:asciiTheme="majorEastAsia" w:hAnsiTheme="majorEastAsia" w:eastAsiaTheme="majorEastAsia"/>
                <w:sz w:val="24"/>
                <w:szCs w:val="24"/>
              </w:rPr>
            </w:pPr>
          </w:p>
        </w:tc>
        <w:tc>
          <w:tcPr>
            <w:tcW w:w="2366" w:type="dxa"/>
            <w:shd w:val="clear" w:color="auto" w:fill="auto"/>
            <w:vAlign w:val="center"/>
          </w:tcPr>
          <w:p w14:paraId="30C057D7">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紧急情况的处理措施、预案以及抵抗风险的措施（12分）</w:t>
            </w:r>
          </w:p>
        </w:tc>
        <w:tc>
          <w:tcPr>
            <w:tcW w:w="5572" w:type="dxa"/>
            <w:shd w:val="clear" w:color="auto" w:fill="auto"/>
            <w:vAlign w:val="center"/>
          </w:tcPr>
          <w:p w14:paraId="274F1439">
            <w:pPr>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针对本项目招标内容，提供紧急情况的处理措施、预案以及抵抗风险的措施</w:t>
            </w:r>
            <w:r>
              <w:rPr>
                <w:rFonts w:hint="eastAsia" w:cs="宋体" w:asciiTheme="majorEastAsia" w:hAnsiTheme="majorEastAsia" w:eastAsiaTheme="majorEastAsia"/>
                <w:sz w:val="24"/>
                <w:szCs w:val="24"/>
                <w:lang w:val="zh-CN"/>
              </w:rPr>
              <w:t>以下几个方面：</w:t>
            </w:r>
          </w:p>
          <w:p w14:paraId="7D12DF06">
            <w:pPr>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1、系统瘫痪与崩溃的应急处理措施方案；</w:t>
            </w:r>
          </w:p>
          <w:p w14:paraId="4F6F100E">
            <w:pPr>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r>
              <w:rPr>
                <w:rFonts w:cs="宋体" w:asciiTheme="majorEastAsia" w:hAnsiTheme="majorEastAsia" w:eastAsiaTheme="majorEastAsia"/>
                <w:sz w:val="24"/>
                <w:szCs w:val="24"/>
              </w:rPr>
              <w:t>数据丢失或损坏</w:t>
            </w:r>
            <w:r>
              <w:rPr>
                <w:rFonts w:hint="eastAsia" w:cs="宋体" w:asciiTheme="majorEastAsia" w:hAnsiTheme="majorEastAsia" w:eastAsiaTheme="majorEastAsia"/>
                <w:sz w:val="24"/>
                <w:szCs w:val="24"/>
              </w:rPr>
              <w:t>的处理措施方案；</w:t>
            </w:r>
          </w:p>
          <w:p w14:paraId="46B1C33D">
            <w:pPr>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r>
              <w:rPr>
                <w:rFonts w:cs="宋体" w:asciiTheme="majorEastAsia" w:hAnsiTheme="majorEastAsia" w:eastAsiaTheme="majorEastAsia"/>
                <w:sz w:val="24"/>
                <w:szCs w:val="24"/>
              </w:rPr>
              <w:t>网络攻击（如勒索病毒、黑客入侵）</w:t>
            </w:r>
            <w:r>
              <w:rPr>
                <w:rFonts w:hint="eastAsia" w:cs="宋体" w:asciiTheme="majorEastAsia" w:hAnsiTheme="majorEastAsia" w:eastAsiaTheme="majorEastAsia"/>
                <w:sz w:val="24"/>
                <w:szCs w:val="24"/>
              </w:rPr>
              <w:t>的处理措施方案；</w:t>
            </w:r>
          </w:p>
          <w:p w14:paraId="01A1C424">
            <w:pPr>
              <w:rPr>
                <w:rFonts w:cs="宋体" w:asciiTheme="majorEastAsia" w:hAnsiTheme="majorEastAsia" w:eastAsiaTheme="majorEastAsia"/>
                <w:sz w:val="24"/>
                <w:szCs w:val="24"/>
                <w:lang w:val="zh-CN"/>
              </w:rPr>
            </w:pPr>
            <w:r>
              <w:rPr>
                <w:rFonts w:hint="eastAsia" w:cs="宋体" w:asciiTheme="majorEastAsia" w:hAnsiTheme="majorEastAsia" w:eastAsiaTheme="majorEastAsia"/>
                <w:sz w:val="24"/>
                <w:szCs w:val="24"/>
                <w:lang w:val="zh-CN"/>
              </w:rPr>
              <w:t>对以上</w:t>
            </w:r>
            <w:r>
              <w:rPr>
                <w:rFonts w:hint="eastAsia" w:cs="宋体" w:asciiTheme="majorEastAsia" w:hAnsiTheme="majorEastAsia" w:eastAsiaTheme="majorEastAsia"/>
                <w:sz w:val="24"/>
                <w:szCs w:val="24"/>
              </w:rPr>
              <w:t>三</w:t>
            </w:r>
            <w:r>
              <w:rPr>
                <w:rFonts w:hint="eastAsia" w:cs="宋体" w:asciiTheme="majorEastAsia" w:hAnsiTheme="majorEastAsia" w:eastAsiaTheme="majorEastAsia"/>
                <w:sz w:val="24"/>
                <w:szCs w:val="24"/>
                <w:lang w:val="zh-CN"/>
              </w:rPr>
              <w:t>项方案进行阐述，每提供一项内容且适用于本项目且无缺失的方案得</w:t>
            </w:r>
            <w:r>
              <w:rPr>
                <w:rFonts w:hint="eastAsia" w:cs="宋体" w:asciiTheme="majorEastAsia" w:hAnsiTheme="majorEastAsia" w:eastAsiaTheme="majorEastAsia"/>
                <w:sz w:val="24"/>
                <w:szCs w:val="24"/>
              </w:rPr>
              <w:t>4</w:t>
            </w:r>
            <w:r>
              <w:rPr>
                <w:rFonts w:hint="eastAsia" w:cs="宋体" w:asciiTheme="majorEastAsia" w:hAnsiTheme="majorEastAsia" w:eastAsiaTheme="majorEastAsia"/>
                <w:sz w:val="24"/>
                <w:szCs w:val="24"/>
                <w:lang w:val="zh-CN"/>
              </w:rPr>
              <w:t>分，方案有缺失或不完善的得</w:t>
            </w:r>
            <w:r>
              <w:rPr>
                <w:rFonts w:hint="eastAsia" w:cs="宋体" w:asciiTheme="majorEastAsia" w:hAnsiTheme="majorEastAsia" w:eastAsiaTheme="majorEastAsia"/>
                <w:sz w:val="24"/>
                <w:szCs w:val="24"/>
              </w:rPr>
              <w:t>2</w:t>
            </w:r>
            <w:r>
              <w:rPr>
                <w:rFonts w:hint="eastAsia" w:cs="宋体" w:asciiTheme="majorEastAsia" w:hAnsiTheme="majorEastAsia" w:eastAsiaTheme="majorEastAsia"/>
                <w:sz w:val="24"/>
                <w:szCs w:val="24"/>
                <w:lang w:val="zh-CN"/>
              </w:rPr>
              <w:t>分，方案不适用于本项目的或不提供的不得分，满分</w:t>
            </w:r>
            <w:r>
              <w:rPr>
                <w:rFonts w:hint="eastAsia" w:cs="宋体" w:asciiTheme="majorEastAsia" w:hAnsiTheme="majorEastAsia" w:eastAsiaTheme="majorEastAsia"/>
                <w:sz w:val="24"/>
                <w:szCs w:val="24"/>
              </w:rPr>
              <w:t>12</w:t>
            </w:r>
            <w:r>
              <w:rPr>
                <w:rFonts w:hint="eastAsia" w:cs="宋体" w:asciiTheme="majorEastAsia" w:hAnsiTheme="majorEastAsia" w:eastAsiaTheme="majorEastAsia"/>
                <w:sz w:val="24"/>
                <w:szCs w:val="24"/>
                <w:lang w:val="zh-CN"/>
              </w:rPr>
              <w:t>分。</w:t>
            </w:r>
          </w:p>
          <w:p w14:paraId="0114E6F5">
            <w:pPr>
              <w:rPr>
                <w:rFonts w:cs="宋体" w:asciiTheme="majorEastAsia" w:hAnsiTheme="majorEastAsia" w:eastAsiaTheme="majorEastAsia"/>
                <w:b/>
                <w:bCs/>
                <w:sz w:val="24"/>
                <w:szCs w:val="24"/>
              </w:rPr>
            </w:pPr>
            <w:r>
              <w:rPr>
                <w:rFonts w:hint="eastAsia" w:cs="宋体" w:asciiTheme="majorEastAsia" w:hAnsiTheme="majorEastAsia" w:eastAsiaTheme="majorEastAsia"/>
                <w:sz w:val="24"/>
                <w:szCs w:val="24"/>
                <w:lang w:val="zh-CN"/>
              </w:rPr>
              <w:t>（缺失是指：不符合实际，存在偏离内容、内容前后不一致、文不对题、前后逻辑错误、内容缺失有瑕疵、无具体流程细节描述之处）</w:t>
            </w:r>
          </w:p>
        </w:tc>
      </w:tr>
      <w:tr w14:paraId="2B694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trPr>
        <w:tc>
          <w:tcPr>
            <w:tcW w:w="709" w:type="dxa"/>
            <w:vMerge w:val="restart"/>
            <w:vAlign w:val="center"/>
          </w:tcPr>
          <w:p w14:paraId="424F42FC">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2.2.4</w:t>
            </w:r>
          </w:p>
          <w:p w14:paraId="3D1A2F48">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p w14:paraId="64E4C858">
            <w:pPr>
              <w:rPr>
                <w:rFonts w:cs="宋体" w:asciiTheme="majorEastAsia" w:hAnsiTheme="majorEastAsia" w:eastAsiaTheme="majorEastAsia"/>
                <w:sz w:val="24"/>
                <w:szCs w:val="24"/>
              </w:rPr>
            </w:pPr>
          </w:p>
        </w:tc>
        <w:tc>
          <w:tcPr>
            <w:tcW w:w="850" w:type="dxa"/>
            <w:vMerge w:val="restart"/>
            <w:vAlign w:val="center"/>
          </w:tcPr>
          <w:p w14:paraId="03FE037B">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商务</w:t>
            </w:r>
          </w:p>
          <w:p w14:paraId="22025A88">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部分，</w:t>
            </w:r>
            <w:r>
              <w:rPr>
                <w:rFonts w:cs="宋体" w:asciiTheme="majorEastAsia" w:hAnsiTheme="majorEastAsia" w:eastAsiaTheme="majorEastAsia"/>
                <w:sz w:val="24"/>
                <w:szCs w:val="24"/>
              </w:rPr>
              <w:t>40</w:t>
            </w:r>
            <w:r>
              <w:rPr>
                <w:rFonts w:hint="eastAsia" w:cs="宋体" w:asciiTheme="majorEastAsia" w:hAnsiTheme="majorEastAsia" w:eastAsiaTheme="majorEastAsia"/>
                <w:sz w:val="24"/>
                <w:szCs w:val="24"/>
              </w:rPr>
              <w:t>分</w:t>
            </w:r>
          </w:p>
        </w:tc>
        <w:tc>
          <w:tcPr>
            <w:tcW w:w="2366" w:type="dxa"/>
            <w:vAlign w:val="center"/>
          </w:tcPr>
          <w:p w14:paraId="106E4A7E">
            <w:pPr>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投标报价得分</w:t>
            </w:r>
          </w:p>
          <w:p w14:paraId="0C9BB17A">
            <w:pPr>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（10分）</w:t>
            </w:r>
          </w:p>
        </w:tc>
        <w:tc>
          <w:tcPr>
            <w:tcW w:w="5572" w:type="dxa"/>
            <w:vAlign w:val="center"/>
          </w:tcPr>
          <w:p w14:paraId="544D4064">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评标基准价为经过评标委员会评审合格的所有有效投标人投标报价的最低值。投标报价得分=(评标基准价／投标报价)×价格权值10%×100</w:t>
            </w:r>
          </w:p>
        </w:tc>
      </w:tr>
      <w:tr w14:paraId="0CA2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trPr>
        <w:tc>
          <w:tcPr>
            <w:tcW w:w="709" w:type="dxa"/>
            <w:vMerge w:val="continue"/>
            <w:vAlign w:val="center"/>
          </w:tcPr>
          <w:p w14:paraId="6BE218B3">
            <w:pPr>
              <w:rPr>
                <w:rFonts w:cs="宋体" w:asciiTheme="majorEastAsia" w:hAnsiTheme="majorEastAsia" w:eastAsiaTheme="majorEastAsia"/>
                <w:sz w:val="24"/>
                <w:szCs w:val="24"/>
              </w:rPr>
            </w:pPr>
          </w:p>
        </w:tc>
        <w:tc>
          <w:tcPr>
            <w:tcW w:w="850" w:type="dxa"/>
            <w:vMerge w:val="continue"/>
            <w:vAlign w:val="center"/>
          </w:tcPr>
          <w:p w14:paraId="5E8051BC">
            <w:pPr>
              <w:rPr>
                <w:rFonts w:cs="宋体" w:asciiTheme="majorEastAsia" w:hAnsiTheme="majorEastAsia" w:eastAsiaTheme="majorEastAsia"/>
                <w:sz w:val="24"/>
                <w:szCs w:val="24"/>
              </w:rPr>
            </w:pPr>
          </w:p>
        </w:tc>
        <w:tc>
          <w:tcPr>
            <w:tcW w:w="2366" w:type="dxa"/>
            <w:shd w:val="clear" w:color="auto" w:fill="auto"/>
            <w:vAlign w:val="center"/>
          </w:tcPr>
          <w:p w14:paraId="21CF5017">
            <w:pPr>
              <w:jc w:val="center"/>
              <w:rPr>
                <w:rFonts w:cs="宋体" w:asciiTheme="majorEastAsia" w:hAnsiTheme="majorEastAsia" w:eastAsiaTheme="majorEastAsia"/>
                <w:bCs/>
                <w:color w:val="FF0000"/>
                <w:kern w:val="0"/>
                <w:szCs w:val="21"/>
                <w:lang w:eastAsia="en-US"/>
              </w:rPr>
            </w:pPr>
            <w:r>
              <w:rPr>
                <w:rFonts w:hint="eastAsia" w:cs="宋体" w:asciiTheme="majorEastAsia" w:hAnsiTheme="majorEastAsia" w:eastAsiaTheme="majorEastAsia"/>
                <w:sz w:val="24"/>
                <w:szCs w:val="24"/>
              </w:rPr>
              <w:t>企业业绩（10分）</w:t>
            </w:r>
          </w:p>
        </w:tc>
        <w:tc>
          <w:tcPr>
            <w:tcW w:w="5572" w:type="dxa"/>
            <w:shd w:val="clear" w:color="auto" w:fill="auto"/>
            <w:vAlign w:val="center"/>
          </w:tcPr>
          <w:p w14:paraId="104C6282">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提供近三年(2022年至今)类似项目业绩，每提供一项得5分，本项满分10分。（需提供清晰的合同关键页复印件，并加盖投标人公章）</w:t>
            </w:r>
          </w:p>
        </w:tc>
      </w:tr>
      <w:tr w14:paraId="1476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1" w:hRule="atLeast"/>
        </w:trPr>
        <w:tc>
          <w:tcPr>
            <w:tcW w:w="709" w:type="dxa"/>
            <w:vMerge w:val="continue"/>
            <w:vAlign w:val="center"/>
          </w:tcPr>
          <w:p w14:paraId="34D5BA55">
            <w:pPr>
              <w:rPr>
                <w:rFonts w:cs="宋体" w:asciiTheme="majorEastAsia" w:hAnsiTheme="majorEastAsia" w:eastAsiaTheme="majorEastAsia"/>
                <w:sz w:val="24"/>
                <w:szCs w:val="24"/>
              </w:rPr>
            </w:pPr>
          </w:p>
        </w:tc>
        <w:tc>
          <w:tcPr>
            <w:tcW w:w="850" w:type="dxa"/>
            <w:vMerge w:val="continue"/>
            <w:vAlign w:val="center"/>
          </w:tcPr>
          <w:p w14:paraId="02E92325">
            <w:pPr>
              <w:rPr>
                <w:rFonts w:cs="宋体" w:asciiTheme="majorEastAsia" w:hAnsiTheme="majorEastAsia" w:eastAsiaTheme="majorEastAsia"/>
                <w:sz w:val="24"/>
                <w:szCs w:val="24"/>
              </w:rPr>
            </w:pPr>
          </w:p>
        </w:tc>
        <w:tc>
          <w:tcPr>
            <w:tcW w:w="2366" w:type="dxa"/>
            <w:shd w:val="clear" w:color="auto" w:fill="auto"/>
            <w:vAlign w:val="center"/>
          </w:tcPr>
          <w:p w14:paraId="1E96C62F">
            <w:pPr>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配备到本项目专业技术支持人员（9分）</w:t>
            </w:r>
          </w:p>
        </w:tc>
        <w:tc>
          <w:tcPr>
            <w:tcW w:w="5572" w:type="dxa"/>
            <w:shd w:val="clear" w:color="auto" w:fill="auto"/>
            <w:vAlign w:val="center"/>
          </w:tcPr>
          <w:p w14:paraId="6695313C">
            <w:pPr>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为保障本项目的顺利实施，</w:t>
            </w:r>
            <w:r>
              <w:rPr>
                <w:rFonts w:cs="宋体" w:asciiTheme="majorEastAsia" w:hAnsiTheme="majorEastAsia" w:eastAsiaTheme="majorEastAsia"/>
                <w:sz w:val="24"/>
                <w:szCs w:val="24"/>
                <w:highlight w:val="none"/>
              </w:rPr>
              <w:t>投标人</w:t>
            </w:r>
            <w:r>
              <w:rPr>
                <w:rFonts w:hint="eastAsia" w:cs="宋体" w:asciiTheme="majorEastAsia" w:hAnsiTheme="majorEastAsia" w:eastAsiaTheme="majorEastAsia"/>
                <w:sz w:val="24"/>
                <w:szCs w:val="24"/>
                <w:highlight w:val="none"/>
              </w:rPr>
              <w:t>需为本项目设立专职团队，团队人员至少包含项目负责人及配套研发实施人员。</w:t>
            </w:r>
          </w:p>
          <w:p w14:paraId="4F799168">
            <w:pPr>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1、项目负责人须具备信息系统项目管理工程师资质证书。</w:t>
            </w:r>
          </w:p>
          <w:p w14:paraId="2AE18782">
            <w:pPr>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2、研发实施团队需至少具备系统架构设计师资质证书或系统集成项目管理工程师资质证书或PMP资质证书。</w:t>
            </w:r>
          </w:p>
          <w:p w14:paraId="747C4B89">
            <w:pPr>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每提供一个人员及对应资质证书得</w:t>
            </w:r>
            <w:r>
              <w:rPr>
                <w:rFonts w:cs="宋体" w:asciiTheme="majorEastAsia" w:hAnsiTheme="majorEastAsia" w:eastAsiaTheme="majorEastAsia"/>
                <w:sz w:val="24"/>
                <w:szCs w:val="24"/>
                <w:highlight w:val="none"/>
              </w:rPr>
              <w:t>3</w:t>
            </w:r>
            <w:r>
              <w:rPr>
                <w:rFonts w:hint="eastAsia" w:cs="宋体" w:asciiTheme="majorEastAsia" w:hAnsiTheme="majorEastAsia" w:eastAsiaTheme="majorEastAsia"/>
                <w:sz w:val="24"/>
                <w:szCs w:val="24"/>
                <w:highlight w:val="none"/>
              </w:rPr>
              <w:t>分，满分9分，同一人员提供多个证书不得重复计分。</w:t>
            </w:r>
          </w:p>
          <w:p w14:paraId="16832EA8">
            <w:pPr>
              <w:rPr>
                <w:rFonts w:cs="宋体" w:asciiTheme="majorEastAsia" w:hAnsiTheme="majorEastAsia" w:eastAsiaTheme="majorEastAsia"/>
                <w:sz w:val="24"/>
                <w:szCs w:val="24"/>
                <w:highlight w:val="none"/>
              </w:rPr>
            </w:pPr>
            <w:r>
              <w:rPr>
                <w:rFonts w:cs="宋体" w:asciiTheme="majorEastAsia" w:hAnsiTheme="majorEastAsia" w:eastAsiaTheme="majorEastAsia"/>
                <w:sz w:val="24"/>
                <w:szCs w:val="24"/>
                <w:highlight w:val="none"/>
              </w:rPr>
              <w:t>注：投标文件内附</w:t>
            </w:r>
            <w:r>
              <w:rPr>
                <w:rFonts w:hint="eastAsia" w:cs="宋体" w:asciiTheme="majorEastAsia" w:hAnsiTheme="majorEastAsia" w:eastAsiaTheme="majorEastAsia"/>
                <w:sz w:val="24"/>
                <w:szCs w:val="24"/>
                <w:highlight w:val="none"/>
              </w:rPr>
              <w:t>相关</w:t>
            </w:r>
            <w:r>
              <w:rPr>
                <w:rFonts w:cs="宋体" w:asciiTheme="majorEastAsia" w:hAnsiTheme="majorEastAsia" w:eastAsiaTheme="majorEastAsia"/>
                <w:sz w:val="24"/>
                <w:szCs w:val="24"/>
                <w:highlight w:val="none"/>
              </w:rPr>
              <w:t>人员资质证书</w:t>
            </w:r>
            <w:r>
              <w:rPr>
                <w:rFonts w:hint="eastAsia" w:cs="宋体" w:asciiTheme="majorEastAsia" w:hAnsiTheme="majorEastAsia" w:eastAsiaTheme="majorEastAsia"/>
                <w:sz w:val="24"/>
                <w:szCs w:val="24"/>
                <w:highlight w:val="none"/>
              </w:rPr>
              <w:t>，以及投标人为其缴纳不少于</w:t>
            </w:r>
            <w:r>
              <w:rPr>
                <w:rFonts w:cs="宋体" w:asciiTheme="majorEastAsia" w:hAnsiTheme="majorEastAsia" w:eastAsiaTheme="majorEastAsia"/>
                <w:sz w:val="24"/>
                <w:szCs w:val="24"/>
                <w:highlight w:val="none"/>
              </w:rPr>
              <w:t>3</w:t>
            </w:r>
            <w:r>
              <w:rPr>
                <w:rFonts w:hint="eastAsia" w:cs="宋体" w:asciiTheme="majorEastAsia" w:hAnsiTheme="majorEastAsia" w:eastAsiaTheme="majorEastAsia"/>
                <w:sz w:val="24"/>
                <w:szCs w:val="24"/>
                <w:highlight w:val="none"/>
              </w:rPr>
              <w:t>个月的独立人员社保证明，社保证明需在有效期内。</w:t>
            </w:r>
          </w:p>
        </w:tc>
      </w:tr>
      <w:tr w14:paraId="42E67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trPr>
        <w:tc>
          <w:tcPr>
            <w:tcW w:w="709" w:type="dxa"/>
            <w:vMerge w:val="continue"/>
            <w:vAlign w:val="center"/>
          </w:tcPr>
          <w:p w14:paraId="36085EA8">
            <w:pPr>
              <w:rPr>
                <w:rFonts w:cs="宋体" w:asciiTheme="majorEastAsia" w:hAnsiTheme="majorEastAsia" w:eastAsiaTheme="majorEastAsia"/>
                <w:sz w:val="24"/>
                <w:szCs w:val="24"/>
              </w:rPr>
            </w:pPr>
          </w:p>
        </w:tc>
        <w:tc>
          <w:tcPr>
            <w:tcW w:w="850" w:type="dxa"/>
            <w:vMerge w:val="continue"/>
            <w:vAlign w:val="center"/>
          </w:tcPr>
          <w:p w14:paraId="2511B3C1">
            <w:pPr>
              <w:rPr>
                <w:rFonts w:cs="宋体" w:asciiTheme="majorEastAsia" w:hAnsiTheme="majorEastAsia" w:eastAsiaTheme="majorEastAsia"/>
                <w:sz w:val="24"/>
                <w:szCs w:val="24"/>
              </w:rPr>
            </w:pPr>
          </w:p>
        </w:tc>
        <w:tc>
          <w:tcPr>
            <w:tcW w:w="2366" w:type="dxa"/>
            <w:shd w:val="clear" w:color="auto" w:fill="auto"/>
            <w:vAlign w:val="center"/>
          </w:tcPr>
          <w:p w14:paraId="77CA5759">
            <w:pPr>
              <w:rPr>
                <w:rFonts w:hint="eastAsia" w:cs="宋体" w:asciiTheme="majorEastAsia" w:hAnsiTheme="majorEastAsia" w:eastAsiaTheme="majorEastAsia"/>
                <w:sz w:val="24"/>
                <w:szCs w:val="24"/>
                <w:highlight w:val="none"/>
              </w:rPr>
            </w:pPr>
            <w:r>
              <w:rPr>
                <w:rFonts w:hint="eastAsia" w:ascii="宋体" w:hAnsi="宋体" w:cs="宋体"/>
                <w:sz w:val="24"/>
                <w:szCs w:val="24"/>
                <w:highlight w:val="none"/>
              </w:rPr>
              <w:t>优惠条件（</w:t>
            </w:r>
            <w:r>
              <w:rPr>
                <w:rFonts w:hint="eastAsia" w:ascii="宋体" w:hAnsi="宋体" w:cs="宋体"/>
                <w:sz w:val="24"/>
                <w:szCs w:val="24"/>
                <w:highlight w:val="none"/>
                <w:lang w:val="en-US" w:eastAsia="zh-CN"/>
              </w:rPr>
              <w:t>4</w:t>
            </w:r>
            <w:r>
              <w:rPr>
                <w:rFonts w:hint="eastAsia" w:ascii="宋体" w:hAnsi="宋体" w:cs="宋体"/>
                <w:sz w:val="24"/>
                <w:szCs w:val="24"/>
                <w:highlight w:val="none"/>
              </w:rPr>
              <w:t>分）</w:t>
            </w:r>
          </w:p>
        </w:tc>
        <w:tc>
          <w:tcPr>
            <w:tcW w:w="5572" w:type="dxa"/>
            <w:shd w:val="clear" w:color="auto" w:fill="auto"/>
            <w:vAlign w:val="center"/>
          </w:tcPr>
          <w:p w14:paraId="77915CA1">
            <w:pPr>
              <w:rPr>
                <w:rFonts w:hint="eastAsia" w:cs="宋体" w:asciiTheme="majorEastAsia" w:hAnsiTheme="majorEastAsia" w:eastAsiaTheme="majorEastAsia"/>
                <w:sz w:val="24"/>
                <w:szCs w:val="24"/>
                <w:highlight w:val="none"/>
              </w:rPr>
            </w:pPr>
            <w:r>
              <w:rPr>
                <w:rFonts w:hint="eastAsia" w:ascii="宋体" w:hAnsi="宋体" w:cs="宋体"/>
                <w:sz w:val="24"/>
                <w:szCs w:val="24"/>
                <w:highlight w:val="none"/>
              </w:rPr>
              <w:t>供应商提供的优势有实质性并经评委会认可的优惠条件，满分</w:t>
            </w:r>
            <w:r>
              <w:rPr>
                <w:rFonts w:hint="eastAsia" w:ascii="宋体" w:hAnsi="宋体" w:cs="宋体"/>
                <w:sz w:val="24"/>
                <w:szCs w:val="24"/>
                <w:highlight w:val="none"/>
                <w:lang w:val="en-US" w:eastAsia="zh-CN"/>
              </w:rPr>
              <w:t>4</w:t>
            </w:r>
            <w:r>
              <w:rPr>
                <w:rFonts w:hint="eastAsia" w:ascii="宋体" w:hAnsi="宋体" w:cs="宋体"/>
                <w:sz w:val="24"/>
                <w:szCs w:val="24"/>
                <w:highlight w:val="none"/>
              </w:rPr>
              <w:t>分，不提供不得分</w:t>
            </w:r>
          </w:p>
        </w:tc>
      </w:tr>
      <w:tr w14:paraId="231D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trPr>
        <w:tc>
          <w:tcPr>
            <w:tcW w:w="709" w:type="dxa"/>
            <w:vMerge w:val="continue"/>
            <w:vAlign w:val="center"/>
          </w:tcPr>
          <w:p w14:paraId="17EB3582">
            <w:pPr>
              <w:rPr>
                <w:rFonts w:cs="宋体" w:asciiTheme="majorEastAsia" w:hAnsiTheme="majorEastAsia" w:eastAsiaTheme="majorEastAsia"/>
                <w:sz w:val="24"/>
                <w:szCs w:val="24"/>
              </w:rPr>
            </w:pPr>
          </w:p>
        </w:tc>
        <w:tc>
          <w:tcPr>
            <w:tcW w:w="850" w:type="dxa"/>
            <w:vMerge w:val="continue"/>
            <w:vAlign w:val="center"/>
          </w:tcPr>
          <w:p w14:paraId="1FD690DD">
            <w:pPr>
              <w:rPr>
                <w:rFonts w:cs="宋体" w:asciiTheme="majorEastAsia" w:hAnsiTheme="majorEastAsia" w:eastAsiaTheme="majorEastAsia"/>
                <w:sz w:val="24"/>
                <w:szCs w:val="24"/>
              </w:rPr>
            </w:pPr>
          </w:p>
        </w:tc>
        <w:tc>
          <w:tcPr>
            <w:tcW w:w="2366" w:type="dxa"/>
            <w:shd w:val="clear" w:color="auto" w:fill="auto"/>
            <w:vAlign w:val="center"/>
          </w:tcPr>
          <w:p w14:paraId="48E17F70">
            <w:pPr>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企业实力（</w:t>
            </w:r>
            <w:r>
              <w:rPr>
                <w:rFonts w:hint="eastAsia" w:cs="宋体" w:asciiTheme="majorEastAsia" w:hAnsiTheme="majorEastAsia" w:eastAsiaTheme="majorEastAsia"/>
                <w:sz w:val="24"/>
                <w:szCs w:val="24"/>
                <w:highlight w:val="none"/>
                <w:lang w:val="en-US" w:eastAsia="zh-CN"/>
              </w:rPr>
              <w:t>7</w:t>
            </w:r>
            <w:r>
              <w:rPr>
                <w:rFonts w:hint="eastAsia" w:cs="宋体" w:asciiTheme="majorEastAsia" w:hAnsiTheme="majorEastAsia" w:eastAsiaTheme="majorEastAsia"/>
                <w:sz w:val="24"/>
                <w:szCs w:val="24"/>
                <w:highlight w:val="none"/>
              </w:rPr>
              <w:t>分）</w:t>
            </w:r>
          </w:p>
        </w:tc>
        <w:tc>
          <w:tcPr>
            <w:tcW w:w="5572" w:type="dxa"/>
            <w:shd w:val="clear" w:color="auto" w:fill="auto"/>
            <w:vAlign w:val="center"/>
          </w:tcPr>
          <w:p w14:paraId="2BA024A7">
            <w:pPr>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1、投标人具有ISO9001质量管理体系认证、ISO27001信息安全体系认证、信息系统建设及服务能力评估CS认证的，每提供1项得2分，最多得6分，没有不得分。（需提供证书复印件或扫描件，以及全国认证认可信息公共服务平台查询截图以证明其证书有效性，并加盖投标人公章）</w:t>
            </w:r>
          </w:p>
          <w:p w14:paraId="666A41B8">
            <w:pPr>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2、投标人提供软件企业认证或高新技术企业认证，提供得</w:t>
            </w:r>
            <w:r>
              <w:rPr>
                <w:rFonts w:cs="宋体" w:asciiTheme="majorEastAsia" w:hAnsiTheme="majorEastAsia" w:eastAsiaTheme="majorEastAsia"/>
                <w:sz w:val="24"/>
                <w:szCs w:val="24"/>
                <w:highlight w:val="none"/>
              </w:rPr>
              <w:t>1</w:t>
            </w:r>
            <w:r>
              <w:rPr>
                <w:rFonts w:hint="eastAsia" w:cs="宋体" w:asciiTheme="majorEastAsia" w:hAnsiTheme="majorEastAsia" w:eastAsiaTheme="majorEastAsia"/>
                <w:sz w:val="24"/>
                <w:szCs w:val="24"/>
                <w:highlight w:val="none"/>
              </w:rPr>
              <w:t>分，不提供不得分。（需提供证书复印件或扫描件加盖投标人公章）</w:t>
            </w:r>
          </w:p>
        </w:tc>
      </w:tr>
    </w:tbl>
    <w:p w14:paraId="751BFC2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p>
    <w:p w14:paraId="27BA320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p>
    <w:p w14:paraId="5CC55411">
      <w:pPr>
        <w:widowControl/>
        <w:autoSpaceDE w:val="0"/>
        <w:autoSpaceDN w:val="0"/>
        <w:adjustRightInd w:val="0"/>
        <w:snapToGrid w:val="0"/>
        <w:spacing w:line="360" w:lineRule="auto"/>
        <w:ind w:firstLine="210" w:firstLineChars="100"/>
        <w:rPr>
          <w:rFonts w:hint="eastAsia" w:ascii="宋体" w:hAnsi="宋体" w:cs="宋体"/>
          <w:bCs/>
          <w:color w:val="auto"/>
          <w:kern w:val="0"/>
          <w:szCs w:val="21"/>
          <w:highlight w:val="none"/>
        </w:rPr>
      </w:pPr>
      <w:bookmarkStart w:id="24" w:name="_Toc28368"/>
      <w:bookmarkStart w:id="25" w:name="_Toc3820"/>
      <w:r>
        <w:rPr>
          <w:rFonts w:hint="eastAsia" w:ascii="宋体" w:hAnsi="宋体" w:cs="宋体"/>
          <w:color w:val="auto"/>
          <w:szCs w:val="21"/>
          <w:highlight w:val="none"/>
          <w:lang w:val="zh-CN"/>
        </w:rPr>
        <w:t>注:</w:t>
      </w:r>
      <w:r>
        <w:rPr>
          <w:rFonts w:hint="eastAsia" w:ascii="宋体" w:hAnsi="宋体" w:cs="宋体"/>
          <w:color w:val="auto"/>
          <w:highlight w:val="none"/>
        </w:rPr>
        <w:t xml:space="preserve"> </w:t>
      </w:r>
      <w:r>
        <w:rPr>
          <w:rFonts w:hint="eastAsia" w:ascii="宋体" w:hAnsi="宋体" w:cs="宋体"/>
          <w:bCs/>
          <w:color w:val="auto"/>
          <w:kern w:val="0"/>
          <w:szCs w:val="21"/>
          <w:highlight w:val="none"/>
        </w:rPr>
        <w:t>1）企业名称不同但法定代表人为同一个自然人的两个或者两个以上的供应商不得参加同一采购项目的报价。如果出现上述情况，相关供应商的报价均将被拒绝。</w:t>
      </w:r>
    </w:p>
    <w:p w14:paraId="1EC78A8E">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color w:val="auto"/>
          <w:szCs w:val="21"/>
          <w:highlight w:val="none"/>
          <w:lang w:val="zh-CN"/>
        </w:rPr>
        <w:t xml:space="preserve"> 1.评标方法</w:t>
      </w:r>
    </w:p>
    <w:p w14:paraId="342A3FD2">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本次评标采用综合打分法。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企业实力、其他因素逐项对比以各项分数高者优先。如各项分数都相等时，由采购人代表随机抽取确定。</w:t>
      </w:r>
    </w:p>
    <w:p w14:paraId="47E7D712">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2.1初步评审标准</w:t>
      </w:r>
    </w:p>
    <w:p w14:paraId="5D0D1F2D">
      <w:pPr>
        <w:autoSpaceDE w:val="0"/>
        <w:autoSpaceDN w:val="0"/>
        <w:adjustRightInd w:val="0"/>
        <w:spacing w:line="400" w:lineRule="exact"/>
        <w:ind w:firstLine="48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2.1.1 形式评审标准：见评标办法前附表。</w:t>
      </w:r>
    </w:p>
    <w:p w14:paraId="5110CB2A">
      <w:pPr>
        <w:autoSpaceDE w:val="0"/>
        <w:autoSpaceDN w:val="0"/>
        <w:adjustRightInd w:val="0"/>
        <w:spacing w:line="400" w:lineRule="exact"/>
        <w:ind w:firstLine="48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投标单位有任何一项不满足形式评审标准，视为未通过形式评审，不再进入后续评标。</w:t>
      </w:r>
    </w:p>
    <w:p w14:paraId="3F2FE4AF">
      <w:pPr>
        <w:autoSpaceDE w:val="0"/>
        <w:autoSpaceDN w:val="0"/>
        <w:adjustRightInd w:val="0"/>
        <w:spacing w:line="400" w:lineRule="exact"/>
        <w:ind w:firstLine="48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2.1.2 资格评审标准：见评标办法前附表。</w:t>
      </w:r>
    </w:p>
    <w:p w14:paraId="4B736B8A">
      <w:pPr>
        <w:autoSpaceDE w:val="0"/>
        <w:autoSpaceDN w:val="0"/>
        <w:adjustRightInd w:val="0"/>
        <w:spacing w:line="400" w:lineRule="exact"/>
        <w:ind w:firstLine="480"/>
        <w:jc w:val="left"/>
        <w:rPr>
          <w:rFonts w:hint="eastAsia" w:ascii="宋体" w:hAnsi="宋体" w:cs="宋体"/>
          <w:bCs/>
          <w:color w:val="auto"/>
          <w:szCs w:val="21"/>
          <w:highlight w:val="none"/>
          <w:shd w:val="pct10" w:color="auto" w:fill="FFFFFF"/>
          <w:lang w:val="zh-CN"/>
        </w:rPr>
      </w:pPr>
      <w:r>
        <w:rPr>
          <w:rFonts w:hint="eastAsia" w:ascii="宋体" w:hAnsi="宋体" w:cs="宋体"/>
          <w:bCs/>
          <w:color w:val="auto"/>
          <w:szCs w:val="21"/>
          <w:highlight w:val="none"/>
          <w:lang w:val="zh-CN"/>
        </w:rPr>
        <w:t>投标单位有任何一项不满足形式资格标准，视为未通过</w:t>
      </w:r>
      <w:r>
        <w:rPr>
          <w:rFonts w:hint="eastAsia" w:ascii="宋体" w:hAnsi="宋体" w:cs="宋体"/>
          <w:bCs/>
          <w:color w:val="auto"/>
          <w:szCs w:val="21"/>
          <w:highlight w:val="none"/>
          <w:lang w:val="en-US" w:eastAsia="zh-CN"/>
        </w:rPr>
        <w:t>资格</w:t>
      </w:r>
      <w:r>
        <w:rPr>
          <w:rFonts w:hint="eastAsia" w:ascii="宋体" w:hAnsi="宋体" w:cs="宋体"/>
          <w:bCs/>
          <w:color w:val="auto"/>
          <w:szCs w:val="21"/>
          <w:highlight w:val="none"/>
          <w:lang w:val="zh-CN"/>
        </w:rPr>
        <w:t>评审，不再进入后续评标。</w:t>
      </w:r>
    </w:p>
    <w:p w14:paraId="67777013">
      <w:pPr>
        <w:autoSpaceDE w:val="0"/>
        <w:autoSpaceDN w:val="0"/>
        <w:adjustRightInd w:val="0"/>
        <w:spacing w:line="400" w:lineRule="exact"/>
        <w:ind w:firstLine="48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2.1.2 响应性评审标准：见评标办法前附表。</w:t>
      </w:r>
    </w:p>
    <w:p w14:paraId="7D4C6946">
      <w:pPr>
        <w:autoSpaceDE w:val="0"/>
        <w:autoSpaceDN w:val="0"/>
        <w:adjustRightInd w:val="0"/>
        <w:spacing w:line="400" w:lineRule="exact"/>
        <w:ind w:firstLine="48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投标单位有任何一项不满足响应性评审标准，视为未通过响应性评审，不再进入后续评标。</w:t>
      </w:r>
    </w:p>
    <w:p w14:paraId="1E7F9543">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2.2 分值构成与评分标准</w:t>
      </w:r>
    </w:p>
    <w:p w14:paraId="2642D822">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2.2.1 分值构成</w:t>
      </w:r>
    </w:p>
    <w:p w14:paraId="7C601572">
      <w:pPr>
        <w:autoSpaceDE w:val="0"/>
        <w:autoSpaceDN w:val="0"/>
        <w:adjustRightInd w:val="0"/>
        <w:spacing w:line="400" w:lineRule="exact"/>
        <w:jc w:val="left"/>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zh-CN"/>
        </w:rPr>
        <w:t xml:space="preserve">        (1)</w:t>
      </w:r>
      <w:r>
        <w:rPr>
          <w:rFonts w:hint="eastAsia" w:ascii="宋体" w:hAnsi="宋体" w:cs="宋体"/>
          <w:bCs/>
          <w:color w:val="auto"/>
          <w:szCs w:val="21"/>
          <w:highlight w:val="none"/>
          <w:lang w:val="en-US" w:eastAsia="zh-CN"/>
        </w:rPr>
        <w:t>价格评分：</w:t>
      </w:r>
      <w:r>
        <w:rPr>
          <w:rFonts w:hint="eastAsia" w:ascii="宋体" w:hAnsi="宋体" w:cs="宋体"/>
          <w:bCs/>
          <w:color w:val="auto"/>
          <w:szCs w:val="21"/>
          <w:highlight w:val="none"/>
          <w:lang w:val="zh-CN"/>
        </w:rPr>
        <w:t>见评标办法前附表；</w:t>
      </w:r>
    </w:p>
    <w:p w14:paraId="5BDB68C2">
      <w:pPr>
        <w:autoSpaceDE w:val="0"/>
        <w:autoSpaceDN w:val="0"/>
        <w:adjustRightInd w:val="0"/>
        <w:spacing w:line="400" w:lineRule="exact"/>
        <w:ind w:firstLine="840" w:firstLineChars="40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en-US" w:eastAsia="zh-CN"/>
        </w:rPr>
        <w:t>（2）</w:t>
      </w:r>
      <w:r>
        <w:rPr>
          <w:rFonts w:hint="eastAsia" w:ascii="宋体" w:hAnsi="宋体" w:cs="宋体"/>
          <w:bCs/>
          <w:color w:val="auto"/>
          <w:spacing w:val="-6"/>
          <w:szCs w:val="21"/>
          <w:highlight w:val="none"/>
        </w:rPr>
        <w:t>技术部分</w:t>
      </w:r>
      <w:r>
        <w:rPr>
          <w:rFonts w:hint="eastAsia" w:ascii="宋体" w:hAnsi="宋体" w:cs="宋体"/>
          <w:bCs/>
          <w:color w:val="auto"/>
          <w:szCs w:val="21"/>
          <w:highlight w:val="none"/>
          <w:lang w:val="zh-CN"/>
        </w:rPr>
        <w:t>：见评标办法前附表；</w:t>
      </w:r>
    </w:p>
    <w:p w14:paraId="0A4ADFEC">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val="zh-CN"/>
        </w:rPr>
        <w:t>)商务部分：见评标办法前附表；</w:t>
      </w:r>
    </w:p>
    <w:p w14:paraId="3DD43E99">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2.2.2 评标基准价计算</w:t>
      </w:r>
    </w:p>
    <w:p w14:paraId="775F5CAE">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评标基准价计算方法：见评标办法前附表。</w:t>
      </w:r>
    </w:p>
    <w:p w14:paraId="4D5D2A0A">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2.2.3投标报价的偏差率计算</w:t>
      </w:r>
    </w:p>
    <w:p w14:paraId="4A689ED1">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商务部分的偏差率计算公式：见评标办法前附表。</w:t>
      </w:r>
    </w:p>
    <w:p w14:paraId="64BD7B47">
      <w:pPr>
        <w:autoSpaceDE w:val="0"/>
        <w:autoSpaceDN w:val="0"/>
        <w:adjustRightInd w:val="0"/>
        <w:spacing w:line="400" w:lineRule="exact"/>
        <w:ind w:firstLine="210" w:firstLineChars="10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2.2.4</w:t>
      </w:r>
      <w:r>
        <w:rPr>
          <w:rFonts w:hint="eastAsia"/>
          <w:color w:val="auto"/>
          <w:highlight w:val="none"/>
        </w:rPr>
        <w:t>小型或微型企业</w:t>
      </w:r>
      <w:r>
        <w:rPr>
          <w:rFonts w:hint="eastAsia" w:ascii="宋体" w:hAnsi="宋体" w:cs="宋体"/>
          <w:bCs/>
          <w:color w:val="auto"/>
          <w:szCs w:val="21"/>
          <w:highlight w:val="none"/>
          <w:lang w:val="zh-CN"/>
        </w:rPr>
        <w:t>（含监狱企业）产品价格扣除：（</w:t>
      </w:r>
      <w:r>
        <w:rPr>
          <w:rFonts w:hint="eastAsia" w:ascii="宋体" w:hAnsi="宋体" w:cs="宋体"/>
          <w:bCs/>
          <w:color w:val="auto"/>
          <w:szCs w:val="21"/>
          <w:highlight w:val="none"/>
          <w:lang w:val="en-US" w:eastAsia="zh-CN"/>
        </w:rPr>
        <w:t>本项目不适用</w:t>
      </w:r>
      <w:r>
        <w:rPr>
          <w:rFonts w:hint="eastAsia" w:ascii="宋体" w:hAnsi="宋体" w:cs="宋体"/>
          <w:bCs/>
          <w:color w:val="auto"/>
          <w:szCs w:val="21"/>
          <w:highlight w:val="none"/>
          <w:lang w:val="zh-CN"/>
        </w:rPr>
        <w:t>）</w:t>
      </w:r>
    </w:p>
    <w:p w14:paraId="2CE0ECC0">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（1）投标人为</w:t>
      </w:r>
      <w:r>
        <w:rPr>
          <w:rFonts w:hint="eastAsia"/>
          <w:color w:val="auto"/>
          <w:highlight w:val="none"/>
        </w:rPr>
        <w:t>小型或微型企业</w:t>
      </w:r>
      <w:r>
        <w:rPr>
          <w:rFonts w:hint="eastAsia" w:ascii="宋体" w:hAnsi="宋体" w:cs="宋体"/>
          <w:bCs/>
          <w:color w:val="auto"/>
          <w:szCs w:val="21"/>
          <w:highlight w:val="none"/>
          <w:lang w:val="zh-CN"/>
        </w:rPr>
        <w:t>或监狱企业（标段括成员均为</w:t>
      </w:r>
      <w:r>
        <w:rPr>
          <w:rFonts w:hint="eastAsia"/>
          <w:color w:val="auto"/>
          <w:highlight w:val="none"/>
        </w:rPr>
        <w:t>小型或微型企业</w:t>
      </w:r>
      <w:r>
        <w:rPr>
          <w:rFonts w:hint="eastAsia" w:ascii="宋体" w:hAnsi="宋体" w:cs="宋体"/>
          <w:bCs/>
          <w:color w:val="auto"/>
          <w:szCs w:val="21"/>
          <w:highlight w:val="none"/>
          <w:lang w:val="zh-CN"/>
        </w:rPr>
        <w:t>或监狱企业的联合体）且投标产品/服务含</w:t>
      </w:r>
      <w:r>
        <w:rPr>
          <w:rFonts w:hint="eastAsia"/>
          <w:color w:val="auto"/>
          <w:highlight w:val="none"/>
        </w:rPr>
        <w:t>小型或微型企业</w:t>
      </w:r>
      <w:r>
        <w:rPr>
          <w:rFonts w:hint="eastAsia" w:ascii="宋体" w:hAnsi="宋体" w:cs="宋体"/>
          <w:bCs/>
          <w:color w:val="auto"/>
          <w:szCs w:val="21"/>
          <w:highlight w:val="none"/>
          <w:lang w:val="zh-CN"/>
        </w:rPr>
        <w:t>或监狱企业产品/服务时，报价给予K1的价格扣除（K1的取值为</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lang w:val="zh-CN"/>
        </w:rPr>
        <w:t>%），即：评标价=核实后的投标价-小微企业产品核实价×K1；</w:t>
      </w:r>
    </w:p>
    <w:p w14:paraId="2E7AECFE">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val="zh-CN"/>
        </w:rPr>
        <w:t>）本条款所称中小微企业应当符合以下条件：符合《工业和信息化部、国家统计局、国家发展改革委员会、财政部关于印发中小企业划型标准规定的通知》（工信部联企业【2011】300号）规定的对中小微企业的划分标准，并且提供本企业承担的服务；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ABCFF7C">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val="zh-CN"/>
        </w:rPr>
        <w:t>）参加政府采购活动的中小微企业应当提供《中小微企业声明函》（见投标文件参考格式）。</w:t>
      </w:r>
    </w:p>
    <w:p w14:paraId="4CA215E6">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2.2.5 评分标准</w:t>
      </w:r>
    </w:p>
    <w:p w14:paraId="58C43D00">
      <w:pPr>
        <w:autoSpaceDE w:val="0"/>
        <w:autoSpaceDN w:val="0"/>
        <w:adjustRightInd w:val="0"/>
        <w:spacing w:line="400" w:lineRule="exact"/>
        <w:jc w:val="left"/>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zh-CN"/>
        </w:rPr>
        <w:t xml:space="preserve">  (1)</w:t>
      </w:r>
      <w:r>
        <w:rPr>
          <w:rFonts w:hint="eastAsia" w:ascii="宋体" w:hAnsi="宋体" w:cs="宋体"/>
          <w:bCs/>
          <w:color w:val="auto"/>
          <w:szCs w:val="21"/>
          <w:highlight w:val="none"/>
          <w:lang w:val="en-US" w:eastAsia="zh-CN"/>
        </w:rPr>
        <w:t>价格评分评分标准：</w:t>
      </w:r>
      <w:r>
        <w:rPr>
          <w:rFonts w:hint="eastAsia" w:ascii="宋体" w:hAnsi="宋体" w:cs="宋体"/>
          <w:bCs/>
          <w:color w:val="auto"/>
          <w:szCs w:val="21"/>
          <w:highlight w:val="none"/>
          <w:lang w:val="zh-CN"/>
        </w:rPr>
        <w:t>见评标办法前附表；</w:t>
      </w:r>
    </w:p>
    <w:p w14:paraId="49651814">
      <w:pPr>
        <w:autoSpaceDE w:val="0"/>
        <w:autoSpaceDN w:val="0"/>
        <w:adjustRightInd w:val="0"/>
        <w:spacing w:line="400" w:lineRule="exact"/>
        <w:ind w:firstLine="210" w:firstLineChars="10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en-US" w:eastAsia="zh-CN"/>
        </w:rPr>
        <w:t>（2）</w:t>
      </w:r>
      <w:r>
        <w:rPr>
          <w:rFonts w:hint="eastAsia" w:ascii="宋体" w:hAnsi="宋体" w:cs="宋体"/>
          <w:bCs/>
          <w:color w:val="auto"/>
          <w:spacing w:val="-6"/>
          <w:szCs w:val="21"/>
          <w:highlight w:val="none"/>
        </w:rPr>
        <w:t>技术部分</w:t>
      </w:r>
      <w:r>
        <w:rPr>
          <w:rFonts w:hint="eastAsia" w:ascii="宋体" w:hAnsi="宋体" w:cs="宋体"/>
          <w:bCs/>
          <w:color w:val="auto"/>
          <w:szCs w:val="21"/>
          <w:highlight w:val="none"/>
          <w:lang w:val="en-US" w:eastAsia="zh-CN"/>
        </w:rPr>
        <w:t>评分标准</w:t>
      </w:r>
      <w:r>
        <w:rPr>
          <w:rFonts w:hint="eastAsia" w:ascii="宋体" w:hAnsi="宋体" w:cs="宋体"/>
          <w:bCs/>
          <w:color w:val="auto"/>
          <w:szCs w:val="21"/>
          <w:highlight w:val="none"/>
          <w:lang w:val="zh-CN"/>
        </w:rPr>
        <w:t>：见评标办法前附表；</w:t>
      </w:r>
    </w:p>
    <w:p w14:paraId="13BB2CF9">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val="zh-CN"/>
        </w:rPr>
        <w:t>)商务部分</w:t>
      </w:r>
      <w:r>
        <w:rPr>
          <w:rFonts w:hint="eastAsia" w:ascii="宋体" w:hAnsi="宋体" w:cs="宋体"/>
          <w:bCs/>
          <w:color w:val="auto"/>
          <w:szCs w:val="21"/>
          <w:highlight w:val="none"/>
          <w:lang w:val="en-US" w:eastAsia="zh-CN"/>
        </w:rPr>
        <w:t>评分标准</w:t>
      </w:r>
      <w:r>
        <w:rPr>
          <w:rFonts w:hint="eastAsia" w:ascii="宋体" w:hAnsi="宋体" w:cs="宋体"/>
          <w:bCs/>
          <w:color w:val="auto"/>
          <w:szCs w:val="21"/>
          <w:highlight w:val="none"/>
          <w:lang w:val="zh-CN"/>
        </w:rPr>
        <w:t>：见评标办法前附表；</w:t>
      </w:r>
    </w:p>
    <w:p w14:paraId="2F838837">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bCs/>
          <w:color w:val="auto"/>
          <w:szCs w:val="21"/>
          <w:highlight w:val="none"/>
          <w:lang w:val="zh-CN"/>
        </w:rPr>
        <w:t xml:space="preserve"> </w:t>
      </w:r>
      <w:r>
        <w:rPr>
          <w:rFonts w:hint="eastAsia" w:ascii="宋体" w:hAnsi="宋体" w:cs="宋体"/>
          <w:color w:val="auto"/>
          <w:szCs w:val="21"/>
          <w:highlight w:val="none"/>
          <w:lang w:val="zh-CN"/>
        </w:rPr>
        <w:t>3.评标程序</w:t>
      </w:r>
    </w:p>
    <w:p w14:paraId="0E6FBCD1">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3.1初步评审</w:t>
      </w:r>
    </w:p>
    <w:p w14:paraId="3A238F3B">
      <w:pPr>
        <w:autoSpaceDE w:val="0"/>
        <w:autoSpaceDN w:val="0"/>
        <w:adjustRightInd w:val="0"/>
        <w:spacing w:line="400" w:lineRule="exact"/>
        <w:jc w:val="left"/>
        <w:rPr>
          <w:rFonts w:hint="eastAsia" w:ascii="宋体" w:hAnsi="宋体" w:cs="宋体"/>
          <w:bCs/>
          <w:color w:val="auto"/>
          <w:szCs w:val="21"/>
          <w:highlight w:val="none"/>
          <w:shd w:val="pct10" w:color="auto" w:fill="FFFFFF"/>
          <w:lang w:val="zh-CN"/>
        </w:rPr>
      </w:pPr>
      <w:r>
        <w:rPr>
          <w:rFonts w:hint="eastAsia" w:ascii="宋体" w:hAnsi="宋体" w:cs="宋体"/>
          <w:bCs/>
          <w:color w:val="auto"/>
          <w:szCs w:val="21"/>
          <w:highlight w:val="none"/>
          <w:lang w:val="zh-CN"/>
        </w:rPr>
        <w:t xml:space="preserve">    3.1.1 评标委员会可以要求投标人提交第二章“投标人须知”第3.5.1项至第3.5.5项规定的有关证明和证件，以便核验。评标委员会依据本章第2.1款规定的标准对投标文件进行初步评审。有一项不符合评审标准的，作投标被否决处理。</w:t>
      </w:r>
    </w:p>
    <w:p w14:paraId="44E4F447">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3.1.2 投标人有以下情形之一的，其投标作否决处理：</w:t>
      </w:r>
    </w:p>
    <w:p w14:paraId="301598E4">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(1)第二章“投标人须知”第1.4.3项规定的任何一种情形的；</w:t>
      </w:r>
    </w:p>
    <w:p w14:paraId="6EF0F3B7">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(2)串通投标或弄虚作假或有其他违法行为的：</w:t>
      </w:r>
    </w:p>
    <w:p w14:paraId="3A1197D8">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(3)不按评标委员会要求澄清、说明或补正的。</w:t>
      </w:r>
    </w:p>
    <w:p w14:paraId="0A56AB17">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3.1.3 投标报价有算术错误的，评标委员会按以下原则对投标报价进行修正，修正的价格经投标人书面确认后具有约束力。投标人不接受修正价格的，其投标作否决处理。</w:t>
      </w:r>
    </w:p>
    <w:p w14:paraId="25BFC151">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(1)投标文件中的大写金额与小写金额不一致的，以大写金额为准：</w:t>
      </w:r>
    </w:p>
    <w:p w14:paraId="61CBBA46">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(2)总价金额与依据单价计算出的结果不一致的，以单价金额为准修正总价，但单价金额小数点有明显错误的除外。</w:t>
      </w:r>
    </w:p>
    <w:p w14:paraId="6FD4B380">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3.2 详细评审</w:t>
      </w:r>
    </w:p>
    <w:p w14:paraId="6343EF9B">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3.2.1评标委员会按本章第2之款规定的量化因素和分值进行打分，并计算出综合打分得分。</w:t>
      </w:r>
    </w:p>
    <w:p w14:paraId="2541DE43">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(1)按本章第2.2.4(1)目规定的评审因素和分值对技术部分计算出得分A；</w:t>
      </w:r>
    </w:p>
    <w:p w14:paraId="34382296">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(2)按本章第2.2.4(2)目规定的评审因素和分值对商务部分计算出得分B；</w:t>
      </w:r>
    </w:p>
    <w:p w14:paraId="27419CED">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3.2.2 评分分值计算保留小数点后两位，小数点后第三位“四舍五入”。</w:t>
      </w:r>
    </w:p>
    <w:p w14:paraId="07B56D73">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3.2.3 投标人得分=A+B。</w:t>
      </w:r>
    </w:p>
    <w:p w14:paraId="16775BE6">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否决处理。</w:t>
      </w:r>
    </w:p>
    <w:p w14:paraId="075F2EA6">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3.3 投标文件的澄清和补正</w:t>
      </w:r>
    </w:p>
    <w:p w14:paraId="2D56C03A">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3.3.1 在评标过程中，评标委员会可以书面形式要求投标人对所提交投标文件中不明确的内容进行书面澄清或说明，或者对细微偏差进行补正。评标委员会不接受投标人主动提出的澄清、说明或补正。</w:t>
      </w:r>
    </w:p>
    <w:p w14:paraId="248F6E3C">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3.3.2 澄清、说明和补正不得改变投标文件的实质性内容(算术性错误修正的除外)。投标人的书面澄清、说明和补正属于投标文件的组成部分。</w:t>
      </w:r>
    </w:p>
    <w:p w14:paraId="4AB23BEF">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3.3.3 评标委员会对投标人提交的澄清、说明或补正有疑问的，可以要求投标人进一步澄清、说明或补正，直至满足评标委员会的要求。</w:t>
      </w:r>
    </w:p>
    <w:p w14:paraId="598282B4">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3.4 评标结果</w:t>
      </w:r>
    </w:p>
    <w:p w14:paraId="70499874">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3.4.1 除第二章“投标人须知”前附表授权直接确定中标人外，评标委员会按照得分由高到低的顺序推荐中标候选人。</w:t>
      </w:r>
    </w:p>
    <w:p w14:paraId="1C32BC2F">
      <w:pPr>
        <w:rPr>
          <w:rFonts w:hint="eastAsia" w:ascii="宋体" w:hAnsi="宋体" w:eastAsia="宋体" w:cs="宋体"/>
          <w:b/>
          <w:bCs/>
          <w:sz w:val="40"/>
          <w:szCs w:val="40"/>
          <w:highlight w:val="none"/>
          <w:lang w:val="zh-CN"/>
        </w:rPr>
      </w:pPr>
      <w:r>
        <w:rPr>
          <w:rFonts w:hint="eastAsia" w:ascii="宋体" w:hAnsi="宋体" w:cs="宋体"/>
          <w:bCs/>
          <w:color w:val="auto"/>
          <w:szCs w:val="21"/>
          <w:highlight w:val="none"/>
          <w:lang w:val="zh-CN"/>
        </w:rPr>
        <w:t xml:space="preserve">    3.4.2 评标委员会完成评标后，应当向采购人提交书面评标报告。</w:t>
      </w:r>
      <w:r>
        <w:rPr>
          <w:rFonts w:hint="eastAsia" w:ascii="宋体" w:hAnsi="宋体" w:eastAsia="宋体" w:cs="宋体"/>
          <w:b/>
          <w:bCs/>
          <w:sz w:val="40"/>
          <w:szCs w:val="40"/>
          <w:highlight w:val="none"/>
          <w:lang w:val="zh-CN"/>
        </w:rPr>
        <w:br w:type="page"/>
      </w:r>
    </w:p>
    <w:p w14:paraId="3C8121BE">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zh-CN" w:eastAsia="zh-CN"/>
        </w:rPr>
      </w:pPr>
      <w:r>
        <w:rPr>
          <w:rFonts w:hint="eastAsia" w:ascii="宋体" w:hAnsi="宋体" w:eastAsia="宋体" w:cs="宋体"/>
          <w:b/>
          <w:sz w:val="32"/>
          <w:szCs w:val="28"/>
          <w:highlight w:val="none"/>
          <w:lang w:val="zh-CN" w:eastAsia="zh-CN"/>
        </w:rPr>
        <w:t>第四章  合同条款及格式</w:t>
      </w:r>
      <w:bookmarkEnd w:id="24"/>
      <w:bookmarkEnd w:id="25"/>
    </w:p>
    <w:p w14:paraId="2C344064">
      <w:pPr>
        <w:jc w:val="center"/>
        <w:outlineLvl w:val="9"/>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（仅供参考，</w:t>
      </w:r>
      <w:r>
        <w:rPr>
          <w:rFonts w:hint="eastAsia" w:ascii="宋体" w:hAnsi="宋体" w:eastAsia="宋体" w:cs="宋体"/>
          <w:b w:val="0"/>
          <w:sz w:val="21"/>
          <w:szCs w:val="21"/>
          <w:highlight w:val="none"/>
          <w:lang w:eastAsia="zh-CN"/>
        </w:rPr>
        <w:t>以双方签订合同为准</w:t>
      </w:r>
      <w:r>
        <w:rPr>
          <w:rFonts w:hint="eastAsia" w:ascii="宋体" w:hAnsi="宋体" w:cs="宋体"/>
          <w:b w:val="0"/>
          <w:sz w:val="21"/>
          <w:szCs w:val="21"/>
          <w:highlight w:val="none"/>
          <w:lang w:val="en-US" w:eastAsia="zh-CN"/>
        </w:rPr>
        <w:t>）</w:t>
      </w:r>
    </w:p>
    <w:p w14:paraId="73CEC56E">
      <w:pPr>
        <w:autoSpaceDE w:val="0"/>
        <w:autoSpaceDN w:val="0"/>
        <w:adjustRightInd w:val="0"/>
        <w:spacing w:line="360" w:lineRule="auto"/>
        <w:ind w:firstLine="1050" w:firstLineChars="500"/>
        <w:rPr>
          <w:rFonts w:ascii="宋体" w:hAnsi="宋体" w:cs="宋体"/>
          <w:b/>
          <w:bCs/>
          <w:color w:val="auto"/>
          <w:sz w:val="36"/>
          <w:szCs w:val="36"/>
          <w:highlight w:val="none"/>
          <w:lang w:val="zh-CN"/>
        </w:rPr>
      </w:pPr>
      <w:r>
        <w:rPr>
          <w:rFonts w:hint="eastAsia" w:ascii="宋体" w:hAnsi="宋体" w:eastAsia="宋体" w:cs="宋体"/>
          <w:b w:val="0"/>
          <w:sz w:val="21"/>
          <w:szCs w:val="21"/>
          <w:highlight w:val="none"/>
          <w:lang w:eastAsia="zh-CN"/>
        </w:rPr>
        <w:br w:type="page"/>
      </w:r>
      <w:r>
        <w:rPr>
          <w:rFonts w:ascii="宋体" w:hAnsi="宋体" w:cs="宋体"/>
          <w:b/>
          <w:bCs/>
          <w:color w:val="auto"/>
          <w:sz w:val="36"/>
          <w:szCs w:val="36"/>
          <w:highlight w:val="none"/>
          <w:u w:val="single"/>
          <w:lang w:val="zh-CN"/>
        </w:rPr>
        <w:t xml:space="preserve">                       </w:t>
      </w:r>
      <w:r>
        <w:rPr>
          <w:rFonts w:hint="eastAsia" w:ascii="宋体" w:hAnsi="宋体" w:cs="宋体"/>
          <w:b/>
          <w:bCs/>
          <w:color w:val="auto"/>
          <w:sz w:val="36"/>
          <w:szCs w:val="36"/>
          <w:highlight w:val="none"/>
          <w:lang w:val="zh-CN"/>
        </w:rPr>
        <w:t>采购</w:t>
      </w:r>
    </w:p>
    <w:p w14:paraId="1634849C">
      <w:pPr>
        <w:autoSpaceDE w:val="0"/>
        <w:autoSpaceDN w:val="0"/>
        <w:adjustRightInd w:val="0"/>
        <w:spacing w:line="360" w:lineRule="auto"/>
        <w:jc w:val="center"/>
        <w:rPr>
          <w:rFonts w:ascii="宋体" w:hAnsi="宋体" w:cs="宋体"/>
          <w:b/>
          <w:bCs/>
          <w:color w:val="auto"/>
          <w:sz w:val="36"/>
          <w:szCs w:val="36"/>
          <w:highlight w:val="none"/>
          <w:lang w:val="zh-CN"/>
        </w:rPr>
      </w:pPr>
    </w:p>
    <w:p w14:paraId="1E81796F">
      <w:pPr>
        <w:autoSpaceDE w:val="0"/>
        <w:autoSpaceDN w:val="0"/>
        <w:adjustRightInd w:val="0"/>
        <w:spacing w:line="360" w:lineRule="auto"/>
        <w:jc w:val="center"/>
        <w:rPr>
          <w:rFonts w:ascii="宋体" w:hAnsi="宋体" w:cs="宋体"/>
          <w:b/>
          <w:bCs/>
          <w:color w:val="auto"/>
          <w:sz w:val="36"/>
          <w:szCs w:val="36"/>
          <w:highlight w:val="none"/>
          <w:lang w:val="zh-CN"/>
        </w:rPr>
      </w:pPr>
    </w:p>
    <w:p w14:paraId="35730891">
      <w:pPr>
        <w:autoSpaceDE w:val="0"/>
        <w:autoSpaceDN w:val="0"/>
        <w:adjustRightInd w:val="0"/>
        <w:spacing w:line="360" w:lineRule="auto"/>
        <w:jc w:val="center"/>
        <w:rPr>
          <w:rFonts w:hint="eastAsia" w:ascii="宋体" w:hAnsi="宋体" w:cs="宋体"/>
          <w:b/>
          <w:bCs/>
          <w:color w:val="auto"/>
          <w:sz w:val="36"/>
          <w:szCs w:val="36"/>
          <w:highlight w:val="none"/>
          <w:lang w:val="zh-CN"/>
        </w:rPr>
      </w:pPr>
    </w:p>
    <w:p w14:paraId="3EAF7E54">
      <w:pPr>
        <w:autoSpaceDE w:val="0"/>
        <w:autoSpaceDN w:val="0"/>
        <w:adjustRightInd w:val="0"/>
        <w:spacing w:line="360" w:lineRule="auto"/>
        <w:jc w:val="center"/>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 xml:space="preserve">合 同 </w:t>
      </w:r>
      <w:r>
        <w:rPr>
          <w:rFonts w:ascii="宋体" w:hAnsi="宋体" w:cs="宋体"/>
          <w:b/>
          <w:bCs/>
          <w:color w:val="auto"/>
          <w:sz w:val="36"/>
          <w:szCs w:val="36"/>
          <w:highlight w:val="none"/>
          <w:lang w:val="zh-CN"/>
        </w:rPr>
        <w:t>书</w:t>
      </w:r>
    </w:p>
    <w:p w14:paraId="3D23E3F6">
      <w:pPr>
        <w:autoSpaceDE w:val="0"/>
        <w:autoSpaceDN w:val="0"/>
        <w:adjustRightInd w:val="0"/>
        <w:spacing w:line="360" w:lineRule="auto"/>
        <w:jc w:val="center"/>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w:t>
      </w:r>
      <w:r>
        <w:rPr>
          <w:rFonts w:ascii="宋体" w:hAnsi="宋体" w:cs="宋体"/>
          <w:b/>
          <w:bCs/>
          <w:color w:val="auto"/>
          <w:sz w:val="36"/>
          <w:szCs w:val="36"/>
          <w:highlight w:val="none"/>
          <w:lang w:val="zh-CN"/>
        </w:rPr>
        <w:t>服务类</w:t>
      </w:r>
      <w:r>
        <w:rPr>
          <w:rFonts w:hint="eastAsia" w:ascii="宋体" w:hAnsi="宋体" w:cs="宋体"/>
          <w:b/>
          <w:bCs/>
          <w:color w:val="auto"/>
          <w:sz w:val="36"/>
          <w:szCs w:val="36"/>
          <w:highlight w:val="none"/>
          <w:lang w:val="zh-CN"/>
        </w:rPr>
        <w:t>，仅供参考</w:t>
      </w:r>
      <w:r>
        <w:rPr>
          <w:rFonts w:ascii="宋体" w:hAnsi="宋体" w:cs="宋体"/>
          <w:b/>
          <w:bCs/>
          <w:color w:val="auto"/>
          <w:sz w:val="36"/>
          <w:szCs w:val="36"/>
          <w:highlight w:val="none"/>
          <w:lang w:val="zh-CN"/>
        </w:rPr>
        <w:t>）</w:t>
      </w:r>
    </w:p>
    <w:p w14:paraId="3F97A18A">
      <w:pPr>
        <w:autoSpaceDE w:val="0"/>
        <w:autoSpaceDN w:val="0"/>
        <w:adjustRightInd w:val="0"/>
        <w:spacing w:line="360" w:lineRule="auto"/>
        <w:jc w:val="center"/>
        <w:rPr>
          <w:rFonts w:ascii="宋体" w:hAnsi="宋体" w:cs="宋体"/>
          <w:b/>
          <w:bCs/>
          <w:color w:val="auto"/>
          <w:sz w:val="36"/>
          <w:szCs w:val="36"/>
          <w:highlight w:val="none"/>
          <w:lang w:val="zh-CN"/>
        </w:rPr>
      </w:pPr>
    </w:p>
    <w:p w14:paraId="707006A2">
      <w:pPr>
        <w:autoSpaceDE w:val="0"/>
        <w:autoSpaceDN w:val="0"/>
        <w:adjustRightInd w:val="0"/>
        <w:spacing w:line="360" w:lineRule="auto"/>
        <w:jc w:val="center"/>
        <w:rPr>
          <w:rFonts w:hint="eastAsia" w:ascii="宋体" w:hAnsi="宋体" w:cs="宋体"/>
          <w:b/>
          <w:bCs/>
          <w:color w:val="auto"/>
          <w:sz w:val="36"/>
          <w:szCs w:val="36"/>
          <w:highlight w:val="none"/>
          <w:lang w:val="zh-CN"/>
        </w:rPr>
      </w:pPr>
    </w:p>
    <w:p w14:paraId="20018E71">
      <w:pPr>
        <w:autoSpaceDE w:val="0"/>
        <w:autoSpaceDN w:val="0"/>
        <w:adjustRightInd w:val="0"/>
        <w:spacing w:line="360" w:lineRule="auto"/>
        <w:jc w:val="center"/>
        <w:rPr>
          <w:rFonts w:ascii="宋体" w:hAnsi="宋体" w:cs="宋体"/>
          <w:b/>
          <w:bCs/>
          <w:color w:val="auto"/>
          <w:sz w:val="30"/>
          <w:szCs w:val="30"/>
          <w:highlight w:val="none"/>
          <w:lang w:val="zh-CN"/>
        </w:rPr>
      </w:pPr>
    </w:p>
    <w:p w14:paraId="1F4F2242">
      <w:pPr>
        <w:autoSpaceDE w:val="0"/>
        <w:autoSpaceDN w:val="0"/>
        <w:adjustRightInd w:val="0"/>
        <w:spacing w:line="360" w:lineRule="auto"/>
        <w:jc w:val="center"/>
        <w:rPr>
          <w:rFonts w:ascii="宋体" w:hAnsi="宋体" w:cs="宋体"/>
          <w:b/>
          <w:bCs/>
          <w:color w:val="auto"/>
          <w:sz w:val="30"/>
          <w:szCs w:val="30"/>
          <w:highlight w:val="none"/>
          <w:lang w:val="zh-CN"/>
        </w:rPr>
      </w:pPr>
    </w:p>
    <w:p w14:paraId="0E9C1373">
      <w:pPr>
        <w:autoSpaceDE w:val="0"/>
        <w:autoSpaceDN w:val="0"/>
        <w:adjustRightInd w:val="0"/>
        <w:spacing w:line="360" w:lineRule="auto"/>
        <w:jc w:val="center"/>
        <w:rPr>
          <w:rFonts w:hint="eastAsia" w:ascii="宋体" w:hAnsi="宋体" w:cs="宋体"/>
          <w:b/>
          <w:bCs/>
          <w:color w:val="auto"/>
          <w:sz w:val="30"/>
          <w:szCs w:val="30"/>
          <w:highlight w:val="none"/>
          <w:lang w:val="zh-CN"/>
        </w:rPr>
      </w:pPr>
    </w:p>
    <w:p w14:paraId="6152DB0F">
      <w:pPr>
        <w:autoSpaceDE w:val="0"/>
        <w:autoSpaceDN w:val="0"/>
        <w:adjustRightInd w:val="0"/>
        <w:spacing w:line="360" w:lineRule="auto"/>
        <w:ind w:firstLine="1687" w:firstLineChars="600"/>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合同</w:t>
      </w:r>
      <w:r>
        <w:rPr>
          <w:rFonts w:ascii="宋体" w:hAnsi="宋体" w:cs="宋体"/>
          <w:b/>
          <w:bCs/>
          <w:color w:val="auto"/>
          <w:sz w:val="28"/>
          <w:szCs w:val="28"/>
          <w:highlight w:val="none"/>
          <w:lang w:val="zh-CN"/>
        </w:rPr>
        <w:t>编号：</w:t>
      </w:r>
      <w:r>
        <w:rPr>
          <w:rFonts w:hint="eastAsia" w:ascii="宋体" w:hAnsi="宋体" w:cs="宋体"/>
          <w:b/>
          <w:bCs/>
          <w:color w:val="auto"/>
          <w:sz w:val="28"/>
          <w:szCs w:val="28"/>
          <w:highlight w:val="none"/>
          <w:u w:val="single"/>
          <w:lang w:val="zh-CN"/>
        </w:rPr>
        <w:t xml:space="preserve">                  </w:t>
      </w:r>
    </w:p>
    <w:p w14:paraId="74F5795D">
      <w:pPr>
        <w:autoSpaceDE w:val="0"/>
        <w:autoSpaceDN w:val="0"/>
        <w:adjustRightInd w:val="0"/>
        <w:spacing w:line="360" w:lineRule="auto"/>
        <w:ind w:firstLine="1687" w:firstLineChars="600"/>
        <w:rPr>
          <w:rFonts w:hint="eastAsia" w:ascii="宋体" w:hAnsi="宋体" w:cs="宋体"/>
          <w:b/>
          <w:bCs/>
          <w:color w:val="auto"/>
          <w:sz w:val="28"/>
          <w:szCs w:val="28"/>
          <w:highlight w:val="none"/>
          <w:lang w:val="zh-CN"/>
        </w:rPr>
      </w:pPr>
    </w:p>
    <w:p w14:paraId="0A3211C8">
      <w:pPr>
        <w:autoSpaceDE w:val="0"/>
        <w:autoSpaceDN w:val="0"/>
        <w:adjustRightInd w:val="0"/>
        <w:spacing w:line="360" w:lineRule="auto"/>
        <w:ind w:firstLine="1687" w:firstLineChars="600"/>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项目</w:t>
      </w:r>
      <w:r>
        <w:rPr>
          <w:rFonts w:ascii="宋体" w:hAnsi="宋体" w:cs="宋体"/>
          <w:b/>
          <w:bCs/>
          <w:color w:val="auto"/>
          <w:sz w:val="28"/>
          <w:szCs w:val="28"/>
          <w:highlight w:val="none"/>
          <w:lang w:val="zh-CN"/>
        </w:rPr>
        <w:t>名称：</w:t>
      </w:r>
      <w:r>
        <w:rPr>
          <w:rFonts w:hint="eastAsia" w:ascii="宋体" w:hAnsi="宋体" w:cs="宋体"/>
          <w:b/>
          <w:bCs/>
          <w:color w:val="auto"/>
          <w:sz w:val="28"/>
          <w:szCs w:val="28"/>
          <w:highlight w:val="none"/>
          <w:u w:val="single"/>
          <w:lang w:val="zh-CN"/>
        </w:rPr>
        <w:t xml:space="preserve">                  </w:t>
      </w:r>
      <w:r>
        <w:rPr>
          <w:rFonts w:hint="eastAsia" w:ascii="宋体" w:hAnsi="宋体" w:cs="宋体"/>
          <w:b/>
          <w:bCs/>
          <w:color w:val="auto"/>
          <w:sz w:val="28"/>
          <w:szCs w:val="28"/>
          <w:highlight w:val="none"/>
          <w:lang w:val="zh-CN"/>
        </w:rPr>
        <w:t xml:space="preserve">   </w:t>
      </w:r>
    </w:p>
    <w:p w14:paraId="6422EBC7">
      <w:pPr>
        <w:autoSpaceDE w:val="0"/>
        <w:autoSpaceDN w:val="0"/>
        <w:adjustRightInd w:val="0"/>
        <w:spacing w:line="360" w:lineRule="auto"/>
        <w:rPr>
          <w:rFonts w:ascii="宋体" w:hAnsi="宋体" w:cs="宋体"/>
          <w:bCs/>
          <w:color w:val="auto"/>
          <w:szCs w:val="21"/>
          <w:highlight w:val="none"/>
          <w:lang w:val="zh-CN"/>
        </w:rPr>
      </w:pPr>
    </w:p>
    <w:p w14:paraId="69F275D2">
      <w:pPr>
        <w:autoSpaceDE w:val="0"/>
        <w:autoSpaceDN w:val="0"/>
        <w:adjustRightInd w:val="0"/>
        <w:spacing w:line="360" w:lineRule="auto"/>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r>
        <w:rPr>
          <w:rFonts w:ascii="宋体" w:hAnsi="宋体" w:cs="宋体"/>
          <w:b/>
          <w:bCs/>
          <w:color w:val="auto"/>
          <w:szCs w:val="21"/>
          <w:highlight w:val="none"/>
          <w:lang w:val="zh-CN"/>
        </w:rPr>
        <w:t>：本</w:t>
      </w:r>
      <w:r>
        <w:rPr>
          <w:rFonts w:hint="eastAsia" w:ascii="宋体" w:hAnsi="宋体" w:cs="宋体"/>
          <w:b/>
          <w:bCs/>
          <w:color w:val="auto"/>
          <w:szCs w:val="21"/>
          <w:highlight w:val="none"/>
          <w:lang w:val="zh-CN"/>
        </w:rPr>
        <w:t>合</w:t>
      </w:r>
      <w:r>
        <w:rPr>
          <w:rFonts w:ascii="宋体" w:hAnsi="宋体" w:cs="宋体"/>
          <w:b/>
          <w:bCs/>
          <w:color w:val="auto"/>
          <w:szCs w:val="21"/>
          <w:highlight w:val="none"/>
          <w:lang w:val="zh-CN"/>
        </w:rPr>
        <w:t>同</w:t>
      </w:r>
      <w:r>
        <w:rPr>
          <w:rFonts w:hint="eastAsia" w:ascii="宋体" w:hAnsi="宋体" w:cs="宋体"/>
          <w:b/>
          <w:bCs/>
          <w:color w:val="auto"/>
          <w:szCs w:val="21"/>
          <w:highlight w:val="none"/>
          <w:lang w:val="zh-CN"/>
        </w:rPr>
        <w:t>仅</w:t>
      </w:r>
      <w:r>
        <w:rPr>
          <w:rFonts w:ascii="宋体" w:hAnsi="宋体" w:cs="宋体"/>
          <w:b/>
          <w:bCs/>
          <w:color w:val="auto"/>
          <w:szCs w:val="21"/>
          <w:highlight w:val="none"/>
          <w:lang w:val="zh-CN"/>
        </w:rPr>
        <w:t>为</w:t>
      </w:r>
      <w:r>
        <w:rPr>
          <w:rFonts w:hint="eastAsia" w:ascii="宋体" w:hAnsi="宋体" w:cs="宋体"/>
          <w:b/>
          <w:bCs/>
          <w:color w:val="auto"/>
          <w:szCs w:val="21"/>
          <w:highlight w:val="none"/>
          <w:lang w:val="zh-CN"/>
        </w:rPr>
        <w:t>合同</w:t>
      </w:r>
      <w:r>
        <w:rPr>
          <w:rFonts w:ascii="宋体" w:hAnsi="宋体" w:cs="宋体"/>
          <w:b/>
          <w:bCs/>
          <w:color w:val="auto"/>
          <w:szCs w:val="21"/>
          <w:highlight w:val="none"/>
          <w:lang w:val="zh-CN"/>
        </w:rPr>
        <w:t>的参考文本，合同签订双方可根据项目的具体要求进行修订。</w:t>
      </w:r>
    </w:p>
    <w:p w14:paraId="3031E4F4">
      <w:pPr>
        <w:autoSpaceDE w:val="0"/>
        <w:autoSpaceDN w:val="0"/>
        <w:adjustRightInd w:val="0"/>
        <w:spacing w:line="360" w:lineRule="auto"/>
        <w:rPr>
          <w:rFonts w:hint="eastAsia" w:ascii="宋体" w:hAnsi="宋体" w:cs="宋体"/>
          <w:bCs/>
          <w:color w:val="auto"/>
          <w:szCs w:val="21"/>
          <w:highlight w:val="none"/>
          <w:lang w:val="zh-CN"/>
        </w:rPr>
      </w:pPr>
    </w:p>
    <w:p w14:paraId="365EFDD6">
      <w:pPr>
        <w:pStyle w:val="11"/>
        <w:rPr>
          <w:rFonts w:hint="eastAsia" w:hAnsi="宋体" w:cs="宋体"/>
          <w:bCs/>
          <w:color w:val="auto"/>
          <w:highlight w:val="none"/>
          <w:lang w:val="zh-CN"/>
        </w:rPr>
      </w:pPr>
      <w:r>
        <w:rPr>
          <w:rFonts w:hAnsi="宋体" w:cs="宋体"/>
          <w:bCs/>
          <w:color w:val="auto"/>
          <w:highlight w:val="none"/>
          <w:lang w:val="zh-CN"/>
        </w:rPr>
        <w:br w:type="page"/>
      </w:r>
      <w:r>
        <w:rPr>
          <w:rFonts w:hint="eastAsia" w:hAnsi="宋体" w:cs="宋体"/>
          <w:bCs/>
          <w:color w:val="auto"/>
          <w:highlight w:val="none"/>
          <w:lang w:val="zh-CN"/>
        </w:rPr>
        <w:t>合同</w:t>
      </w:r>
      <w:r>
        <w:rPr>
          <w:rFonts w:hAnsi="宋体" w:cs="宋体"/>
          <w:bCs/>
          <w:color w:val="auto"/>
          <w:highlight w:val="none"/>
          <w:lang w:val="zh-CN"/>
        </w:rPr>
        <w:t>编号：</w:t>
      </w:r>
    </w:p>
    <w:p w14:paraId="1A26CF27">
      <w:pPr>
        <w:pStyle w:val="11"/>
        <w:rPr>
          <w:rFonts w:hAnsi="宋体" w:cs="宋体"/>
          <w:bCs/>
          <w:color w:val="auto"/>
          <w:highlight w:val="none"/>
          <w:lang w:val="zh-CN"/>
        </w:rPr>
      </w:pPr>
    </w:p>
    <w:p w14:paraId="04FCD13B">
      <w:pPr>
        <w:pStyle w:val="11"/>
        <w:rPr>
          <w:rFonts w:hAnsi="宋体" w:cs="宋体"/>
          <w:color w:val="auto"/>
          <w:sz w:val="24"/>
          <w:szCs w:val="24"/>
          <w:highlight w:val="none"/>
        </w:rPr>
      </w:pPr>
      <w:r>
        <w:rPr>
          <w:rFonts w:hAnsi="宋体" w:cs="宋体"/>
          <w:color w:val="auto"/>
          <w:sz w:val="24"/>
          <w:szCs w:val="24"/>
          <w:highlight w:val="none"/>
        </w:rPr>
        <w:t>签订地点:</w:t>
      </w:r>
    </w:p>
    <w:p w14:paraId="72C286D4">
      <w:pPr>
        <w:pStyle w:val="11"/>
        <w:rPr>
          <w:rFonts w:hAnsi="宋体" w:cs="宋体"/>
          <w:color w:val="auto"/>
          <w:sz w:val="24"/>
          <w:szCs w:val="24"/>
          <w:highlight w:val="none"/>
        </w:rPr>
      </w:pPr>
    </w:p>
    <w:p w14:paraId="21864211">
      <w:pPr>
        <w:pStyle w:val="11"/>
        <w:rPr>
          <w:rFonts w:hAnsi="宋体" w:cs="宋体"/>
          <w:color w:val="auto"/>
          <w:sz w:val="24"/>
          <w:szCs w:val="24"/>
          <w:highlight w:val="none"/>
        </w:rPr>
      </w:pPr>
      <w:r>
        <w:rPr>
          <w:rFonts w:hAnsi="宋体" w:cs="宋体"/>
          <w:color w:val="auto"/>
          <w:sz w:val="24"/>
          <w:szCs w:val="24"/>
          <w:highlight w:val="none"/>
        </w:rPr>
        <w:t>签订日期:</w:t>
      </w:r>
    </w:p>
    <w:p w14:paraId="25F50FA1">
      <w:pPr>
        <w:pStyle w:val="11"/>
        <w:rPr>
          <w:rFonts w:hAnsi="宋体" w:cs="宋体"/>
          <w:color w:val="auto"/>
          <w:sz w:val="24"/>
          <w:szCs w:val="24"/>
          <w:highlight w:val="none"/>
          <w:u w:val="single"/>
        </w:rPr>
      </w:pPr>
    </w:p>
    <w:p w14:paraId="6885D7C1">
      <w:pPr>
        <w:pStyle w:val="11"/>
        <w:spacing w:line="360" w:lineRule="auto"/>
        <w:rPr>
          <w:rFonts w:hAnsi="宋体" w:cs="宋体"/>
          <w:color w:val="auto"/>
          <w:sz w:val="24"/>
          <w:szCs w:val="24"/>
          <w:highlight w:val="none"/>
        </w:rPr>
      </w:pPr>
      <w:r>
        <w:rPr>
          <w:rFonts w:hAnsi="宋体" w:cs="宋体"/>
          <w:color w:val="auto"/>
          <w:sz w:val="24"/>
          <w:szCs w:val="24"/>
          <w:highlight w:val="none"/>
          <w:u w:val="single"/>
        </w:rPr>
        <w:t xml:space="preserve">                   </w:t>
      </w:r>
      <w:r>
        <w:rPr>
          <w:rFonts w:hAnsi="宋体" w:cs="宋体"/>
          <w:color w:val="auto"/>
          <w:sz w:val="24"/>
          <w:szCs w:val="24"/>
          <w:highlight w:val="none"/>
        </w:rPr>
        <w:t>(需方)需求的</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 xml:space="preserve">     </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 xml:space="preserve">       </w:t>
      </w:r>
      <w:r>
        <w:rPr>
          <w:rFonts w:hint="eastAsia" w:hAnsi="宋体" w:cs="宋体"/>
          <w:color w:val="auto"/>
          <w:sz w:val="24"/>
          <w:szCs w:val="24"/>
          <w:highlight w:val="none"/>
          <w:u w:val="single"/>
        </w:rPr>
        <w:t xml:space="preserve">      </w:t>
      </w:r>
      <w:r>
        <w:rPr>
          <w:rFonts w:hAnsi="宋体" w:cs="宋体"/>
          <w:color w:val="auto"/>
          <w:sz w:val="24"/>
          <w:szCs w:val="24"/>
          <w:highlight w:val="none"/>
        </w:rPr>
        <w:t>(项目名称)经招标公司以编号为</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 xml:space="preserve">            </w:t>
      </w:r>
      <w:r>
        <w:rPr>
          <w:rFonts w:hint="eastAsia" w:hAnsi="宋体" w:cs="宋体"/>
          <w:color w:val="auto"/>
          <w:sz w:val="24"/>
          <w:szCs w:val="24"/>
          <w:highlight w:val="none"/>
          <w:u w:val="single"/>
        </w:rPr>
        <w:t xml:space="preserve">    </w:t>
      </w:r>
      <w:r>
        <w:rPr>
          <w:rFonts w:hAnsi="宋体" w:cs="宋体"/>
          <w:color w:val="auto"/>
          <w:sz w:val="24"/>
          <w:szCs w:val="24"/>
          <w:highlight w:val="none"/>
        </w:rPr>
        <w:t>的招标文件在国内公开招标,评标委员会评</w:t>
      </w:r>
      <w:r>
        <w:rPr>
          <w:rFonts w:hint="eastAsia" w:hAnsi="宋体" w:cs="宋体"/>
          <w:color w:val="auto"/>
          <w:sz w:val="24"/>
          <w:szCs w:val="24"/>
          <w:highlight w:val="none"/>
        </w:rPr>
        <w:t>定</w:t>
      </w:r>
      <w:r>
        <w:rPr>
          <w:rFonts w:hint="eastAsia" w:hAnsi="宋体" w:cs="宋体"/>
          <w:color w:val="auto"/>
          <w:sz w:val="24"/>
          <w:szCs w:val="24"/>
          <w:highlight w:val="none"/>
          <w:u w:val="single"/>
        </w:rPr>
        <w:t xml:space="preserve">         </w:t>
      </w:r>
      <w:r>
        <w:rPr>
          <w:rFonts w:hAnsi="宋体" w:cs="宋体"/>
          <w:color w:val="auto"/>
          <w:sz w:val="24"/>
          <w:szCs w:val="24"/>
          <w:highlight w:val="none"/>
        </w:rPr>
        <w:t>(供方)为成交供应商,供需双方按照《中华人民共和国合同法》和有关法律法规,遵循平等、自愿、公平和诚实信用原则,同意按照下面的条款和条件订立本合同,共同信守</w:t>
      </w:r>
      <w:r>
        <w:rPr>
          <w:rFonts w:hint="eastAsia" w:hAnsi="宋体" w:cs="宋体"/>
          <w:color w:val="auto"/>
          <w:sz w:val="24"/>
          <w:szCs w:val="24"/>
          <w:highlight w:val="none"/>
        </w:rPr>
        <w:t>。</w:t>
      </w:r>
    </w:p>
    <w:p w14:paraId="4048078F">
      <w:pPr>
        <w:pStyle w:val="11"/>
        <w:spacing w:line="360" w:lineRule="auto"/>
        <w:rPr>
          <w:rFonts w:hAnsi="宋体" w:cs="宋体"/>
          <w:color w:val="auto"/>
          <w:sz w:val="24"/>
          <w:szCs w:val="24"/>
          <w:highlight w:val="none"/>
        </w:rPr>
      </w:pPr>
    </w:p>
    <w:p w14:paraId="7FFAC035">
      <w:pPr>
        <w:pStyle w:val="11"/>
        <w:rPr>
          <w:rFonts w:hAnsi="宋体" w:cs="宋体"/>
          <w:b/>
          <w:color w:val="auto"/>
          <w:sz w:val="24"/>
          <w:szCs w:val="24"/>
          <w:highlight w:val="none"/>
        </w:rPr>
      </w:pPr>
      <w:r>
        <w:rPr>
          <w:rFonts w:hAnsi="宋体" w:cs="宋体"/>
          <w:b/>
          <w:color w:val="auto"/>
          <w:sz w:val="24"/>
          <w:szCs w:val="24"/>
          <w:highlight w:val="none"/>
        </w:rPr>
        <w:t>1.合同标的</w:t>
      </w:r>
      <w:r>
        <w:rPr>
          <w:rFonts w:hint="eastAsia" w:hAnsi="宋体" w:cs="宋体"/>
          <w:b/>
          <w:color w:val="auto"/>
          <w:sz w:val="24"/>
          <w:szCs w:val="24"/>
          <w:highlight w:val="none"/>
        </w:rPr>
        <w:t>：</w:t>
      </w:r>
    </w:p>
    <w:tbl>
      <w:tblPr>
        <w:tblStyle w:val="22"/>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4"/>
        <w:gridCol w:w="2214"/>
        <w:gridCol w:w="2214"/>
        <w:gridCol w:w="2215"/>
      </w:tblGrid>
      <w:tr w14:paraId="42C2E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214" w:type="dxa"/>
            <w:noWrap w:val="0"/>
            <w:vAlign w:val="top"/>
          </w:tcPr>
          <w:p w14:paraId="77BA63C3">
            <w:pPr>
              <w:pStyle w:val="11"/>
              <w:spacing w:before="240"/>
              <w:jc w:val="center"/>
              <w:rPr>
                <w:rFonts w:hint="eastAsia" w:hAnsi="宋体" w:cs="宋体"/>
                <w:b/>
                <w:color w:val="auto"/>
                <w:sz w:val="24"/>
                <w:szCs w:val="24"/>
                <w:highlight w:val="none"/>
              </w:rPr>
            </w:pPr>
            <w:r>
              <w:rPr>
                <w:rFonts w:hint="eastAsia" w:hAnsi="宋体" w:cs="宋体"/>
                <w:b/>
                <w:color w:val="auto"/>
                <w:sz w:val="24"/>
                <w:szCs w:val="24"/>
                <w:highlight w:val="none"/>
              </w:rPr>
              <w:t>项目</w:t>
            </w:r>
            <w:r>
              <w:rPr>
                <w:rFonts w:hAnsi="宋体" w:cs="宋体"/>
                <w:b/>
                <w:color w:val="auto"/>
                <w:sz w:val="24"/>
                <w:szCs w:val="24"/>
                <w:highlight w:val="none"/>
              </w:rPr>
              <w:t>名称</w:t>
            </w:r>
          </w:p>
        </w:tc>
        <w:tc>
          <w:tcPr>
            <w:tcW w:w="2214" w:type="dxa"/>
            <w:noWrap w:val="0"/>
            <w:vAlign w:val="top"/>
          </w:tcPr>
          <w:p w14:paraId="3D832AA7">
            <w:pPr>
              <w:pStyle w:val="11"/>
              <w:spacing w:before="240"/>
              <w:jc w:val="center"/>
              <w:rPr>
                <w:rFonts w:hint="eastAsia" w:hAnsi="宋体" w:eastAsia="宋体" w:cs="宋体"/>
                <w:b/>
                <w:color w:val="auto"/>
                <w:sz w:val="24"/>
                <w:szCs w:val="24"/>
                <w:highlight w:val="none"/>
                <w:lang w:eastAsia="zh-CN"/>
              </w:rPr>
            </w:pPr>
            <w:r>
              <w:rPr>
                <w:rFonts w:hint="eastAsia" w:hAnsi="宋体" w:cs="宋体"/>
                <w:b/>
                <w:color w:val="auto"/>
                <w:sz w:val="24"/>
                <w:szCs w:val="24"/>
                <w:highlight w:val="none"/>
                <w:lang w:eastAsia="zh-CN"/>
              </w:rPr>
              <w:t>服务类</w:t>
            </w:r>
          </w:p>
        </w:tc>
        <w:tc>
          <w:tcPr>
            <w:tcW w:w="2214" w:type="dxa"/>
            <w:noWrap w:val="0"/>
            <w:vAlign w:val="top"/>
          </w:tcPr>
          <w:p w14:paraId="0122B2FF">
            <w:pPr>
              <w:pStyle w:val="11"/>
              <w:spacing w:before="240"/>
              <w:jc w:val="center"/>
              <w:rPr>
                <w:rFonts w:hint="eastAsia" w:hAnsi="宋体" w:cs="宋体"/>
                <w:b/>
                <w:color w:val="auto"/>
                <w:sz w:val="24"/>
                <w:szCs w:val="24"/>
                <w:highlight w:val="none"/>
              </w:rPr>
            </w:pPr>
            <w:r>
              <w:rPr>
                <w:rFonts w:hint="eastAsia" w:hAnsi="宋体" w:cs="宋体"/>
                <w:b/>
                <w:color w:val="auto"/>
                <w:sz w:val="24"/>
                <w:szCs w:val="24"/>
                <w:highlight w:val="none"/>
              </w:rPr>
              <w:t>单价(元)</w:t>
            </w:r>
          </w:p>
        </w:tc>
        <w:tc>
          <w:tcPr>
            <w:tcW w:w="2215" w:type="dxa"/>
            <w:noWrap w:val="0"/>
            <w:vAlign w:val="top"/>
          </w:tcPr>
          <w:p w14:paraId="4556F4D6">
            <w:pPr>
              <w:pStyle w:val="11"/>
              <w:spacing w:before="240"/>
              <w:jc w:val="center"/>
              <w:rPr>
                <w:rFonts w:hint="eastAsia" w:hAnsi="宋体" w:cs="宋体"/>
                <w:b/>
                <w:color w:val="auto"/>
                <w:sz w:val="24"/>
                <w:szCs w:val="24"/>
                <w:highlight w:val="none"/>
              </w:rPr>
            </w:pPr>
            <w:r>
              <w:rPr>
                <w:rFonts w:hint="eastAsia" w:hAnsi="宋体" w:cs="宋体"/>
                <w:b/>
                <w:color w:val="auto"/>
                <w:sz w:val="24"/>
                <w:szCs w:val="24"/>
                <w:highlight w:val="none"/>
              </w:rPr>
              <w:t>小</w:t>
            </w:r>
            <w:r>
              <w:rPr>
                <w:rFonts w:hAnsi="宋体" w:cs="宋体"/>
                <w:b/>
                <w:color w:val="auto"/>
                <w:sz w:val="24"/>
                <w:szCs w:val="24"/>
                <w:highlight w:val="none"/>
              </w:rPr>
              <w:t>计金额（元）</w:t>
            </w:r>
          </w:p>
        </w:tc>
      </w:tr>
      <w:tr w14:paraId="3C255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14" w:type="dxa"/>
            <w:noWrap w:val="0"/>
            <w:vAlign w:val="top"/>
          </w:tcPr>
          <w:p w14:paraId="52A06CE5">
            <w:pPr>
              <w:pStyle w:val="11"/>
              <w:rPr>
                <w:rFonts w:hint="eastAsia" w:hAnsi="宋体" w:cs="宋体"/>
                <w:b/>
                <w:color w:val="auto"/>
                <w:sz w:val="24"/>
                <w:szCs w:val="24"/>
                <w:highlight w:val="none"/>
              </w:rPr>
            </w:pPr>
          </w:p>
        </w:tc>
        <w:tc>
          <w:tcPr>
            <w:tcW w:w="2214" w:type="dxa"/>
            <w:noWrap w:val="0"/>
            <w:vAlign w:val="top"/>
          </w:tcPr>
          <w:p w14:paraId="4FE4E447">
            <w:pPr>
              <w:pStyle w:val="11"/>
              <w:rPr>
                <w:rFonts w:hint="eastAsia" w:hAnsi="宋体" w:cs="宋体"/>
                <w:b/>
                <w:color w:val="auto"/>
                <w:sz w:val="24"/>
                <w:szCs w:val="24"/>
                <w:highlight w:val="none"/>
              </w:rPr>
            </w:pPr>
          </w:p>
        </w:tc>
        <w:tc>
          <w:tcPr>
            <w:tcW w:w="2214" w:type="dxa"/>
            <w:noWrap w:val="0"/>
            <w:vAlign w:val="top"/>
          </w:tcPr>
          <w:p w14:paraId="34CE704F">
            <w:pPr>
              <w:pStyle w:val="11"/>
              <w:rPr>
                <w:rFonts w:hint="eastAsia" w:hAnsi="宋体" w:cs="宋体"/>
                <w:b/>
                <w:color w:val="auto"/>
                <w:sz w:val="24"/>
                <w:szCs w:val="24"/>
                <w:highlight w:val="none"/>
              </w:rPr>
            </w:pPr>
          </w:p>
        </w:tc>
        <w:tc>
          <w:tcPr>
            <w:tcW w:w="2215" w:type="dxa"/>
            <w:noWrap w:val="0"/>
            <w:vAlign w:val="top"/>
          </w:tcPr>
          <w:p w14:paraId="45529A4B">
            <w:pPr>
              <w:pStyle w:val="11"/>
              <w:rPr>
                <w:rFonts w:hint="eastAsia" w:hAnsi="宋体" w:cs="宋体"/>
                <w:b/>
                <w:color w:val="auto"/>
                <w:sz w:val="24"/>
                <w:szCs w:val="24"/>
                <w:highlight w:val="none"/>
              </w:rPr>
            </w:pPr>
          </w:p>
        </w:tc>
      </w:tr>
      <w:tr w14:paraId="3850A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14" w:type="dxa"/>
            <w:noWrap w:val="0"/>
            <w:vAlign w:val="top"/>
          </w:tcPr>
          <w:p w14:paraId="3C404B67">
            <w:pPr>
              <w:pStyle w:val="11"/>
              <w:rPr>
                <w:rFonts w:hint="eastAsia" w:hAnsi="宋体" w:cs="宋体"/>
                <w:b/>
                <w:color w:val="auto"/>
                <w:sz w:val="24"/>
                <w:szCs w:val="24"/>
                <w:highlight w:val="none"/>
              </w:rPr>
            </w:pPr>
          </w:p>
        </w:tc>
        <w:tc>
          <w:tcPr>
            <w:tcW w:w="2214" w:type="dxa"/>
            <w:noWrap w:val="0"/>
            <w:vAlign w:val="top"/>
          </w:tcPr>
          <w:p w14:paraId="3A5A09A9">
            <w:pPr>
              <w:pStyle w:val="11"/>
              <w:rPr>
                <w:rFonts w:hint="eastAsia" w:hAnsi="宋体" w:cs="宋体"/>
                <w:b/>
                <w:color w:val="auto"/>
                <w:sz w:val="24"/>
                <w:szCs w:val="24"/>
                <w:highlight w:val="none"/>
              </w:rPr>
            </w:pPr>
          </w:p>
        </w:tc>
        <w:tc>
          <w:tcPr>
            <w:tcW w:w="2214" w:type="dxa"/>
            <w:noWrap w:val="0"/>
            <w:vAlign w:val="top"/>
          </w:tcPr>
          <w:p w14:paraId="7BE13301">
            <w:pPr>
              <w:pStyle w:val="11"/>
              <w:rPr>
                <w:rFonts w:hint="eastAsia" w:hAnsi="宋体" w:cs="宋体"/>
                <w:b/>
                <w:color w:val="auto"/>
                <w:sz w:val="24"/>
                <w:szCs w:val="24"/>
                <w:highlight w:val="none"/>
              </w:rPr>
            </w:pPr>
          </w:p>
        </w:tc>
        <w:tc>
          <w:tcPr>
            <w:tcW w:w="2215" w:type="dxa"/>
            <w:noWrap w:val="0"/>
            <w:vAlign w:val="top"/>
          </w:tcPr>
          <w:p w14:paraId="10100813">
            <w:pPr>
              <w:pStyle w:val="11"/>
              <w:rPr>
                <w:rFonts w:hint="eastAsia" w:hAnsi="宋体" w:cs="宋体"/>
                <w:b/>
                <w:color w:val="auto"/>
                <w:sz w:val="24"/>
                <w:szCs w:val="24"/>
                <w:highlight w:val="none"/>
              </w:rPr>
            </w:pPr>
          </w:p>
        </w:tc>
      </w:tr>
    </w:tbl>
    <w:p w14:paraId="11EF3D1D">
      <w:pPr>
        <w:pStyle w:val="11"/>
        <w:spacing w:line="360" w:lineRule="auto"/>
        <w:rPr>
          <w:rFonts w:hAnsi="宋体" w:cs="宋体"/>
          <w:b/>
          <w:color w:val="auto"/>
          <w:sz w:val="24"/>
          <w:szCs w:val="24"/>
          <w:highlight w:val="none"/>
        </w:rPr>
      </w:pPr>
    </w:p>
    <w:p w14:paraId="3EE7C912">
      <w:pPr>
        <w:pStyle w:val="11"/>
        <w:spacing w:line="360" w:lineRule="auto"/>
        <w:rPr>
          <w:rFonts w:hAnsi="宋体" w:cs="宋体"/>
          <w:color w:val="auto"/>
          <w:sz w:val="24"/>
          <w:szCs w:val="24"/>
          <w:highlight w:val="none"/>
          <w:u w:val="single"/>
        </w:rPr>
      </w:pPr>
      <w:r>
        <w:rPr>
          <w:rFonts w:hAnsi="宋体" w:cs="宋体"/>
          <w:b/>
          <w:color w:val="auto"/>
          <w:sz w:val="24"/>
          <w:szCs w:val="24"/>
          <w:highlight w:val="none"/>
        </w:rPr>
        <w:t>2.合同价格:</w:t>
      </w:r>
      <w:r>
        <w:rPr>
          <w:rFonts w:hAnsi="宋体" w:cs="宋体"/>
          <w:color w:val="auto"/>
          <w:sz w:val="24"/>
          <w:szCs w:val="24"/>
          <w:highlight w:val="none"/>
        </w:rPr>
        <w:t>人民币(大写)</w:t>
      </w:r>
      <w:r>
        <w:rPr>
          <w:rFonts w:hAnsi="宋体" w:cs="宋体"/>
          <w:color w:val="auto"/>
          <w:sz w:val="24"/>
          <w:szCs w:val="24"/>
          <w:highlight w:val="none"/>
          <w:u w:val="single"/>
        </w:rPr>
        <w:t xml:space="preserve">             </w:t>
      </w:r>
      <w:r>
        <w:rPr>
          <w:rFonts w:hint="eastAsia" w:hAnsi="宋体" w:cs="宋体"/>
          <w:color w:val="auto"/>
          <w:sz w:val="24"/>
          <w:szCs w:val="24"/>
          <w:highlight w:val="none"/>
        </w:rPr>
        <w:t>元</w:t>
      </w:r>
      <w:r>
        <w:rPr>
          <w:rFonts w:hAnsi="宋体" w:cs="宋体"/>
          <w:color w:val="auto"/>
          <w:sz w:val="24"/>
          <w:szCs w:val="24"/>
          <w:highlight w:val="none"/>
        </w:rPr>
        <w:t>，</w:t>
      </w:r>
      <w:r>
        <w:rPr>
          <w:rFonts w:hint="eastAsia" w:hAnsi="宋体" w:cs="宋体"/>
          <w:color w:val="auto"/>
          <w:sz w:val="24"/>
          <w:szCs w:val="24"/>
          <w:highlight w:val="none"/>
        </w:rPr>
        <w:t>（</w:t>
      </w:r>
      <w:r>
        <w:rPr>
          <w:rFonts w:hAnsi="宋体" w:cs="宋体"/>
          <w:color w:val="auto"/>
          <w:sz w:val="24"/>
          <w:szCs w:val="24"/>
          <w:highlight w:val="none"/>
        </w:rPr>
        <w:t>小</w:t>
      </w:r>
      <w:r>
        <w:rPr>
          <w:rFonts w:hint="eastAsia" w:hAnsi="宋体" w:cs="宋体"/>
          <w:color w:val="auto"/>
          <w:sz w:val="24"/>
          <w:szCs w:val="24"/>
          <w:highlight w:val="none"/>
        </w:rPr>
        <w:t>写</w:t>
      </w:r>
      <w:r>
        <w:rPr>
          <w:rFonts w:hAnsi="宋体" w:cs="宋体"/>
          <w:color w:val="auto"/>
          <w:sz w:val="24"/>
          <w:szCs w:val="24"/>
          <w:highlight w:val="none"/>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元</w:t>
      </w:r>
      <w:r>
        <w:rPr>
          <w:rFonts w:hAnsi="宋体" w:cs="宋体"/>
          <w:color w:val="auto"/>
          <w:sz w:val="24"/>
          <w:szCs w:val="24"/>
          <w:highlight w:val="none"/>
        </w:rPr>
        <w:t>。</w:t>
      </w:r>
    </w:p>
    <w:p w14:paraId="7CFC418A">
      <w:pPr>
        <w:pStyle w:val="11"/>
        <w:spacing w:line="360" w:lineRule="auto"/>
        <w:rPr>
          <w:rFonts w:hAnsi="宋体" w:cs="宋体"/>
          <w:b/>
          <w:color w:val="auto"/>
          <w:sz w:val="24"/>
          <w:szCs w:val="24"/>
          <w:highlight w:val="none"/>
        </w:rPr>
      </w:pPr>
      <w:r>
        <w:rPr>
          <w:rFonts w:hAnsi="宋体" w:cs="宋体"/>
          <w:b/>
          <w:color w:val="auto"/>
          <w:sz w:val="24"/>
          <w:szCs w:val="24"/>
          <w:highlight w:val="none"/>
        </w:rPr>
        <w:t>3.服务时间、地点</w:t>
      </w:r>
    </w:p>
    <w:p w14:paraId="3AA22516">
      <w:pPr>
        <w:pStyle w:val="11"/>
        <w:spacing w:line="360" w:lineRule="auto"/>
        <w:rPr>
          <w:rFonts w:hint="eastAsia"/>
          <w:color w:val="auto"/>
          <w:highlight w:val="none"/>
        </w:rPr>
      </w:pPr>
      <w:r>
        <w:rPr>
          <w:rFonts w:hAnsi="宋体" w:cs="宋体"/>
          <w:color w:val="auto"/>
          <w:sz w:val="24"/>
          <w:szCs w:val="24"/>
          <w:highlight w:val="none"/>
        </w:rPr>
        <w:t>3.1服务时间:</w:t>
      </w:r>
      <w:r>
        <w:rPr>
          <w:rFonts w:hint="eastAsia"/>
          <w:color w:val="auto"/>
          <w:highlight w:val="none"/>
        </w:rPr>
        <w:t xml:space="preserve"> </w:t>
      </w:r>
    </w:p>
    <w:p w14:paraId="322FAE86">
      <w:pPr>
        <w:pStyle w:val="11"/>
        <w:spacing w:line="360" w:lineRule="auto"/>
        <w:rPr>
          <w:rFonts w:hAnsi="宋体" w:cs="宋体"/>
          <w:color w:val="auto"/>
          <w:sz w:val="24"/>
          <w:szCs w:val="24"/>
          <w:highlight w:val="none"/>
        </w:rPr>
      </w:pPr>
      <w:r>
        <w:rPr>
          <w:rFonts w:hAnsi="宋体" w:cs="宋体"/>
          <w:color w:val="auto"/>
          <w:sz w:val="24"/>
          <w:szCs w:val="24"/>
          <w:highlight w:val="none"/>
        </w:rPr>
        <w:t>3.2服务地点:</w:t>
      </w:r>
    </w:p>
    <w:p w14:paraId="50F67102">
      <w:pPr>
        <w:pStyle w:val="11"/>
        <w:spacing w:line="360" w:lineRule="auto"/>
        <w:rPr>
          <w:rFonts w:hAnsi="宋体" w:cs="宋体"/>
          <w:b/>
          <w:color w:val="auto"/>
          <w:sz w:val="24"/>
          <w:szCs w:val="24"/>
          <w:highlight w:val="none"/>
        </w:rPr>
      </w:pPr>
      <w:r>
        <w:rPr>
          <w:rFonts w:hAnsi="宋体" w:cs="宋体"/>
          <w:b/>
          <w:color w:val="auto"/>
          <w:sz w:val="24"/>
          <w:szCs w:val="24"/>
          <w:highlight w:val="none"/>
        </w:rPr>
        <w:t>4.付款方式</w:t>
      </w:r>
    </w:p>
    <w:p w14:paraId="40BABBEB">
      <w:pPr>
        <w:pStyle w:val="11"/>
        <w:spacing w:line="360" w:lineRule="auto"/>
        <w:rPr>
          <w:rFonts w:hAnsi="宋体" w:cs="宋体"/>
          <w:color w:val="auto"/>
          <w:sz w:val="24"/>
          <w:szCs w:val="24"/>
          <w:highlight w:val="none"/>
        </w:rPr>
      </w:pPr>
      <w:r>
        <w:rPr>
          <w:rFonts w:hint="eastAsia" w:hAnsi="宋体" w:cs="宋体"/>
          <w:color w:val="auto"/>
          <w:sz w:val="24"/>
          <w:szCs w:val="24"/>
          <w:highlight w:val="none"/>
        </w:rPr>
        <w:t>4.1</w:t>
      </w:r>
      <w:r>
        <w:rPr>
          <w:rFonts w:hint="eastAsia" w:hAnsi="宋体" w:cs="宋体"/>
          <w:color w:val="auto"/>
          <w:sz w:val="24"/>
          <w:szCs w:val="24"/>
          <w:highlight w:val="none"/>
          <w:lang w:eastAsia="zh-CN"/>
        </w:rPr>
        <w:t>按完成工作进度付款，预留</w:t>
      </w:r>
      <w:r>
        <w:rPr>
          <w:rFonts w:hint="eastAsia" w:hAnsi="宋体" w:cs="宋体"/>
          <w:color w:val="auto"/>
          <w:sz w:val="24"/>
          <w:szCs w:val="24"/>
          <w:highlight w:val="none"/>
          <w:u w:val="single"/>
          <w:lang w:val="en-US" w:eastAsia="zh-CN"/>
        </w:rPr>
        <w:t xml:space="preserve">      元</w:t>
      </w:r>
      <w:r>
        <w:rPr>
          <w:rFonts w:hint="eastAsia" w:hAnsi="宋体" w:cs="宋体"/>
          <w:color w:val="auto"/>
          <w:sz w:val="24"/>
          <w:szCs w:val="24"/>
          <w:highlight w:val="none"/>
          <w:lang w:val="en-US" w:eastAsia="zh-CN"/>
        </w:rPr>
        <w:t>作为质保金</w:t>
      </w:r>
    </w:p>
    <w:p w14:paraId="58C2504E">
      <w:pPr>
        <w:pStyle w:val="11"/>
        <w:spacing w:line="360" w:lineRule="auto"/>
        <w:rPr>
          <w:rFonts w:hAnsi="宋体" w:cs="宋体"/>
          <w:b/>
          <w:color w:val="auto"/>
          <w:sz w:val="24"/>
          <w:szCs w:val="24"/>
          <w:highlight w:val="none"/>
        </w:rPr>
      </w:pPr>
      <w:r>
        <w:rPr>
          <w:rFonts w:hAnsi="宋体" w:cs="宋体"/>
          <w:b/>
          <w:color w:val="auto"/>
          <w:sz w:val="24"/>
          <w:szCs w:val="24"/>
          <w:highlight w:val="none"/>
        </w:rPr>
        <w:t>5.履约保证金</w:t>
      </w:r>
    </w:p>
    <w:p w14:paraId="1BE03D24">
      <w:pPr>
        <w:pStyle w:val="11"/>
        <w:spacing w:line="360" w:lineRule="auto"/>
        <w:rPr>
          <w:rFonts w:hAnsi="宋体" w:cs="宋体"/>
          <w:color w:val="auto"/>
          <w:sz w:val="24"/>
          <w:szCs w:val="24"/>
          <w:highlight w:val="none"/>
        </w:rPr>
      </w:pPr>
      <w:r>
        <w:rPr>
          <w:rFonts w:hAnsi="宋体" w:cs="宋体"/>
          <w:color w:val="auto"/>
          <w:sz w:val="24"/>
          <w:szCs w:val="24"/>
          <w:highlight w:val="none"/>
        </w:rPr>
        <w:t>5.1履约保证金为合同总价款的</w:t>
      </w:r>
      <w:r>
        <w:rPr>
          <w:rFonts w:hint="eastAsia" w:hAnsi="宋体" w:cs="宋体"/>
          <w:color w:val="auto"/>
          <w:sz w:val="24"/>
          <w:szCs w:val="24"/>
          <w:highlight w:val="none"/>
          <w:u w:val="single"/>
          <w:lang w:val="en-US" w:eastAsia="zh-CN"/>
        </w:rPr>
        <w:t xml:space="preserve">    </w:t>
      </w:r>
      <w:r>
        <w:rPr>
          <w:rFonts w:hAnsi="宋体" w:cs="宋体"/>
          <w:color w:val="auto"/>
          <w:sz w:val="24"/>
          <w:szCs w:val="24"/>
          <w:highlight w:val="none"/>
          <w:u w:val="single"/>
        </w:rPr>
        <w:t xml:space="preserve"> </w:t>
      </w:r>
      <w:r>
        <w:rPr>
          <w:rFonts w:hAnsi="宋体" w:cs="宋体"/>
          <w:color w:val="auto"/>
          <w:sz w:val="24"/>
          <w:szCs w:val="24"/>
          <w:highlight w:val="none"/>
        </w:rPr>
        <w:t>%</w:t>
      </w:r>
      <w:r>
        <w:rPr>
          <w:rFonts w:hint="eastAsia" w:hAnsi="宋体" w:cs="宋体"/>
          <w:color w:val="auto"/>
          <w:sz w:val="24"/>
          <w:szCs w:val="24"/>
          <w:highlight w:val="none"/>
        </w:rPr>
        <w:t>。</w:t>
      </w:r>
    </w:p>
    <w:p w14:paraId="38062BD4">
      <w:pPr>
        <w:pStyle w:val="11"/>
        <w:spacing w:line="360" w:lineRule="auto"/>
        <w:rPr>
          <w:rFonts w:hAnsi="宋体" w:cs="宋体"/>
          <w:b/>
          <w:color w:val="auto"/>
          <w:sz w:val="24"/>
          <w:szCs w:val="24"/>
          <w:highlight w:val="none"/>
        </w:rPr>
      </w:pPr>
      <w:r>
        <w:rPr>
          <w:rFonts w:hAnsi="宋体" w:cs="宋体"/>
          <w:b/>
          <w:color w:val="auto"/>
          <w:sz w:val="24"/>
          <w:szCs w:val="24"/>
          <w:highlight w:val="none"/>
        </w:rPr>
        <w:t>6.质量保证金</w:t>
      </w:r>
    </w:p>
    <w:p w14:paraId="529E27AB">
      <w:pPr>
        <w:pStyle w:val="11"/>
        <w:spacing w:line="360" w:lineRule="auto"/>
        <w:rPr>
          <w:rFonts w:hint="eastAsia" w:hAnsi="宋体" w:cs="宋体"/>
          <w:color w:val="auto"/>
          <w:sz w:val="24"/>
          <w:szCs w:val="24"/>
          <w:highlight w:val="none"/>
        </w:rPr>
      </w:pPr>
      <w:r>
        <w:rPr>
          <w:rFonts w:hAnsi="宋体" w:cs="宋体"/>
          <w:color w:val="auto"/>
          <w:sz w:val="24"/>
          <w:szCs w:val="24"/>
          <w:highlight w:val="none"/>
        </w:rPr>
        <w:t>6.1质量保证金为合同总价款的</w:t>
      </w:r>
      <w:r>
        <w:rPr>
          <w:rFonts w:hint="eastAsia" w:hAnsi="宋体" w:cs="宋体"/>
          <w:color w:val="auto"/>
          <w:sz w:val="24"/>
          <w:szCs w:val="24"/>
          <w:highlight w:val="none"/>
          <w:u w:val="single"/>
        </w:rPr>
        <w:t xml:space="preserve">     </w:t>
      </w:r>
      <w:r>
        <w:rPr>
          <w:rFonts w:hAnsi="宋体" w:cs="宋体"/>
          <w:color w:val="auto"/>
          <w:sz w:val="24"/>
          <w:szCs w:val="24"/>
          <w:highlight w:val="none"/>
        </w:rPr>
        <w:t>%</w:t>
      </w:r>
      <w:r>
        <w:rPr>
          <w:rFonts w:hint="eastAsia" w:hAnsi="宋体" w:cs="宋体"/>
          <w:color w:val="auto"/>
          <w:sz w:val="24"/>
          <w:szCs w:val="24"/>
          <w:highlight w:val="none"/>
        </w:rPr>
        <w:t>。</w:t>
      </w:r>
    </w:p>
    <w:p w14:paraId="4647C365">
      <w:pPr>
        <w:pStyle w:val="11"/>
        <w:spacing w:line="360" w:lineRule="auto"/>
        <w:rPr>
          <w:rFonts w:hAnsi="宋体" w:cs="宋体"/>
          <w:b/>
          <w:color w:val="auto"/>
          <w:sz w:val="24"/>
          <w:szCs w:val="24"/>
          <w:highlight w:val="none"/>
        </w:rPr>
      </w:pPr>
      <w:r>
        <w:rPr>
          <w:rFonts w:hAnsi="宋体" w:cs="宋体"/>
          <w:b/>
          <w:color w:val="auto"/>
          <w:sz w:val="24"/>
          <w:szCs w:val="24"/>
          <w:highlight w:val="none"/>
        </w:rPr>
        <w:t>7.合同补充条款</w:t>
      </w:r>
      <w:r>
        <w:rPr>
          <w:rFonts w:hint="eastAsia" w:hAnsi="宋体" w:cs="宋体"/>
          <w:b/>
          <w:color w:val="auto"/>
          <w:sz w:val="24"/>
          <w:szCs w:val="24"/>
          <w:highlight w:val="none"/>
        </w:rPr>
        <w:t>：</w:t>
      </w:r>
    </w:p>
    <w:p w14:paraId="64B68559">
      <w:pPr>
        <w:pStyle w:val="11"/>
        <w:spacing w:line="360" w:lineRule="auto"/>
        <w:rPr>
          <w:rFonts w:hint="eastAsia" w:hAnsi="宋体" w:cs="宋体"/>
          <w:color w:val="auto"/>
          <w:sz w:val="24"/>
          <w:szCs w:val="24"/>
          <w:highlight w:val="none"/>
        </w:rPr>
      </w:pPr>
      <w:r>
        <w:rPr>
          <w:rFonts w:hAnsi="宋体" w:cs="宋体"/>
          <w:b/>
          <w:color w:val="auto"/>
          <w:sz w:val="24"/>
          <w:szCs w:val="24"/>
          <w:highlight w:val="none"/>
        </w:rPr>
        <w:t>8.争议解决方式:</w:t>
      </w:r>
      <w:r>
        <w:rPr>
          <w:rFonts w:hAnsi="宋体" w:cs="宋体"/>
          <w:color w:val="auto"/>
          <w:sz w:val="24"/>
          <w:szCs w:val="24"/>
          <w:highlight w:val="none"/>
        </w:rPr>
        <w:t>供需双方达成仲裁协议,向长春市仲裁委员会申请仲裁(向</w:t>
      </w:r>
      <w:r>
        <w:rPr>
          <w:rFonts w:hint="eastAsia" w:hAnsi="宋体" w:cs="宋体"/>
          <w:color w:val="auto"/>
          <w:sz w:val="24"/>
          <w:szCs w:val="24"/>
          <w:highlight w:val="none"/>
          <w:lang w:eastAsia="zh-CN"/>
        </w:rPr>
        <w:t>合同签订</w:t>
      </w:r>
      <w:r>
        <w:rPr>
          <w:rFonts w:hAnsi="宋体" w:cs="宋体"/>
          <w:color w:val="auto"/>
          <w:sz w:val="24"/>
          <w:szCs w:val="24"/>
          <w:highlight w:val="none"/>
        </w:rPr>
        <w:t>地人民法院提起诉讼)</w:t>
      </w:r>
      <w:r>
        <w:rPr>
          <w:rFonts w:hint="eastAsia" w:hAnsi="宋体" w:cs="宋体"/>
          <w:color w:val="auto"/>
          <w:sz w:val="24"/>
          <w:szCs w:val="24"/>
          <w:highlight w:val="none"/>
        </w:rPr>
        <w:t>。</w:t>
      </w:r>
    </w:p>
    <w:p w14:paraId="10281ADE">
      <w:pPr>
        <w:pStyle w:val="11"/>
        <w:spacing w:line="360" w:lineRule="auto"/>
        <w:rPr>
          <w:rFonts w:hAnsi="宋体" w:cs="宋体"/>
          <w:color w:val="auto"/>
          <w:sz w:val="24"/>
          <w:szCs w:val="24"/>
          <w:highlight w:val="none"/>
        </w:rPr>
      </w:pPr>
      <w:r>
        <w:rPr>
          <w:rFonts w:hAnsi="宋体" w:cs="宋体"/>
          <w:b/>
          <w:color w:val="auto"/>
          <w:sz w:val="24"/>
          <w:szCs w:val="24"/>
          <w:highlight w:val="none"/>
        </w:rPr>
        <w:t>9.合同构成:</w:t>
      </w:r>
      <w:r>
        <w:rPr>
          <w:rFonts w:hAnsi="宋体" w:cs="宋体"/>
          <w:color w:val="auto"/>
          <w:sz w:val="24"/>
          <w:szCs w:val="24"/>
          <w:highlight w:val="none"/>
        </w:rPr>
        <w:t>下列文件构成本合同不可分割的组成部分,与本合同具有同等法律效力</w:t>
      </w:r>
      <w:r>
        <w:rPr>
          <w:rFonts w:hint="eastAsia" w:hAnsi="宋体" w:cs="宋体"/>
          <w:color w:val="auto"/>
          <w:sz w:val="24"/>
          <w:szCs w:val="24"/>
          <w:highlight w:val="none"/>
        </w:rPr>
        <w:t>：</w:t>
      </w:r>
    </w:p>
    <w:p w14:paraId="10527EFE">
      <w:pPr>
        <w:pStyle w:val="11"/>
        <w:spacing w:line="360" w:lineRule="auto"/>
        <w:rPr>
          <w:rFonts w:hAnsi="宋体" w:cs="宋体"/>
          <w:color w:val="auto"/>
          <w:sz w:val="24"/>
          <w:szCs w:val="24"/>
          <w:highlight w:val="none"/>
        </w:rPr>
      </w:pPr>
      <w:r>
        <w:rPr>
          <w:rFonts w:hAnsi="宋体" w:cs="宋体"/>
          <w:color w:val="auto"/>
          <w:sz w:val="24"/>
          <w:szCs w:val="24"/>
          <w:highlight w:val="none"/>
        </w:rPr>
        <w:t>9.1本合同书</w:t>
      </w:r>
      <w:r>
        <w:rPr>
          <w:rFonts w:hint="eastAsia" w:hAnsi="宋体" w:cs="宋体"/>
          <w:color w:val="auto"/>
          <w:sz w:val="24"/>
          <w:szCs w:val="24"/>
          <w:highlight w:val="none"/>
        </w:rPr>
        <w:t>；</w:t>
      </w:r>
    </w:p>
    <w:p w14:paraId="40676989">
      <w:pPr>
        <w:pStyle w:val="11"/>
        <w:spacing w:line="360" w:lineRule="auto"/>
        <w:rPr>
          <w:rFonts w:hAnsi="宋体" w:cs="宋体"/>
          <w:color w:val="auto"/>
          <w:sz w:val="24"/>
          <w:szCs w:val="24"/>
          <w:highlight w:val="none"/>
        </w:rPr>
      </w:pPr>
      <w:r>
        <w:rPr>
          <w:rFonts w:hAnsi="宋体" w:cs="宋体"/>
          <w:color w:val="auto"/>
          <w:sz w:val="24"/>
          <w:szCs w:val="24"/>
          <w:highlight w:val="none"/>
        </w:rPr>
        <w:t>9.2成交通知书</w:t>
      </w:r>
      <w:r>
        <w:rPr>
          <w:rFonts w:hint="eastAsia" w:hAnsi="宋体" w:cs="宋体"/>
          <w:color w:val="auto"/>
          <w:sz w:val="24"/>
          <w:szCs w:val="24"/>
          <w:highlight w:val="none"/>
        </w:rPr>
        <w:t>；</w:t>
      </w:r>
    </w:p>
    <w:p w14:paraId="21C6547E">
      <w:pPr>
        <w:pStyle w:val="11"/>
        <w:spacing w:line="360" w:lineRule="auto"/>
        <w:rPr>
          <w:rFonts w:hAnsi="宋体" w:cs="宋体"/>
          <w:color w:val="auto"/>
          <w:sz w:val="24"/>
          <w:szCs w:val="24"/>
          <w:highlight w:val="none"/>
        </w:rPr>
      </w:pPr>
      <w:r>
        <w:rPr>
          <w:rFonts w:hAnsi="宋体" w:cs="宋体"/>
          <w:color w:val="auto"/>
          <w:sz w:val="24"/>
          <w:szCs w:val="24"/>
          <w:highlight w:val="none"/>
        </w:rPr>
        <w:t>9.3招标文件及澄清、修改、补遗文件</w:t>
      </w:r>
      <w:r>
        <w:rPr>
          <w:rFonts w:hint="eastAsia" w:hAnsi="宋体" w:cs="宋体"/>
          <w:color w:val="auto"/>
          <w:sz w:val="24"/>
          <w:szCs w:val="24"/>
          <w:highlight w:val="none"/>
        </w:rPr>
        <w:t>；</w:t>
      </w:r>
    </w:p>
    <w:p w14:paraId="164FF85E">
      <w:pPr>
        <w:pStyle w:val="11"/>
        <w:spacing w:line="360" w:lineRule="auto"/>
        <w:rPr>
          <w:rFonts w:hAnsi="宋体" w:cs="宋体"/>
          <w:color w:val="auto"/>
          <w:sz w:val="24"/>
          <w:szCs w:val="24"/>
          <w:highlight w:val="none"/>
        </w:rPr>
      </w:pPr>
      <w:r>
        <w:rPr>
          <w:rFonts w:hAnsi="宋体" w:cs="宋体"/>
          <w:color w:val="auto"/>
          <w:sz w:val="24"/>
          <w:szCs w:val="24"/>
          <w:highlight w:val="none"/>
        </w:rPr>
        <w:t>9.4供方的投标文件及书面澄清、说明、补正文件</w:t>
      </w:r>
      <w:r>
        <w:rPr>
          <w:rFonts w:hint="eastAsia" w:hAnsi="宋体" w:cs="宋体"/>
          <w:color w:val="auto"/>
          <w:sz w:val="24"/>
          <w:szCs w:val="24"/>
          <w:highlight w:val="none"/>
        </w:rPr>
        <w:t>；</w:t>
      </w:r>
    </w:p>
    <w:p w14:paraId="592B688A">
      <w:pPr>
        <w:pStyle w:val="11"/>
        <w:spacing w:line="360" w:lineRule="auto"/>
        <w:rPr>
          <w:rFonts w:hAnsi="宋体" w:cs="宋体"/>
          <w:color w:val="auto"/>
          <w:sz w:val="24"/>
          <w:szCs w:val="24"/>
          <w:highlight w:val="none"/>
        </w:rPr>
      </w:pPr>
      <w:r>
        <w:rPr>
          <w:rFonts w:hAnsi="宋体" w:cs="宋体"/>
          <w:color w:val="auto"/>
          <w:sz w:val="24"/>
          <w:szCs w:val="24"/>
          <w:highlight w:val="none"/>
        </w:rPr>
        <w:t>9.5技术方面等有关资料</w:t>
      </w:r>
      <w:r>
        <w:rPr>
          <w:rFonts w:hint="eastAsia" w:hAnsi="宋体" w:cs="宋体"/>
          <w:color w:val="auto"/>
          <w:sz w:val="24"/>
          <w:szCs w:val="24"/>
          <w:highlight w:val="none"/>
        </w:rPr>
        <w:t>；</w:t>
      </w:r>
    </w:p>
    <w:p w14:paraId="1DCB9487">
      <w:pPr>
        <w:pStyle w:val="11"/>
        <w:spacing w:line="360" w:lineRule="auto"/>
        <w:rPr>
          <w:rFonts w:hAnsi="宋体" w:cs="宋体"/>
          <w:color w:val="auto"/>
          <w:sz w:val="24"/>
          <w:szCs w:val="24"/>
          <w:highlight w:val="none"/>
        </w:rPr>
      </w:pPr>
      <w:r>
        <w:rPr>
          <w:rFonts w:hAnsi="宋体" w:cs="宋体"/>
          <w:color w:val="auto"/>
          <w:sz w:val="24"/>
          <w:szCs w:val="24"/>
          <w:highlight w:val="none"/>
        </w:rPr>
        <w:t>9.6采购验收报告单</w:t>
      </w:r>
      <w:r>
        <w:rPr>
          <w:rFonts w:hint="eastAsia" w:hAnsi="宋体" w:cs="宋体"/>
          <w:color w:val="auto"/>
          <w:sz w:val="24"/>
          <w:szCs w:val="24"/>
          <w:highlight w:val="none"/>
        </w:rPr>
        <w:t>；</w:t>
      </w:r>
    </w:p>
    <w:p w14:paraId="2F275F5C">
      <w:pPr>
        <w:pStyle w:val="11"/>
        <w:spacing w:line="360" w:lineRule="auto"/>
        <w:rPr>
          <w:rFonts w:hAnsi="宋体" w:cs="宋体"/>
          <w:color w:val="auto"/>
          <w:sz w:val="24"/>
          <w:szCs w:val="24"/>
          <w:highlight w:val="none"/>
        </w:rPr>
      </w:pPr>
      <w:r>
        <w:rPr>
          <w:rFonts w:hAnsi="宋体" w:cs="宋体"/>
          <w:color w:val="auto"/>
          <w:sz w:val="24"/>
          <w:szCs w:val="24"/>
          <w:highlight w:val="none"/>
        </w:rPr>
        <w:t>9.7合同的</w:t>
      </w:r>
      <w:r>
        <w:rPr>
          <w:rFonts w:hint="eastAsia" w:hAnsi="宋体" w:cs="宋体"/>
          <w:color w:val="auto"/>
          <w:sz w:val="24"/>
          <w:szCs w:val="24"/>
          <w:highlight w:val="none"/>
          <w:lang w:eastAsia="zh-CN"/>
        </w:rPr>
        <w:t>其他</w:t>
      </w:r>
      <w:r>
        <w:rPr>
          <w:rFonts w:hAnsi="宋体" w:cs="宋体"/>
          <w:color w:val="auto"/>
          <w:sz w:val="24"/>
          <w:szCs w:val="24"/>
          <w:highlight w:val="none"/>
        </w:rPr>
        <w:t>附件。</w:t>
      </w:r>
    </w:p>
    <w:p w14:paraId="651E7B26">
      <w:pPr>
        <w:pStyle w:val="11"/>
        <w:spacing w:line="360" w:lineRule="auto"/>
        <w:rPr>
          <w:rFonts w:hAnsi="宋体" w:cs="宋体"/>
          <w:color w:val="auto"/>
          <w:sz w:val="24"/>
          <w:szCs w:val="24"/>
          <w:highlight w:val="none"/>
        </w:rPr>
      </w:pPr>
      <w:r>
        <w:rPr>
          <w:rFonts w:hAnsi="宋体" w:cs="宋体"/>
          <w:color w:val="auto"/>
          <w:sz w:val="24"/>
          <w:szCs w:val="24"/>
          <w:highlight w:val="none"/>
        </w:rPr>
        <w:t>述组成合同的文件如有不一致之处,以日期在后的为准</w:t>
      </w:r>
      <w:r>
        <w:rPr>
          <w:rFonts w:hint="eastAsia" w:hAnsi="宋体" w:cs="宋体"/>
          <w:color w:val="auto"/>
          <w:sz w:val="24"/>
          <w:szCs w:val="24"/>
          <w:highlight w:val="none"/>
        </w:rPr>
        <w:t>。</w:t>
      </w:r>
    </w:p>
    <w:p w14:paraId="6DF81F50">
      <w:pPr>
        <w:pStyle w:val="11"/>
        <w:spacing w:line="360" w:lineRule="auto"/>
        <w:rPr>
          <w:rFonts w:hAnsi="宋体" w:cs="宋体"/>
          <w:color w:val="auto"/>
          <w:sz w:val="24"/>
          <w:szCs w:val="24"/>
          <w:highlight w:val="none"/>
        </w:rPr>
      </w:pPr>
      <w:r>
        <w:rPr>
          <w:rFonts w:hAnsi="宋体" w:cs="宋体"/>
          <w:b/>
          <w:color w:val="auto"/>
          <w:sz w:val="24"/>
          <w:szCs w:val="24"/>
          <w:highlight w:val="none"/>
        </w:rPr>
        <w:t>10.合同份数:</w:t>
      </w:r>
      <w:r>
        <w:rPr>
          <w:rFonts w:hAnsi="宋体" w:cs="宋体"/>
          <w:color w:val="auto"/>
          <w:sz w:val="24"/>
          <w:szCs w:val="24"/>
          <w:highlight w:val="none"/>
        </w:rPr>
        <w:t>本合同一式</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 xml:space="preserve"> </w:t>
      </w:r>
      <w:r>
        <w:rPr>
          <w:rFonts w:hint="eastAsia" w:hAnsi="宋体" w:cs="宋体"/>
          <w:color w:val="auto"/>
          <w:sz w:val="24"/>
          <w:szCs w:val="24"/>
          <w:highlight w:val="none"/>
          <w:u w:val="single"/>
        </w:rPr>
        <w:t xml:space="preserve">  </w:t>
      </w:r>
      <w:r>
        <w:rPr>
          <w:rFonts w:hAnsi="宋体" w:cs="宋体"/>
          <w:color w:val="auto"/>
          <w:sz w:val="24"/>
          <w:szCs w:val="24"/>
          <w:highlight w:val="none"/>
        </w:rPr>
        <w:t>份,供需双方各执</w:t>
      </w:r>
      <w:r>
        <w:rPr>
          <w:rFonts w:hint="eastAsia" w:hAnsi="宋体" w:cs="宋体"/>
          <w:color w:val="auto"/>
          <w:sz w:val="24"/>
          <w:szCs w:val="24"/>
          <w:highlight w:val="none"/>
          <w:u w:val="single"/>
        </w:rPr>
        <w:t xml:space="preserve">      </w:t>
      </w:r>
      <w:r>
        <w:rPr>
          <w:rFonts w:hAnsi="宋体" w:cs="宋体"/>
          <w:color w:val="auto"/>
          <w:sz w:val="24"/>
          <w:szCs w:val="24"/>
          <w:highlight w:val="none"/>
        </w:rPr>
        <w:t>份</w:t>
      </w:r>
      <w:r>
        <w:rPr>
          <w:rFonts w:hint="eastAsia" w:hAnsi="宋体" w:cs="宋体"/>
          <w:color w:val="auto"/>
          <w:sz w:val="24"/>
          <w:szCs w:val="24"/>
          <w:highlight w:val="none"/>
        </w:rPr>
        <w:t>。</w:t>
      </w:r>
    </w:p>
    <w:p w14:paraId="0A564363">
      <w:pPr>
        <w:pStyle w:val="11"/>
        <w:spacing w:line="360" w:lineRule="auto"/>
        <w:rPr>
          <w:rFonts w:hAnsi="宋体" w:cs="宋体"/>
          <w:b/>
          <w:color w:val="auto"/>
          <w:sz w:val="24"/>
          <w:szCs w:val="24"/>
          <w:highlight w:val="none"/>
        </w:rPr>
      </w:pPr>
      <w:r>
        <w:rPr>
          <w:rFonts w:hAnsi="宋体" w:cs="宋体"/>
          <w:b/>
          <w:color w:val="auto"/>
          <w:sz w:val="24"/>
          <w:szCs w:val="24"/>
          <w:highlight w:val="none"/>
        </w:rPr>
        <w:t>11.合同生效:本合同在供需双方法定代表人或其授权代理人签字、加盖双方公章或者合同专用章</w:t>
      </w:r>
      <w:r>
        <w:rPr>
          <w:rFonts w:hint="eastAsia" w:hAnsi="宋体" w:cs="宋体"/>
          <w:b/>
          <w:color w:val="auto"/>
          <w:sz w:val="24"/>
          <w:szCs w:val="24"/>
          <w:highlight w:val="none"/>
        </w:rPr>
        <w:t>。</w:t>
      </w:r>
    </w:p>
    <w:p w14:paraId="3312034B">
      <w:pPr>
        <w:pStyle w:val="11"/>
        <w:spacing w:line="360" w:lineRule="auto"/>
        <w:rPr>
          <w:rFonts w:hAnsi="宋体" w:cs="宋体"/>
          <w:color w:val="auto"/>
          <w:sz w:val="24"/>
          <w:szCs w:val="24"/>
          <w:highlight w:val="none"/>
        </w:rPr>
      </w:pPr>
      <w:r>
        <w:rPr>
          <w:rFonts w:hAnsi="宋体" w:cs="宋体"/>
          <w:b/>
          <w:color w:val="auto"/>
          <w:sz w:val="24"/>
          <w:szCs w:val="24"/>
          <w:highlight w:val="none"/>
        </w:rPr>
        <w:t>12.合同修改:</w:t>
      </w:r>
      <w:r>
        <w:rPr>
          <w:rFonts w:hAnsi="宋体" w:cs="宋体"/>
          <w:color w:val="auto"/>
          <w:sz w:val="24"/>
          <w:szCs w:val="24"/>
          <w:highlight w:val="none"/>
        </w:rPr>
        <w:t>除供需双方和采购中心签署书面修改、补充协议外,本合同条件不得有任何变化或修改</w:t>
      </w:r>
      <w:r>
        <w:rPr>
          <w:rFonts w:hint="eastAsia" w:hAnsi="宋体" w:cs="宋体"/>
          <w:color w:val="auto"/>
          <w:sz w:val="24"/>
          <w:szCs w:val="24"/>
          <w:highlight w:val="none"/>
        </w:rPr>
        <w:t>。</w:t>
      </w:r>
    </w:p>
    <w:p w14:paraId="65079B5B">
      <w:pPr>
        <w:pStyle w:val="11"/>
        <w:rPr>
          <w:rFonts w:hAnsi="宋体" w:cs="宋体"/>
          <w:color w:val="auto"/>
          <w:sz w:val="24"/>
          <w:szCs w:val="24"/>
          <w:highlight w:val="none"/>
        </w:rPr>
      </w:pPr>
    </w:p>
    <w:p w14:paraId="5EBF8A51">
      <w:pPr>
        <w:pStyle w:val="11"/>
        <w:rPr>
          <w:rFonts w:hAnsi="宋体" w:cs="宋体"/>
          <w:color w:val="auto"/>
          <w:sz w:val="24"/>
          <w:szCs w:val="24"/>
          <w:highlight w:val="none"/>
        </w:rPr>
      </w:pPr>
      <w:r>
        <w:rPr>
          <w:rFonts w:hAnsi="宋体" w:cs="宋体"/>
          <w:color w:val="auto"/>
          <w:sz w:val="24"/>
          <w:szCs w:val="24"/>
          <w:highlight w:val="none"/>
        </w:rPr>
        <w:t>需方:                                        供方:</w:t>
      </w:r>
    </w:p>
    <w:p w14:paraId="493454EA">
      <w:pPr>
        <w:pStyle w:val="11"/>
        <w:rPr>
          <w:rFonts w:hAnsi="宋体" w:cs="宋体"/>
          <w:color w:val="auto"/>
          <w:sz w:val="24"/>
          <w:szCs w:val="24"/>
          <w:highlight w:val="none"/>
        </w:rPr>
      </w:pPr>
    </w:p>
    <w:p w14:paraId="6BF83CBE">
      <w:pPr>
        <w:pStyle w:val="11"/>
        <w:rPr>
          <w:rFonts w:hAnsi="宋体" w:cs="宋体"/>
          <w:color w:val="auto"/>
          <w:sz w:val="24"/>
          <w:szCs w:val="24"/>
          <w:highlight w:val="none"/>
        </w:rPr>
      </w:pPr>
      <w:r>
        <w:rPr>
          <w:rFonts w:hAnsi="宋体" w:cs="宋体"/>
          <w:color w:val="auto"/>
          <w:sz w:val="24"/>
          <w:szCs w:val="24"/>
          <w:highlight w:val="none"/>
        </w:rPr>
        <w:t>(加盖公章或合同专用章</w:t>
      </w:r>
      <w:r>
        <w:rPr>
          <w:rFonts w:hint="eastAsia" w:hAnsi="宋体" w:cs="宋体"/>
          <w:color w:val="auto"/>
          <w:sz w:val="24"/>
          <w:szCs w:val="24"/>
          <w:highlight w:val="none"/>
        </w:rPr>
        <w:t>)</w:t>
      </w:r>
      <w:r>
        <w:rPr>
          <w:rFonts w:hAnsi="宋体" w:cs="宋体"/>
          <w:color w:val="auto"/>
          <w:sz w:val="24"/>
          <w:szCs w:val="24"/>
          <w:highlight w:val="none"/>
        </w:rPr>
        <w:t xml:space="preserve">               (加盖公章或合同专用章)</w:t>
      </w:r>
    </w:p>
    <w:p w14:paraId="10BC8AD1">
      <w:pPr>
        <w:pStyle w:val="11"/>
        <w:rPr>
          <w:rFonts w:hAnsi="宋体" w:cs="宋体"/>
          <w:color w:val="auto"/>
          <w:sz w:val="24"/>
          <w:szCs w:val="24"/>
          <w:highlight w:val="none"/>
        </w:rPr>
      </w:pPr>
    </w:p>
    <w:p w14:paraId="09924771">
      <w:pPr>
        <w:pStyle w:val="11"/>
        <w:rPr>
          <w:rFonts w:hAnsi="宋体" w:cs="宋体"/>
          <w:color w:val="auto"/>
          <w:sz w:val="24"/>
          <w:szCs w:val="24"/>
          <w:highlight w:val="none"/>
        </w:rPr>
      </w:pPr>
      <w:r>
        <w:rPr>
          <w:rFonts w:hAnsi="宋体" w:cs="宋体"/>
          <w:color w:val="auto"/>
          <w:sz w:val="24"/>
          <w:szCs w:val="24"/>
          <w:highlight w:val="none"/>
        </w:rPr>
        <w:t>地址</w:t>
      </w:r>
      <w:r>
        <w:rPr>
          <w:rFonts w:hint="eastAsia" w:hAnsi="宋体" w:cs="宋体"/>
          <w:color w:val="auto"/>
          <w:sz w:val="24"/>
          <w:szCs w:val="24"/>
          <w:highlight w:val="none"/>
        </w:rPr>
        <w:t xml:space="preserve">：                                   </w:t>
      </w:r>
      <w:r>
        <w:rPr>
          <w:rFonts w:hAnsi="宋体" w:cs="宋体"/>
          <w:color w:val="auto"/>
          <w:sz w:val="24"/>
          <w:szCs w:val="24"/>
          <w:highlight w:val="none"/>
        </w:rPr>
        <w:t xml:space="preserve"> </w:t>
      </w:r>
      <w:r>
        <w:rPr>
          <w:rFonts w:hint="eastAsia" w:hAnsi="宋体" w:cs="宋体"/>
          <w:color w:val="auto"/>
          <w:sz w:val="24"/>
          <w:szCs w:val="24"/>
          <w:highlight w:val="none"/>
        </w:rPr>
        <w:t xml:space="preserve">   </w:t>
      </w:r>
      <w:r>
        <w:rPr>
          <w:rFonts w:hAnsi="宋体" w:cs="宋体"/>
          <w:color w:val="auto"/>
          <w:sz w:val="24"/>
          <w:szCs w:val="24"/>
          <w:highlight w:val="none"/>
        </w:rPr>
        <w:t>地址</w:t>
      </w:r>
      <w:r>
        <w:rPr>
          <w:rFonts w:hint="eastAsia" w:hAnsi="宋体" w:cs="宋体"/>
          <w:color w:val="auto"/>
          <w:sz w:val="24"/>
          <w:szCs w:val="24"/>
          <w:highlight w:val="none"/>
        </w:rPr>
        <w:t>：</w:t>
      </w:r>
    </w:p>
    <w:p w14:paraId="5B13113C">
      <w:pPr>
        <w:pStyle w:val="11"/>
        <w:rPr>
          <w:rFonts w:hAnsi="宋体" w:cs="宋体"/>
          <w:color w:val="auto"/>
          <w:sz w:val="24"/>
          <w:szCs w:val="24"/>
          <w:highlight w:val="none"/>
        </w:rPr>
      </w:pPr>
    </w:p>
    <w:p w14:paraId="1319ECFC">
      <w:pPr>
        <w:pStyle w:val="11"/>
        <w:ind w:firstLine="240" w:firstLineChars="100"/>
        <w:rPr>
          <w:rFonts w:hint="eastAsia" w:hAnsi="宋体" w:cs="宋体"/>
          <w:color w:val="auto"/>
          <w:sz w:val="24"/>
          <w:szCs w:val="24"/>
          <w:highlight w:val="none"/>
        </w:rPr>
      </w:pPr>
      <w:r>
        <w:rPr>
          <w:rFonts w:hAnsi="宋体" w:cs="宋体"/>
          <w:color w:val="auto"/>
          <w:sz w:val="24"/>
          <w:szCs w:val="24"/>
          <w:highlight w:val="none"/>
        </w:rPr>
        <w:t>法定代表人</w:t>
      </w:r>
      <w:r>
        <w:rPr>
          <w:rFonts w:hint="eastAsia" w:hAnsi="宋体" w:cs="宋体"/>
          <w:color w:val="auto"/>
          <w:sz w:val="24"/>
          <w:szCs w:val="24"/>
          <w:highlight w:val="none"/>
        </w:rPr>
        <w:t xml:space="preserve">                    </w:t>
      </w:r>
      <w:r>
        <w:rPr>
          <w:rFonts w:hAnsi="宋体" w:cs="宋体"/>
          <w:color w:val="auto"/>
          <w:sz w:val="24"/>
          <w:szCs w:val="24"/>
          <w:highlight w:val="none"/>
        </w:rPr>
        <w:t xml:space="preserve">             法定代表人</w:t>
      </w:r>
      <w:r>
        <w:rPr>
          <w:rFonts w:hint="eastAsia" w:hAnsi="宋体" w:cs="宋体"/>
          <w:color w:val="auto"/>
          <w:sz w:val="24"/>
          <w:szCs w:val="24"/>
          <w:highlight w:val="none"/>
        </w:rPr>
        <w:t xml:space="preserve"> </w:t>
      </w:r>
    </w:p>
    <w:p w14:paraId="164A92A6">
      <w:pPr>
        <w:pStyle w:val="11"/>
        <w:rPr>
          <w:rFonts w:hAnsi="宋体" w:cs="宋体"/>
          <w:color w:val="auto"/>
          <w:sz w:val="24"/>
          <w:szCs w:val="24"/>
          <w:highlight w:val="none"/>
        </w:rPr>
      </w:pPr>
      <w:r>
        <w:rPr>
          <w:rFonts w:hAnsi="宋体" w:cs="宋体"/>
          <w:color w:val="auto"/>
          <w:sz w:val="24"/>
          <w:szCs w:val="24"/>
          <w:highlight w:val="none"/>
        </w:rPr>
        <w:t>或授权代理人签字</w:t>
      </w:r>
      <w:r>
        <w:rPr>
          <w:rFonts w:hint="eastAsia" w:hAnsi="宋体" w:cs="宋体"/>
          <w:color w:val="auto"/>
          <w:sz w:val="24"/>
          <w:szCs w:val="24"/>
          <w:highlight w:val="none"/>
        </w:rPr>
        <w:t xml:space="preserve">：   </w:t>
      </w:r>
      <w:r>
        <w:rPr>
          <w:rFonts w:hAnsi="宋体" w:cs="宋体"/>
          <w:color w:val="auto"/>
          <w:sz w:val="24"/>
          <w:szCs w:val="24"/>
          <w:highlight w:val="none"/>
        </w:rPr>
        <w:t xml:space="preserve">                     或授权代理人签字</w:t>
      </w:r>
      <w:r>
        <w:rPr>
          <w:rFonts w:hint="eastAsia" w:hAnsi="宋体" w:cs="宋体"/>
          <w:color w:val="auto"/>
          <w:sz w:val="24"/>
          <w:szCs w:val="24"/>
          <w:highlight w:val="none"/>
        </w:rPr>
        <w:t>：</w:t>
      </w:r>
    </w:p>
    <w:p w14:paraId="2E7AFD79">
      <w:pPr>
        <w:pStyle w:val="11"/>
        <w:rPr>
          <w:rFonts w:hint="eastAsia" w:hAnsi="宋体" w:cs="宋体"/>
          <w:color w:val="auto"/>
          <w:sz w:val="24"/>
          <w:szCs w:val="24"/>
          <w:highlight w:val="none"/>
        </w:rPr>
      </w:pPr>
    </w:p>
    <w:p w14:paraId="39AE7AA5">
      <w:pPr>
        <w:pStyle w:val="11"/>
        <w:rPr>
          <w:rFonts w:hAnsi="宋体" w:cs="宋体"/>
          <w:color w:val="auto"/>
          <w:sz w:val="24"/>
          <w:szCs w:val="24"/>
          <w:highlight w:val="none"/>
        </w:rPr>
      </w:pPr>
      <w:r>
        <w:rPr>
          <w:rFonts w:hAnsi="宋体" w:cs="宋体"/>
          <w:color w:val="auto"/>
          <w:sz w:val="24"/>
          <w:szCs w:val="24"/>
          <w:highlight w:val="none"/>
        </w:rPr>
        <w:t>签字日期:                                     签字日期</w:t>
      </w:r>
      <w:r>
        <w:rPr>
          <w:rFonts w:hint="eastAsia" w:hAnsi="宋体" w:cs="宋体"/>
          <w:color w:val="auto"/>
          <w:sz w:val="24"/>
          <w:szCs w:val="24"/>
          <w:highlight w:val="none"/>
        </w:rPr>
        <w:t>：</w:t>
      </w:r>
    </w:p>
    <w:p w14:paraId="404B6717">
      <w:pPr>
        <w:pStyle w:val="11"/>
        <w:rPr>
          <w:rFonts w:hAnsi="宋体" w:cs="宋体"/>
          <w:color w:val="auto"/>
          <w:sz w:val="24"/>
          <w:szCs w:val="24"/>
          <w:highlight w:val="none"/>
        </w:rPr>
      </w:pPr>
    </w:p>
    <w:p w14:paraId="6276BCBF">
      <w:pPr>
        <w:pStyle w:val="11"/>
        <w:rPr>
          <w:rFonts w:hAnsi="宋体" w:cs="宋体"/>
          <w:color w:val="auto"/>
          <w:sz w:val="24"/>
          <w:szCs w:val="24"/>
          <w:highlight w:val="none"/>
        </w:rPr>
      </w:pPr>
      <w:r>
        <w:rPr>
          <w:rFonts w:hAnsi="宋体" w:cs="宋体"/>
          <w:color w:val="auto"/>
          <w:sz w:val="24"/>
          <w:szCs w:val="24"/>
          <w:highlight w:val="none"/>
        </w:rPr>
        <w:t>邮政编码:                                     邮政编码:</w:t>
      </w:r>
    </w:p>
    <w:p w14:paraId="64CF440E">
      <w:pPr>
        <w:pStyle w:val="11"/>
        <w:rPr>
          <w:rFonts w:hAnsi="宋体" w:cs="宋体"/>
          <w:color w:val="auto"/>
          <w:sz w:val="24"/>
          <w:szCs w:val="24"/>
          <w:highlight w:val="none"/>
        </w:rPr>
      </w:pPr>
    </w:p>
    <w:p w14:paraId="41825B2F">
      <w:pPr>
        <w:pStyle w:val="11"/>
        <w:ind w:firstLine="5640" w:firstLineChars="2350"/>
        <w:rPr>
          <w:rFonts w:hAnsi="宋体" w:cs="宋体"/>
          <w:color w:val="auto"/>
          <w:sz w:val="24"/>
          <w:szCs w:val="24"/>
          <w:highlight w:val="none"/>
        </w:rPr>
      </w:pPr>
      <w:r>
        <w:rPr>
          <w:rFonts w:hAnsi="宋体" w:cs="宋体"/>
          <w:color w:val="auto"/>
          <w:sz w:val="24"/>
          <w:szCs w:val="24"/>
          <w:highlight w:val="none"/>
        </w:rPr>
        <w:t>传真</w:t>
      </w:r>
      <w:r>
        <w:rPr>
          <w:rFonts w:hint="eastAsia" w:hAnsi="宋体" w:cs="宋体"/>
          <w:color w:val="auto"/>
          <w:sz w:val="24"/>
          <w:szCs w:val="24"/>
          <w:highlight w:val="none"/>
        </w:rPr>
        <w:t>：</w:t>
      </w:r>
    </w:p>
    <w:p w14:paraId="52C38419">
      <w:pPr>
        <w:pStyle w:val="11"/>
        <w:rPr>
          <w:rFonts w:hAnsi="宋体" w:cs="宋体"/>
          <w:color w:val="auto"/>
          <w:sz w:val="24"/>
          <w:szCs w:val="24"/>
          <w:highlight w:val="none"/>
        </w:rPr>
      </w:pPr>
    </w:p>
    <w:p w14:paraId="50BAA5F5">
      <w:pPr>
        <w:pStyle w:val="11"/>
        <w:ind w:firstLine="5640" w:firstLineChars="2350"/>
        <w:rPr>
          <w:rFonts w:hAnsi="宋体" w:cs="宋体"/>
          <w:color w:val="auto"/>
          <w:sz w:val="24"/>
          <w:szCs w:val="24"/>
          <w:highlight w:val="none"/>
        </w:rPr>
      </w:pPr>
      <w:r>
        <w:rPr>
          <w:rFonts w:hAnsi="宋体" w:cs="宋体"/>
          <w:color w:val="auto"/>
          <w:sz w:val="24"/>
          <w:szCs w:val="24"/>
          <w:highlight w:val="none"/>
        </w:rPr>
        <w:t>联系人</w:t>
      </w:r>
      <w:r>
        <w:rPr>
          <w:rFonts w:hint="eastAsia" w:hAnsi="宋体" w:cs="宋体"/>
          <w:color w:val="auto"/>
          <w:sz w:val="24"/>
          <w:szCs w:val="24"/>
          <w:highlight w:val="none"/>
        </w:rPr>
        <w:t>：</w:t>
      </w:r>
    </w:p>
    <w:p w14:paraId="1547400B">
      <w:pPr>
        <w:pStyle w:val="11"/>
        <w:rPr>
          <w:rFonts w:hAnsi="宋体" w:cs="宋体"/>
          <w:color w:val="auto"/>
          <w:sz w:val="24"/>
          <w:szCs w:val="24"/>
          <w:highlight w:val="none"/>
        </w:rPr>
      </w:pPr>
    </w:p>
    <w:p w14:paraId="6AA2A0F3">
      <w:pPr>
        <w:pStyle w:val="11"/>
        <w:jc w:val="center"/>
        <w:rPr>
          <w:rFonts w:hAnsi="宋体" w:cs="宋体"/>
          <w:color w:val="auto"/>
          <w:sz w:val="24"/>
          <w:szCs w:val="24"/>
          <w:highlight w:val="none"/>
        </w:rPr>
      </w:pPr>
      <w:r>
        <w:rPr>
          <w:rFonts w:hint="eastAsia" w:hAnsi="宋体" w:cs="宋体"/>
          <w:color w:val="auto"/>
          <w:sz w:val="24"/>
          <w:szCs w:val="24"/>
          <w:highlight w:val="none"/>
        </w:rPr>
        <w:t xml:space="preserve">                        </w:t>
      </w:r>
      <w:r>
        <w:rPr>
          <w:rFonts w:hAnsi="宋体" w:cs="宋体"/>
          <w:color w:val="auto"/>
          <w:sz w:val="24"/>
          <w:szCs w:val="24"/>
          <w:highlight w:val="none"/>
        </w:rPr>
        <w:t>开户银行</w:t>
      </w:r>
      <w:r>
        <w:rPr>
          <w:rFonts w:hint="eastAsia" w:hAnsi="宋体" w:cs="宋体"/>
          <w:color w:val="auto"/>
          <w:sz w:val="24"/>
          <w:szCs w:val="24"/>
          <w:highlight w:val="none"/>
        </w:rPr>
        <w:t>：</w:t>
      </w:r>
    </w:p>
    <w:p w14:paraId="569953CE">
      <w:pPr>
        <w:rPr>
          <w:rFonts w:hint="eastAsia" w:ascii="宋体" w:hAnsi="宋体" w:eastAsia="宋体" w:cs="宋体"/>
          <w:b w:val="0"/>
          <w:sz w:val="21"/>
          <w:szCs w:val="21"/>
          <w:highlight w:val="none"/>
          <w:lang w:eastAsia="zh-CN"/>
        </w:rPr>
      </w:pPr>
      <w:r>
        <w:rPr>
          <w:rFonts w:hint="eastAsia" w:hAnsi="宋体" w:cs="宋体"/>
          <w:color w:val="auto"/>
          <w:sz w:val="24"/>
          <w:szCs w:val="24"/>
          <w:highlight w:val="none"/>
        </w:rPr>
        <w:t xml:space="preserve">                               </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 xml:space="preserve"> </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lang w:eastAsia="zh-CN"/>
        </w:rPr>
        <w:t>账户</w:t>
      </w:r>
      <w:r>
        <w:rPr>
          <w:rFonts w:hAnsi="宋体" w:cs="宋体"/>
          <w:color w:val="auto"/>
          <w:sz w:val="24"/>
          <w:szCs w:val="24"/>
          <w:highlight w:val="none"/>
        </w:rPr>
        <w:t>名称</w:t>
      </w:r>
      <w:r>
        <w:rPr>
          <w:rFonts w:hint="eastAsia" w:hAnsi="宋体" w:cs="宋体"/>
          <w:color w:val="auto"/>
          <w:sz w:val="24"/>
          <w:szCs w:val="24"/>
          <w:highlight w:val="none"/>
        </w:rPr>
        <w:t>：</w:t>
      </w:r>
    </w:p>
    <w:p w14:paraId="16428577">
      <w:pPr>
        <w:rPr>
          <w:rFonts w:hint="eastAsia" w:ascii="宋体" w:hAnsi="宋体" w:eastAsia="宋体" w:cs="宋体"/>
          <w:b/>
          <w:sz w:val="32"/>
          <w:szCs w:val="28"/>
          <w:highlight w:val="cyan"/>
          <w:lang w:val="zh-CN" w:eastAsia="zh-CN"/>
        </w:rPr>
      </w:pPr>
      <w:bookmarkStart w:id="26" w:name="_Toc382396567"/>
      <w:bookmarkStart w:id="27" w:name="_Toc16877"/>
      <w:bookmarkStart w:id="28" w:name="_Toc14358"/>
      <w:r>
        <w:rPr>
          <w:rFonts w:hint="eastAsia" w:ascii="宋体" w:hAnsi="宋体" w:eastAsia="宋体" w:cs="宋体"/>
          <w:b/>
          <w:sz w:val="32"/>
          <w:szCs w:val="28"/>
          <w:highlight w:val="cyan"/>
          <w:lang w:val="zh-CN" w:eastAsia="zh-CN"/>
        </w:rPr>
        <w:br w:type="page"/>
      </w:r>
    </w:p>
    <w:p w14:paraId="5003DEA4">
      <w:pPr>
        <w:keepNext w:val="0"/>
        <w:keepLines w:val="0"/>
        <w:pageBreakBefore w:val="0"/>
        <w:numPr>
          <w:ilvl w:val="0"/>
          <w:numId w:val="13"/>
        </w:numPr>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en-US" w:eastAsia="zh-CN"/>
        </w:rPr>
      </w:pPr>
      <w:r>
        <w:rPr>
          <w:rFonts w:hint="eastAsia" w:ascii="宋体" w:hAnsi="宋体" w:eastAsia="宋体" w:cs="宋体"/>
          <w:b/>
          <w:sz w:val="32"/>
          <w:szCs w:val="28"/>
          <w:highlight w:val="none"/>
          <w:lang w:val="zh-CN" w:eastAsia="zh-CN"/>
        </w:rPr>
        <w:t xml:space="preserve"> </w:t>
      </w:r>
      <w:bookmarkEnd w:id="26"/>
      <w:r>
        <w:rPr>
          <w:rFonts w:hint="eastAsia" w:ascii="宋体" w:hAnsi="宋体" w:eastAsia="宋体" w:cs="宋体"/>
          <w:b/>
          <w:sz w:val="32"/>
          <w:szCs w:val="28"/>
          <w:highlight w:val="none"/>
          <w:lang w:val="en-US" w:eastAsia="zh-CN"/>
        </w:rPr>
        <w:t>服务</w:t>
      </w:r>
      <w:bookmarkEnd w:id="27"/>
      <w:bookmarkEnd w:id="28"/>
      <w:r>
        <w:rPr>
          <w:rFonts w:hint="eastAsia" w:ascii="宋体" w:hAnsi="宋体" w:eastAsia="宋体" w:cs="宋体"/>
          <w:b/>
          <w:sz w:val="32"/>
          <w:szCs w:val="28"/>
          <w:highlight w:val="none"/>
          <w:lang w:val="en-US" w:eastAsia="zh-CN"/>
        </w:rPr>
        <w:t>需求</w:t>
      </w:r>
      <w:bookmarkStart w:id="29" w:name="_Toc382396568"/>
      <w:bookmarkStart w:id="30" w:name="_Toc3197"/>
      <w:bookmarkStart w:id="31" w:name="_Toc8670"/>
    </w:p>
    <w:p w14:paraId="599E2FB3">
      <w:pPr>
        <w:tabs>
          <w:tab w:val="left" w:pos="720"/>
        </w:tabs>
        <w:jc w:val="both"/>
        <w:outlineLvl w:val="9"/>
        <w:rPr>
          <w:rFonts w:hint="eastAsia" w:ascii="宋体" w:hAnsi="宋体" w:eastAsia="宋体" w:cs="宋体"/>
          <w:b w:val="0"/>
          <w:bCs w:val="0"/>
          <w:sz w:val="21"/>
          <w:szCs w:val="16"/>
          <w:highlight w:val="none"/>
          <w:lang w:val="zh-CN"/>
        </w:rPr>
      </w:pPr>
    </w:p>
    <w:p w14:paraId="36C19473">
      <w:pPr>
        <w:spacing w:line="312" w:lineRule="auto"/>
        <w:ind w:firstLine="420"/>
      </w:pPr>
      <w:bookmarkStart w:id="32" w:name="_Toc7032"/>
    </w:p>
    <w:p w14:paraId="6DECC996">
      <w:pPr>
        <w:spacing w:line="312" w:lineRule="auto"/>
        <w:ind w:firstLine="420"/>
      </w:pPr>
      <w:r>
        <w:t>为进一步完善</w:t>
      </w:r>
      <w:r>
        <w:rPr>
          <w:rFonts w:hint="eastAsia"/>
        </w:rPr>
        <w:t>德惠市人民</w:t>
      </w:r>
      <w:r>
        <w:t>医院医疗卫生服务体系，全面落实习近平总书记视察江西重要讲话精神和对卫生健康工作重要指示精神，彰显金融企业社会责任和使命担当，强化公立医院公益属性，</w:t>
      </w:r>
      <w:r>
        <w:rPr>
          <w:rFonts w:hint="eastAsia"/>
          <w:lang w:eastAsia="zh-CN"/>
        </w:rPr>
        <w:t>德惠市人民医院</w:t>
      </w:r>
      <w:r>
        <w:rPr>
          <w:rFonts w:hint="eastAsia"/>
        </w:rPr>
        <w:t>将针对银医项目的软件系统发起采购，</w:t>
      </w:r>
      <w:r>
        <w:t>就“智慧医院”</w:t>
      </w:r>
      <w:r>
        <w:rPr>
          <w:rFonts w:hint="eastAsia"/>
        </w:rPr>
        <w:t>需要新</w:t>
      </w:r>
      <w:r>
        <w:t>建</w:t>
      </w:r>
      <w:r>
        <w:rPr>
          <w:rFonts w:hint="eastAsia"/>
        </w:rPr>
        <w:t>的</w:t>
      </w:r>
      <w:r>
        <w:t>方案达成以下共识。</w:t>
      </w:r>
    </w:p>
    <w:p w14:paraId="35B19B92">
      <w:pPr>
        <w:spacing w:line="312" w:lineRule="auto"/>
        <w:ind w:firstLine="420"/>
      </w:pPr>
    </w:p>
    <w:p w14:paraId="22F36201">
      <w:pPr>
        <w:pStyle w:val="2"/>
        <w:spacing w:before="0" w:beforeAutospacing="0" w:after="0" w:afterAutospacing="0"/>
        <w:rPr>
          <w:sz w:val="32"/>
          <w:szCs w:val="32"/>
        </w:rPr>
      </w:pPr>
      <w:r>
        <w:rPr>
          <w:sz w:val="32"/>
          <w:szCs w:val="32"/>
        </w:rPr>
        <w:t>一、建设背景</w:t>
      </w:r>
    </w:p>
    <w:p w14:paraId="31ADC0DC">
      <w:pPr>
        <w:spacing w:line="312" w:lineRule="auto"/>
        <w:ind w:firstLine="420"/>
        <w:rPr>
          <w:rFonts w:hint="eastAsia"/>
        </w:rPr>
      </w:pPr>
      <w:r>
        <w:rPr>
          <w:rFonts w:hint="eastAsia"/>
          <w:lang w:eastAsia="zh-CN"/>
        </w:rPr>
        <w:t>德惠市人民医院</w:t>
      </w:r>
      <w:r>
        <w:rPr>
          <w:rFonts w:hint="eastAsia"/>
        </w:rPr>
        <w:t>现有</w:t>
      </w:r>
      <w:r>
        <w:rPr>
          <w:rFonts w:cstheme="minorBidi"/>
        </w:rPr>
        <w:t>患者在就医过程中面临诸多不便。具体来说，患者在挂号、缴费、查询报告等环节常常需要长时间排队等待，这不仅浪费了患者的大量时间，也给医院窗口工作人员带来了巨大的工作压力。由于人工服务窗口数量有限，导致服务效率低下，患者在就医过程中体验不佳，尤其是高峰期时，医院拥挤堵塞，进一步加剧了医患之间的矛盾。此外，传统的就医流程繁琐，患者需要在不同科室之间来回奔波，增加了就医的难度和成本。</w:t>
      </w:r>
      <w:r>
        <w:rPr>
          <w:rFonts w:hint="eastAsia"/>
        </w:rPr>
        <w:t>医院急需实</w:t>
      </w:r>
      <w:r>
        <w:t>现</w:t>
      </w:r>
      <w:r>
        <w:rPr>
          <w:rFonts w:hint="eastAsia"/>
        </w:rPr>
        <w:t>院内外</w:t>
      </w:r>
      <w:r>
        <w:t>资源统一管理、接入渠道统一管理、患者统一管理等，有效解决看病“三长一短”的问题。</w:t>
      </w:r>
    </w:p>
    <w:p w14:paraId="76321220">
      <w:pPr>
        <w:spacing w:line="312" w:lineRule="auto"/>
        <w:ind w:firstLine="420"/>
      </w:pPr>
      <w:r>
        <w:t>在提升服务和工作效率的同时，也面临着医院资金安全和财务内控管理压力。随着互联网医院的持续推动发展，医院患者传统等候排队缴费结算的模式逐渐被信息化服务所替代，银行刷卡、微信、支付宝、自助机以及诊间和线上缴费的普及使用，为患者减少“三长一短”排队等候时间、改善就医体验起到了积极的推动作用。在提升服务和工作效率的同时，也面临着医院资金安全和财务内控管理压力。主要存在以下问题：</w:t>
      </w:r>
    </w:p>
    <w:p w14:paraId="79EE554D">
      <w:pPr>
        <w:spacing w:line="312" w:lineRule="auto"/>
      </w:pPr>
      <w:r>
        <w:t>(1)支付种类多（窗口支付、自助机、</w:t>
      </w:r>
      <w:r>
        <w:rPr>
          <w:rFonts w:hint="eastAsia"/>
        </w:rPr>
        <w:t>掌上医院</w:t>
      </w:r>
      <w:r>
        <w:t>等）</w:t>
      </w:r>
      <w:r>
        <w:rPr>
          <w:rFonts w:hint="eastAsia"/>
        </w:rPr>
        <w:t>，</w:t>
      </w:r>
      <w:r>
        <w:t>接口分散，不利管理。</w:t>
      </w:r>
    </w:p>
    <w:p w14:paraId="474B5898">
      <w:pPr>
        <w:spacing w:line="312" w:lineRule="auto"/>
      </w:pPr>
      <w:r>
        <w:t>(2)支付渠道单独手工对账</w:t>
      </w:r>
      <w:r>
        <w:rPr>
          <w:rFonts w:hint="eastAsia"/>
        </w:rPr>
        <w:t>，包括自费和医保，数据</w:t>
      </w:r>
      <w:r>
        <w:t>容易出错</w:t>
      </w:r>
      <w:r>
        <w:rPr>
          <w:rFonts w:hint="eastAsia"/>
        </w:rPr>
        <w:t>并且财务</w:t>
      </w:r>
      <w:r>
        <w:t>人员投入大、耗时耗力。</w:t>
      </w:r>
    </w:p>
    <w:p w14:paraId="30928F2B">
      <w:pPr>
        <w:spacing w:line="312" w:lineRule="auto"/>
      </w:pPr>
      <w:r>
        <w:t>(3)单边账问题众多，如无法实时处理，容易出现医患矛盾。</w:t>
      </w:r>
    </w:p>
    <w:p w14:paraId="428E8EB7">
      <w:pPr>
        <w:spacing w:line="312" w:lineRule="auto"/>
      </w:pPr>
      <w:r>
        <w:t>(4)数据无法实现统一化、本地化，对数据分析，无法做到精细化管理。</w:t>
      </w:r>
    </w:p>
    <w:p w14:paraId="507FD376">
      <w:pPr>
        <w:spacing w:line="312" w:lineRule="auto"/>
        <w:ind w:firstLine="420"/>
      </w:pPr>
      <w:r>
        <w:rPr>
          <w:rFonts w:hint="eastAsia"/>
        </w:rPr>
        <w:t>因此，考虑到全院渠道的多样化，此次将引入统一对账服务平台，减轻财务压力，提升工作效率。</w:t>
      </w:r>
    </w:p>
    <w:p w14:paraId="4F8ED39D">
      <w:pPr>
        <w:spacing w:line="312" w:lineRule="auto"/>
        <w:rPr>
          <w:rFonts w:hint="eastAsia"/>
        </w:rPr>
      </w:pPr>
    </w:p>
    <w:p w14:paraId="6E038AB1">
      <w:pPr>
        <w:pStyle w:val="2"/>
        <w:spacing w:before="0" w:beforeAutospacing="0" w:after="0" w:afterAutospacing="0"/>
        <w:rPr>
          <w:sz w:val="32"/>
          <w:szCs w:val="32"/>
        </w:rPr>
      </w:pPr>
      <w:r>
        <w:rPr>
          <w:sz w:val="32"/>
          <w:szCs w:val="32"/>
        </w:rPr>
        <w:t>二、建设目标</w:t>
      </w:r>
    </w:p>
    <w:p w14:paraId="33E524C2">
      <w:pPr>
        <w:spacing w:line="312" w:lineRule="auto"/>
        <w:ind w:firstLine="420"/>
        <w:rPr>
          <w:lang w:val="ru-RU"/>
        </w:rPr>
      </w:pPr>
      <w:r>
        <w:rPr>
          <w:rFonts w:hint="eastAsia"/>
          <w:lang w:val="ru-RU" w:eastAsia="zh-CN"/>
        </w:rPr>
        <w:t>德惠市人民医院</w:t>
      </w:r>
      <w:r>
        <w:rPr>
          <w:lang w:val="ru-RU"/>
        </w:rPr>
        <w:t>旨在通过诊疗卡、二代身份证、</w:t>
      </w:r>
      <w:r>
        <w:rPr>
          <w:rFonts w:hint="eastAsia"/>
          <w:lang w:val="ru-RU"/>
        </w:rPr>
        <w:t>社保实体卡</w:t>
      </w:r>
      <w:r>
        <w:rPr>
          <w:lang w:val="ru-RU"/>
        </w:rPr>
        <w:t>、</w:t>
      </w:r>
      <w:r>
        <w:rPr>
          <w:rFonts w:hint="eastAsia"/>
          <w:lang w:val="ru-RU"/>
        </w:rPr>
        <w:t>电子医保凭证</w:t>
      </w:r>
      <w:r>
        <w:rPr>
          <w:lang w:val="ru-RU"/>
        </w:rPr>
        <w:t>及其它相关</w:t>
      </w:r>
      <w:r>
        <w:rPr>
          <w:rFonts w:hint="eastAsia"/>
          <w:lang w:val="ru-RU"/>
        </w:rPr>
        <w:t>身份识别，将最大化的覆盖患者服务群体，包括门诊、住院所有核心业务，</w:t>
      </w:r>
      <w:r>
        <w:rPr>
          <w:lang w:val="ru-RU"/>
        </w:rPr>
        <w:t>实现自助</w:t>
      </w:r>
      <w:r>
        <w:rPr>
          <w:rFonts w:hint="eastAsia"/>
          <w:lang w:val="ru-RU"/>
        </w:rPr>
        <w:t>建档</w:t>
      </w:r>
      <w:r>
        <w:rPr>
          <w:lang w:val="ru-RU"/>
        </w:rPr>
        <w:t>、自助挂号/预约挂号/取号、自助缴费、自助打印检验报告单、</w:t>
      </w:r>
      <w:r>
        <w:rPr>
          <w:rFonts w:hint="eastAsia"/>
          <w:lang w:val="ru-RU"/>
        </w:rPr>
        <w:t>出入院一体化自助服务、</w:t>
      </w:r>
      <w:r>
        <w:rPr>
          <w:lang w:val="ru-RU"/>
        </w:rPr>
        <w:t>自助缴纳住院押金和自助打印住院一日清单等便捷医疗服务。</w:t>
      </w:r>
    </w:p>
    <w:p w14:paraId="78C00662">
      <w:pPr>
        <w:spacing w:line="312" w:lineRule="auto"/>
        <w:ind w:firstLine="420"/>
        <w:rPr>
          <w:lang w:val="ru-RU"/>
        </w:rPr>
      </w:pPr>
      <w:r>
        <w:rPr>
          <w:rFonts w:hint="eastAsia"/>
          <w:lang w:val="ru-RU"/>
        </w:rPr>
        <w:t>整体上</w:t>
      </w:r>
      <w:r>
        <w:rPr>
          <w:lang w:val="ru-RU"/>
        </w:rPr>
        <w:t>以“智慧服务”建设为抓手，进一步提升患者就医体验</w:t>
      </w:r>
      <w:r>
        <w:rPr>
          <w:rFonts w:hint="eastAsia"/>
          <w:lang w:val="ru-RU"/>
        </w:rPr>
        <w:t>，将</w:t>
      </w:r>
      <w:r>
        <w:rPr>
          <w:lang w:val="ru-RU"/>
        </w:rPr>
        <w:t>以医院高质量发展为导向，以</w:t>
      </w:r>
      <w:r>
        <w:rPr>
          <w:rFonts w:hint="eastAsia"/>
          <w:lang w:val="ru-RU"/>
        </w:rPr>
        <w:t>患者</w:t>
      </w:r>
      <w:r>
        <w:rPr>
          <w:lang w:val="ru-RU"/>
        </w:rPr>
        <w:t>为中心，结合医院实际需求，参照国内各大示范医院实践经验和智慧医院评价指标体系，为医院精心打造覆盖全诊疗流程的综合性银行-医院-医保融合支付结算平台，实现线上线下互联互通，数据融合，业务融合，为患者提供全流程自助化的支付服务,提高患者就医便利度和满意度</w:t>
      </w:r>
      <w:r>
        <w:rPr>
          <w:rFonts w:hint="eastAsia"/>
          <w:lang w:val="ru-RU"/>
        </w:rPr>
        <w:t>，</w:t>
      </w:r>
      <w:r>
        <w:rPr>
          <w:lang w:val="ru-RU"/>
        </w:rPr>
        <w:t>达到降本增效、精益管理的目的，使医院获得可持续发展的优势。</w:t>
      </w:r>
    </w:p>
    <w:p w14:paraId="23C5B514">
      <w:pPr>
        <w:spacing w:line="312" w:lineRule="auto"/>
        <w:ind w:firstLine="420"/>
        <w:rPr>
          <w:lang w:val="ru-RU"/>
        </w:rPr>
      </w:pPr>
      <w:r>
        <w:rPr>
          <w:lang w:val="ru-RU"/>
        </w:rPr>
        <w:t>针对患者的实际就医需求，推动信息技术与医疗服务深度融合，为患者提供覆盖诊前、诊中、诊后的全流程、个性化、智能化服务。</w:t>
      </w:r>
    </w:p>
    <w:p w14:paraId="33DE2EC4">
      <w:pPr>
        <w:spacing w:line="312" w:lineRule="auto"/>
        <w:ind w:firstLine="420"/>
        <w:rPr>
          <w:rFonts w:hint="eastAsia"/>
          <w:lang w:val="ru-RU"/>
        </w:rPr>
      </w:pPr>
    </w:p>
    <w:p w14:paraId="18EC8956">
      <w:pPr>
        <w:pStyle w:val="2"/>
        <w:spacing w:before="0" w:beforeAutospacing="0" w:after="0" w:afterAutospacing="0"/>
        <w:rPr>
          <w:sz w:val="32"/>
          <w:szCs w:val="32"/>
        </w:rPr>
      </w:pPr>
      <w:r>
        <w:rPr>
          <w:sz w:val="32"/>
          <w:szCs w:val="32"/>
        </w:rPr>
        <w:t>三、技术要求</w:t>
      </w:r>
    </w:p>
    <w:p w14:paraId="417A33DA">
      <w:pPr>
        <w:spacing w:line="312" w:lineRule="auto"/>
        <w:ind w:firstLine="420"/>
      </w:pPr>
      <w:r>
        <w:t>通过ETL及BI技术实现</w:t>
      </w:r>
      <w:r>
        <w:rPr>
          <w:rFonts w:hint="eastAsia"/>
        </w:rPr>
        <w:t>自助服务系统以及</w:t>
      </w:r>
      <w:r>
        <w:t>全院MISPOS、支付宝、微信、医保卡等收入来源自动对账功能，为财务部门提供统一对账报表。提供收入总账（门诊、住院、急诊等），收入统计、收入明细、操作员（含</w:t>
      </w:r>
      <w:r>
        <w:rPr>
          <w:rFonts w:hint="eastAsia"/>
        </w:rPr>
        <w:t>窗口、</w:t>
      </w:r>
      <w:r>
        <w:t>自助设备、线上</w:t>
      </w:r>
      <w:r>
        <w:rPr>
          <w:rFonts w:hint="eastAsia"/>
        </w:rPr>
        <w:t>等</w:t>
      </w:r>
      <w:r>
        <w:t>）、支付方式、单边账统计等功能。</w:t>
      </w:r>
    </w:p>
    <w:p w14:paraId="1A354FC6">
      <w:pPr>
        <w:spacing w:line="312" w:lineRule="auto"/>
        <w:ind w:firstLine="420"/>
      </w:pPr>
      <w:r>
        <w:rPr>
          <w:rFonts w:hint="eastAsia"/>
        </w:rPr>
        <w:t>整体技术需要具备如下性能要求：</w:t>
      </w:r>
    </w:p>
    <w:p w14:paraId="6F9E01B2">
      <w:pPr>
        <w:pStyle w:val="38"/>
        <w:numPr>
          <w:ilvl w:val="1"/>
          <w:numId w:val="14"/>
        </w:numPr>
        <w:spacing w:line="312" w:lineRule="auto"/>
        <w:ind w:left="851" w:firstLineChars="0"/>
        <w:rPr>
          <w:rFonts w:ascii="宋体" w:hAnsi="宋体" w:eastAsia="宋体"/>
          <w:sz w:val="24"/>
        </w:rPr>
      </w:pPr>
      <w:r>
        <w:rPr>
          <w:rFonts w:hint="eastAsia" w:ascii="宋体" w:hAnsi="宋体" w:eastAsia="宋体"/>
          <w:sz w:val="24"/>
        </w:rPr>
        <w:t>稳定性：系统建设采用先进和高度商品化的软硬件平台、网络设备和开发工具。在进行系统设计、实现和测试时采用科学有效的技术和手段，确保系统交付使用后能持续稳定地运行。</w:t>
      </w:r>
    </w:p>
    <w:p w14:paraId="1BB407C5">
      <w:pPr>
        <w:pStyle w:val="38"/>
        <w:numPr>
          <w:ilvl w:val="0"/>
          <w:numId w:val="14"/>
        </w:numPr>
        <w:spacing w:line="312" w:lineRule="auto"/>
        <w:ind w:left="851" w:firstLineChars="0"/>
        <w:rPr>
          <w:rFonts w:ascii="宋体" w:hAnsi="宋体" w:eastAsia="宋体"/>
          <w:sz w:val="24"/>
        </w:rPr>
      </w:pPr>
      <w:r>
        <w:rPr>
          <w:rFonts w:hint="eastAsia" w:ascii="宋体" w:hAnsi="宋体" w:eastAsia="宋体"/>
          <w:sz w:val="24"/>
        </w:rPr>
        <w:t>安全性：系统具有一定的容错能力，在用户误操作或输入非法数据时不会发生错误，如在编辑等操作功能中，对于用户输入的错误信息系统能自动识别，并进行自动修复或提示用户重新输入。</w:t>
      </w:r>
    </w:p>
    <w:p w14:paraId="649ADF04">
      <w:pPr>
        <w:pStyle w:val="38"/>
        <w:numPr>
          <w:ilvl w:val="0"/>
          <w:numId w:val="14"/>
        </w:numPr>
        <w:spacing w:line="312" w:lineRule="auto"/>
        <w:ind w:left="851" w:firstLineChars="0"/>
        <w:rPr>
          <w:rFonts w:ascii="宋体" w:hAnsi="宋体" w:eastAsia="宋体"/>
          <w:sz w:val="24"/>
        </w:rPr>
      </w:pPr>
      <w:r>
        <w:rPr>
          <w:rFonts w:hint="eastAsia" w:ascii="宋体" w:hAnsi="宋体" w:eastAsia="宋体"/>
          <w:sz w:val="24"/>
        </w:rPr>
        <w:t>可维护性：系统提供集中的、智能化的维护工具，尽量减少手工维护工作量，确保系统的正常运行。</w:t>
      </w:r>
    </w:p>
    <w:p w14:paraId="246A7D1D">
      <w:pPr>
        <w:pStyle w:val="38"/>
        <w:numPr>
          <w:ilvl w:val="0"/>
          <w:numId w:val="14"/>
        </w:numPr>
        <w:spacing w:line="312" w:lineRule="auto"/>
        <w:ind w:left="851" w:firstLineChars="0"/>
        <w:rPr>
          <w:rFonts w:ascii="宋体" w:hAnsi="宋体" w:eastAsia="宋体"/>
          <w:sz w:val="24"/>
        </w:rPr>
      </w:pPr>
      <w:r>
        <w:rPr>
          <w:rFonts w:hint="eastAsia" w:ascii="宋体" w:hAnsi="宋体" w:eastAsia="宋体"/>
          <w:sz w:val="24"/>
        </w:rPr>
        <w:t>易操作性：系统提供美观实用、友好直观的中文图形化用户管理界面，充分考虑工作人员的习惯，方便易学、易于操作，含全菜单式处理和各种快捷键操作，保证多数功能一键到达。</w:t>
      </w:r>
    </w:p>
    <w:p w14:paraId="244E8127">
      <w:pPr>
        <w:pStyle w:val="38"/>
        <w:numPr>
          <w:ilvl w:val="0"/>
          <w:numId w:val="14"/>
        </w:numPr>
        <w:spacing w:line="312" w:lineRule="auto"/>
        <w:ind w:left="851" w:firstLineChars="0"/>
        <w:rPr>
          <w:rFonts w:ascii="宋体" w:hAnsi="宋体" w:eastAsia="宋体"/>
          <w:sz w:val="24"/>
        </w:rPr>
      </w:pPr>
      <w:r>
        <w:rPr>
          <w:rFonts w:hint="eastAsia" w:ascii="宋体" w:hAnsi="宋体" w:eastAsia="宋体"/>
          <w:sz w:val="24"/>
        </w:rPr>
        <w:t>可扩展性：为了满足用户今后系统扩容和扩大应用范围的需求，系统充分考虑从系统结构、功能设计、管理对象等各个方面的功能扩展。</w:t>
      </w:r>
    </w:p>
    <w:p w14:paraId="6B66622E">
      <w:pPr>
        <w:pStyle w:val="38"/>
        <w:numPr>
          <w:ilvl w:val="0"/>
          <w:numId w:val="14"/>
        </w:numPr>
        <w:spacing w:line="312" w:lineRule="auto"/>
        <w:ind w:left="851" w:firstLineChars="0"/>
        <w:rPr>
          <w:rFonts w:ascii="宋体" w:hAnsi="宋体" w:eastAsia="宋体"/>
          <w:sz w:val="24"/>
        </w:rPr>
      </w:pPr>
      <w:r>
        <w:rPr>
          <w:rFonts w:hint="eastAsia" w:ascii="宋体" w:hAnsi="宋体" w:eastAsia="宋体"/>
          <w:sz w:val="24"/>
        </w:rPr>
        <w:t>开发性：为了确保应用系统具有良好的互操作性和可移植性，系统的数据格式符合有关国家标准或行业标准。</w:t>
      </w:r>
    </w:p>
    <w:p w14:paraId="743D2C0E">
      <w:pPr>
        <w:pStyle w:val="38"/>
        <w:numPr>
          <w:ilvl w:val="0"/>
          <w:numId w:val="14"/>
        </w:numPr>
        <w:spacing w:line="312" w:lineRule="auto"/>
        <w:ind w:left="851" w:firstLineChars="0"/>
        <w:rPr>
          <w:rFonts w:hint="eastAsia" w:ascii="宋体" w:hAnsi="宋体" w:eastAsia="宋体"/>
          <w:sz w:val="24"/>
        </w:rPr>
      </w:pPr>
      <w:r>
        <w:rPr>
          <w:rFonts w:hint="eastAsia" w:ascii="宋体" w:hAnsi="宋体" w:eastAsia="宋体"/>
          <w:sz w:val="24"/>
        </w:rPr>
        <w:t>先进性：系统的设计中，在保证系统稳定的前提下，选用最新的开发软件。所选用的开发工具都是成熟产品，同时具有一定的互操作性，便于系统集成，将软件领域最新的成果移植于本系统，在整体设计思想上也具有一定超前性，一方面最大限度保护用户的现有投资，另一方面使系统具有较强的生命力。</w:t>
      </w:r>
    </w:p>
    <w:p w14:paraId="3692F113">
      <w:pPr>
        <w:pStyle w:val="38"/>
        <w:numPr>
          <w:ilvl w:val="0"/>
          <w:numId w:val="0"/>
        </w:numPr>
        <w:spacing w:line="312" w:lineRule="auto"/>
        <w:ind w:left="431" w:leftChars="0"/>
        <w:rPr>
          <w:rFonts w:hint="eastAsia" w:ascii="宋体" w:hAnsi="宋体" w:eastAsia="宋体"/>
          <w:sz w:val="24"/>
        </w:rPr>
      </w:pPr>
    </w:p>
    <w:p w14:paraId="455D6469">
      <w:pPr>
        <w:pStyle w:val="2"/>
        <w:spacing w:before="0" w:beforeAutospacing="0" w:after="0" w:afterAutospacing="0"/>
        <w:rPr>
          <w:sz w:val="32"/>
          <w:szCs w:val="32"/>
        </w:rPr>
      </w:pPr>
      <w:r>
        <w:rPr>
          <w:sz w:val="32"/>
          <w:szCs w:val="32"/>
        </w:rPr>
        <w:t>四、需求清单</w:t>
      </w:r>
    </w:p>
    <w:p w14:paraId="583796A0">
      <w:pPr>
        <w:spacing w:line="312" w:lineRule="auto"/>
        <w:ind w:firstLine="420"/>
      </w:pPr>
      <w:r>
        <w:rPr>
          <w:rFonts w:hint="eastAsia"/>
        </w:rPr>
        <w:t>本次招标采购软件系统的</w:t>
      </w:r>
      <w:r>
        <w:t>主要清单如下：</w:t>
      </w:r>
    </w:p>
    <w:tbl>
      <w:tblPr>
        <w:tblStyle w:val="22"/>
        <w:tblW w:w="9679" w:type="dxa"/>
        <w:tblInd w:w="0" w:type="dxa"/>
        <w:tblLayout w:type="autofit"/>
        <w:tblCellMar>
          <w:top w:w="0" w:type="dxa"/>
          <w:left w:w="108" w:type="dxa"/>
          <w:bottom w:w="0" w:type="dxa"/>
          <w:right w:w="108" w:type="dxa"/>
        </w:tblCellMar>
      </w:tblPr>
      <w:tblGrid>
        <w:gridCol w:w="943"/>
        <w:gridCol w:w="2548"/>
        <w:gridCol w:w="6188"/>
      </w:tblGrid>
      <w:tr w14:paraId="12CDB440">
        <w:tblPrEx>
          <w:tblCellMar>
            <w:top w:w="0" w:type="dxa"/>
            <w:left w:w="108" w:type="dxa"/>
            <w:bottom w:w="0" w:type="dxa"/>
            <w:right w:w="108" w:type="dxa"/>
          </w:tblCellMar>
        </w:tblPrEx>
        <w:trPr>
          <w:trHeight w:val="512" w:hRule="atLeast"/>
        </w:trPr>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4D2C4EFE">
            <w:pPr>
              <w:jc w:val="center"/>
              <w:rPr>
                <w:rFonts w:ascii="仿宋" w:hAnsi="仿宋" w:eastAsia="仿宋"/>
              </w:rPr>
            </w:pPr>
            <w:r>
              <w:rPr>
                <w:rFonts w:hint="eastAsia" w:ascii="仿宋" w:hAnsi="仿宋" w:eastAsia="仿宋"/>
              </w:rPr>
              <w:t>序号　</w:t>
            </w:r>
          </w:p>
        </w:tc>
        <w:tc>
          <w:tcPr>
            <w:tcW w:w="2548" w:type="dxa"/>
            <w:tcBorders>
              <w:top w:val="single" w:color="auto" w:sz="4" w:space="0"/>
              <w:left w:val="nil"/>
              <w:bottom w:val="single" w:color="auto" w:sz="4" w:space="0"/>
              <w:right w:val="single" w:color="auto" w:sz="4" w:space="0"/>
            </w:tcBorders>
            <w:shd w:val="clear" w:color="auto" w:fill="auto"/>
            <w:vAlign w:val="center"/>
          </w:tcPr>
          <w:p w14:paraId="37DF340D">
            <w:pPr>
              <w:jc w:val="center"/>
              <w:rPr>
                <w:rFonts w:hint="eastAsia" w:ascii="仿宋" w:hAnsi="仿宋" w:eastAsia="仿宋"/>
              </w:rPr>
            </w:pPr>
            <w:r>
              <w:rPr>
                <w:rFonts w:hint="eastAsia" w:ascii="仿宋" w:hAnsi="仿宋" w:eastAsia="仿宋"/>
              </w:rPr>
              <w:t>名称</w:t>
            </w:r>
          </w:p>
        </w:tc>
        <w:tc>
          <w:tcPr>
            <w:tcW w:w="6188" w:type="dxa"/>
            <w:tcBorders>
              <w:top w:val="single" w:color="auto" w:sz="4" w:space="0"/>
              <w:left w:val="nil"/>
              <w:bottom w:val="single" w:color="auto" w:sz="4" w:space="0"/>
              <w:right w:val="single" w:color="auto" w:sz="4" w:space="0"/>
            </w:tcBorders>
            <w:shd w:val="clear" w:color="auto" w:fill="auto"/>
            <w:vAlign w:val="center"/>
          </w:tcPr>
          <w:p w14:paraId="08DC9F08">
            <w:pPr>
              <w:jc w:val="center"/>
              <w:rPr>
                <w:rFonts w:hint="eastAsia" w:ascii="仿宋" w:hAnsi="仿宋" w:eastAsia="仿宋"/>
              </w:rPr>
            </w:pPr>
            <w:r>
              <w:rPr>
                <w:rFonts w:hint="eastAsia" w:ascii="仿宋" w:hAnsi="仿宋" w:eastAsia="仿宋"/>
              </w:rPr>
              <w:t>功能描述</w:t>
            </w:r>
          </w:p>
        </w:tc>
      </w:tr>
      <w:tr w14:paraId="07C1C1F5">
        <w:tblPrEx>
          <w:tblCellMar>
            <w:top w:w="0" w:type="dxa"/>
            <w:left w:w="108" w:type="dxa"/>
            <w:bottom w:w="0" w:type="dxa"/>
            <w:right w:w="108" w:type="dxa"/>
          </w:tblCellMar>
        </w:tblPrEx>
        <w:trPr>
          <w:trHeight w:val="1617" w:hRule="atLeast"/>
        </w:trPr>
        <w:tc>
          <w:tcPr>
            <w:tcW w:w="943" w:type="dxa"/>
            <w:tcBorders>
              <w:top w:val="nil"/>
              <w:left w:val="single" w:color="auto" w:sz="4" w:space="0"/>
              <w:bottom w:val="single" w:color="auto" w:sz="4" w:space="0"/>
              <w:right w:val="single" w:color="auto" w:sz="4" w:space="0"/>
            </w:tcBorders>
            <w:shd w:val="clear" w:color="000000" w:fill="FFFFFF"/>
            <w:vAlign w:val="center"/>
          </w:tcPr>
          <w:p w14:paraId="7888B385">
            <w:pPr>
              <w:jc w:val="center"/>
              <w:rPr>
                <w:rFonts w:hint="eastAsia" w:ascii="仿宋" w:hAnsi="仿宋" w:eastAsia="仿宋"/>
              </w:rPr>
            </w:pPr>
            <w:r>
              <w:rPr>
                <w:rFonts w:hint="eastAsia" w:ascii="仿宋" w:hAnsi="仿宋" w:eastAsia="仿宋"/>
              </w:rPr>
              <w:t>1</w:t>
            </w:r>
          </w:p>
        </w:tc>
        <w:tc>
          <w:tcPr>
            <w:tcW w:w="2548" w:type="dxa"/>
            <w:tcBorders>
              <w:top w:val="nil"/>
              <w:left w:val="nil"/>
              <w:bottom w:val="single" w:color="auto" w:sz="4" w:space="0"/>
              <w:right w:val="single" w:color="auto" w:sz="4" w:space="0"/>
            </w:tcBorders>
            <w:shd w:val="clear" w:color="000000" w:fill="FFFFFF"/>
            <w:vAlign w:val="center"/>
          </w:tcPr>
          <w:p w14:paraId="2F5BDEF7">
            <w:pPr>
              <w:rPr>
                <w:rFonts w:hint="eastAsia" w:ascii="仿宋" w:hAnsi="仿宋" w:eastAsia="仿宋"/>
              </w:rPr>
            </w:pPr>
            <w:r>
              <w:rPr>
                <w:rFonts w:hint="eastAsia" w:ascii="仿宋" w:hAnsi="仿宋" w:eastAsia="仿宋"/>
              </w:rPr>
              <w:t>自助系统建设及管理平台开发服务</w:t>
            </w:r>
          </w:p>
        </w:tc>
        <w:tc>
          <w:tcPr>
            <w:tcW w:w="6188" w:type="dxa"/>
            <w:tcBorders>
              <w:top w:val="nil"/>
              <w:left w:val="nil"/>
              <w:bottom w:val="single" w:color="auto" w:sz="4" w:space="0"/>
              <w:right w:val="single" w:color="auto" w:sz="4" w:space="0"/>
            </w:tcBorders>
            <w:shd w:val="clear" w:color="000000" w:fill="FFFFFF"/>
            <w:vAlign w:val="center"/>
          </w:tcPr>
          <w:p w14:paraId="72858810">
            <w:pPr>
              <w:rPr>
                <w:rFonts w:hint="eastAsia" w:ascii="仿宋" w:hAnsi="仿宋" w:eastAsia="仿宋"/>
              </w:rPr>
            </w:pPr>
            <w:r>
              <w:rPr>
                <w:rFonts w:hint="eastAsia" w:ascii="仿宋" w:hAnsi="仿宋" w:eastAsia="仿宋"/>
              </w:rPr>
              <w:t>建档、挂号/取号、缴费/充值/退</w:t>
            </w:r>
            <w:r>
              <w:rPr>
                <w:rFonts w:hint="eastAsia" w:ascii="仿宋" w:hAnsi="仿宋" w:eastAsia="仿宋"/>
                <w:lang w:val="en-US" w:eastAsia="zh-CN"/>
              </w:rPr>
              <w:t>费</w:t>
            </w:r>
            <w:r>
              <w:rPr>
                <w:rFonts w:hint="eastAsia" w:ascii="仿宋" w:hAnsi="仿宋" w:eastAsia="仿宋"/>
              </w:rPr>
              <w:t>、报告打印、收费项目查询、满意度评价及账户信息等。实现对院内的资源池管理、设备管理、运维管理、耗材预警功能:管理系统能对自助终端的耗材进行监控，在耗材低于设定值时发出预警。</w:t>
            </w:r>
          </w:p>
        </w:tc>
      </w:tr>
      <w:tr w14:paraId="6D624A08">
        <w:tblPrEx>
          <w:tblCellMar>
            <w:top w:w="0" w:type="dxa"/>
            <w:left w:w="108" w:type="dxa"/>
            <w:bottom w:w="0" w:type="dxa"/>
            <w:right w:w="108" w:type="dxa"/>
          </w:tblCellMar>
        </w:tblPrEx>
        <w:trPr>
          <w:trHeight w:val="974" w:hRule="atLeast"/>
        </w:trPr>
        <w:tc>
          <w:tcPr>
            <w:tcW w:w="943" w:type="dxa"/>
            <w:tcBorders>
              <w:top w:val="nil"/>
              <w:left w:val="single" w:color="auto" w:sz="4" w:space="0"/>
              <w:bottom w:val="single" w:color="auto" w:sz="4" w:space="0"/>
              <w:right w:val="single" w:color="auto" w:sz="4" w:space="0"/>
            </w:tcBorders>
            <w:shd w:val="clear" w:color="000000" w:fill="FFFFFF"/>
            <w:vAlign w:val="center"/>
          </w:tcPr>
          <w:p w14:paraId="2F3A7619">
            <w:pPr>
              <w:jc w:val="center"/>
              <w:rPr>
                <w:rFonts w:hint="eastAsia" w:ascii="仿宋" w:hAnsi="仿宋" w:eastAsia="仿宋"/>
              </w:rPr>
            </w:pPr>
            <w:r>
              <w:rPr>
                <w:rFonts w:hint="eastAsia" w:ascii="仿宋" w:hAnsi="仿宋" w:eastAsia="仿宋"/>
              </w:rPr>
              <w:t>2</w:t>
            </w:r>
          </w:p>
        </w:tc>
        <w:tc>
          <w:tcPr>
            <w:tcW w:w="2548" w:type="dxa"/>
            <w:tcBorders>
              <w:top w:val="nil"/>
              <w:left w:val="nil"/>
              <w:bottom w:val="single" w:color="auto" w:sz="4" w:space="0"/>
              <w:right w:val="single" w:color="auto" w:sz="4" w:space="0"/>
            </w:tcBorders>
            <w:shd w:val="clear" w:color="000000" w:fill="FFFFFF"/>
            <w:vAlign w:val="center"/>
          </w:tcPr>
          <w:p w14:paraId="70D1695B">
            <w:pPr>
              <w:rPr>
                <w:rFonts w:hint="eastAsia" w:ascii="仿宋" w:hAnsi="仿宋" w:eastAsia="仿宋"/>
              </w:rPr>
            </w:pPr>
            <w:r>
              <w:rPr>
                <w:rFonts w:hint="eastAsia" w:ascii="仿宋" w:hAnsi="仿宋" w:eastAsia="仿宋"/>
              </w:rPr>
              <w:t>财务对账系统开发</w:t>
            </w:r>
          </w:p>
        </w:tc>
        <w:tc>
          <w:tcPr>
            <w:tcW w:w="6188" w:type="dxa"/>
            <w:tcBorders>
              <w:top w:val="nil"/>
              <w:left w:val="nil"/>
              <w:bottom w:val="single" w:color="auto" w:sz="4" w:space="0"/>
              <w:right w:val="single" w:color="auto" w:sz="4" w:space="0"/>
            </w:tcBorders>
            <w:shd w:val="clear" w:color="000000" w:fill="FFFFFF"/>
            <w:vAlign w:val="center"/>
          </w:tcPr>
          <w:p w14:paraId="2CC3C4D1">
            <w:pPr>
              <w:rPr>
                <w:rFonts w:hint="eastAsia" w:ascii="仿宋" w:hAnsi="仿宋" w:eastAsia="仿宋"/>
              </w:rPr>
            </w:pPr>
            <w:r>
              <w:rPr>
                <w:rFonts w:hint="eastAsia" w:ascii="仿宋" w:hAnsi="仿宋" w:eastAsia="仿宋"/>
              </w:rPr>
              <w:t>通过智能分析财务账和各渠道流水对账单，自定义配置，自动执行双向匹配，自动识别差异账风险及异常交易，安全、高效完成对账。</w:t>
            </w:r>
          </w:p>
        </w:tc>
      </w:tr>
      <w:tr w14:paraId="3A7B4093">
        <w:tblPrEx>
          <w:tblCellMar>
            <w:top w:w="0" w:type="dxa"/>
            <w:left w:w="108" w:type="dxa"/>
            <w:bottom w:w="0" w:type="dxa"/>
            <w:right w:w="108" w:type="dxa"/>
          </w:tblCellMar>
        </w:tblPrEx>
        <w:trPr>
          <w:trHeight w:val="653" w:hRule="atLeast"/>
        </w:trPr>
        <w:tc>
          <w:tcPr>
            <w:tcW w:w="943" w:type="dxa"/>
            <w:tcBorders>
              <w:top w:val="nil"/>
              <w:left w:val="single" w:color="auto" w:sz="4" w:space="0"/>
              <w:bottom w:val="single" w:color="auto" w:sz="4" w:space="0"/>
              <w:right w:val="single" w:color="auto" w:sz="4" w:space="0"/>
            </w:tcBorders>
            <w:shd w:val="clear" w:color="000000" w:fill="FFFFFF"/>
            <w:vAlign w:val="center"/>
          </w:tcPr>
          <w:p w14:paraId="6EBF1960">
            <w:pPr>
              <w:jc w:val="center"/>
              <w:rPr>
                <w:rFonts w:hint="eastAsia" w:ascii="仿宋" w:hAnsi="仿宋" w:eastAsia="仿宋"/>
              </w:rPr>
            </w:pPr>
            <w:r>
              <w:rPr>
                <w:rFonts w:hint="eastAsia" w:ascii="仿宋" w:hAnsi="仿宋" w:eastAsia="仿宋"/>
              </w:rPr>
              <w:t>3</w:t>
            </w:r>
          </w:p>
        </w:tc>
        <w:tc>
          <w:tcPr>
            <w:tcW w:w="2548" w:type="dxa"/>
            <w:tcBorders>
              <w:top w:val="nil"/>
              <w:left w:val="nil"/>
              <w:bottom w:val="single" w:color="auto" w:sz="4" w:space="0"/>
              <w:right w:val="single" w:color="auto" w:sz="4" w:space="0"/>
            </w:tcBorders>
            <w:shd w:val="clear" w:color="000000" w:fill="FFFFFF"/>
            <w:vAlign w:val="center"/>
          </w:tcPr>
          <w:p w14:paraId="343D7D79">
            <w:pPr>
              <w:rPr>
                <w:rFonts w:hint="eastAsia" w:ascii="仿宋" w:hAnsi="仿宋" w:eastAsia="仿宋"/>
              </w:rPr>
            </w:pPr>
            <w:r>
              <w:rPr>
                <w:rFonts w:hint="eastAsia" w:ascii="仿宋" w:hAnsi="仿宋" w:eastAsia="仿宋"/>
              </w:rPr>
              <w:t>住院端医保结算接口开发</w:t>
            </w:r>
          </w:p>
        </w:tc>
        <w:tc>
          <w:tcPr>
            <w:tcW w:w="6188" w:type="dxa"/>
            <w:tcBorders>
              <w:top w:val="nil"/>
              <w:left w:val="nil"/>
              <w:bottom w:val="single" w:color="auto" w:sz="4" w:space="0"/>
              <w:right w:val="single" w:color="auto" w:sz="4" w:space="0"/>
            </w:tcBorders>
            <w:shd w:val="clear" w:color="000000" w:fill="FFFFFF"/>
            <w:vAlign w:val="center"/>
          </w:tcPr>
          <w:p w14:paraId="36035FB4">
            <w:pPr>
              <w:rPr>
                <w:rFonts w:hint="eastAsia" w:ascii="仿宋" w:hAnsi="仿宋" w:eastAsia="仿宋"/>
              </w:rPr>
            </w:pPr>
            <w:r>
              <w:rPr>
                <w:rFonts w:hint="eastAsia" w:ascii="仿宋" w:hAnsi="仿宋" w:eastAsia="仿宋"/>
              </w:rPr>
              <w:t>可实现住院医保缴费功能;医保电子凭证支付，医保支付及对账接口，符合国家医保标准的认证规范。</w:t>
            </w:r>
          </w:p>
        </w:tc>
      </w:tr>
      <w:tr w14:paraId="70045039">
        <w:tblPrEx>
          <w:tblCellMar>
            <w:top w:w="0" w:type="dxa"/>
            <w:left w:w="108" w:type="dxa"/>
            <w:bottom w:w="0" w:type="dxa"/>
            <w:right w:w="108" w:type="dxa"/>
          </w:tblCellMar>
        </w:tblPrEx>
        <w:trPr>
          <w:trHeight w:val="653" w:hRule="atLeast"/>
        </w:trPr>
        <w:tc>
          <w:tcPr>
            <w:tcW w:w="943" w:type="dxa"/>
            <w:tcBorders>
              <w:top w:val="nil"/>
              <w:left w:val="single" w:color="auto" w:sz="4" w:space="0"/>
              <w:bottom w:val="single" w:color="auto" w:sz="4" w:space="0"/>
              <w:right w:val="single" w:color="auto" w:sz="4" w:space="0"/>
            </w:tcBorders>
            <w:shd w:val="clear" w:color="000000" w:fill="FFFFFF"/>
            <w:vAlign w:val="center"/>
          </w:tcPr>
          <w:p w14:paraId="25692C7C">
            <w:pPr>
              <w:jc w:val="center"/>
              <w:rPr>
                <w:rFonts w:hint="eastAsia" w:ascii="仿宋" w:hAnsi="仿宋" w:eastAsia="仿宋"/>
              </w:rPr>
            </w:pPr>
            <w:r>
              <w:rPr>
                <w:rFonts w:hint="eastAsia" w:ascii="仿宋" w:hAnsi="仿宋" w:eastAsia="仿宋"/>
              </w:rPr>
              <w:t>4</w:t>
            </w:r>
          </w:p>
        </w:tc>
        <w:tc>
          <w:tcPr>
            <w:tcW w:w="2548" w:type="dxa"/>
            <w:tcBorders>
              <w:top w:val="nil"/>
              <w:left w:val="nil"/>
              <w:bottom w:val="single" w:color="auto" w:sz="4" w:space="0"/>
              <w:right w:val="single" w:color="auto" w:sz="4" w:space="0"/>
            </w:tcBorders>
            <w:shd w:val="clear" w:color="000000" w:fill="FFFFFF"/>
            <w:vAlign w:val="center"/>
          </w:tcPr>
          <w:p w14:paraId="4EDC45CC">
            <w:pPr>
              <w:rPr>
                <w:rFonts w:hint="eastAsia" w:ascii="仿宋" w:hAnsi="仿宋" w:eastAsia="仿宋"/>
              </w:rPr>
            </w:pPr>
            <w:r>
              <w:rPr>
                <w:rFonts w:hint="eastAsia" w:ascii="仿宋" w:hAnsi="仿宋" w:eastAsia="仿宋"/>
              </w:rPr>
              <w:t>住院病区自助结算系统开发</w:t>
            </w:r>
          </w:p>
        </w:tc>
        <w:tc>
          <w:tcPr>
            <w:tcW w:w="6188" w:type="dxa"/>
            <w:tcBorders>
              <w:top w:val="nil"/>
              <w:left w:val="nil"/>
              <w:bottom w:val="single" w:color="auto" w:sz="4" w:space="0"/>
              <w:right w:val="single" w:color="auto" w:sz="4" w:space="0"/>
            </w:tcBorders>
            <w:shd w:val="clear" w:color="000000" w:fill="FFFFFF"/>
            <w:vAlign w:val="center"/>
          </w:tcPr>
          <w:p w14:paraId="736E7826">
            <w:pPr>
              <w:rPr>
                <w:rFonts w:hint="eastAsia" w:ascii="仿宋" w:hAnsi="仿宋" w:eastAsia="仿宋"/>
              </w:rPr>
            </w:pPr>
            <w:r>
              <w:rPr>
                <w:rFonts w:hint="eastAsia" w:ascii="仿宋" w:hAnsi="仿宋" w:eastAsia="仿宋"/>
              </w:rPr>
              <w:t>病区设备系统对接开发，入院管理、出院流程改造、一键退费、护士长与住院主任电子签名改造等。</w:t>
            </w:r>
          </w:p>
        </w:tc>
      </w:tr>
      <w:tr w14:paraId="59E34633">
        <w:tblPrEx>
          <w:tblCellMar>
            <w:top w:w="0" w:type="dxa"/>
            <w:left w:w="108" w:type="dxa"/>
            <w:bottom w:w="0" w:type="dxa"/>
            <w:right w:w="108" w:type="dxa"/>
          </w:tblCellMar>
        </w:tblPrEx>
        <w:trPr>
          <w:trHeight w:val="663" w:hRule="atLeast"/>
        </w:trPr>
        <w:tc>
          <w:tcPr>
            <w:tcW w:w="943" w:type="dxa"/>
            <w:tcBorders>
              <w:top w:val="nil"/>
              <w:left w:val="single" w:color="auto" w:sz="4" w:space="0"/>
              <w:bottom w:val="single" w:color="auto" w:sz="4" w:space="0"/>
              <w:right w:val="single" w:color="auto" w:sz="4" w:space="0"/>
            </w:tcBorders>
            <w:shd w:val="clear" w:color="000000" w:fill="FFFFFF"/>
            <w:vAlign w:val="center"/>
          </w:tcPr>
          <w:p w14:paraId="708695D0">
            <w:pPr>
              <w:jc w:val="center"/>
              <w:rPr>
                <w:rFonts w:hint="eastAsia" w:ascii="仿宋" w:hAnsi="仿宋" w:eastAsia="仿宋"/>
              </w:rPr>
            </w:pPr>
            <w:r>
              <w:rPr>
                <w:rFonts w:hint="eastAsia" w:ascii="仿宋" w:hAnsi="仿宋" w:eastAsia="仿宋"/>
              </w:rPr>
              <w:t>5</w:t>
            </w:r>
          </w:p>
        </w:tc>
        <w:tc>
          <w:tcPr>
            <w:tcW w:w="2548" w:type="dxa"/>
            <w:tcBorders>
              <w:top w:val="nil"/>
              <w:left w:val="nil"/>
              <w:bottom w:val="single" w:color="auto" w:sz="4" w:space="0"/>
              <w:right w:val="single" w:color="auto" w:sz="4" w:space="0"/>
            </w:tcBorders>
            <w:shd w:val="clear" w:color="auto" w:fill="auto"/>
            <w:vAlign w:val="center"/>
          </w:tcPr>
          <w:p w14:paraId="762E372F">
            <w:pPr>
              <w:rPr>
                <w:rFonts w:hint="eastAsia" w:ascii="仿宋" w:hAnsi="仿宋" w:eastAsia="仿宋"/>
              </w:rPr>
            </w:pPr>
            <w:r>
              <w:rPr>
                <w:rFonts w:hint="eastAsia" w:ascii="仿宋" w:hAnsi="仿宋" w:eastAsia="仿宋"/>
              </w:rPr>
              <w:t>HIS接口改造服务</w:t>
            </w:r>
          </w:p>
        </w:tc>
        <w:tc>
          <w:tcPr>
            <w:tcW w:w="6188" w:type="dxa"/>
            <w:tcBorders>
              <w:top w:val="nil"/>
              <w:left w:val="nil"/>
              <w:bottom w:val="single" w:color="auto" w:sz="4" w:space="0"/>
              <w:right w:val="single" w:color="auto" w:sz="4" w:space="0"/>
            </w:tcBorders>
            <w:shd w:val="clear" w:color="auto" w:fill="auto"/>
            <w:vAlign w:val="center"/>
          </w:tcPr>
          <w:p w14:paraId="6607F232">
            <w:pPr>
              <w:rPr>
                <w:rFonts w:hint="eastAsia" w:ascii="仿宋" w:hAnsi="仿宋" w:eastAsia="仿宋"/>
              </w:rPr>
            </w:pPr>
            <w:r>
              <w:rPr>
                <w:rFonts w:hint="eastAsia" w:ascii="仿宋" w:hAnsi="仿宋" w:eastAsia="仿宋"/>
              </w:rPr>
              <w:t>通过第三方二次封装银医系统提供SP或WS接口，以实现院内银医自助功能需求、便捷就医等应用。</w:t>
            </w:r>
          </w:p>
        </w:tc>
      </w:tr>
    </w:tbl>
    <w:p w14:paraId="2EF5E721">
      <w:pPr>
        <w:spacing w:line="312" w:lineRule="auto"/>
        <w:rPr>
          <w:rFonts w:hint="eastAsia"/>
        </w:rPr>
      </w:pPr>
    </w:p>
    <w:p w14:paraId="2AE1E484">
      <w:pPr>
        <w:pStyle w:val="2"/>
        <w:spacing w:before="0" w:beforeAutospacing="0" w:after="0" w:afterAutospacing="0"/>
        <w:rPr>
          <w:sz w:val="32"/>
          <w:szCs w:val="32"/>
        </w:rPr>
      </w:pPr>
      <w:r>
        <w:rPr>
          <w:sz w:val="32"/>
          <w:szCs w:val="32"/>
        </w:rPr>
        <w:t>五、详细要求（细化需求清单）</w:t>
      </w:r>
    </w:p>
    <w:p w14:paraId="78B70958">
      <w:pPr>
        <w:pStyle w:val="3"/>
        <w:spacing w:before="0" w:after="0" w:line="415" w:lineRule="auto"/>
        <w:rPr>
          <w:sz w:val="28"/>
          <w:szCs w:val="28"/>
        </w:rPr>
      </w:pPr>
      <w:r>
        <w:rPr>
          <w:rFonts w:hint="eastAsia"/>
          <w:sz w:val="28"/>
          <w:szCs w:val="28"/>
        </w:rPr>
        <w:t>5</w:t>
      </w:r>
      <w:r>
        <w:rPr>
          <w:sz w:val="28"/>
          <w:szCs w:val="28"/>
        </w:rPr>
        <w:t>.1</w:t>
      </w:r>
      <w:r>
        <w:rPr>
          <w:rFonts w:hint="eastAsia"/>
          <w:sz w:val="28"/>
          <w:szCs w:val="28"/>
        </w:rPr>
        <w:t>自助系统建设及管理平台开发服务</w:t>
      </w:r>
    </w:p>
    <w:p w14:paraId="623665C6">
      <w:pPr>
        <w:spacing w:line="312" w:lineRule="auto"/>
        <w:ind w:firstLine="420"/>
        <w:rPr>
          <w:kern w:val="2"/>
        </w:rPr>
      </w:pPr>
      <w:r>
        <w:rPr>
          <w:rFonts w:cstheme="minorBidi"/>
        </w:rPr>
        <w:t>医院上线自助服务终端为患者带来了极大的便利与效率提升。通过这些终端，患者可以自主完成挂号、缴费、</w:t>
      </w:r>
      <w:r>
        <w:rPr>
          <w:rFonts w:hint="eastAsia" w:cstheme="minorBidi"/>
        </w:rPr>
        <w:t>打印</w:t>
      </w:r>
      <w:r>
        <w:rPr>
          <w:rFonts w:cstheme="minorBidi"/>
        </w:rPr>
        <w:t>报告等一系列就医流程，无需长时间排队等待窗口服务，大大缩短了看病时间。同时，自助服务终端还提供了清晰的操作指引和丰富的医疗信息，帮助患者更好地了解就医流程、科室分布及医生专长，增强了患者的就医体验和满意度</w:t>
      </w:r>
      <w:r>
        <w:rPr>
          <w:rFonts w:hint="eastAsia"/>
        </w:rPr>
        <w:t>，自助业务将覆盖诊前、诊中、诊后全流程</w:t>
      </w:r>
      <w:r>
        <w:rPr>
          <w:rFonts w:hint="eastAsia"/>
          <w:kern w:val="2"/>
        </w:rPr>
        <w:t>。</w:t>
      </w:r>
    </w:p>
    <w:p w14:paraId="36BD6973">
      <w:pPr>
        <w:spacing w:line="312" w:lineRule="auto"/>
        <w:ind w:firstLine="420"/>
      </w:pPr>
    </w:p>
    <w:p w14:paraId="6975D72D">
      <w:pPr>
        <w:spacing w:line="312" w:lineRule="auto"/>
        <w:ind w:firstLine="420"/>
        <w:rPr>
          <w:rFonts w:hint="eastAsia"/>
        </w:rPr>
      </w:pPr>
      <w:r>
        <w:rPr>
          <w:rFonts w:hint="eastAsia"/>
        </w:rPr>
        <w:t>自助服务终端需要至少满足如下功能范围：</w:t>
      </w:r>
    </w:p>
    <w:tbl>
      <w:tblPr>
        <w:tblStyle w:val="22"/>
        <w:tblW w:w="9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1901"/>
        <w:gridCol w:w="6020"/>
      </w:tblGrid>
      <w:tr w14:paraId="5002B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shd w:val="clear" w:color="auto" w:fill="auto"/>
            <w:vAlign w:val="center"/>
          </w:tcPr>
          <w:p w14:paraId="01BB6D23">
            <w:pPr>
              <w:rPr>
                <w:rFonts w:hint="eastAsia"/>
                <w:b/>
                <w:bCs/>
                <w:sz w:val="21"/>
                <w:szCs w:val="21"/>
              </w:rPr>
            </w:pPr>
            <w:r>
              <w:rPr>
                <w:rFonts w:hint="eastAsia"/>
                <w:b/>
                <w:bCs/>
                <w:sz w:val="21"/>
                <w:szCs w:val="21"/>
              </w:rPr>
              <w:t>类别</w:t>
            </w:r>
          </w:p>
        </w:tc>
        <w:tc>
          <w:tcPr>
            <w:tcW w:w="1901" w:type="dxa"/>
            <w:shd w:val="clear" w:color="auto" w:fill="auto"/>
            <w:vAlign w:val="center"/>
          </w:tcPr>
          <w:p w14:paraId="0E568892">
            <w:pPr>
              <w:rPr>
                <w:rFonts w:hint="eastAsia"/>
                <w:b/>
                <w:bCs/>
                <w:sz w:val="21"/>
                <w:szCs w:val="21"/>
              </w:rPr>
            </w:pPr>
            <w:r>
              <w:rPr>
                <w:rFonts w:hint="eastAsia"/>
                <w:b/>
                <w:bCs/>
                <w:sz w:val="21"/>
                <w:szCs w:val="21"/>
              </w:rPr>
              <w:t>功能模块</w:t>
            </w:r>
          </w:p>
        </w:tc>
        <w:tc>
          <w:tcPr>
            <w:tcW w:w="6020" w:type="dxa"/>
            <w:shd w:val="clear" w:color="auto" w:fill="auto"/>
            <w:vAlign w:val="center"/>
          </w:tcPr>
          <w:p w14:paraId="28C20D01">
            <w:pPr>
              <w:rPr>
                <w:rFonts w:hint="eastAsia"/>
                <w:b/>
                <w:bCs/>
                <w:sz w:val="21"/>
                <w:szCs w:val="21"/>
              </w:rPr>
            </w:pPr>
            <w:r>
              <w:rPr>
                <w:rFonts w:hint="eastAsia"/>
                <w:b/>
                <w:bCs/>
                <w:sz w:val="21"/>
                <w:szCs w:val="21"/>
              </w:rPr>
              <w:t>功能说明</w:t>
            </w:r>
          </w:p>
        </w:tc>
      </w:tr>
      <w:tr w14:paraId="1021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shd w:val="clear" w:color="auto" w:fill="auto"/>
            <w:vAlign w:val="center"/>
          </w:tcPr>
          <w:p w14:paraId="14103339">
            <w:pPr>
              <w:rPr>
                <w:rFonts w:hint="eastAsia"/>
                <w:sz w:val="21"/>
                <w:szCs w:val="21"/>
              </w:rPr>
            </w:pPr>
            <w:r>
              <w:rPr>
                <w:rFonts w:hint="eastAsia"/>
                <w:sz w:val="21"/>
                <w:szCs w:val="21"/>
              </w:rPr>
              <w:t>建档</w:t>
            </w:r>
          </w:p>
        </w:tc>
        <w:tc>
          <w:tcPr>
            <w:tcW w:w="1901" w:type="dxa"/>
            <w:shd w:val="clear" w:color="auto" w:fill="auto"/>
            <w:vAlign w:val="center"/>
          </w:tcPr>
          <w:p w14:paraId="4C89D5E4">
            <w:pPr>
              <w:rPr>
                <w:rFonts w:hint="eastAsia"/>
                <w:sz w:val="21"/>
                <w:szCs w:val="21"/>
              </w:rPr>
            </w:pPr>
            <w:r>
              <w:rPr>
                <w:rFonts w:hint="eastAsia"/>
                <w:sz w:val="21"/>
                <w:szCs w:val="21"/>
              </w:rPr>
              <w:t>建立院内档案</w:t>
            </w:r>
          </w:p>
        </w:tc>
        <w:tc>
          <w:tcPr>
            <w:tcW w:w="6020" w:type="dxa"/>
            <w:shd w:val="clear" w:color="auto" w:fill="auto"/>
            <w:vAlign w:val="center"/>
          </w:tcPr>
          <w:p w14:paraId="5EDF70E8">
            <w:pPr>
              <w:rPr>
                <w:rFonts w:hint="eastAsia"/>
                <w:sz w:val="21"/>
                <w:szCs w:val="21"/>
              </w:rPr>
            </w:pPr>
            <w:r>
              <w:rPr>
                <w:rFonts w:hint="eastAsia"/>
                <w:sz w:val="21"/>
                <w:szCs w:val="21"/>
              </w:rPr>
              <w:t>支持身份证、医保卡、电子医保凭证识别身份，自助建档，打印电子二维码凭条</w:t>
            </w:r>
          </w:p>
        </w:tc>
      </w:tr>
      <w:tr w14:paraId="349BE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38" w:type="dxa"/>
            <w:shd w:val="clear" w:color="auto" w:fill="auto"/>
            <w:vAlign w:val="center"/>
          </w:tcPr>
          <w:p w14:paraId="769FCE5A">
            <w:pPr>
              <w:rPr>
                <w:rFonts w:hint="eastAsia"/>
                <w:sz w:val="21"/>
                <w:szCs w:val="21"/>
              </w:rPr>
            </w:pPr>
            <w:r>
              <w:rPr>
                <w:rFonts w:hint="eastAsia"/>
                <w:sz w:val="21"/>
                <w:szCs w:val="21"/>
              </w:rPr>
              <w:t>身份识别</w:t>
            </w:r>
          </w:p>
        </w:tc>
        <w:tc>
          <w:tcPr>
            <w:tcW w:w="1901" w:type="dxa"/>
            <w:shd w:val="clear" w:color="auto" w:fill="auto"/>
            <w:vAlign w:val="center"/>
          </w:tcPr>
          <w:p w14:paraId="6BBC4DA6">
            <w:pPr>
              <w:rPr>
                <w:rFonts w:hint="eastAsia"/>
                <w:sz w:val="21"/>
                <w:szCs w:val="21"/>
              </w:rPr>
            </w:pPr>
            <w:r>
              <w:rPr>
                <w:rFonts w:hint="eastAsia"/>
                <w:sz w:val="21"/>
                <w:szCs w:val="21"/>
              </w:rPr>
              <w:t>多种身份识别</w:t>
            </w:r>
          </w:p>
        </w:tc>
        <w:tc>
          <w:tcPr>
            <w:tcW w:w="6020" w:type="dxa"/>
            <w:shd w:val="clear" w:color="auto" w:fill="auto"/>
            <w:vAlign w:val="center"/>
          </w:tcPr>
          <w:p w14:paraId="31FBDC5B">
            <w:pPr>
              <w:rPr>
                <w:rFonts w:hint="eastAsia"/>
                <w:sz w:val="21"/>
                <w:szCs w:val="21"/>
              </w:rPr>
            </w:pPr>
            <w:r>
              <w:rPr>
                <w:rFonts w:hint="eastAsia"/>
                <w:sz w:val="21"/>
                <w:szCs w:val="21"/>
              </w:rPr>
              <w:t>支持身份证、医保卡、电子医保凭证识别身份、电子就诊二维码多种识别方式，在身份识别时，如果用户未建档，则自动建档</w:t>
            </w:r>
          </w:p>
        </w:tc>
      </w:tr>
      <w:tr w14:paraId="5E20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vMerge w:val="restart"/>
            <w:shd w:val="clear" w:color="auto" w:fill="auto"/>
            <w:vAlign w:val="center"/>
          </w:tcPr>
          <w:p w14:paraId="5BC65CBC">
            <w:pPr>
              <w:rPr>
                <w:rFonts w:hint="eastAsia"/>
                <w:sz w:val="21"/>
                <w:szCs w:val="21"/>
              </w:rPr>
            </w:pPr>
            <w:r>
              <w:rPr>
                <w:rFonts w:hint="eastAsia"/>
                <w:sz w:val="21"/>
                <w:szCs w:val="21"/>
              </w:rPr>
              <w:t>挂号</w:t>
            </w:r>
          </w:p>
        </w:tc>
        <w:tc>
          <w:tcPr>
            <w:tcW w:w="1901" w:type="dxa"/>
            <w:shd w:val="clear" w:color="auto" w:fill="auto"/>
            <w:vAlign w:val="center"/>
          </w:tcPr>
          <w:p w14:paraId="63E0780E">
            <w:pPr>
              <w:rPr>
                <w:rFonts w:hint="eastAsia"/>
                <w:sz w:val="21"/>
                <w:szCs w:val="21"/>
              </w:rPr>
            </w:pPr>
            <w:r>
              <w:rPr>
                <w:rFonts w:hint="eastAsia"/>
                <w:sz w:val="21"/>
                <w:szCs w:val="21"/>
              </w:rPr>
              <w:t>选择科室</w:t>
            </w:r>
          </w:p>
        </w:tc>
        <w:tc>
          <w:tcPr>
            <w:tcW w:w="6020" w:type="dxa"/>
            <w:shd w:val="clear" w:color="auto" w:fill="auto"/>
            <w:vAlign w:val="center"/>
          </w:tcPr>
          <w:p w14:paraId="356A902C">
            <w:pPr>
              <w:rPr>
                <w:rFonts w:hint="eastAsia"/>
                <w:sz w:val="21"/>
                <w:szCs w:val="21"/>
              </w:rPr>
            </w:pPr>
            <w:r>
              <w:rPr>
                <w:rFonts w:hint="eastAsia"/>
                <w:sz w:val="21"/>
                <w:szCs w:val="21"/>
              </w:rPr>
              <w:t>支持选择就诊科室</w:t>
            </w:r>
          </w:p>
        </w:tc>
      </w:tr>
      <w:tr w14:paraId="0E55F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vMerge w:val="continue"/>
            <w:shd w:val="clear" w:color="auto" w:fill="auto"/>
            <w:vAlign w:val="center"/>
          </w:tcPr>
          <w:p w14:paraId="2200086D">
            <w:pPr>
              <w:rPr>
                <w:sz w:val="21"/>
                <w:szCs w:val="21"/>
              </w:rPr>
            </w:pPr>
          </w:p>
        </w:tc>
        <w:tc>
          <w:tcPr>
            <w:tcW w:w="1901" w:type="dxa"/>
            <w:shd w:val="clear" w:color="auto" w:fill="auto"/>
            <w:vAlign w:val="center"/>
          </w:tcPr>
          <w:p w14:paraId="764FF903">
            <w:pPr>
              <w:rPr>
                <w:rFonts w:hint="eastAsia"/>
                <w:sz w:val="21"/>
                <w:szCs w:val="21"/>
              </w:rPr>
            </w:pPr>
            <w:r>
              <w:rPr>
                <w:rFonts w:hint="eastAsia"/>
                <w:sz w:val="21"/>
                <w:szCs w:val="21"/>
              </w:rPr>
              <w:t>选择医生</w:t>
            </w:r>
          </w:p>
        </w:tc>
        <w:tc>
          <w:tcPr>
            <w:tcW w:w="6020" w:type="dxa"/>
            <w:shd w:val="clear" w:color="auto" w:fill="auto"/>
            <w:vAlign w:val="center"/>
          </w:tcPr>
          <w:p w14:paraId="7510E9DD">
            <w:pPr>
              <w:rPr>
                <w:rFonts w:hint="eastAsia"/>
                <w:sz w:val="21"/>
                <w:szCs w:val="21"/>
              </w:rPr>
            </w:pPr>
            <w:r>
              <w:rPr>
                <w:rFonts w:hint="eastAsia"/>
                <w:sz w:val="21"/>
                <w:szCs w:val="21"/>
              </w:rPr>
              <w:t>支持选择就诊医生，显示医生姓名、级别等信息，根据HIS返回</w:t>
            </w:r>
          </w:p>
        </w:tc>
      </w:tr>
      <w:tr w14:paraId="4531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vMerge w:val="continue"/>
            <w:shd w:val="clear" w:color="auto" w:fill="auto"/>
            <w:vAlign w:val="center"/>
          </w:tcPr>
          <w:p w14:paraId="1412D132">
            <w:pPr>
              <w:rPr>
                <w:sz w:val="21"/>
                <w:szCs w:val="21"/>
              </w:rPr>
            </w:pPr>
          </w:p>
        </w:tc>
        <w:tc>
          <w:tcPr>
            <w:tcW w:w="1901" w:type="dxa"/>
            <w:shd w:val="clear" w:color="auto" w:fill="auto"/>
            <w:vAlign w:val="center"/>
          </w:tcPr>
          <w:p w14:paraId="30F03592">
            <w:pPr>
              <w:rPr>
                <w:rFonts w:hint="eastAsia"/>
                <w:sz w:val="21"/>
                <w:szCs w:val="21"/>
              </w:rPr>
            </w:pPr>
            <w:r>
              <w:rPr>
                <w:rFonts w:hint="eastAsia"/>
                <w:sz w:val="21"/>
                <w:szCs w:val="21"/>
              </w:rPr>
              <w:t>挂号支付-自费</w:t>
            </w:r>
          </w:p>
        </w:tc>
        <w:tc>
          <w:tcPr>
            <w:tcW w:w="6020" w:type="dxa"/>
            <w:shd w:val="clear" w:color="auto" w:fill="auto"/>
            <w:vAlign w:val="center"/>
          </w:tcPr>
          <w:p w14:paraId="0A43E3AE">
            <w:pPr>
              <w:rPr>
                <w:rFonts w:hint="eastAsia"/>
                <w:sz w:val="21"/>
                <w:szCs w:val="21"/>
              </w:rPr>
            </w:pPr>
            <w:r>
              <w:rPr>
                <w:rFonts w:hint="eastAsia"/>
                <w:sz w:val="21"/>
                <w:szCs w:val="21"/>
              </w:rPr>
              <w:t>自费包括微信扫码、支付宝扫码、银行卡支付</w:t>
            </w:r>
          </w:p>
        </w:tc>
      </w:tr>
      <w:tr w14:paraId="70F7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vMerge w:val="continue"/>
            <w:shd w:val="clear" w:color="auto" w:fill="auto"/>
            <w:vAlign w:val="center"/>
          </w:tcPr>
          <w:p w14:paraId="2372BD81">
            <w:pPr>
              <w:rPr>
                <w:sz w:val="21"/>
                <w:szCs w:val="21"/>
              </w:rPr>
            </w:pPr>
          </w:p>
        </w:tc>
        <w:tc>
          <w:tcPr>
            <w:tcW w:w="1901" w:type="dxa"/>
            <w:shd w:val="clear" w:color="auto" w:fill="auto"/>
            <w:vAlign w:val="center"/>
          </w:tcPr>
          <w:p w14:paraId="03DCBC35">
            <w:pPr>
              <w:rPr>
                <w:rFonts w:hint="eastAsia"/>
                <w:sz w:val="21"/>
                <w:szCs w:val="21"/>
              </w:rPr>
            </w:pPr>
            <w:r>
              <w:rPr>
                <w:rFonts w:hint="eastAsia"/>
                <w:sz w:val="21"/>
                <w:szCs w:val="21"/>
              </w:rPr>
              <w:t>挂号支付-医保</w:t>
            </w:r>
          </w:p>
        </w:tc>
        <w:tc>
          <w:tcPr>
            <w:tcW w:w="6020" w:type="dxa"/>
            <w:shd w:val="clear" w:color="auto" w:fill="auto"/>
            <w:vAlign w:val="center"/>
          </w:tcPr>
          <w:p w14:paraId="462CF586">
            <w:pPr>
              <w:rPr>
                <w:rFonts w:hint="eastAsia"/>
                <w:sz w:val="21"/>
                <w:szCs w:val="21"/>
              </w:rPr>
            </w:pPr>
            <w:r>
              <w:rPr>
                <w:rFonts w:hint="eastAsia"/>
                <w:sz w:val="21"/>
                <w:szCs w:val="21"/>
              </w:rPr>
              <w:t>医保支持实体医保卡支付、电子医保结算，支持分摊、医保结算及医保余额不足的混合支付</w:t>
            </w:r>
          </w:p>
        </w:tc>
      </w:tr>
      <w:tr w14:paraId="0E54D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vMerge w:val="restart"/>
            <w:shd w:val="clear" w:color="auto" w:fill="auto"/>
            <w:vAlign w:val="center"/>
          </w:tcPr>
          <w:p w14:paraId="5255143B">
            <w:pPr>
              <w:rPr>
                <w:rFonts w:hint="eastAsia"/>
                <w:sz w:val="21"/>
                <w:szCs w:val="21"/>
              </w:rPr>
            </w:pPr>
            <w:r>
              <w:rPr>
                <w:rFonts w:hint="eastAsia"/>
                <w:sz w:val="21"/>
                <w:szCs w:val="21"/>
              </w:rPr>
              <w:t>预约挂号</w:t>
            </w:r>
          </w:p>
        </w:tc>
        <w:tc>
          <w:tcPr>
            <w:tcW w:w="1901" w:type="dxa"/>
            <w:shd w:val="clear" w:color="auto" w:fill="auto"/>
            <w:vAlign w:val="center"/>
          </w:tcPr>
          <w:p w14:paraId="24F5EBFC">
            <w:pPr>
              <w:rPr>
                <w:rFonts w:hint="eastAsia"/>
                <w:sz w:val="21"/>
                <w:szCs w:val="21"/>
              </w:rPr>
            </w:pPr>
            <w:r>
              <w:rPr>
                <w:rFonts w:hint="eastAsia"/>
                <w:sz w:val="21"/>
                <w:szCs w:val="21"/>
              </w:rPr>
              <w:t>预约挂号</w:t>
            </w:r>
          </w:p>
        </w:tc>
        <w:tc>
          <w:tcPr>
            <w:tcW w:w="6020" w:type="dxa"/>
            <w:shd w:val="clear" w:color="auto" w:fill="auto"/>
            <w:vAlign w:val="center"/>
          </w:tcPr>
          <w:p w14:paraId="096AE024">
            <w:pPr>
              <w:rPr>
                <w:rFonts w:hint="eastAsia"/>
                <w:sz w:val="21"/>
                <w:szCs w:val="21"/>
              </w:rPr>
            </w:pPr>
            <w:r>
              <w:rPr>
                <w:rFonts w:hint="eastAsia"/>
                <w:sz w:val="21"/>
                <w:szCs w:val="21"/>
              </w:rPr>
              <w:t>支持预约挂号，预约日期根据医院需求进行适配，预约时支付方式支持自费、医保</w:t>
            </w:r>
          </w:p>
        </w:tc>
      </w:tr>
      <w:tr w14:paraId="2603C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vMerge w:val="continue"/>
            <w:shd w:val="clear" w:color="auto" w:fill="auto"/>
            <w:vAlign w:val="center"/>
          </w:tcPr>
          <w:p w14:paraId="68A86517">
            <w:pPr>
              <w:rPr>
                <w:sz w:val="21"/>
                <w:szCs w:val="21"/>
              </w:rPr>
            </w:pPr>
          </w:p>
        </w:tc>
        <w:tc>
          <w:tcPr>
            <w:tcW w:w="1901" w:type="dxa"/>
            <w:shd w:val="clear" w:color="auto" w:fill="auto"/>
            <w:vAlign w:val="center"/>
          </w:tcPr>
          <w:p w14:paraId="1F3B066A">
            <w:pPr>
              <w:rPr>
                <w:rFonts w:hint="eastAsia"/>
                <w:sz w:val="21"/>
                <w:szCs w:val="21"/>
              </w:rPr>
            </w:pPr>
            <w:r>
              <w:rPr>
                <w:rFonts w:hint="eastAsia"/>
                <w:sz w:val="21"/>
                <w:szCs w:val="21"/>
              </w:rPr>
              <w:t>预约取号</w:t>
            </w:r>
          </w:p>
        </w:tc>
        <w:tc>
          <w:tcPr>
            <w:tcW w:w="6020" w:type="dxa"/>
            <w:shd w:val="clear" w:color="auto" w:fill="auto"/>
            <w:vAlign w:val="center"/>
          </w:tcPr>
          <w:p w14:paraId="3671C8EE">
            <w:pPr>
              <w:rPr>
                <w:rFonts w:hint="eastAsia"/>
                <w:sz w:val="21"/>
                <w:szCs w:val="21"/>
              </w:rPr>
            </w:pPr>
            <w:r>
              <w:rPr>
                <w:rFonts w:hint="eastAsia"/>
                <w:sz w:val="21"/>
                <w:szCs w:val="21"/>
              </w:rPr>
              <w:t>支持就诊当日取号</w:t>
            </w:r>
          </w:p>
        </w:tc>
      </w:tr>
      <w:tr w14:paraId="0F11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vMerge w:val="continue"/>
            <w:shd w:val="clear" w:color="auto" w:fill="auto"/>
            <w:vAlign w:val="center"/>
          </w:tcPr>
          <w:p w14:paraId="79E39CE7">
            <w:pPr>
              <w:rPr>
                <w:sz w:val="21"/>
                <w:szCs w:val="21"/>
              </w:rPr>
            </w:pPr>
          </w:p>
        </w:tc>
        <w:tc>
          <w:tcPr>
            <w:tcW w:w="1901" w:type="dxa"/>
            <w:shd w:val="clear" w:color="auto" w:fill="auto"/>
            <w:vAlign w:val="center"/>
          </w:tcPr>
          <w:p w14:paraId="2C0739CA">
            <w:pPr>
              <w:rPr>
                <w:rFonts w:hint="eastAsia"/>
                <w:sz w:val="21"/>
                <w:szCs w:val="21"/>
              </w:rPr>
            </w:pPr>
            <w:r>
              <w:rPr>
                <w:rFonts w:hint="eastAsia"/>
                <w:sz w:val="21"/>
                <w:szCs w:val="21"/>
              </w:rPr>
              <w:t>查询预约记录</w:t>
            </w:r>
          </w:p>
        </w:tc>
        <w:tc>
          <w:tcPr>
            <w:tcW w:w="6020" w:type="dxa"/>
            <w:shd w:val="clear" w:color="auto" w:fill="auto"/>
            <w:vAlign w:val="center"/>
          </w:tcPr>
          <w:p w14:paraId="2C40B534">
            <w:pPr>
              <w:rPr>
                <w:rFonts w:hint="eastAsia"/>
                <w:sz w:val="21"/>
                <w:szCs w:val="21"/>
              </w:rPr>
            </w:pPr>
            <w:r>
              <w:rPr>
                <w:rFonts w:hint="eastAsia"/>
                <w:sz w:val="21"/>
                <w:szCs w:val="21"/>
              </w:rPr>
              <w:t>可查询预约记录的日期根据医院的需求进行适配，显示项目包括科室名称、医生名称等</w:t>
            </w:r>
          </w:p>
        </w:tc>
      </w:tr>
      <w:tr w14:paraId="56E58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vMerge w:val="restart"/>
            <w:shd w:val="clear" w:color="auto" w:fill="auto"/>
            <w:vAlign w:val="center"/>
          </w:tcPr>
          <w:p w14:paraId="1ACF34C5">
            <w:pPr>
              <w:rPr>
                <w:rFonts w:hint="eastAsia"/>
                <w:sz w:val="21"/>
                <w:szCs w:val="21"/>
              </w:rPr>
            </w:pPr>
            <w:r>
              <w:rPr>
                <w:rFonts w:hint="eastAsia"/>
                <w:sz w:val="21"/>
                <w:szCs w:val="21"/>
              </w:rPr>
              <w:t>缴费</w:t>
            </w:r>
          </w:p>
        </w:tc>
        <w:tc>
          <w:tcPr>
            <w:tcW w:w="1901" w:type="dxa"/>
            <w:shd w:val="clear" w:color="auto" w:fill="auto"/>
            <w:vAlign w:val="center"/>
          </w:tcPr>
          <w:p w14:paraId="1A283579">
            <w:pPr>
              <w:rPr>
                <w:rFonts w:hint="eastAsia"/>
                <w:sz w:val="21"/>
                <w:szCs w:val="21"/>
              </w:rPr>
            </w:pPr>
            <w:r>
              <w:rPr>
                <w:rFonts w:hint="eastAsia"/>
                <w:sz w:val="21"/>
                <w:szCs w:val="21"/>
              </w:rPr>
              <w:t>查询待缴费处方列表</w:t>
            </w:r>
          </w:p>
        </w:tc>
        <w:tc>
          <w:tcPr>
            <w:tcW w:w="6020" w:type="dxa"/>
            <w:shd w:val="clear" w:color="auto" w:fill="auto"/>
            <w:vAlign w:val="center"/>
          </w:tcPr>
          <w:p w14:paraId="13981683">
            <w:pPr>
              <w:rPr>
                <w:rFonts w:hint="eastAsia"/>
                <w:sz w:val="21"/>
                <w:szCs w:val="21"/>
              </w:rPr>
            </w:pPr>
            <w:r>
              <w:rPr>
                <w:rFonts w:hint="eastAsia"/>
                <w:sz w:val="21"/>
                <w:szCs w:val="21"/>
              </w:rPr>
              <w:t>选择待缴费挂号后，显示待缴费的处方明细，缴费必须处方全部缴纳</w:t>
            </w:r>
          </w:p>
        </w:tc>
      </w:tr>
      <w:tr w14:paraId="2DE5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vMerge w:val="continue"/>
            <w:shd w:val="clear" w:color="auto" w:fill="auto"/>
            <w:vAlign w:val="center"/>
          </w:tcPr>
          <w:p w14:paraId="3E75B3F9">
            <w:pPr>
              <w:rPr>
                <w:sz w:val="21"/>
                <w:szCs w:val="21"/>
              </w:rPr>
            </w:pPr>
          </w:p>
        </w:tc>
        <w:tc>
          <w:tcPr>
            <w:tcW w:w="1901" w:type="dxa"/>
            <w:shd w:val="clear" w:color="auto" w:fill="auto"/>
            <w:vAlign w:val="center"/>
          </w:tcPr>
          <w:p w14:paraId="44861FB0">
            <w:pPr>
              <w:rPr>
                <w:rFonts w:hint="eastAsia"/>
                <w:sz w:val="21"/>
                <w:szCs w:val="21"/>
              </w:rPr>
            </w:pPr>
            <w:r>
              <w:rPr>
                <w:rFonts w:hint="eastAsia"/>
                <w:sz w:val="21"/>
                <w:szCs w:val="21"/>
              </w:rPr>
              <w:t>缴费支付-自费</w:t>
            </w:r>
          </w:p>
        </w:tc>
        <w:tc>
          <w:tcPr>
            <w:tcW w:w="6020" w:type="dxa"/>
            <w:shd w:val="clear" w:color="auto" w:fill="auto"/>
            <w:vAlign w:val="center"/>
          </w:tcPr>
          <w:p w14:paraId="687A80AC">
            <w:pPr>
              <w:rPr>
                <w:rFonts w:hint="eastAsia"/>
                <w:sz w:val="21"/>
                <w:szCs w:val="21"/>
              </w:rPr>
            </w:pPr>
            <w:r>
              <w:rPr>
                <w:rFonts w:hint="eastAsia"/>
                <w:sz w:val="21"/>
                <w:szCs w:val="21"/>
              </w:rPr>
              <w:t>自费包括微信扫码、支付宝扫码、银行卡支付</w:t>
            </w:r>
          </w:p>
        </w:tc>
      </w:tr>
      <w:tr w14:paraId="3A2CF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vMerge w:val="continue"/>
            <w:shd w:val="clear" w:color="auto" w:fill="auto"/>
            <w:vAlign w:val="center"/>
          </w:tcPr>
          <w:p w14:paraId="69926E07">
            <w:pPr>
              <w:rPr>
                <w:sz w:val="21"/>
                <w:szCs w:val="21"/>
              </w:rPr>
            </w:pPr>
          </w:p>
        </w:tc>
        <w:tc>
          <w:tcPr>
            <w:tcW w:w="1901" w:type="dxa"/>
            <w:shd w:val="clear" w:color="auto" w:fill="auto"/>
            <w:vAlign w:val="center"/>
          </w:tcPr>
          <w:p w14:paraId="3193FD5A">
            <w:pPr>
              <w:rPr>
                <w:rFonts w:hint="eastAsia"/>
                <w:sz w:val="21"/>
                <w:szCs w:val="21"/>
              </w:rPr>
            </w:pPr>
            <w:r>
              <w:rPr>
                <w:rFonts w:hint="eastAsia"/>
                <w:sz w:val="21"/>
                <w:szCs w:val="21"/>
              </w:rPr>
              <w:t>缴费支付-医保</w:t>
            </w:r>
          </w:p>
        </w:tc>
        <w:tc>
          <w:tcPr>
            <w:tcW w:w="6020" w:type="dxa"/>
            <w:shd w:val="clear" w:color="auto" w:fill="auto"/>
            <w:vAlign w:val="center"/>
          </w:tcPr>
          <w:p w14:paraId="156B345F">
            <w:pPr>
              <w:rPr>
                <w:rFonts w:hint="eastAsia"/>
                <w:sz w:val="21"/>
                <w:szCs w:val="21"/>
              </w:rPr>
            </w:pPr>
            <w:r>
              <w:rPr>
                <w:rFonts w:hint="eastAsia"/>
                <w:sz w:val="21"/>
                <w:szCs w:val="21"/>
              </w:rPr>
              <w:t>医保支持实体医保卡支付、电子医保结算，支持分摊、医保结算及医保余额不足的混合支付</w:t>
            </w:r>
          </w:p>
        </w:tc>
      </w:tr>
      <w:tr w14:paraId="4DA4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vMerge w:val="restart"/>
            <w:shd w:val="clear" w:color="auto" w:fill="auto"/>
            <w:vAlign w:val="center"/>
          </w:tcPr>
          <w:p w14:paraId="51EEFB99">
            <w:pPr>
              <w:rPr>
                <w:rFonts w:hint="eastAsia"/>
                <w:sz w:val="21"/>
                <w:szCs w:val="21"/>
              </w:rPr>
            </w:pPr>
            <w:r>
              <w:rPr>
                <w:rFonts w:hint="eastAsia"/>
                <w:sz w:val="21"/>
                <w:szCs w:val="21"/>
              </w:rPr>
              <w:t>记录查询</w:t>
            </w:r>
          </w:p>
        </w:tc>
        <w:tc>
          <w:tcPr>
            <w:tcW w:w="1901" w:type="dxa"/>
            <w:shd w:val="clear" w:color="auto" w:fill="auto"/>
            <w:vAlign w:val="center"/>
          </w:tcPr>
          <w:p w14:paraId="5836FFF0">
            <w:pPr>
              <w:rPr>
                <w:rFonts w:hint="eastAsia"/>
                <w:sz w:val="21"/>
                <w:szCs w:val="21"/>
              </w:rPr>
            </w:pPr>
            <w:r>
              <w:rPr>
                <w:rFonts w:hint="eastAsia"/>
                <w:sz w:val="21"/>
                <w:szCs w:val="21"/>
              </w:rPr>
              <w:t>查询挂号记录</w:t>
            </w:r>
          </w:p>
        </w:tc>
        <w:tc>
          <w:tcPr>
            <w:tcW w:w="6020" w:type="dxa"/>
            <w:shd w:val="clear" w:color="auto" w:fill="auto"/>
            <w:vAlign w:val="center"/>
          </w:tcPr>
          <w:p w14:paraId="51056E7B">
            <w:pPr>
              <w:rPr>
                <w:rFonts w:hint="eastAsia"/>
                <w:sz w:val="21"/>
                <w:szCs w:val="21"/>
              </w:rPr>
            </w:pPr>
            <w:r>
              <w:rPr>
                <w:rFonts w:hint="eastAsia"/>
                <w:sz w:val="21"/>
                <w:szCs w:val="21"/>
              </w:rPr>
              <w:t>可查询日期根据医院需求进行适配，显示项目包括科室名称、医生名称、金额、日期等</w:t>
            </w:r>
          </w:p>
        </w:tc>
      </w:tr>
      <w:tr w14:paraId="1E28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vMerge w:val="continue"/>
            <w:shd w:val="clear" w:color="auto" w:fill="auto"/>
            <w:vAlign w:val="center"/>
          </w:tcPr>
          <w:p w14:paraId="2FA3C8BC">
            <w:pPr>
              <w:rPr>
                <w:sz w:val="21"/>
                <w:szCs w:val="21"/>
              </w:rPr>
            </w:pPr>
          </w:p>
        </w:tc>
        <w:tc>
          <w:tcPr>
            <w:tcW w:w="1901" w:type="dxa"/>
            <w:shd w:val="clear" w:color="auto" w:fill="auto"/>
            <w:vAlign w:val="center"/>
          </w:tcPr>
          <w:p w14:paraId="3958981C">
            <w:pPr>
              <w:rPr>
                <w:rFonts w:hint="eastAsia"/>
                <w:sz w:val="21"/>
                <w:szCs w:val="21"/>
              </w:rPr>
            </w:pPr>
            <w:r>
              <w:rPr>
                <w:rFonts w:hint="eastAsia"/>
                <w:sz w:val="21"/>
                <w:szCs w:val="21"/>
              </w:rPr>
              <w:t>查询缴费记录</w:t>
            </w:r>
          </w:p>
        </w:tc>
        <w:tc>
          <w:tcPr>
            <w:tcW w:w="6020" w:type="dxa"/>
            <w:shd w:val="clear" w:color="auto" w:fill="auto"/>
            <w:vAlign w:val="center"/>
          </w:tcPr>
          <w:p w14:paraId="16D02C69">
            <w:pPr>
              <w:rPr>
                <w:rFonts w:hint="eastAsia"/>
                <w:sz w:val="21"/>
                <w:szCs w:val="21"/>
              </w:rPr>
            </w:pPr>
            <w:r>
              <w:rPr>
                <w:rFonts w:hint="eastAsia"/>
                <w:sz w:val="21"/>
                <w:szCs w:val="21"/>
              </w:rPr>
              <w:t>可查询日期根据医院需求进行适配，显示项目包括缴费金额、缴费明细、日期等</w:t>
            </w:r>
          </w:p>
        </w:tc>
      </w:tr>
      <w:tr w14:paraId="1E38E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shd w:val="clear" w:color="auto" w:fill="auto"/>
            <w:vAlign w:val="center"/>
          </w:tcPr>
          <w:p w14:paraId="20F337CA">
            <w:pPr>
              <w:rPr>
                <w:rFonts w:hint="eastAsia"/>
                <w:sz w:val="21"/>
                <w:szCs w:val="21"/>
              </w:rPr>
            </w:pPr>
            <w:r>
              <w:rPr>
                <w:rFonts w:hint="eastAsia"/>
                <w:sz w:val="21"/>
                <w:szCs w:val="21"/>
              </w:rPr>
              <w:t>检验结果打印</w:t>
            </w:r>
          </w:p>
        </w:tc>
        <w:tc>
          <w:tcPr>
            <w:tcW w:w="1901" w:type="dxa"/>
            <w:shd w:val="clear" w:color="auto" w:fill="auto"/>
            <w:vAlign w:val="center"/>
          </w:tcPr>
          <w:p w14:paraId="2DB008EA">
            <w:pPr>
              <w:rPr>
                <w:rFonts w:hint="eastAsia"/>
                <w:sz w:val="21"/>
                <w:szCs w:val="21"/>
              </w:rPr>
            </w:pPr>
            <w:r>
              <w:rPr>
                <w:rFonts w:hint="eastAsia"/>
                <w:sz w:val="21"/>
                <w:szCs w:val="21"/>
              </w:rPr>
              <w:t>打印检验结果</w:t>
            </w:r>
          </w:p>
        </w:tc>
        <w:tc>
          <w:tcPr>
            <w:tcW w:w="6020" w:type="dxa"/>
            <w:shd w:val="clear" w:color="auto" w:fill="auto"/>
            <w:vAlign w:val="center"/>
          </w:tcPr>
          <w:p w14:paraId="5552CC41">
            <w:pPr>
              <w:rPr>
                <w:rFonts w:hint="eastAsia"/>
                <w:sz w:val="21"/>
                <w:szCs w:val="21"/>
              </w:rPr>
            </w:pPr>
            <w:r>
              <w:rPr>
                <w:rFonts w:hint="eastAsia"/>
                <w:sz w:val="21"/>
                <w:szCs w:val="21"/>
              </w:rPr>
              <w:t>支持一次打印多张检验结果</w:t>
            </w:r>
          </w:p>
        </w:tc>
      </w:tr>
      <w:tr w14:paraId="48EE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shd w:val="clear" w:color="auto" w:fill="auto"/>
            <w:vAlign w:val="center"/>
          </w:tcPr>
          <w:p w14:paraId="08245000">
            <w:pPr>
              <w:rPr>
                <w:rFonts w:hint="eastAsia"/>
                <w:sz w:val="21"/>
                <w:szCs w:val="21"/>
              </w:rPr>
            </w:pPr>
            <w:r>
              <w:rPr>
                <w:rFonts w:hint="eastAsia"/>
                <w:sz w:val="21"/>
                <w:szCs w:val="21"/>
              </w:rPr>
              <w:t>检查结果打印</w:t>
            </w:r>
          </w:p>
        </w:tc>
        <w:tc>
          <w:tcPr>
            <w:tcW w:w="1901" w:type="dxa"/>
            <w:shd w:val="clear" w:color="auto" w:fill="auto"/>
            <w:vAlign w:val="center"/>
          </w:tcPr>
          <w:p w14:paraId="741DB862">
            <w:pPr>
              <w:rPr>
                <w:rFonts w:hint="eastAsia"/>
                <w:sz w:val="21"/>
                <w:szCs w:val="21"/>
              </w:rPr>
            </w:pPr>
            <w:r>
              <w:rPr>
                <w:rFonts w:hint="eastAsia"/>
                <w:sz w:val="21"/>
                <w:szCs w:val="21"/>
              </w:rPr>
              <w:t>打印检查结果</w:t>
            </w:r>
          </w:p>
        </w:tc>
        <w:tc>
          <w:tcPr>
            <w:tcW w:w="6020" w:type="dxa"/>
            <w:shd w:val="clear" w:color="auto" w:fill="auto"/>
            <w:vAlign w:val="center"/>
          </w:tcPr>
          <w:p w14:paraId="33378422">
            <w:pPr>
              <w:rPr>
                <w:rFonts w:hint="eastAsia"/>
                <w:sz w:val="21"/>
                <w:szCs w:val="21"/>
              </w:rPr>
            </w:pPr>
            <w:r>
              <w:rPr>
                <w:rFonts w:hint="eastAsia"/>
                <w:sz w:val="21"/>
                <w:szCs w:val="21"/>
              </w:rPr>
              <w:t>支持一次打印多张检查结果</w:t>
            </w:r>
          </w:p>
        </w:tc>
      </w:tr>
      <w:tr w14:paraId="3AD1F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shd w:val="clear" w:color="auto" w:fill="auto"/>
            <w:vAlign w:val="center"/>
          </w:tcPr>
          <w:p w14:paraId="0A174C9F">
            <w:pPr>
              <w:rPr>
                <w:rFonts w:hint="eastAsia"/>
                <w:sz w:val="21"/>
                <w:szCs w:val="21"/>
              </w:rPr>
            </w:pPr>
            <w:r>
              <w:rPr>
                <w:rFonts w:hint="eastAsia"/>
                <w:sz w:val="21"/>
                <w:szCs w:val="21"/>
              </w:rPr>
              <w:t>电子发票打印</w:t>
            </w:r>
          </w:p>
        </w:tc>
        <w:tc>
          <w:tcPr>
            <w:tcW w:w="1901" w:type="dxa"/>
            <w:shd w:val="clear" w:color="auto" w:fill="auto"/>
            <w:vAlign w:val="center"/>
          </w:tcPr>
          <w:p w14:paraId="3AE336F2">
            <w:pPr>
              <w:rPr>
                <w:rFonts w:hint="eastAsia"/>
                <w:sz w:val="21"/>
                <w:szCs w:val="21"/>
              </w:rPr>
            </w:pPr>
            <w:r>
              <w:rPr>
                <w:rFonts w:hint="eastAsia"/>
                <w:sz w:val="21"/>
                <w:szCs w:val="21"/>
              </w:rPr>
              <w:t>打印电子发票</w:t>
            </w:r>
          </w:p>
        </w:tc>
        <w:tc>
          <w:tcPr>
            <w:tcW w:w="6020" w:type="dxa"/>
            <w:shd w:val="clear" w:color="auto" w:fill="auto"/>
            <w:vAlign w:val="center"/>
          </w:tcPr>
          <w:p w14:paraId="39BFAAD2">
            <w:pPr>
              <w:rPr>
                <w:rFonts w:hint="eastAsia"/>
                <w:sz w:val="21"/>
                <w:szCs w:val="21"/>
              </w:rPr>
            </w:pPr>
            <w:r>
              <w:rPr>
                <w:rFonts w:hint="eastAsia"/>
                <w:sz w:val="21"/>
                <w:szCs w:val="21"/>
              </w:rPr>
              <w:t>支持门诊、住院患者在自助机上打印电子发票</w:t>
            </w:r>
          </w:p>
        </w:tc>
      </w:tr>
      <w:tr w14:paraId="36578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vMerge w:val="restart"/>
            <w:shd w:val="clear" w:color="auto" w:fill="auto"/>
            <w:vAlign w:val="center"/>
          </w:tcPr>
          <w:p w14:paraId="52ACEAB9">
            <w:pPr>
              <w:rPr>
                <w:rFonts w:hint="eastAsia"/>
                <w:sz w:val="21"/>
                <w:szCs w:val="21"/>
              </w:rPr>
            </w:pPr>
            <w:r>
              <w:rPr>
                <w:rFonts w:hint="eastAsia"/>
                <w:sz w:val="21"/>
                <w:szCs w:val="21"/>
              </w:rPr>
              <w:t>信息查询</w:t>
            </w:r>
          </w:p>
        </w:tc>
        <w:tc>
          <w:tcPr>
            <w:tcW w:w="1901" w:type="dxa"/>
            <w:shd w:val="clear" w:color="auto" w:fill="auto"/>
            <w:vAlign w:val="center"/>
          </w:tcPr>
          <w:p w14:paraId="4EB589CE">
            <w:pPr>
              <w:rPr>
                <w:rFonts w:hint="eastAsia"/>
                <w:sz w:val="21"/>
                <w:szCs w:val="21"/>
              </w:rPr>
            </w:pPr>
            <w:r>
              <w:rPr>
                <w:rFonts w:hint="eastAsia"/>
                <w:sz w:val="21"/>
                <w:szCs w:val="21"/>
              </w:rPr>
              <w:t>查询医院信息</w:t>
            </w:r>
          </w:p>
        </w:tc>
        <w:tc>
          <w:tcPr>
            <w:tcW w:w="6020" w:type="dxa"/>
            <w:shd w:val="clear" w:color="auto" w:fill="auto"/>
            <w:vAlign w:val="center"/>
          </w:tcPr>
          <w:p w14:paraId="2574926F">
            <w:pPr>
              <w:rPr>
                <w:rFonts w:hint="eastAsia"/>
                <w:sz w:val="21"/>
                <w:szCs w:val="21"/>
              </w:rPr>
            </w:pPr>
            <w:r>
              <w:rPr>
                <w:rFonts w:hint="eastAsia"/>
                <w:sz w:val="21"/>
                <w:szCs w:val="21"/>
              </w:rPr>
              <w:t>介绍医院的详细信息，医院信息可在配置</w:t>
            </w:r>
          </w:p>
        </w:tc>
      </w:tr>
      <w:tr w14:paraId="22BD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vMerge w:val="continue"/>
            <w:shd w:val="clear" w:color="auto" w:fill="auto"/>
            <w:vAlign w:val="center"/>
          </w:tcPr>
          <w:p w14:paraId="56CCA025">
            <w:pPr>
              <w:rPr>
                <w:sz w:val="21"/>
                <w:szCs w:val="21"/>
              </w:rPr>
            </w:pPr>
          </w:p>
        </w:tc>
        <w:tc>
          <w:tcPr>
            <w:tcW w:w="1901" w:type="dxa"/>
            <w:shd w:val="clear" w:color="auto" w:fill="auto"/>
            <w:vAlign w:val="center"/>
          </w:tcPr>
          <w:p w14:paraId="03288D27">
            <w:pPr>
              <w:rPr>
                <w:rFonts w:hint="eastAsia"/>
                <w:sz w:val="21"/>
                <w:szCs w:val="21"/>
              </w:rPr>
            </w:pPr>
            <w:r>
              <w:rPr>
                <w:rFonts w:hint="eastAsia"/>
                <w:sz w:val="21"/>
                <w:szCs w:val="21"/>
              </w:rPr>
              <w:t>查询科室信息</w:t>
            </w:r>
          </w:p>
        </w:tc>
        <w:tc>
          <w:tcPr>
            <w:tcW w:w="6020" w:type="dxa"/>
            <w:shd w:val="clear" w:color="auto" w:fill="auto"/>
            <w:vAlign w:val="center"/>
          </w:tcPr>
          <w:p w14:paraId="45BBBF40">
            <w:pPr>
              <w:rPr>
                <w:rFonts w:hint="eastAsia"/>
                <w:sz w:val="21"/>
                <w:szCs w:val="21"/>
              </w:rPr>
            </w:pPr>
            <w:r>
              <w:rPr>
                <w:rFonts w:hint="eastAsia"/>
                <w:sz w:val="21"/>
                <w:szCs w:val="21"/>
              </w:rPr>
              <w:t>介绍医院的科室概况，科室信息可在前置管理平台上编辑设置</w:t>
            </w:r>
          </w:p>
        </w:tc>
      </w:tr>
      <w:tr w14:paraId="79BFD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vMerge w:val="continue"/>
            <w:shd w:val="clear" w:color="auto" w:fill="auto"/>
            <w:vAlign w:val="center"/>
          </w:tcPr>
          <w:p w14:paraId="4A73E485">
            <w:pPr>
              <w:rPr>
                <w:sz w:val="21"/>
                <w:szCs w:val="21"/>
              </w:rPr>
            </w:pPr>
          </w:p>
        </w:tc>
        <w:tc>
          <w:tcPr>
            <w:tcW w:w="1901" w:type="dxa"/>
            <w:shd w:val="clear" w:color="auto" w:fill="auto"/>
            <w:vAlign w:val="center"/>
          </w:tcPr>
          <w:p w14:paraId="5B12A645">
            <w:pPr>
              <w:rPr>
                <w:rFonts w:hint="eastAsia"/>
                <w:sz w:val="21"/>
                <w:szCs w:val="21"/>
              </w:rPr>
            </w:pPr>
            <w:r>
              <w:rPr>
                <w:rFonts w:hint="eastAsia"/>
                <w:sz w:val="21"/>
                <w:szCs w:val="21"/>
              </w:rPr>
              <w:t>查询医生信息</w:t>
            </w:r>
          </w:p>
        </w:tc>
        <w:tc>
          <w:tcPr>
            <w:tcW w:w="6020" w:type="dxa"/>
            <w:shd w:val="clear" w:color="auto" w:fill="auto"/>
            <w:vAlign w:val="center"/>
          </w:tcPr>
          <w:p w14:paraId="75818ABE">
            <w:pPr>
              <w:rPr>
                <w:rFonts w:hint="eastAsia"/>
                <w:sz w:val="21"/>
                <w:szCs w:val="21"/>
              </w:rPr>
            </w:pPr>
            <w:r>
              <w:rPr>
                <w:rFonts w:hint="eastAsia"/>
                <w:sz w:val="21"/>
                <w:szCs w:val="21"/>
              </w:rPr>
              <w:t>介绍医院的名医风采，医生信息可在前置管理平台上编辑设置</w:t>
            </w:r>
          </w:p>
        </w:tc>
      </w:tr>
      <w:tr w14:paraId="69FE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vMerge w:val="continue"/>
            <w:shd w:val="clear" w:color="auto" w:fill="auto"/>
            <w:vAlign w:val="center"/>
          </w:tcPr>
          <w:p w14:paraId="4F2B762B">
            <w:pPr>
              <w:rPr>
                <w:sz w:val="21"/>
                <w:szCs w:val="21"/>
              </w:rPr>
            </w:pPr>
          </w:p>
        </w:tc>
        <w:tc>
          <w:tcPr>
            <w:tcW w:w="1901" w:type="dxa"/>
            <w:shd w:val="clear" w:color="auto" w:fill="auto"/>
            <w:vAlign w:val="center"/>
          </w:tcPr>
          <w:p w14:paraId="51612E8E">
            <w:pPr>
              <w:rPr>
                <w:rFonts w:hint="eastAsia"/>
                <w:sz w:val="21"/>
                <w:szCs w:val="21"/>
              </w:rPr>
            </w:pPr>
            <w:r>
              <w:rPr>
                <w:rFonts w:hint="eastAsia"/>
                <w:sz w:val="21"/>
                <w:szCs w:val="21"/>
              </w:rPr>
              <w:t>查询非药品信息</w:t>
            </w:r>
          </w:p>
        </w:tc>
        <w:tc>
          <w:tcPr>
            <w:tcW w:w="6020" w:type="dxa"/>
            <w:shd w:val="clear" w:color="auto" w:fill="auto"/>
            <w:vAlign w:val="center"/>
          </w:tcPr>
          <w:p w14:paraId="1843DCBF">
            <w:pPr>
              <w:rPr>
                <w:rFonts w:hint="eastAsia"/>
                <w:sz w:val="21"/>
                <w:szCs w:val="21"/>
              </w:rPr>
            </w:pPr>
            <w:r>
              <w:rPr>
                <w:rFonts w:hint="eastAsia"/>
                <w:sz w:val="21"/>
                <w:szCs w:val="21"/>
              </w:rPr>
              <w:t>显示非药品项目的信息，包括名称、价格、规格等</w:t>
            </w:r>
          </w:p>
        </w:tc>
      </w:tr>
      <w:tr w14:paraId="43D75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vMerge w:val="continue"/>
            <w:shd w:val="clear" w:color="auto" w:fill="auto"/>
            <w:vAlign w:val="center"/>
          </w:tcPr>
          <w:p w14:paraId="64CED720">
            <w:pPr>
              <w:rPr>
                <w:sz w:val="21"/>
                <w:szCs w:val="21"/>
              </w:rPr>
            </w:pPr>
          </w:p>
        </w:tc>
        <w:tc>
          <w:tcPr>
            <w:tcW w:w="1901" w:type="dxa"/>
            <w:shd w:val="clear" w:color="auto" w:fill="auto"/>
            <w:vAlign w:val="center"/>
          </w:tcPr>
          <w:p w14:paraId="6E1FC4E2">
            <w:pPr>
              <w:rPr>
                <w:rFonts w:hint="eastAsia"/>
                <w:sz w:val="21"/>
                <w:szCs w:val="21"/>
              </w:rPr>
            </w:pPr>
            <w:r>
              <w:rPr>
                <w:rFonts w:hint="eastAsia"/>
                <w:sz w:val="21"/>
                <w:szCs w:val="21"/>
              </w:rPr>
              <w:t>查询药品信息</w:t>
            </w:r>
          </w:p>
        </w:tc>
        <w:tc>
          <w:tcPr>
            <w:tcW w:w="6020" w:type="dxa"/>
            <w:shd w:val="clear" w:color="auto" w:fill="auto"/>
            <w:vAlign w:val="center"/>
          </w:tcPr>
          <w:p w14:paraId="53D0FF45">
            <w:pPr>
              <w:rPr>
                <w:rFonts w:hint="eastAsia"/>
                <w:sz w:val="21"/>
                <w:szCs w:val="21"/>
              </w:rPr>
            </w:pPr>
            <w:r>
              <w:rPr>
                <w:rFonts w:hint="eastAsia"/>
                <w:sz w:val="21"/>
                <w:szCs w:val="21"/>
              </w:rPr>
              <w:t>显示药品项目的信息，包括名称、价格、规格等</w:t>
            </w:r>
          </w:p>
        </w:tc>
      </w:tr>
      <w:tr w14:paraId="12601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vMerge w:val="restart"/>
            <w:shd w:val="clear" w:color="auto" w:fill="auto"/>
            <w:vAlign w:val="center"/>
          </w:tcPr>
          <w:p w14:paraId="130E5D7A">
            <w:pPr>
              <w:rPr>
                <w:rFonts w:hint="eastAsia"/>
                <w:sz w:val="21"/>
                <w:szCs w:val="21"/>
              </w:rPr>
            </w:pPr>
            <w:r>
              <w:rPr>
                <w:rFonts w:hint="eastAsia"/>
                <w:sz w:val="21"/>
                <w:szCs w:val="21"/>
              </w:rPr>
              <w:t>满意度调查</w:t>
            </w:r>
          </w:p>
        </w:tc>
        <w:tc>
          <w:tcPr>
            <w:tcW w:w="1901" w:type="dxa"/>
            <w:shd w:val="clear" w:color="auto" w:fill="auto"/>
            <w:vAlign w:val="center"/>
          </w:tcPr>
          <w:p w14:paraId="2924D8CE">
            <w:pPr>
              <w:rPr>
                <w:rFonts w:hint="eastAsia"/>
                <w:sz w:val="21"/>
                <w:szCs w:val="21"/>
              </w:rPr>
            </w:pPr>
            <w:r>
              <w:rPr>
                <w:rFonts w:hint="eastAsia"/>
                <w:sz w:val="21"/>
                <w:szCs w:val="21"/>
              </w:rPr>
              <w:t>门诊与住院问卷获取</w:t>
            </w:r>
          </w:p>
        </w:tc>
        <w:tc>
          <w:tcPr>
            <w:tcW w:w="6020" w:type="dxa"/>
            <w:shd w:val="clear" w:color="auto" w:fill="auto"/>
            <w:vAlign w:val="center"/>
          </w:tcPr>
          <w:p w14:paraId="059E1541">
            <w:pPr>
              <w:rPr>
                <w:rFonts w:hint="eastAsia"/>
                <w:sz w:val="21"/>
                <w:szCs w:val="21"/>
              </w:rPr>
            </w:pPr>
            <w:r>
              <w:rPr>
                <w:rFonts w:hint="eastAsia"/>
                <w:sz w:val="21"/>
                <w:szCs w:val="21"/>
              </w:rPr>
              <w:t>问卷可根据业务场景分类而不同，总体分为门诊、住院两类问卷</w:t>
            </w:r>
          </w:p>
        </w:tc>
      </w:tr>
      <w:tr w14:paraId="5C06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vMerge w:val="continue"/>
            <w:shd w:val="clear" w:color="auto" w:fill="auto"/>
            <w:vAlign w:val="center"/>
          </w:tcPr>
          <w:p w14:paraId="0BC7ACC5">
            <w:pPr>
              <w:rPr>
                <w:sz w:val="21"/>
                <w:szCs w:val="21"/>
              </w:rPr>
            </w:pPr>
          </w:p>
        </w:tc>
        <w:tc>
          <w:tcPr>
            <w:tcW w:w="1901" w:type="dxa"/>
            <w:shd w:val="clear" w:color="auto" w:fill="auto"/>
            <w:vAlign w:val="center"/>
          </w:tcPr>
          <w:p w14:paraId="063BBDE3">
            <w:pPr>
              <w:rPr>
                <w:rFonts w:hint="eastAsia"/>
                <w:sz w:val="21"/>
                <w:szCs w:val="21"/>
              </w:rPr>
            </w:pPr>
            <w:r>
              <w:rPr>
                <w:rFonts w:hint="eastAsia"/>
                <w:sz w:val="21"/>
                <w:szCs w:val="21"/>
              </w:rPr>
              <w:t>可设实名或匿名模式</w:t>
            </w:r>
          </w:p>
        </w:tc>
        <w:tc>
          <w:tcPr>
            <w:tcW w:w="6020" w:type="dxa"/>
            <w:shd w:val="clear" w:color="auto" w:fill="auto"/>
            <w:vAlign w:val="center"/>
          </w:tcPr>
          <w:p w14:paraId="3CF06968">
            <w:pPr>
              <w:rPr>
                <w:rFonts w:hint="eastAsia"/>
                <w:sz w:val="21"/>
                <w:szCs w:val="21"/>
              </w:rPr>
            </w:pPr>
            <w:r>
              <w:rPr>
                <w:rFonts w:hint="eastAsia"/>
                <w:sz w:val="21"/>
                <w:szCs w:val="21"/>
              </w:rPr>
              <w:t>支持患者实名制、匿名多种调查模式</w:t>
            </w:r>
          </w:p>
        </w:tc>
      </w:tr>
    </w:tbl>
    <w:p w14:paraId="13758269">
      <w:pPr>
        <w:spacing w:line="312" w:lineRule="auto"/>
        <w:ind w:firstLine="420"/>
      </w:pPr>
      <w:r>
        <w:rPr>
          <w:rFonts w:hint="eastAsia"/>
        </w:rPr>
        <w:t>自助服务管理平台需要至少满足如下功能范围：</w:t>
      </w:r>
    </w:p>
    <w:tbl>
      <w:tblPr>
        <w:tblStyle w:val="22"/>
        <w:tblW w:w="9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2067"/>
        <w:gridCol w:w="5887"/>
      </w:tblGrid>
      <w:tr w14:paraId="5B395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745" w:type="dxa"/>
            <w:shd w:val="clear" w:color="auto" w:fill="auto"/>
            <w:vAlign w:val="center"/>
          </w:tcPr>
          <w:p w14:paraId="6148D729">
            <w:pPr>
              <w:rPr>
                <w:b/>
                <w:bCs/>
                <w:sz w:val="21"/>
                <w:szCs w:val="21"/>
              </w:rPr>
            </w:pPr>
            <w:r>
              <w:rPr>
                <w:rFonts w:hint="eastAsia"/>
                <w:b/>
                <w:bCs/>
                <w:sz w:val="21"/>
                <w:szCs w:val="21"/>
              </w:rPr>
              <w:t>功能</w:t>
            </w:r>
          </w:p>
        </w:tc>
        <w:tc>
          <w:tcPr>
            <w:tcW w:w="2067" w:type="dxa"/>
            <w:shd w:val="clear" w:color="auto" w:fill="auto"/>
            <w:vAlign w:val="center"/>
          </w:tcPr>
          <w:p w14:paraId="42732379">
            <w:pPr>
              <w:rPr>
                <w:rFonts w:hint="eastAsia"/>
                <w:b/>
                <w:bCs/>
                <w:sz w:val="21"/>
                <w:szCs w:val="21"/>
              </w:rPr>
            </w:pPr>
            <w:r>
              <w:rPr>
                <w:rFonts w:hint="eastAsia"/>
                <w:b/>
                <w:bCs/>
                <w:sz w:val="21"/>
                <w:szCs w:val="21"/>
              </w:rPr>
              <w:t>模块</w:t>
            </w:r>
          </w:p>
        </w:tc>
        <w:tc>
          <w:tcPr>
            <w:tcW w:w="5887" w:type="dxa"/>
            <w:shd w:val="clear" w:color="auto" w:fill="auto"/>
            <w:vAlign w:val="center"/>
          </w:tcPr>
          <w:p w14:paraId="5624C228">
            <w:pPr>
              <w:rPr>
                <w:rFonts w:hint="eastAsia"/>
                <w:b/>
                <w:bCs/>
                <w:sz w:val="21"/>
                <w:szCs w:val="21"/>
              </w:rPr>
            </w:pPr>
            <w:r>
              <w:rPr>
                <w:rFonts w:hint="eastAsia"/>
                <w:b/>
                <w:bCs/>
                <w:sz w:val="21"/>
                <w:szCs w:val="21"/>
              </w:rPr>
              <w:t>模块说明</w:t>
            </w:r>
          </w:p>
        </w:tc>
      </w:tr>
      <w:tr w14:paraId="5D2E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745" w:type="dxa"/>
            <w:vMerge w:val="restart"/>
            <w:shd w:val="clear" w:color="auto" w:fill="auto"/>
            <w:vAlign w:val="center"/>
          </w:tcPr>
          <w:p w14:paraId="413C56A2">
            <w:pPr>
              <w:rPr>
                <w:rFonts w:hint="eastAsia"/>
                <w:sz w:val="21"/>
                <w:szCs w:val="21"/>
              </w:rPr>
            </w:pPr>
            <w:r>
              <w:rPr>
                <w:rFonts w:hint="eastAsia"/>
                <w:sz w:val="21"/>
                <w:szCs w:val="21"/>
              </w:rPr>
              <w:t>设备管理</w:t>
            </w:r>
          </w:p>
        </w:tc>
        <w:tc>
          <w:tcPr>
            <w:tcW w:w="2067" w:type="dxa"/>
            <w:shd w:val="clear" w:color="auto" w:fill="auto"/>
            <w:noWrap/>
            <w:vAlign w:val="center"/>
          </w:tcPr>
          <w:p w14:paraId="42D45327">
            <w:pPr>
              <w:rPr>
                <w:rFonts w:hint="eastAsia"/>
                <w:sz w:val="21"/>
                <w:szCs w:val="21"/>
              </w:rPr>
            </w:pPr>
            <w:r>
              <w:rPr>
                <w:rFonts w:hint="eastAsia"/>
                <w:sz w:val="21"/>
                <w:szCs w:val="21"/>
              </w:rPr>
              <w:t>位置管理</w:t>
            </w:r>
          </w:p>
        </w:tc>
        <w:tc>
          <w:tcPr>
            <w:tcW w:w="5887" w:type="dxa"/>
            <w:shd w:val="clear" w:color="auto" w:fill="auto"/>
            <w:vAlign w:val="center"/>
          </w:tcPr>
          <w:p w14:paraId="6686D1E3">
            <w:pPr>
              <w:rPr>
                <w:rFonts w:hint="eastAsia"/>
                <w:sz w:val="21"/>
                <w:szCs w:val="21"/>
              </w:rPr>
            </w:pPr>
            <w:r>
              <w:rPr>
                <w:rFonts w:hint="eastAsia"/>
                <w:sz w:val="21"/>
                <w:szCs w:val="21"/>
              </w:rPr>
              <w:t>管理自助设备在医院内的摆放位置，包括楼层、方位等</w:t>
            </w:r>
          </w:p>
        </w:tc>
      </w:tr>
      <w:tr w14:paraId="72F9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745" w:type="dxa"/>
            <w:vMerge w:val="continue"/>
            <w:shd w:val="clear" w:color="auto" w:fill="auto"/>
            <w:vAlign w:val="center"/>
          </w:tcPr>
          <w:p w14:paraId="6A481DD4">
            <w:pPr>
              <w:rPr>
                <w:sz w:val="21"/>
                <w:szCs w:val="21"/>
              </w:rPr>
            </w:pPr>
          </w:p>
        </w:tc>
        <w:tc>
          <w:tcPr>
            <w:tcW w:w="2067" w:type="dxa"/>
            <w:shd w:val="clear" w:color="auto" w:fill="auto"/>
            <w:noWrap/>
            <w:vAlign w:val="center"/>
          </w:tcPr>
          <w:p w14:paraId="6BAD4560">
            <w:pPr>
              <w:rPr>
                <w:rFonts w:hint="eastAsia"/>
                <w:sz w:val="21"/>
                <w:szCs w:val="21"/>
              </w:rPr>
            </w:pPr>
            <w:r>
              <w:rPr>
                <w:rFonts w:hint="eastAsia"/>
                <w:sz w:val="21"/>
                <w:szCs w:val="21"/>
              </w:rPr>
              <w:t>终端管理</w:t>
            </w:r>
          </w:p>
        </w:tc>
        <w:tc>
          <w:tcPr>
            <w:tcW w:w="5887" w:type="dxa"/>
            <w:shd w:val="clear" w:color="auto" w:fill="auto"/>
            <w:vAlign w:val="center"/>
          </w:tcPr>
          <w:p w14:paraId="714B5B46">
            <w:pPr>
              <w:rPr>
                <w:rFonts w:hint="eastAsia"/>
                <w:sz w:val="21"/>
                <w:szCs w:val="21"/>
              </w:rPr>
            </w:pPr>
            <w:r>
              <w:rPr>
                <w:rFonts w:hint="eastAsia"/>
                <w:sz w:val="21"/>
                <w:szCs w:val="21"/>
              </w:rPr>
              <w:t>管理自助机设备数据，包括设备型号、MAC地址、配件等</w:t>
            </w:r>
          </w:p>
        </w:tc>
      </w:tr>
      <w:tr w14:paraId="5B616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745" w:type="dxa"/>
            <w:vMerge w:val="restart"/>
            <w:shd w:val="clear" w:color="auto" w:fill="auto"/>
            <w:vAlign w:val="center"/>
          </w:tcPr>
          <w:p w14:paraId="5FB32078">
            <w:pPr>
              <w:rPr>
                <w:rFonts w:hint="eastAsia"/>
                <w:sz w:val="21"/>
                <w:szCs w:val="21"/>
              </w:rPr>
            </w:pPr>
            <w:r>
              <w:rPr>
                <w:rFonts w:hint="eastAsia"/>
                <w:sz w:val="21"/>
                <w:szCs w:val="21"/>
              </w:rPr>
              <w:t>监控预警</w:t>
            </w:r>
          </w:p>
        </w:tc>
        <w:tc>
          <w:tcPr>
            <w:tcW w:w="2067" w:type="dxa"/>
            <w:shd w:val="clear" w:color="auto" w:fill="auto"/>
            <w:noWrap/>
            <w:vAlign w:val="center"/>
          </w:tcPr>
          <w:p w14:paraId="75F17847">
            <w:pPr>
              <w:rPr>
                <w:rFonts w:hint="eastAsia"/>
                <w:sz w:val="21"/>
                <w:szCs w:val="21"/>
              </w:rPr>
            </w:pPr>
            <w:r>
              <w:rPr>
                <w:rFonts w:hint="eastAsia"/>
                <w:sz w:val="21"/>
                <w:szCs w:val="21"/>
              </w:rPr>
              <w:t>实时监控</w:t>
            </w:r>
          </w:p>
        </w:tc>
        <w:tc>
          <w:tcPr>
            <w:tcW w:w="5887" w:type="dxa"/>
            <w:shd w:val="clear" w:color="auto" w:fill="auto"/>
            <w:vAlign w:val="center"/>
          </w:tcPr>
          <w:p w14:paraId="4BA03015">
            <w:pPr>
              <w:rPr>
                <w:rFonts w:hint="eastAsia"/>
                <w:sz w:val="21"/>
                <w:szCs w:val="21"/>
              </w:rPr>
            </w:pPr>
            <w:r>
              <w:rPr>
                <w:rFonts w:hint="eastAsia"/>
                <w:sz w:val="21"/>
                <w:szCs w:val="21"/>
              </w:rPr>
              <w:t>通过可视化窗口模式，实时监控每台自助设备的当前使用界面</w:t>
            </w:r>
          </w:p>
        </w:tc>
      </w:tr>
      <w:tr w14:paraId="1B913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745" w:type="dxa"/>
            <w:vMerge w:val="continue"/>
            <w:shd w:val="clear" w:color="auto" w:fill="auto"/>
            <w:vAlign w:val="center"/>
          </w:tcPr>
          <w:p w14:paraId="43742679">
            <w:pPr>
              <w:rPr>
                <w:sz w:val="21"/>
                <w:szCs w:val="21"/>
              </w:rPr>
            </w:pPr>
          </w:p>
        </w:tc>
        <w:tc>
          <w:tcPr>
            <w:tcW w:w="2067" w:type="dxa"/>
            <w:shd w:val="clear" w:color="auto" w:fill="auto"/>
            <w:noWrap/>
            <w:vAlign w:val="center"/>
          </w:tcPr>
          <w:p w14:paraId="59F4CF57">
            <w:pPr>
              <w:rPr>
                <w:rFonts w:hint="eastAsia"/>
                <w:sz w:val="21"/>
                <w:szCs w:val="21"/>
              </w:rPr>
            </w:pPr>
            <w:r>
              <w:rPr>
                <w:rFonts w:hint="eastAsia"/>
                <w:sz w:val="21"/>
                <w:szCs w:val="21"/>
              </w:rPr>
              <w:t>故障监控</w:t>
            </w:r>
          </w:p>
        </w:tc>
        <w:tc>
          <w:tcPr>
            <w:tcW w:w="5887" w:type="dxa"/>
            <w:shd w:val="clear" w:color="auto" w:fill="auto"/>
            <w:vAlign w:val="center"/>
          </w:tcPr>
          <w:p w14:paraId="1FC31F37">
            <w:pPr>
              <w:rPr>
                <w:rFonts w:hint="eastAsia"/>
                <w:sz w:val="21"/>
                <w:szCs w:val="21"/>
              </w:rPr>
            </w:pPr>
            <w:r>
              <w:rPr>
                <w:rFonts w:hint="eastAsia"/>
                <w:sz w:val="21"/>
                <w:szCs w:val="21"/>
              </w:rPr>
              <w:t>自助终端硬件发生故障时，将提交的管理平台，平台端可实时看到故障情况</w:t>
            </w:r>
          </w:p>
        </w:tc>
      </w:tr>
      <w:tr w14:paraId="53AC0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745" w:type="dxa"/>
            <w:shd w:val="clear" w:color="auto" w:fill="auto"/>
            <w:vAlign w:val="center"/>
          </w:tcPr>
          <w:p w14:paraId="2CCFBB97">
            <w:pPr>
              <w:rPr>
                <w:rFonts w:hint="eastAsia"/>
                <w:sz w:val="21"/>
                <w:szCs w:val="21"/>
              </w:rPr>
            </w:pPr>
            <w:r>
              <w:rPr>
                <w:rFonts w:hint="eastAsia"/>
                <w:sz w:val="21"/>
                <w:szCs w:val="21"/>
              </w:rPr>
              <w:t>运维管理</w:t>
            </w:r>
          </w:p>
        </w:tc>
        <w:tc>
          <w:tcPr>
            <w:tcW w:w="2067" w:type="dxa"/>
            <w:shd w:val="clear" w:color="auto" w:fill="auto"/>
            <w:noWrap/>
            <w:vAlign w:val="center"/>
          </w:tcPr>
          <w:p w14:paraId="385C638D">
            <w:pPr>
              <w:rPr>
                <w:rFonts w:hint="eastAsia"/>
                <w:sz w:val="21"/>
                <w:szCs w:val="21"/>
              </w:rPr>
            </w:pPr>
            <w:r>
              <w:rPr>
                <w:rFonts w:hint="eastAsia"/>
                <w:sz w:val="21"/>
                <w:szCs w:val="21"/>
              </w:rPr>
              <w:t>交易明细查询</w:t>
            </w:r>
          </w:p>
        </w:tc>
        <w:tc>
          <w:tcPr>
            <w:tcW w:w="5887" w:type="dxa"/>
            <w:shd w:val="clear" w:color="auto" w:fill="auto"/>
            <w:vAlign w:val="center"/>
          </w:tcPr>
          <w:p w14:paraId="4B63EDF1">
            <w:pPr>
              <w:rPr>
                <w:rFonts w:hint="eastAsia"/>
                <w:sz w:val="21"/>
                <w:szCs w:val="21"/>
              </w:rPr>
            </w:pPr>
            <w:r>
              <w:rPr>
                <w:rFonts w:hint="eastAsia"/>
                <w:sz w:val="21"/>
                <w:szCs w:val="21"/>
              </w:rPr>
              <w:t>查看自助终端的交易流水，包括挂号、缴费、充值等所有业务类别</w:t>
            </w:r>
          </w:p>
        </w:tc>
      </w:tr>
      <w:tr w14:paraId="178E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745" w:type="dxa"/>
            <w:vMerge w:val="restart"/>
            <w:shd w:val="clear" w:color="auto" w:fill="auto"/>
            <w:vAlign w:val="center"/>
          </w:tcPr>
          <w:p w14:paraId="09D2AB74">
            <w:pPr>
              <w:rPr>
                <w:rFonts w:hint="eastAsia"/>
                <w:sz w:val="21"/>
                <w:szCs w:val="21"/>
              </w:rPr>
            </w:pPr>
            <w:r>
              <w:rPr>
                <w:rFonts w:hint="eastAsia"/>
                <w:sz w:val="21"/>
                <w:szCs w:val="21"/>
              </w:rPr>
              <w:t>宣传管理</w:t>
            </w:r>
          </w:p>
        </w:tc>
        <w:tc>
          <w:tcPr>
            <w:tcW w:w="2067" w:type="dxa"/>
            <w:shd w:val="clear" w:color="auto" w:fill="auto"/>
            <w:noWrap/>
            <w:vAlign w:val="center"/>
          </w:tcPr>
          <w:p w14:paraId="72083AC2">
            <w:pPr>
              <w:rPr>
                <w:rFonts w:hint="eastAsia"/>
                <w:sz w:val="21"/>
                <w:szCs w:val="21"/>
              </w:rPr>
            </w:pPr>
            <w:r>
              <w:rPr>
                <w:rFonts w:hint="eastAsia"/>
                <w:sz w:val="21"/>
                <w:szCs w:val="21"/>
              </w:rPr>
              <w:t>医院信息</w:t>
            </w:r>
          </w:p>
        </w:tc>
        <w:tc>
          <w:tcPr>
            <w:tcW w:w="5887" w:type="dxa"/>
            <w:shd w:val="clear" w:color="auto" w:fill="auto"/>
            <w:vAlign w:val="center"/>
          </w:tcPr>
          <w:p w14:paraId="40C31877">
            <w:pPr>
              <w:rPr>
                <w:rFonts w:hint="eastAsia"/>
                <w:sz w:val="21"/>
                <w:szCs w:val="21"/>
              </w:rPr>
            </w:pPr>
            <w:r>
              <w:rPr>
                <w:rFonts w:hint="eastAsia"/>
                <w:sz w:val="21"/>
                <w:szCs w:val="21"/>
              </w:rPr>
              <w:t>管理医院的信息，在终端可进行医院介绍查询，医院信息包括图片、文字等</w:t>
            </w:r>
          </w:p>
        </w:tc>
      </w:tr>
      <w:tr w14:paraId="241C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745" w:type="dxa"/>
            <w:vMerge w:val="continue"/>
            <w:shd w:val="clear" w:color="auto" w:fill="auto"/>
            <w:vAlign w:val="center"/>
          </w:tcPr>
          <w:p w14:paraId="4E1D6350">
            <w:pPr>
              <w:rPr>
                <w:sz w:val="21"/>
                <w:szCs w:val="21"/>
              </w:rPr>
            </w:pPr>
          </w:p>
        </w:tc>
        <w:tc>
          <w:tcPr>
            <w:tcW w:w="2067" w:type="dxa"/>
            <w:shd w:val="clear" w:color="auto" w:fill="auto"/>
            <w:noWrap/>
            <w:vAlign w:val="center"/>
          </w:tcPr>
          <w:p w14:paraId="5877D1F2">
            <w:pPr>
              <w:rPr>
                <w:rFonts w:hint="eastAsia"/>
                <w:sz w:val="21"/>
                <w:szCs w:val="21"/>
              </w:rPr>
            </w:pPr>
            <w:r>
              <w:rPr>
                <w:rFonts w:hint="eastAsia"/>
                <w:sz w:val="21"/>
                <w:szCs w:val="21"/>
              </w:rPr>
              <w:t>科室信息</w:t>
            </w:r>
          </w:p>
        </w:tc>
        <w:tc>
          <w:tcPr>
            <w:tcW w:w="5887" w:type="dxa"/>
            <w:shd w:val="clear" w:color="auto" w:fill="auto"/>
            <w:vAlign w:val="center"/>
          </w:tcPr>
          <w:p w14:paraId="07BE219C">
            <w:pPr>
              <w:rPr>
                <w:rFonts w:hint="eastAsia"/>
                <w:sz w:val="21"/>
                <w:szCs w:val="21"/>
              </w:rPr>
            </w:pPr>
            <w:r>
              <w:rPr>
                <w:rFonts w:hint="eastAsia"/>
                <w:sz w:val="21"/>
                <w:szCs w:val="21"/>
              </w:rPr>
              <w:t>管理科室的信息，在终端可进行科室介绍查询，包括科室图片、简介等</w:t>
            </w:r>
          </w:p>
        </w:tc>
      </w:tr>
      <w:tr w14:paraId="2A355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745" w:type="dxa"/>
            <w:vMerge w:val="continue"/>
            <w:shd w:val="clear" w:color="auto" w:fill="auto"/>
            <w:vAlign w:val="center"/>
          </w:tcPr>
          <w:p w14:paraId="64DEA40F">
            <w:pPr>
              <w:rPr>
                <w:sz w:val="21"/>
                <w:szCs w:val="21"/>
              </w:rPr>
            </w:pPr>
          </w:p>
        </w:tc>
        <w:tc>
          <w:tcPr>
            <w:tcW w:w="2067" w:type="dxa"/>
            <w:shd w:val="clear" w:color="auto" w:fill="auto"/>
            <w:noWrap/>
            <w:vAlign w:val="center"/>
          </w:tcPr>
          <w:p w14:paraId="4C48C737">
            <w:pPr>
              <w:rPr>
                <w:rFonts w:hint="eastAsia"/>
                <w:sz w:val="21"/>
                <w:szCs w:val="21"/>
              </w:rPr>
            </w:pPr>
            <w:r>
              <w:rPr>
                <w:rFonts w:hint="eastAsia"/>
                <w:sz w:val="21"/>
                <w:szCs w:val="21"/>
              </w:rPr>
              <w:t>医生信息</w:t>
            </w:r>
          </w:p>
        </w:tc>
        <w:tc>
          <w:tcPr>
            <w:tcW w:w="5887" w:type="dxa"/>
            <w:shd w:val="clear" w:color="auto" w:fill="auto"/>
            <w:vAlign w:val="center"/>
          </w:tcPr>
          <w:p w14:paraId="1F0F54CF">
            <w:pPr>
              <w:rPr>
                <w:rFonts w:hint="eastAsia"/>
                <w:sz w:val="21"/>
                <w:szCs w:val="21"/>
              </w:rPr>
            </w:pPr>
            <w:r>
              <w:rPr>
                <w:rFonts w:hint="eastAsia"/>
                <w:sz w:val="21"/>
                <w:szCs w:val="21"/>
              </w:rPr>
              <w:t>管理医生的信息，在终端可进行医生介绍查询，包括医生图片、简介、详细介绍等</w:t>
            </w:r>
          </w:p>
        </w:tc>
      </w:tr>
      <w:tr w14:paraId="0535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745" w:type="dxa"/>
            <w:vMerge w:val="restart"/>
            <w:shd w:val="clear" w:color="auto" w:fill="auto"/>
            <w:vAlign w:val="center"/>
          </w:tcPr>
          <w:p w14:paraId="5C1CD434">
            <w:pPr>
              <w:rPr>
                <w:rFonts w:hint="eastAsia"/>
                <w:sz w:val="21"/>
                <w:szCs w:val="21"/>
              </w:rPr>
            </w:pPr>
            <w:r>
              <w:rPr>
                <w:rFonts w:hint="eastAsia"/>
                <w:sz w:val="21"/>
                <w:szCs w:val="21"/>
              </w:rPr>
              <w:t>系统管理</w:t>
            </w:r>
          </w:p>
        </w:tc>
        <w:tc>
          <w:tcPr>
            <w:tcW w:w="2067" w:type="dxa"/>
            <w:shd w:val="clear" w:color="auto" w:fill="auto"/>
            <w:noWrap/>
            <w:vAlign w:val="center"/>
          </w:tcPr>
          <w:p w14:paraId="5905A3C8">
            <w:pPr>
              <w:rPr>
                <w:rFonts w:hint="eastAsia"/>
                <w:sz w:val="21"/>
                <w:szCs w:val="21"/>
              </w:rPr>
            </w:pPr>
            <w:r>
              <w:rPr>
                <w:rFonts w:hint="eastAsia"/>
                <w:sz w:val="21"/>
                <w:szCs w:val="21"/>
              </w:rPr>
              <w:t>菜单管理</w:t>
            </w:r>
          </w:p>
        </w:tc>
        <w:tc>
          <w:tcPr>
            <w:tcW w:w="5887" w:type="dxa"/>
            <w:shd w:val="clear" w:color="auto" w:fill="auto"/>
            <w:vAlign w:val="center"/>
          </w:tcPr>
          <w:p w14:paraId="48692824">
            <w:pPr>
              <w:rPr>
                <w:rFonts w:hint="eastAsia"/>
                <w:sz w:val="21"/>
                <w:szCs w:val="21"/>
              </w:rPr>
            </w:pPr>
            <w:r>
              <w:rPr>
                <w:rFonts w:hint="eastAsia"/>
                <w:sz w:val="21"/>
                <w:szCs w:val="21"/>
              </w:rPr>
              <w:t>管理用于权限配置的菜单项，包括主菜单与子菜单</w:t>
            </w:r>
          </w:p>
        </w:tc>
      </w:tr>
      <w:tr w14:paraId="6848C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745" w:type="dxa"/>
            <w:vMerge w:val="continue"/>
            <w:shd w:val="clear" w:color="auto" w:fill="auto"/>
            <w:vAlign w:val="center"/>
          </w:tcPr>
          <w:p w14:paraId="7B8FF1DE">
            <w:pPr>
              <w:rPr>
                <w:sz w:val="21"/>
                <w:szCs w:val="21"/>
              </w:rPr>
            </w:pPr>
          </w:p>
        </w:tc>
        <w:tc>
          <w:tcPr>
            <w:tcW w:w="2067" w:type="dxa"/>
            <w:shd w:val="clear" w:color="auto" w:fill="auto"/>
            <w:noWrap/>
            <w:vAlign w:val="center"/>
          </w:tcPr>
          <w:p w14:paraId="5C3EC603">
            <w:pPr>
              <w:rPr>
                <w:rFonts w:hint="eastAsia"/>
                <w:sz w:val="21"/>
                <w:szCs w:val="21"/>
              </w:rPr>
            </w:pPr>
            <w:r>
              <w:rPr>
                <w:rFonts w:hint="eastAsia"/>
                <w:sz w:val="21"/>
                <w:szCs w:val="21"/>
              </w:rPr>
              <w:t>角色管理</w:t>
            </w:r>
          </w:p>
        </w:tc>
        <w:tc>
          <w:tcPr>
            <w:tcW w:w="5887" w:type="dxa"/>
            <w:shd w:val="clear" w:color="auto" w:fill="auto"/>
            <w:vAlign w:val="center"/>
          </w:tcPr>
          <w:p w14:paraId="6F3F3E5F">
            <w:pPr>
              <w:rPr>
                <w:rFonts w:hint="eastAsia"/>
                <w:sz w:val="21"/>
                <w:szCs w:val="21"/>
              </w:rPr>
            </w:pPr>
            <w:r>
              <w:rPr>
                <w:rFonts w:hint="eastAsia"/>
                <w:sz w:val="21"/>
                <w:szCs w:val="21"/>
              </w:rPr>
              <w:t>定义与管理系统的用户角色，包括定义、修改、删除等</w:t>
            </w:r>
          </w:p>
        </w:tc>
      </w:tr>
      <w:tr w14:paraId="4850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745" w:type="dxa"/>
            <w:vMerge w:val="continue"/>
            <w:shd w:val="clear" w:color="auto" w:fill="auto"/>
            <w:vAlign w:val="center"/>
          </w:tcPr>
          <w:p w14:paraId="4B348EB6">
            <w:pPr>
              <w:rPr>
                <w:sz w:val="21"/>
                <w:szCs w:val="21"/>
              </w:rPr>
            </w:pPr>
          </w:p>
        </w:tc>
        <w:tc>
          <w:tcPr>
            <w:tcW w:w="2067" w:type="dxa"/>
            <w:shd w:val="clear" w:color="auto" w:fill="auto"/>
            <w:noWrap/>
            <w:vAlign w:val="center"/>
          </w:tcPr>
          <w:p w14:paraId="3A53BB94">
            <w:pPr>
              <w:rPr>
                <w:rFonts w:hint="eastAsia"/>
                <w:sz w:val="21"/>
                <w:szCs w:val="21"/>
              </w:rPr>
            </w:pPr>
            <w:r>
              <w:rPr>
                <w:rFonts w:hint="eastAsia"/>
                <w:sz w:val="21"/>
                <w:szCs w:val="21"/>
              </w:rPr>
              <w:t>用户管理</w:t>
            </w:r>
          </w:p>
        </w:tc>
        <w:tc>
          <w:tcPr>
            <w:tcW w:w="5887" w:type="dxa"/>
            <w:shd w:val="clear" w:color="auto" w:fill="auto"/>
            <w:vAlign w:val="center"/>
          </w:tcPr>
          <w:p w14:paraId="394FDFFA">
            <w:pPr>
              <w:rPr>
                <w:rFonts w:hint="eastAsia"/>
                <w:sz w:val="21"/>
                <w:szCs w:val="21"/>
              </w:rPr>
            </w:pPr>
            <w:r>
              <w:rPr>
                <w:rFonts w:hint="eastAsia"/>
                <w:sz w:val="21"/>
                <w:szCs w:val="21"/>
              </w:rPr>
              <w:t>管理系统的用户数据，即系统用户的新增、修改、删除等</w:t>
            </w:r>
          </w:p>
        </w:tc>
      </w:tr>
      <w:tr w14:paraId="3534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745" w:type="dxa"/>
            <w:vMerge w:val="restart"/>
            <w:shd w:val="clear" w:color="auto" w:fill="auto"/>
            <w:vAlign w:val="center"/>
          </w:tcPr>
          <w:p w14:paraId="4C41B098">
            <w:pPr>
              <w:rPr>
                <w:rFonts w:hint="eastAsia"/>
                <w:sz w:val="21"/>
                <w:szCs w:val="21"/>
              </w:rPr>
            </w:pPr>
            <w:r>
              <w:rPr>
                <w:rFonts w:hint="eastAsia"/>
                <w:sz w:val="21"/>
                <w:szCs w:val="21"/>
              </w:rPr>
              <w:t>统计分析</w:t>
            </w:r>
          </w:p>
        </w:tc>
        <w:tc>
          <w:tcPr>
            <w:tcW w:w="2067" w:type="dxa"/>
            <w:shd w:val="clear" w:color="auto" w:fill="auto"/>
            <w:noWrap/>
            <w:vAlign w:val="center"/>
          </w:tcPr>
          <w:p w14:paraId="0F208765">
            <w:pPr>
              <w:rPr>
                <w:rFonts w:hint="eastAsia"/>
                <w:sz w:val="21"/>
                <w:szCs w:val="21"/>
              </w:rPr>
            </w:pPr>
            <w:r>
              <w:rPr>
                <w:rFonts w:hint="eastAsia"/>
                <w:sz w:val="21"/>
                <w:szCs w:val="21"/>
              </w:rPr>
              <w:t>交易类型统计</w:t>
            </w:r>
          </w:p>
        </w:tc>
        <w:tc>
          <w:tcPr>
            <w:tcW w:w="5887" w:type="dxa"/>
            <w:shd w:val="clear" w:color="auto" w:fill="auto"/>
            <w:vAlign w:val="center"/>
          </w:tcPr>
          <w:p w14:paraId="6DF6EECD">
            <w:pPr>
              <w:rPr>
                <w:rFonts w:hint="eastAsia"/>
                <w:sz w:val="21"/>
                <w:szCs w:val="21"/>
              </w:rPr>
            </w:pPr>
            <w:r>
              <w:rPr>
                <w:rFonts w:hint="eastAsia"/>
                <w:sz w:val="21"/>
                <w:szCs w:val="21"/>
              </w:rPr>
              <w:t>根据交易类别进行数据统计分析，包括挂号、缴费、充值等</w:t>
            </w:r>
          </w:p>
        </w:tc>
      </w:tr>
      <w:tr w14:paraId="67338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745" w:type="dxa"/>
            <w:vMerge w:val="continue"/>
            <w:shd w:val="clear" w:color="auto" w:fill="auto"/>
            <w:vAlign w:val="center"/>
          </w:tcPr>
          <w:p w14:paraId="2D0C5EBD">
            <w:pPr>
              <w:rPr>
                <w:sz w:val="21"/>
                <w:szCs w:val="21"/>
              </w:rPr>
            </w:pPr>
          </w:p>
        </w:tc>
        <w:tc>
          <w:tcPr>
            <w:tcW w:w="2067" w:type="dxa"/>
            <w:shd w:val="clear" w:color="auto" w:fill="auto"/>
            <w:noWrap/>
            <w:vAlign w:val="center"/>
          </w:tcPr>
          <w:p w14:paraId="4E9B3E58">
            <w:pPr>
              <w:rPr>
                <w:rFonts w:hint="eastAsia"/>
                <w:sz w:val="21"/>
                <w:szCs w:val="21"/>
              </w:rPr>
            </w:pPr>
            <w:r>
              <w:rPr>
                <w:rFonts w:hint="eastAsia"/>
                <w:sz w:val="21"/>
                <w:szCs w:val="21"/>
              </w:rPr>
              <w:t>终端设备统计</w:t>
            </w:r>
          </w:p>
        </w:tc>
        <w:tc>
          <w:tcPr>
            <w:tcW w:w="5887" w:type="dxa"/>
            <w:shd w:val="clear" w:color="auto" w:fill="auto"/>
            <w:vAlign w:val="center"/>
          </w:tcPr>
          <w:p w14:paraId="34B38CF6">
            <w:pPr>
              <w:rPr>
                <w:rFonts w:hint="eastAsia"/>
                <w:sz w:val="21"/>
                <w:szCs w:val="21"/>
              </w:rPr>
            </w:pPr>
            <w:r>
              <w:rPr>
                <w:rFonts w:hint="eastAsia"/>
                <w:sz w:val="21"/>
                <w:szCs w:val="21"/>
              </w:rPr>
              <w:t>根据终端设备进行单机数据统计分析，以交易数据为主，确认终端的使用效率</w:t>
            </w:r>
          </w:p>
        </w:tc>
      </w:tr>
    </w:tbl>
    <w:p w14:paraId="48441725">
      <w:pPr>
        <w:spacing w:line="312" w:lineRule="auto"/>
        <w:rPr>
          <w:rFonts w:hint="eastAsia"/>
        </w:rPr>
      </w:pPr>
    </w:p>
    <w:p w14:paraId="640B6F19">
      <w:pPr>
        <w:pStyle w:val="3"/>
        <w:spacing w:before="0" w:after="0" w:line="415" w:lineRule="auto"/>
        <w:rPr>
          <w:sz w:val="28"/>
          <w:szCs w:val="28"/>
        </w:rPr>
      </w:pPr>
      <w:r>
        <w:rPr>
          <w:rFonts w:hint="eastAsia"/>
          <w:sz w:val="28"/>
          <w:szCs w:val="28"/>
        </w:rPr>
        <w:t>5</w:t>
      </w:r>
      <w:r>
        <w:rPr>
          <w:sz w:val="28"/>
          <w:szCs w:val="28"/>
        </w:rPr>
        <w:t>.2</w:t>
      </w:r>
      <w:r>
        <w:rPr>
          <w:rFonts w:hint="eastAsia"/>
          <w:sz w:val="28"/>
          <w:szCs w:val="28"/>
        </w:rPr>
        <w:t>全院统一对账服务平台</w:t>
      </w:r>
    </w:p>
    <w:p w14:paraId="7299502B">
      <w:pPr>
        <w:spacing w:line="312" w:lineRule="auto"/>
        <w:ind w:firstLine="420"/>
        <w:rPr>
          <w:lang w:eastAsia="zh-Hans"/>
        </w:rPr>
      </w:pPr>
      <w:r>
        <w:rPr>
          <w:rFonts w:hint="eastAsia"/>
          <w:lang w:eastAsia="zh-Hans"/>
        </w:rPr>
        <w:t>为财务提供统一的支付账目核对，包括自费、医保等，支持多方对账选择，遵循长款机制，最大化实现“零差错、全自动、免人工”的财务简化工作。</w:t>
      </w:r>
      <w:r>
        <w:rPr>
          <w:rFonts w:hint="eastAsia"/>
        </w:rPr>
        <w:t>功能需要达到如下要求：</w:t>
      </w:r>
    </w:p>
    <w:p w14:paraId="72DEA566">
      <w:pPr>
        <w:pStyle w:val="38"/>
        <w:numPr>
          <w:ilvl w:val="0"/>
          <w:numId w:val="15"/>
        </w:numPr>
        <w:spacing w:line="312" w:lineRule="auto"/>
        <w:ind w:firstLineChars="0"/>
        <w:rPr>
          <w:rFonts w:ascii="宋体" w:hAnsi="宋体" w:eastAsia="宋体"/>
          <w:sz w:val="24"/>
          <w:lang w:eastAsia="zh-Hans"/>
        </w:rPr>
      </w:pPr>
      <w:r>
        <w:rPr>
          <w:rFonts w:hint="eastAsia" w:ascii="宋体" w:hAnsi="宋体" w:eastAsia="宋体"/>
          <w:sz w:val="24"/>
        </w:rPr>
        <w:t>对于多渠道、多应用的院内在行服务，搭建平台后将提供</w:t>
      </w:r>
      <w:r>
        <w:rPr>
          <w:rFonts w:hint="eastAsia" w:ascii="宋体" w:hAnsi="宋体" w:eastAsia="宋体"/>
          <w:sz w:val="24"/>
          <w:lang w:eastAsia="zh-Hans"/>
        </w:rPr>
        <w:t>统一</w:t>
      </w:r>
      <w:r>
        <w:rPr>
          <w:rFonts w:hint="eastAsia" w:ascii="宋体" w:hAnsi="宋体" w:eastAsia="宋体"/>
          <w:sz w:val="24"/>
        </w:rPr>
        <w:t>标准账单获取服务接口，快速对接，所有交易数据汇总到平台端，可实现T</w:t>
      </w:r>
      <w:r>
        <w:rPr>
          <w:rFonts w:ascii="宋体" w:hAnsi="宋体" w:eastAsia="宋体"/>
          <w:sz w:val="24"/>
        </w:rPr>
        <w:t>+0</w:t>
      </w:r>
      <w:r>
        <w:rPr>
          <w:rFonts w:hint="eastAsia" w:ascii="宋体" w:hAnsi="宋体" w:eastAsia="宋体"/>
          <w:sz w:val="24"/>
        </w:rPr>
        <w:t>对账，最大化增加纠错的实效性</w:t>
      </w:r>
      <w:r>
        <w:rPr>
          <w:rFonts w:hint="eastAsia" w:ascii="宋体" w:hAnsi="宋体" w:eastAsia="宋体"/>
          <w:sz w:val="24"/>
          <w:lang w:eastAsia="zh-Hans"/>
        </w:rPr>
        <w:t>，</w:t>
      </w:r>
      <w:r>
        <w:rPr>
          <w:rFonts w:hint="eastAsia" w:ascii="宋体" w:hAnsi="宋体" w:eastAsia="宋体"/>
          <w:sz w:val="24"/>
        </w:rPr>
        <w:t>降低</w:t>
      </w:r>
      <w:r>
        <w:rPr>
          <w:rFonts w:ascii="宋体" w:hAnsi="宋体" w:eastAsia="宋体"/>
          <w:sz w:val="24"/>
          <w:lang w:eastAsia="zh-Hans"/>
        </w:rPr>
        <w:t>改造难度</w:t>
      </w:r>
      <w:r>
        <w:rPr>
          <w:rFonts w:hint="eastAsia" w:ascii="宋体" w:hAnsi="宋体" w:eastAsia="宋体"/>
          <w:sz w:val="24"/>
          <w:lang w:eastAsia="zh-Hans"/>
        </w:rPr>
        <w:t>；</w:t>
      </w:r>
    </w:p>
    <w:p w14:paraId="627C3576">
      <w:pPr>
        <w:pStyle w:val="38"/>
        <w:numPr>
          <w:ilvl w:val="0"/>
          <w:numId w:val="15"/>
        </w:numPr>
        <w:spacing w:line="312" w:lineRule="auto"/>
        <w:ind w:firstLineChars="0"/>
        <w:rPr>
          <w:rFonts w:ascii="宋体" w:hAnsi="宋体" w:eastAsia="宋体"/>
          <w:sz w:val="24"/>
          <w:lang w:eastAsia="zh-Hans"/>
        </w:rPr>
      </w:pPr>
      <w:r>
        <w:rPr>
          <w:rFonts w:hint="eastAsia" w:ascii="宋体" w:hAnsi="宋体" w:eastAsia="宋体"/>
          <w:sz w:val="24"/>
        </w:rPr>
        <w:t>所有平台交易数据往来，均</w:t>
      </w:r>
      <w:r>
        <w:rPr>
          <w:rFonts w:hint="eastAsia" w:ascii="宋体" w:hAnsi="宋体" w:eastAsia="宋体"/>
          <w:sz w:val="24"/>
          <w:lang w:eastAsia="zh-Hans"/>
        </w:rPr>
        <w:t>采用安全的密钥体系进行加解密传输保证交易资金</w:t>
      </w:r>
      <w:r>
        <w:rPr>
          <w:rFonts w:hint="eastAsia" w:ascii="宋体" w:hAnsi="宋体" w:eastAsia="宋体"/>
          <w:sz w:val="24"/>
        </w:rPr>
        <w:t>数据的</w:t>
      </w:r>
      <w:r>
        <w:rPr>
          <w:rFonts w:hint="eastAsia" w:ascii="宋体" w:hAnsi="宋体" w:eastAsia="宋体"/>
          <w:sz w:val="24"/>
          <w:lang w:eastAsia="zh-Hans"/>
        </w:rPr>
        <w:t>安全性；</w:t>
      </w:r>
    </w:p>
    <w:p w14:paraId="521BD000">
      <w:pPr>
        <w:pStyle w:val="38"/>
        <w:numPr>
          <w:ilvl w:val="0"/>
          <w:numId w:val="15"/>
        </w:numPr>
        <w:spacing w:line="312" w:lineRule="auto"/>
        <w:ind w:firstLineChars="0"/>
        <w:rPr>
          <w:rFonts w:ascii="宋体" w:hAnsi="宋体" w:eastAsia="宋体"/>
          <w:sz w:val="24"/>
          <w:lang w:eastAsia="zh-Hans"/>
        </w:rPr>
      </w:pPr>
      <w:r>
        <w:rPr>
          <w:rFonts w:hint="eastAsia" w:ascii="宋体" w:hAnsi="宋体" w:eastAsia="宋体"/>
          <w:sz w:val="24"/>
          <w:lang w:eastAsia="zh-Hans"/>
        </w:rPr>
        <w:t>灵活地实现两方、三方财务对账，</w:t>
      </w:r>
      <w:r>
        <w:rPr>
          <w:rFonts w:hint="eastAsia" w:ascii="宋体" w:hAnsi="宋体" w:eastAsia="宋体"/>
          <w:sz w:val="24"/>
        </w:rPr>
        <w:t>可分解为四级数据粒度，</w:t>
      </w:r>
      <w:r>
        <w:rPr>
          <w:rFonts w:ascii="宋体" w:hAnsi="宋体" w:eastAsia="宋体"/>
          <w:sz w:val="24"/>
          <w:lang w:eastAsia="zh-Hans"/>
        </w:rPr>
        <w:t>降低财务科对账工作量和</w:t>
      </w:r>
      <w:r>
        <w:rPr>
          <w:rFonts w:hint="eastAsia" w:ascii="宋体" w:hAnsi="宋体" w:eastAsia="宋体"/>
          <w:sz w:val="24"/>
          <w:lang w:eastAsia="zh-Hans"/>
        </w:rPr>
        <w:t>压力；</w:t>
      </w:r>
    </w:p>
    <w:p w14:paraId="10076B91">
      <w:pPr>
        <w:pStyle w:val="38"/>
        <w:numPr>
          <w:ilvl w:val="0"/>
          <w:numId w:val="15"/>
        </w:numPr>
        <w:spacing w:line="312" w:lineRule="auto"/>
        <w:ind w:firstLineChars="0"/>
        <w:rPr>
          <w:rFonts w:ascii="宋体" w:hAnsi="宋体" w:eastAsia="宋体"/>
          <w:sz w:val="24"/>
          <w:lang w:eastAsia="zh-Hans"/>
        </w:rPr>
      </w:pPr>
      <w:r>
        <w:rPr>
          <w:rFonts w:hint="eastAsia" w:ascii="宋体" w:hAnsi="宋体" w:eastAsia="宋体"/>
          <w:sz w:val="24"/>
          <w:lang w:eastAsia="zh-Hans"/>
        </w:rPr>
        <w:t>实现审核退费，</w:t>
      </w:r>
      <w:r>
        <w:rPr>
          <w:rFonts w:ascii="宋体" w:hAnsi="宋体" w:eastAsia="宋体"/>
          <w:sz w:val="24"/>
          <w:lang w:eastAsia="zh-Hans"/>
        </w:rPr>
        <w:t>保障医院</w:t>
      </w:r>
      <w:r>
        <w:rPr>
          <w:rFonts w:hint="eastAsia" w:ascii="宋体" w:hAnsi="宋体" w:eastAsia="宋体"/>
          <w:sz w:val="24"/>
          <w:lang w:eastAsia="zh-Hans"/>
        </w:rPr>
        <w:t>退费</w:t>
      </w:r>
      <w:r>
        <w:rPr>
          <w:rFonts w:ascii="宋体" w:hAnsi="宋体" w:eastAsia="宋体"/>
          <w:sz w:val="24"/>
          <w:lang w:eastAsia="zh-Hans"/>
        </w:rPr>
        <w:t>资金安全，避免由于退费纠纷而引起医患关系恶化</w:t>
      </w:r>
      <w:r>
        <w:rPr>
          <w:rFonts w:hint="eastAsia" w:ascii="宋体" w:hAnsi="宋体" w:eastAsia="宋体"/>
          <w:sz w:val="24"/>
          <w:lang w:eastAsia="zh-Hans"/>
        </w:rPr>
        <w:t>；</w:t>
      </w:r>
    </w:p>
    <w:p w14:paraId="07B64BCE">
      <w:pPr>
        <w:pStyle w:val="38"/>
        <w:numPr>
          <w:ilvl w:val="0"/>
          <w:numId w:val="15"/>
        </w:numPr>
        <w:spacing w:line="312" w:lineRule="auto"/>
        <w:ind w:firstLineChars="0"/>
        <w:rPr>
          <w:rFonts w:ascii="宋体" w:hAnsi="宋体" w:eastAsia="宋体"/>
          <w:sz w:val="24"/>
          <w:lang w:eastAsia="zh-Hans"/>
        </w:rPr>
      </w:pPr>
      <w:r>
        <w:rPr>
          <w:rFonts w:ascii="宋体" w:hAnsi="宋体" w:eastAsia="宋体"/>
          <w:sz w:val="24"/>
          <w:lang w:eastAsia="zh-Hans"/>
        </w:rPr>
        <w:t>定制化报表及数据可视化</w:t>
      </w:r>
      <w:r>
        <w:rPr>
          <w:rFonts w:hint="eastAsia" w:ascii="宋体" w:hAnsi="宋体" w:eastAsia="宋体"/>
          <w:sz w:val="24"/>
          <w:lang w:eastAsia="zh-Hans"/>
        </w:rPr>
        <w:t>，</w:t>
      </w:r>
      <w:r>
        <w:rPr>
          <w:rFonts w:hint="eastAsia" w:ascii="宋体" w:hAnsi="宋体" w:eastAsia="宋体"/>
          <w:sz w:val="24"/>
        </w:rPr>
        <w:t>提供大屏幕BI领导驾驶舱，</w:t>
      </w:r>
      <w:r>
        <w:rPr>
          <w:rFonts w:ascii="宋体" w:hAnsi="宋体" w:eastAsia="宋体"/>
          <w:sz w:val="24"/>
          <w:lang w:eastAsia="zh-Hans"/>
        </w:rPr>
        <w:t>便于院领导进行财务决策</w:t>
      </w:r>
      <w:r>
        <w:rPr>
          <w:rFonts w:hint="eastAsia" w:ascii="宋体" w:hAnsi="宋体" w:eastAsia="宋体"/>
          <w:sz w:val="24"/>
          <w:lang w:eastAsia="zh-Hans"/>
        </w:rPr>
        <w:t>。</w:t>
      </w:r>
    </w:p>
    <w:p w14:paraId="7786E52A">
      <w:pPr>
        <w:pStyle w:val="38"/>
        <w:numPr>
          <w:ilvl w:val="0"/>
          <w:numId w:val="15"/>
        </w:numPr>
        <w:spacing w:line="312" w:lineRule="auto"/>
        <w:ind w:firstLineChars="0"/>
        <w:rPr>
          <w:rFonts w:ascii="宋体" w:hAnsi="宋体" w:eastAsia="宋体"/>
          <w:sz w:val="24"/>
          <w:lang w:eastAsia="zh-Hans"/>
        </w:rPr>
      </w:pPr>
      <w:r>
        <w:rPr>
          <w:rFonts w:hint="eastAsia" w:ascii="宋体" w:hAnsi="宋体" w:eastAsia="宋体"/>
          <w:sz w:val="24"/>
          <w:lang w:eastAsia="zh-Hans"/>
        </w:rPr>
        <w:t>提供丰富的监管支持，包括院内资产设备的监管与实时状态监控，并可提供公共业务包括多媒体展示屏、满意度评价管理等全院级日常运维服务。</w:t>
      </w:r>
    </w:p>
    <w:p w14:paraId="48A91B10">
      <w:pPr>
        <w:spacing w:line="312" w:lineRule="auto"/>
        <w:rPr>
          <w:rFonts w:hint="eastAsia"/>
          <w:lang w:eastAsia="zh-Hans"/>
        </w:rPr>
      </w:pPr>
      <w:r>
        <w:rPr>
          <w:rFonts w:hint="eastAsia"/>
        </w:rPr>
        <w:t>功能清单需要满足如下，但不限于此列表：</w:t>
      </w:r>
    </w:p>
    <w:tbl>
      <w:tblPr>
        <w:tblStyle w:val="22"/>
        <w:tblW w:w="9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4"/>
        <w:gridCol w:w="2264"/>
        <w:gridCol w:w="5661"/>
      </w:tblGrid>
      <w:tr w14:paraId="421FE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774" w:type="dxa"/>
            <w:shd w:val="clear" w:color="auto" w:fill="auto"/>
            <w:vAlign w:val="center"/>
          </w:tcPr>
          <w:p w14:paraId="580E9EF8">
            <w:pPr>
              <w:rPr>
                <w:b/>
                <w:bCs/>
                <w:sz w:val="21"/>
                <w:szCs w:val="21"/>
              </w:rPr>
            </w:pPr>
            <w:r>
              <w:rPr>
                <w:rFonts w:hint="eastAsia"/>
                <w:b/>
                <w:bCs/>
                <w:sz w:val="21"/>
                <w:szCs w:val="21"/>
              </w:rPr>
              <w:t>功能</w:t>
            </w:r>
          </w:p>
        </w:tc>
        <w:tc>
          <w:tcPr>
            <w:tcW w:w="2264" w:type="dxa"/>
            <w:shd w:val="clear" w:color="auto" w:fill="auto"/>
            <w:vAlign w:val="center"/>
          </w:tcPr>
          <w:p w14:paraId="43F57266">
            <w:pPr>
              <w:rPr>
                <w:rFonts w:hint="eastAsia"/>
                <w:b/>
                <w:bCs/>
                <w:sz w:val="21"/>
                <w:szCs w:val="21"/>
              </w:rPr>
            </w:pPr>
            <w:r>
              <w:rPr>
                <w:rFonts w:hint="eastAsia"/>
                <w:b/>
                <w:bCs/>
                <w:sz w:val="21"/>
                <w:szCs w:val="21"/>
              </w:rPr>
              <w:t>模块</w:t>
            </w:r>
          </w:p>
        </w:tc>
        <w:tc>
          <w:tcPr>
            <w:tcW w:w="5661" w:type="dxa"/>
            <w:shd w:val="clear" w:color="auto" w:fill="auto"/>
            <w:vAlign w:val="center"/>
          </w:tcPr>
          <w:p w14:paraId="3A3298E2">
            <w:pPr>
              <w:rPr>
                <w:rFonts w:hint="eastAsia"/>
                <w:b/>
                <w:bCs/>
                <w:sz w:val="21"/>
                <w:szCs w:val="21"/>
              </w:rPr>
            </w:pPr>
            <w:r>
              <w:rPr>
                <w:rFonts w:hint="eastAsia"/>
                <w:b/>
                <w:bCs/>
                <w:sz w:val="21"/>
                <w:szCs w:val="21"/>
              </w:rPr>
              <w:t>模块说明</w:t>
            </w:r>
          </w:p>
        </w:tc>
      </w:tr>
      <w:tr w14:paraId="06306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74" w:type="dxa"/>
            <w:vMerge w:val="restart"/>
            <w:shd w:val="clear" w:color="auto" w:fill="auto"/>
            <w:vAlign w:val="center"/>
          </w:tcPr>
          <w:p w14:paraId="5D676C2E">
            <w:pPr>
              <w:rPr>
                <w:rFonts w:hint="eastAsia"/>
                <w:sz w:val="21"/>
                <w:szCs w:val="21"/>
              </w:rPr>
            </w:pPr>
            <w:r>
              <w:rPr>
                <w:rFonts w:hint="eastAsia"/>
                <w:sz w:val="21"/>
                <w:szCs w:val="21"/>
              </w:rPr>
              <w:t>财务对账管理</w:t>
            </w:r>
          </w:p>
        </w:tc>
        <w:tc>
          <w:tcPr>
            <w:tcW w:w="2264" w:type="dxa"/>
            <w:shd w:val="clear" w:color="auto" w:fill="auto"/>
            <w:vAlign w:val="center"/>
          </w:tcPr>
          <w:p w14:paraId="63AE0483">
            <w:pPr>
              <w:rPr>
                <w:rFonts w:hint="eastAsia"/>
                <w:sz w:val="21"/>
                <w:szCs w:val="21"/>
              </w:rPr>
            </w:pPr>
            <w:r>
              <w:rPr>
                <w:rFonts w:hint="eastAsia"/>
                <w:sz w:val="21"/>
                <w:szCs w:val="21"/>
              </w:rPr>
              <w:t>汇总对账</w:t>
            </w:r>
          </w:p>
        </w:tc>
        <w:tc>
          <w:tcPr>
            <w:tcW w:w="5661" w:type="dxa"/>
            <w:shd w:val="clear" w:color="auto" w:fill="auto"/>
            <w:vAlign w:val="center"/>
          </w:tcPr>
          <w:p w14:paraId="25F013B2">
            <w:pPr>
              <w:rPr>
                <w:rFonts w:hint="eastAsia"/>
                <w:sz w:val="21"/>
                <w:szCs w:val="21"/>
              </w:rPr>
            </w:pPr>
            <w:r>
              <w:rPr>
                <w:rFonts w:hint="eastAsia"/>
                <w:sz w:val="21"/>
                <w:szCs w:val="21"/>
              </w:rPr>
              <w:t>财务汇总对账，当天全渠道交易账务汇总对账。</w:t>
            </w:r>
          </w:p>
        </w:tc>
      </w:tr>
      <w:tr w14:paraId="3C6B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74" w:type="dxa"/>
            <w:vMerge w:val="continue"/>
            <w:shd w:val="clear" w:color="auto" w:fill="auto"/>
            <w:vAlign w:val="center"/>
          </w:tcPr>
          <w:p w14:paraId="092DF353">
            <w:pPr>
              <w:rPr>
                <w:sz w:val="21"/>
                <w:szCs w:val="21"/>
              </w:rPr>
            </w:pPr>
          </w:p>
        </w:tc>
        <w:tc>
          <w:tcPr>
            <w:tcW w:w="2264" w:type="dxa"/>
            <w:shd w:val="clear" w:color="auto" w:fill="auto"/>
            <w:vAlign w:val="center"/>
          </w:tcPr>
          <w:p w14:paraId="42DC7AE3">
            <w:pPr>
              <w:rPr>
                <w:rFonts w:hint="eastAsia"/>
                <w:sz w:val="21"/>
                <w:szCs w:val="21"/>
              </w:rPr>
            </w:pPr>
            <w:r>
              <w:rPr>
                <w:rFonts w:hint="eastAsia"/>
                <w:sz w:val="21"/>
                <w:szCs w:val="21"/>
              </w:rPr>
              <w:t>渠道对账</w:t>
            </w:r>
          </w:p>
        </w:tc>
        <w:tc>
          <w:tcPr>
            <w:tcW w:w="5661" w:type="dxa"/>
            <w:shd w:val="clear" w:color="auto" w:fill="auto"/>
            <w:vAlign w:val="center"/>
          </w:tcPr>
          <w:p w14:paraId="1F633819">
            <w:pPr>
              <w:rPr>
                <w:rFonts w:hint="eastAsia"/>
                <w:sz w:val="21"/>
                <w:szCs w:val="21"/>
              </w:rPr>
            </w:pPr>
            <w:r>
              <w:rPr>
                <w:rFonts w:hint="eastAsia"/>
                <w:sz w:val="21"/>
                <w:szCs w:val="21"/>
              </w:rPr>
              <w:t>根据门诊、住院，窗口、自助终端、线上等不同渠道，汇总不同渠道交易数据做对账</w:t>
            </w:r>
          </w:p>
        </w:tc>
      </w:tr>
      <w:tr w14:paraId="50382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74" w:type="dxa"/>
            <w:vMerge w:val="continue"/>
            <w:shd w:val="clear" w:color="auto" w:fill="auto"/>
            <w:vAlign w:val="center"/>
          </w:tcPr>
          <w:p w14:paraId="122C14C0">
            <w:pPr>
              <w:rPr>
                <w:sz w:val="21"/>
                <w:szCs w:val="21"/>
              </w:rPr>
            </w:pPr>
          </w:p>
        </w:tc>
        <w:tc>
          <w:tcPr>
            <w:tcW w:w="2264" w:type="dxa"/>
            <w:shd w:val="clear" w:color="auto" w:fill="auto"/>
            <w:vAlign w:val="center"/>
          </w:tcPr>
          <w:p w14:paraId="4024B236">
            <w:pPr>
              <w:rPr>
                <w:rFonts w:hint="eastAsia"/>
                <w:sz w:val="21"/>
                <w:szCs w:val="21"/>
              </w:rPr>
            </w:pPr>
            <w:r>
              <w:rPr>
                <w:rFonts w:hint="eastAsia"/>
                <w:sz w:val="21"/>
                <w:szCs w:val="21"/>
              </w:rPr>
              <w:t>银行卡财务对账</w:t>
            </w:r>
          </w:p>
        </w:tc>
        <w:tc>
          <w:tcPr>
            <w:tcW w:w="5661" w:type="dxa"/>
            <w:shd w:val="clear" w:color="auto" w:fill="auto"/>
            <w:vAlign w:val="center"/>
          </w:tcPr>
          <w:p w14:paraId="5AD59EC0">
            <w:pPr>
              <w:rPr>
                <w:rFonts w:hint="eastAsia"/>
                <w:sz w:val="21"/>
                <w:szCs w:val="21"/>
              </w:rPr>
            </w:pPr>
            <w:r>
              <w:rPr>
                <w:rFonts w:hint="eastAsia"/>
                <w:sz w:val="21"/>
                <w:szCs w:val="21"/>
              </w:rPr>
              <w:t>银行卡每日交易财务对账</w:t>
            </w:r>
          </w:p>
        </w:tc>
      </w:tr>
      <w:tr w14:paraId="2360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74" w:type="dxa"/>
            <w:vMerge w:val="continue"/>
            <w:shd w:val="clear" w:color="auto" w:fill="auto"/>
            <w:vAlign w:val="center"/>
          </w:tcPr>
          <w:p w14:paraId="14B62FEE">
            <w:pPr>
              <w:rPr>
                <w:sz w:val="21"/>
                <w:szCs w:val="21"/>
              </w:rPr>
            </w:pPr>
          </w:p>
        </w:tc>
        <w:tc>
          <w:tcPr>
            <w:tcW w:w="2264" w:type="dxa"/>
            <w:shd w:val="clear" w:color="auto" w:fill="auto"/>
            <w:vAlign w:val="center"/>
          </w:tcPr>
          <w:p w14:paraId="2C5975CF">
            <w:pPr>
              <w:rPr>
                <w:rFonts w:hint="eastAsia"/>
                <w:sz w:val="21"/>
                <w:szCs w:val="21"/>
              </w:rPr>
            </w:pPr>
            <w:r>
              <w:rPr>
                <w:rFonts w:hint="eastAsia"/>
                <w:sz w:val="21"/>
                <w:szCs w:val="21"/>
              </w:rPr>
              <w:t>微信财务对账</w:t>
            </w:r>
          </w:p>
        </w:tc>
        <w:tc>
          <w:tcPr>
            <w:tcW w:w="5661" w:type="dxa"/>
            <w:shd w:val="clear" w:color="auto" w:fill="auto"/>
            <w:vAlign w:val="center"/>
          </w:tcPr>
          <w:p w14:paraId="7F095073">
            <w:pPr>
              <w:rPr>
                <w:rFonts w:hint="eastAsia"/>
                <w:sz w:val="21"/>
                <w:szCs w:val="21"/>
              </w:rPr>
            </w:pPr>
            <w:r>
              <w:rPr>
                <w:rFonts w:hint="eastAsia"/>
                <w:sz w:val="21"/>
                <w:szCs w:val="21"/>
              </w:rPr>
              <w:t>每日微信交易财务对账</w:t>
            </w:r>
          </w:p>
        </w:tc>
      </w:tr>
      <w:tr w14:paraId="5FDF7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74" w:type="dxa"/>
            <w:vMerge w:val="continue"/>
            <w:shd w:val="clear" w:color="auto" w:fill="auto"/>
            <w:vAlign w:val="center"/>
          </w:tcPr>
          <w:p w14:paraId="40584D9E">
            <w:pPr>
              <w:rPr>
                <w:sz w:val="21"/>
                <w:szCs w:val="21"/>
              </w:rPr>
            </w:pPr>
          </w:p>
        </w:tc>
        <w:tc>
          <w:tcPr>
            <w:tcW w:w="2264" w:type="dxa"/>
            <w:shd w:val="clear" w:color="auto" w:fill="auto"/>
            <w:vAlign w:val="center"/>
          </w:tcPr>
          <w:p w14:paraId="16A6815D">
            <w:pPr>
              <w:rPr>
                <w:rFonts w:hint="eastAsia"/>
                <w:sz w:val="21"/>
                <w:szCs w:val="21"/>
              </w:rPr>
            </w:pPr>
            <w:r>
              <w:rPr>
                <w:rFonts w:hint="eastAsia"/>
                <w:sz w:val="21"/>
                <w:szCs w:val="21"/>
              </w:rPr>
              <w:t>支付宝财务对账</w:t>
            </w:r>
          </w:p>
        </w:tc>
        <w:tc>
          <w:tcPr>
            <w:tcW w:w="5661" w:type="dxa"/>
            <w:shd w:val="clear" w:color="auto" w:fill="auto"/>
            <w:vAlign w:val="center"/>
          </w:tcPr>
          <w:p w14:paraId="0CBD93E5">
            <w:pPr>
              <w:rPr>
                <w:rFonts w:hint="eastAsia"/>
                <w:sz w:val="21"/>
                <w:szCs w:val="21"/>
              </w:rPr>
            </w:pPr>
            <w:r>
              <w:rPr>
                <w:rFonts w:hint="eastAsia"/>
                <w:sz w:val="21"/>
                <w:szCs w:val="21"/>
              </w:rPr>
              <w:t>每日支付宝交易财务对账</w:t>
            </w:r>
          </w:p>
        </w:tc>
      </w:tr>
      <w:tr w14:paraId="45715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74" w:type="dxa"/>
            <w:vMerge w:val="continue"/>
            <w:shd w:val="clear" w:color="auto" w:fill="auto"/>
            <w:vAlign w:val="center"/>
          </w:tcPr>
          <w:p w14:paraId="29C02649">
            <w:pPr>
              <w:rPr>
                <w:sz w:val="21"/>
                <w:szCs w:val="21"/>
              </w:rPr>
            </w:pPr>
          </w:p>
        </w:tc>
        <w:tc>
          <w:tcPr>
            <w:tcW w:w="2264" w:type="dxa"/>
            <w:shd w:val="clear" w:color="auto" w:fill="auto"/>
            <w:vAlign w:val="center"/>
          </w:tcPr>
          <w:p w14:paraId="4B897B10">
            <w:pPr>
              <w:rPr>
                <w:rFonts w:hint="eastAsia"/>
                <w:sz w:val="21"/>
                <w:szCs w:val="21"/>
              </w:rPr>
            </w:pPr>
            <w:r>
              <w:rPr>
                <w:rFonts w:hint="eastAsia"/>
                <w:sz w:val="21"/>
                <w:szCs w:val="21"/>
              </w:rPr>
              <w:t>医保对账</w:t>
            </w:r>
          </w:p>
        </w:tc>
        <w:tc>
          <w:tcPr>
            <w:tcW w:w="5661" w:type="dxa"/>
            <w:shd w:val="clear" w:color="auto" w:fill="auto"/>
            <w:vAlign w:val="center"/>
          </w:tcPr>
          <w:p w14:paraId="7442E5A8">
            <w:pPr>
              <w:rPr>
                <w:rFonts w:hint="eastAsia"/>
                <w:sz w:val="21"/>
                <w:szCs w:val="21"/>
              </w:rPr>
            </w:pPr>
            <w:r>
              <w:rPr>
                <w:rFonts w:hint="eastAsia"/>
                <w:sz w:val="21"/>
                <w:szCs w:val="21"/>
              </w:rPr>
              <w:t>按照医保结算周期进行医保交易对账</w:t>
            </w:r>
          </w:p>
        </w:tc>
      </w:tr>
      <w:tr w14:paraId="1C2F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74" w:type="dxa"/>
            <w:vMerge w:val="continue"/>
            <w:shd w:val="clear" w:color="auto" w:fill="auto"/>
            <w:vAlign w:val="center"/>
          </w:tcPr>
          <w:p w14:paraId="1B5D17D6">
            <w:pPr>
              <w:rPr>
                <w:sz w:val="21"/>
                <w:szCs w:val="21"/>
              </w:rPr>
            </w:pPr>
          </w:p>
        </w:tc>
        <w:tc>
          <w:tcPr>
            <w:tcW w:w="2264" w:type="dxa"/>
            <w:shd w:val="clear" w:color="auto" w:fill="auto"/>
            <w:vAlign w:val="center"/>
          </w:tcPr>
          <w:p w14:paraId="5D682A08">
            <w:pPr>
              <w:rPr>
                <w:rFonts w:hint="eastAsia"/>
                <w:sz w:val="21"/>
                <w:szCs w:val="21"/>
              </w:rPr>
            </w:pPr>
            <w:r>
              <w:rPr>
                <w:rFonts w:hint="eastAsia"/>
                <w:sz w:val="21"/>
                <w:szCs w:val="21"/>
              </w:rPr>
              <w:t>按交易渠道对账</w:t>
            </w:r>
          </w:p>
        </w:tc>
        <w:tc>
          <w:tcPr>
            <w:tcW w:w="5661" w:type="dxa"/>
            <w:shd w:val="clear" w:color="auto" w:fill="auto"/>
            <w:vAlign w:val="center"/>
          </w:tcPr>
          <w:p w14:paraId="00216514">
            <w:pPr>
              <w:rPr>
                <w:rFonts w:hint="eastAsia"/>
                <w:sz w:val="21"/>
                <w:szCs w:val="21"/>
              </w:rPr>
            </w:pPr>
            <w:r>
              <w:rPr>
                <w:rFonts w:hint="eastAsia"/>
                <w:sz w:val="21"/>
                <w:szCs w:val="21"/>
              </w:rPr>
              <w:t>自助机、线上根据渠道不同分别进行对账</w:t>
            </w:r>
          </w:p>
        </w:tc>
      </w:tr>
      <w:tr w14:paraId="72B1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74" w:type="dxa"/>
            <w:vMerge w:val="restart"/>
            <w:shd w:val="clear" w:color="auto" w:fill="auto"/>
            <w:vAlign w:val="center"/>
          </w:tcPr>
          <w:p w14:paraId="6096A742">
            <w:pPr>
              <w:rPr>
                <w:rFonts w:hint="eastAsia"/>
                <w:sz w:val="21"/>
                <w:szCs w:val="21"/>
              </w:rPr>
            </w:pPr>
            <w:r>
              <w:rPr>
                <w:rFonts w:hint="eastAsia"/>
                <w:sz w:val="21"/>
                <w:szCs w:val="21"/>
              </w:rPr>
              <w:t>异常账务管理</w:t>
            </w:r>
          </w:p>
        </w:tc>
        <w:tc>
          <w:tcPr>
            <w:tcW w:w="2264" w:type="dxa"/>
            <w:shd w:val="clear" w:color="auto" w:fill="auto"/>
            <w:vAlign w:val="center"/>
          </w:tcPr>
          <w:p w14:paraId="0E9B6825">
            <w:pPr>
              <w:rPr>
                <w:rFonts w:hint="eastAsia"/>
                <w:sz w:val="21"/>
                <w:szCs w:val="21"/>
              </w:rPr>
            </w:pPr>
            <w:r>
              <w:rPr>
                <w:rFonts w:hint="eastAsia"/>
                <w:sz w:val="21"/>
                <w:szCs w:val="21"/>
              </w:rPr>
              <w:t>异常账务警告</w:t>
            </w:r>
          </w:p>
        </w:tc>
        <w:tc>
          <w:tcPr>
            <w:tcW w:w="5661" w:type="dxa"/>
            <w:shd w:val="clear" w:color="auto" w:fill="auto"/>
            <w:vAlign w:val="center"/>
          </w:tcPr>
          <w:p w14:paraId="7AF70CC2">
            <w:pPr>
              <w:rPr>
                <w:rFonts w:hint="eastAsia"/>
                <w:sz w:val="21"/>
                <w:szCs w:val="21"/>
              </w:rPr>
            </w:pPr>
            <w:r>
              <w:rPr>
                <w:rFonts w:hint="eastAsia"/>
                <w:sz w:val="21"/>
                <w:szCs w:val="21"/>
              </w:rPr>
              <w:t>异常账务状态警告，账务长短款金额、笔数、渠道等状态告警</w:t>
            </w:r>
          </w:p>
        </w:tc>
      </w:tr>
      <w:tr w14:paraId="794AB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74" w:type="dxa"/>
            <w:vMerge w:val="continue"/>
            <w:shd w:val="clear" w:color="auto" w:fill="auto"/>
            <w:vAlign w:val="center"/>
          </w:tcPr>
          <w:p w14:paraId="1BADBDDC">
            <w:pPr>
              <w:rPr>
                <w:sz w:val="21"/>
                <w:szCs w:val="21"/>
              </w:rPr>
            </w:pPr>
          </w:p>
        </w:tc>
        <w:tc>
          <w:tcPr>
            <w:tcW w:w="2264" w:type="dxa"/>
            <w:shd w:val="clear" w:color="auto" w:fill="auto"/>
            <w:vAlign w:val="center"/>
          </w:tcPr>
          <w:p w14:paraId="73596614">
            <w:pPr>
              <w:rPr>
                <w:rFonts w:hint="eastAsia"/>
                <w:sz w:val="21"/>
                <w:szCs w:val="21"/>
              </w:rPr>
            </w:pPr>
            <w:r>
              <w:rPr>
                <w:rFonts w:hint="eastAsia"/>
                <w:sz w:val="21"/>
                <w:szCs w:val="21"/>
              </w:rPr>
              <w:t>异常账务定位</w:t>
            </w:r>
          </w:p>
        </w:tc>
        <w:tc>
          <w:tcPr>
            <w:tcW w:w="5661" w:type="dxa"/>
            <w:shd w:val="clear" w:color="auto" w:fill="auto"/>
            <w:vAlign w:val="center"/>
          </w:tcPr>
          <w:p w14:paraId="47AE0035">
            <w:pPr>
              <w:rPr>
                <w:rFonts w:hint="eastAsia"/>
                <w:sz w:val="21"/>
                <w:szCs w:val="21"/>
              </w:rPr>
            </w:pPr>
            <w:r>
              <w:rPr>
                <w:rFonts w:hint="eastAsia"/>
                <w:sz w:val="21"/>
                <w:szCs w:val="21"/>
              </w:rPr>
              <w:t>异常账务对应的具体单据定位</w:t>
            </w:r>
          </w:p>
        </w:tc>
      </w:tr>
      <w:tr w14:paraId="060CC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74" w:type="dxa"/>
            <w:vMerge w:val="restart"/>
            <w:shd w:val="clear" w:color="auto" w:fill="auto"/>
            <w:vAlign w:val="center"/>
          </w:tcPr>
          <w:p w14:paraId="434D4130">
            <w:pPr>
              <w:rPr>
                <w:rFonts w:hint="eastAsia"/>
                <w:sz w:val="21"/>
                <w:szCs w:val="21"/>
              </w:rPr>
            </w:pPr>
            <w:r>
              <w:rPr>
                <w:rFonts w:hint="eastAsia"/>
                <w:sz w:val="21"/>
                <w:szCs w:val="21"/>
              </w:rPr>
              <w:t>财务报表管理</w:t>
            </w:r>
          </w:p>
        </w:tc>
        <w:tc>
          <w:tcPr>
            <w:tcW w:w="2264" w:type="dxa"/>
            <w:shd w:val="clear" w:color="auto" w:fill="auto"/>
            <w:vAlign w:val="center"/>
          </w:tcPr>
          <w:p w14:paraId="05CA9EFD">
            <w:pPr>
              <w:rPr>
                <w:rFonts w:hint="eastAsia"/>
                <w:sz w:val="21"/>
                <w:szCs w:val="21"/>
              </w:rPr>
            </w:pPr>
            <w:r>
              <w:rPr>
                <w:rFonts w:hint="eastAsia"/>
                <w:sz w:val="21"/>
                <w:szCs w:val="21"/>
              </w:rPr>
              <w:t>财务报表导出</w:t>
            </w:r>
          </w:p>
        </w:tc>
        <w:tc>
          <w:tcPr>
            <w:tcW w:w="5661" w:type="dxa"/>
            <w:shd w:val="clear" w:color="auto" w:fill="auto"/>
            <w:vAlign w:val="center"/>
          </w:tcPr>
          <w:p w14:paraId="49420D80">
            <w:pPr>
              <w:rPr>
                <w:rFonts w:hint="eastAsia"/>
                <w:sz w:val="21"/>
                <w:szCs w:val="21"/>
              </w:rPr>
            </w:pPr>
            <w:r>
              <w:rPr>
                <w:rFonts w:hint="eastAsia"/>
                <w:sz w:val="21"/>
                <w:szCs w:val="21"/>
              </w:rPr>
              <w:t>每日账务流水报表导出excel</w:t>
            </w:r>
          </w:p>
        </w:tc>
      </w:tr>
      <w:tr w14:paraId="482D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774" w:type="dxa"/>
            <w:vMerge w:val="continue"/>
            <w:shd w:val="clear" w:color="auto" w:fill="auto"/>
            <w:vAlign w:val="center"/>
          </w:tcPr>
          <w:p w14:paraId="342823D8">
            <w:pPr>
              <w:rPr>
                <w:sz w:val="21"/>
                <w:szCs w:val="21"/>
              </w:rPr>
            </w:pPr>
          </w:p>
        </w:tc>
        <w:tc>
          <w:tcPr>
            <w:tcW w:w="2264" w:type="dxa"/>
            <w:shd w:val="clear" w:color="auto" w:fill="auto"/>
            <w:vAlign w:val="center"/>
          </w:tcPr>
          <w:p w14:paraId="02F3EFE9">
            <w:pPr>
              <w:rPr>
                <w:rFonts w:hint="eastAsia"/>
                <w:sz w:val="21"/>
                <w:szCs w:val="21"/>
              </w:rPr>
            </w:pPr>
            <w:r>
              <w:rPr>
                <w:rFonts w:hint="eastAsia"/>
                <w:sz w:val="21"/>
                <w:szCs w:val="21"/>
              </w:rPr>
              <w:t>业务报表管理</w:t>
            </w:r>
          </w:p>
        </w:tc>
        <w:tc>
          <w:tcPr>
            <w:tcW w:w="5661" w:type="dxa"/>
            <w:shd w:val="clear" w:color="auto" w:fill="auto"/>
            <w:vAlign w:val="center"/>
          </w:tcPr>
          <w:p w14:paraId="63477A56">
            <w:pPr>
              <w:rPr>
                <w:rFonts w:hint="eastAsia"/>
                <w:sz w:val="21"/>
                <w:szCs w:val="21"/>
              </w:rPr>
            </w:pPr>
            <w:r>
              <w:rPr>
                <w:rFonts w:hint="eastAsia"/>
                <w:sz w:val="21"/>
                <w:szCs w:val="21"/>
              </w:rPr>
              <w:t>汇总自费与医保，业务上分为挂号、缴费、充值、住院预交金业务交易的微信、支付宝、银行账目数据。行：医院业务，列：支付类型。</w:t>
            </w:r>
          </w:p>
        </w:tc>
      </w:tr>
      <w:tr w14:paraId="3D4A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774" w:type="dxa"/>
            <w:vMerge w:val="continue"/>
            <w:shd w:val="clear" w:color="auto" w:fill="auto"/>
            <w:vAlign w:val="center"/>
          </w:tcPr>
          <w:p w14:paraId="046638C6">
            <w:pPr>
              <w:rPr>
                <w:sz w:val="21"/>
                <w:szCs w:val="21"/>
              </w:rPr>
            </w:pPr>
          </w:p>
        </w:tc>
        <w:tc>
          <w:tcPr>
            <w:tcW w:w="2264" w:type="dxa"/>
            <w:shd w:val="clear" w:color="auto" w:fill="auto"/>
            <w:vAlign w:val="center"/>
          </w:tcPr>
          <w:p w14:paraId="609CAA71">
            <w:pPr>
              <w:rPr>
                <w:rFonts w:hint="eastAsia"/>
                <w:sz w:val="21"/>
                <w:szCs w:val="21"/>
              </w:rPr>
            </w:pPr>
            <w:r>
              <w:rPr>
                <w:rFonts w:hint="eastAsia"/>
                <w:sz w:val="21"/>
                <w:szCs w:val="21"/>
              </w:rPr>
              <w:t>渠道报表管理</w:t>
            </w:r>
          </w:p>
        </w:tc>
        <w:tc>
          <w:tcPr>
            <w:tcW w:w="5661" w:type="dxa"/>
            <w:shd w:val="clear" w:color="auto" w:fill="auto"/>
            <w:vAlign w:val="center"/>
          </w:tcPr>
          <w:p w14:paraId="754398D3">
            <w:pPr>
              <w:rPr>
                <w:rFonts w:hint="eastAsia"/>
                <w:sz w:val="21"/>
                <w:szCs w:val="21"/>
              </w:rPr>
            </w:pPr>
            <w:r>
              <w:rPr>
                <w:rFonts w:hint="eastAsia"/>
                <w:sz w:val="21"/>
                <w:szCs w:val="21"/>
              </w:rPr>
              <w:t>汇总挂号、缴费、充值、住院预交金业务交易的微信、支付宝、银行数据。</w:t>
            </w:r>
          </w:p>
        </w:tc>
      </w:tr>
      <w:tr w14:paraId="6C2D5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774" w:type="dxa"/>
            <w:vMerge w:val="continue"/>
            <w:shd w:val="clear" w:color="auto" w:fill="auto"/>
            <w:vAlign w:val="center"/>
          </w:tcPr>
          <w:p w14:paraId="78ABDD8D">
            <w:pPr>
              <w:rPr>
                <w:sz w:val="21"/>
                <w:szCs w:val="21"/>
              </w:rPr>
            </w:pPr>
          </w:p>
        </w:tc>
        <w:tc>
          <w:tcPr>
            <w:tcW w:w="2264" w:type="dxa"/>
            <w:shd w:val="clear" w:color="auto" w:fill="auto"/>
            <w:vAlign w:val="center"/>
          </w:tcPr>
          <w:p w14:paraId="745F57C4">
            <w:pPr>
              <w:rPr>
                <w:rFonts w:hint="eastAsia"/>
                <w:sz w:val="21"/>
                <w:szCs w:val="21"/>
              </w:rPr>
            </w:pPr>
            <w:r>
              <w:rPr>
                <w:rFonts w:hint="eastAsia"/>
                <w:sz w:val="21"/>
                <w:szCs w:val="21"/>
              </w:rPr>
              <w:t>支付报表管理</w:t>
            </w:r>
          </w:p>
        </w:tc>
        <w:tc>
          <w:tcPr>
            <w:tcW w:w="5661" w:type="dxa"/>
            <w:shd w:val="clear" w:color="auto" w:fill="auto"/>
            <w:vAlign w:val="center"/>
          </w:tcPr>
          <w:p w14:paraId="08B6E9A0">
            <w:pPr>
              <w:rPr>
                <w:rFonts w:hint="eastAsia"/>
                <w:sz w:val="21"/>
                <w:szCs w:val="21"/>
              </w:rPr>
            </w:pPr>
            <w:r>
              <w:rPr>
                <w:rFonts w:hint="eastAsia"/>
                <w:sz w:val="21"/>
                <w:szCs w:val="21"/>
              </w:rPr>
              <w:t>汇总挂号、缴费、住院预交金业务交易的微信、支付宝、银行账目数据。</w:t>
            </w:r>
          </w:p>
        </w:tc>
      </w:tr>
      <w:tr w14:paraId="7309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1774" w:type="dxa"/>
            <w:vMerge w:val="restart"/>
            <w:shd w:val="clear" w:color="auto" w:fill="auto"/>
            <w:vAlign w:val="center"/>
          </w:tcPr>
          <w:p w14:paraId="225C28E5">
            <w:pPr>
              <w:rPr>
                <w:rFonts w:hint="eastAsia"/>
                <w:sz w:val="21"/>
                <w:szCs w:val="21"/>
              </w:rPr>
            </w:pPr>
            <w:r>
              <w:rPr>
                <w:rFonts w:hint="eastAsia"/>
                <w:sz w:val="21"/>
                <w:szCs w:val="21"/>
              </w:rPr>
              <w:t>运营管理模块</w:t>
            </w:r>
          </w:p>
        </w:tc>
        <w:tc>
          <w:tcPr>
            <w:tcW w:w="2264" w:type="dxa"/>
            <w:shd w:val="clear" w:color="auto" w:fill="auto"/>
            <w:vAlign w:val="center"/>
          </w:tcPr>
          <w:p w14:paraId="44999C41">
            <w:pPr>
              <w:rPr>
                <w:rFonts w:hint="eastAsia"/>
                <w:sz w:val="21"/>
                <w:szCs w:val="21"/>
              </w:rPr>
            </w:pPr>
            <w:r>
              <w:rPr>
                <w:rFonts w:hint="eastAsia"/>
                <w:sz w:val="21"/>
                <w:szCs w:val="21"/>
              </w:rPr>
              <w:t>交易明细查询</w:t>
            </w:r>
          </w:p>
        </w:tc>
        <w:tc>
          <w:tcPr>
            <w:tcW w:w="5661" w:type="dxa"/>
            <w:shd w:val="clear" w:color="auto" w:fill="auto"/>
            <w:vAlign w:val="center"/>
          </w:tcPr>
          <w:p w14:paraId="540C32E4">
            <w:pPr>
              <w:rPr>
                <w:rFonts w:hint="eastAsia"/>
                <w:sz w:val="21"/>
                <w:szCs w:val="21"/>
              </w:rPr>
            </w:pPr>
            <w:r>
              <w:rPr>
                <w:rFonts w:hint="eastAsia"/>
                <w:sz w:val="21"/>
                <w:szCs w:val="21"/>
              </w:rPr>
              <w:t>挂号、预约挂号、预约取号、缴费、充值、住院预交金、出院结算等交易业务查询</w:t>
            </w:r>
          </w:p>
        </w:tc>
      </w:tr>
      <w:tr w14:paraId="7ACFD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74" w:type="dxa"/>
            <w:vMerge w:val="continue"/>
            <w:shd w:val="clear" w:color="auto" w:fill="auto"/>
            <w:vAlign w:val="center"/>
          </w:tcPr>
          <w:p w14:paraId="4604BD1E">
            <w:pPr>
              <w:rPr>
                <w:sz w:val="21"/>
                <w:szCs w:val="21"/>
              </w:rPr>
            </w:pPr>
          </w:p>
        </w:tc>
        <w:tc>
          <w:tcPr>
            <w:tcW w:w="2264" w:type="dxa"/>
            <w:shd w:val="clear" w:color="auto" w:fill="auto"/>
            <w:vAlign w:val="center"/>
          </w:tcPr>
          <w:p w14:paraId="3ED7F00E">
            <w:pPr>
              <w:rPr>
                <w:rFonts w:hint="eastAsia"/>
                <w:sz w:val="21"/>
                <w:szCs w:val="21"/>
              </w:rPr>
            </w:pPr>
            <w:r>
              <w:rPr>
                <w:rFonts w:hint="eastAsia"/>
                <w:sz w:val="21"/>
                <w:szCs w:val="21"/>
              </w:rPr>
              <w:t>扫码退费办理</w:t>
            </w:r>
          </w:p>
        </w:tc>
        <w:tc>
          <w:tcPr>
            <w:tcW w:w="5661" w:type="dxa"/>
            <w:shd w:val="clear" w:color="auto" w:fill="auto"/>
            <w:vAlign w:val="center"/>
          </w:tcPr>
          <w:p w14:paraId="7D211FD9">
            <w:pPr>
              <w:rPr>
                <w:rFonts w:hint="eastAsia"/>
                <w:sz w:val="21"/>
                <w:szCs w:val="21"/>
              </w:rPr>
            </w:pPr>
            <w:r>
              <w:rPr>
                <w:rFonts w:hint="eastAsia"/>
                <w:sz w:val="21"/>
                <w:szCs w:val="21"/>
              </w:rPr>
              <w:t>支付宝/微信交易查询，支付宝/微信退费办理</w:t>
            </w:r>
          </w:p>
        </w:tc>
      </w:tr>
      <w:tr w14:paraId="4DF75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74" w:type="dxa"/>
            <w:vMerge w:val="restart"/>
            <w:shd w:val="clear" w:color="auto" w:fill="auto"/>
            <w:vAlign w:val="center"/>
          </w:tcPr>
          <w:p w14:paraId="122DFC84">
            <w:pPr>
              <w:rPr>
                <w:rFonts w:hint="eastAsia"/>
                <w:sz w:val="21"/>
                <w:szCs w:val="21"/>
              </w:rPr>
            </w:pPr>
            <w:r>
              <w:rPr>
                <w:rFonts w:hint="eastAsia"/>
                <w:sz w:val="21"/>
                <w:szCs w:val="21"/>
              </w:rPr>
              <w:t>智能决策分析</w:t>
            </w:r>
          </w:p>
        </w:tc>
        <w:tc>
          <w:tcPr>
            <w:tcW w:w="2264" w:type="dxa"/>
            <w:shd w:val="clear" w:color="auto" w:fill="auto"/>
            <w:vAlign w:val="center"/>
          </w:tcPr>
          <w:p w14:paraId="093D19DD">
            <w:pPr>
              <w:rPr>
                <w:rFonts w:hint="eastAsia"/>
                <w:sz w:val="21"/>
                <w:szCs w:val="21"/>
              </w:rPr>
            </w:pPr>
            <w:r>
              <w:rPr>
                <w:rFonts w:hint="eastAsia"/>
                <w:sz w:val="21"/>
                <w:szCs w:val="21"/>
              </w:rPr>
              <w:t>业务类型统计</w:t>
            </w:r>
          </w:p>
        </w:tc>
        <w:tc>
          <w:tcPr>
            <w:tcW w:w="5661" w:type="dxa"/>
            <w:shd w:val="clear" w:color="auto" w:fill="auto"/>
            <w:vAlign w:val="center"/>
          </w:tcPr>
          <w:p w14:paraId="0815F8D3">
            <w:pPr>
              <w:rPr>
                <w:rFonts w:hint="eastAsia"/>
                <w:sz w:val="21"/>
                <w:szCs w:val="21"/>
              </w:rPr>
            </w:pPr>
            <w:r>
              <w:rPr>
                <w:rFonts w:hint="eastAsia"/>
                <w:sz w:val="21"/>
                <w:szCs w:val="21"/>
              </w:rPr>
              <w:t>针对医院各业务的交易量进行统计和展现，各业务交易量的变化趋势可视化展现。</w:t>
            </w:r>
          </w:p>
        </w:tc>
      </w:tr>
      <w:tr w14:paraId="72E8C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74" w:type="dxa"/>
            <w:vMerge w:val="continue"/>
            <w:shd w:val="clear" w:color="auto" w:fill="auto"/>
            <w:vAlign w:val="center"/>
          </w:tcPr>
          <w:p w14:paraId="252B62A2">
            <w:pPr>
              <w:rPr>
                <w:sz w:val="21"/>
                <w:szCs w:val="21"/>
              </w:rPr>
            </w:pPr>
          </w:p>
        </w:tc>
        <w:tc>
          <w:tcPr>
            <w:tcW w:w="2264" w:type="dxa"/>
            <w:shd w:val="clear" w:color="auto" w:fill="auto"/>
            <w:vAlign w:val="center"/>
          </w:tcPr>
          <w:p w14:paraId="0C739647">
            <w:pPr>
              <w:rPr>
                <w:rFonts w:hint="eastAsia"/>
                <w:sz w:val="21"/>
                <w:szCs w:val="21"/>
              </w:rPr>
            </w:pPr>
            <w:r>
              <w:rPr>
                <w:rFonts w:hint="eastAsia"/>
                <w:sz w:val="21"/>
                <w:szCs w:val="21"/>
              </w:rPr>
              <w:t>交易类型统计</w:t>
            </w:r>
          </w:p>
        </w:tc>
        <w:tc>
          <w:tcPr>
            <w:tcW w:w="5661" w:type="dxa"/>
            <w:shd w:val="clear" w:color="auto" w:fill="auto"/>
            <w:vAlign w:val="center"/>
          </w:tcPr>
          <w:p w14:paraId="4958E8D3">
            <w:pPr>
              <w:rPr>
                <w:rFonts w:hint="eastAsia"/>
                <w:sz w:val="21"/>
                <w:szCs w:val="21"/>
              </w:rPr>
            </w:pPr>
            <w:r>
              <w:rPr>
                <w:rFonts w:hint="eastAsia"/>
                <w:sz w:val="21"/>
                <w:szCs w:val="21"/>
              </w:rPr>
              <w:t>结合医院的支付渠道进行统计分析，及时掌握各渠道的交易金额及占比，方便领导运营决策。</w:t>
            </w:r>
          </w:p>
        </w:tc>
      </w:tr>
      <w:tr w14:paraId="27ED1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74" w:type="dxa"/>
            <w:vMerge w:val="continue"/>
            <w:shd w:val="clear" w:color="auto" w:fill="auto"/>
            <w:vAlign w:val="center"/>
          </w:tcPr>
          <w:p w14:paraId="674CE683">
            <w:pPr>
              <w:rPr>
                <w:sz w:val="21"/>
                <w:szCs w:val="21"/>
              </w:rPr>
            </w:pPr>
          </w:p>
        </w:tc>
        <w:tc>
          <w:tcPr>
            <w:tcW w:w="2264" w:type="dxa"/>
            <w:shd w:val="clear" w:color="auto" w:fill="auto"/>
            <w:vAlign w:val="center"/>
          </w:tcPr>
          <w:p w14:paraId="0C341306">
            <w:pPr>
              <w:rPr>
                <w:rFonts w:hint="eastAsia"/>
                <w:sz w:val="21"/>
                <w:szCs w:val="21"/>
              </w:rPr>
            </w:pPr>
            <w:r>
              <w:rPr>
                <w:rFonts w:hint="eastAsia"/>
                <w:sz w:val="21"/>
                <w:szCs w:val="21"/>
              </w:rPr>
              <w:t>渠道类型统计</w:t>
            </w:r>
          </w:p>
        </w:tc>
        <w:tc>
          <w:tcPr>
            <w:tcW w:w="5661" w:type="dxa"/>
            <w:shd w:val="clear" w:color="auto" w:fill="auto"/>
            <w:vAlign w:val="center"/>
          </w:tcPr>
          <w:p w14:paraId="44CA8214">
            <w:pPr>
              <w:rPr>
                <w:rFonts w:hint="eastAsia"/>
                <w:sz w:val="21"/>
                <w:szCs w:val="21"/>
              </w:rPr>
            </w:pPr>
            <w:r>
              <w:rPr>
                <w:rFonts w:hint="eastAsia"/>
                <w:sz w:val="21"/>
                <w:szCs w:val="21"/>
              </w:rPr>
              <w:t>结合医院的业务类型进行统计分析，方便领导对各业务的运营策略做及时调整。</w:t>
            </w:r>
          </w:p>
        </w:tc>
      </w:tr>
      <w:tr w14:paraId="3D17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774" w:type="dxa"/>
            <w:shd w:val="clear" w:color="auto" w:fill="auto"/>
            <w:vAlign w:val="center"/>
          </w:tcPr>
          <w:p w14:paraId="4E6174B4">
            <w:pPr>
              <w:rPr>
                <w:rFonts w:hint="eastAsia"/>
                <w:sz w:val="21"/>
                <w:szCs w:val="21"/>
              </w:rPr>
            </w:pPr>
            <w:r>
              <w:rPr>
                <w:rFonts w:hint="eastAsia"/>
                <w:sz w:val="21"/>
                <w:szCs w:val="21"/>
              </w:rPr>
              <w:t>基础功能</w:t>
            </w:r>
          </w:p>
        </w:tc>
        <w:tc>
          <w:tcPr>
            <w:tcW w:w="2264" w:type="dxa"/>
            <w:shd w:val="clear" w:color="auto" w:fill="auto"/>
            <w:vAlign w:val="center"/>
          </w:tcPr>
          <w:p w14:paraId="0BC6F2BD">
            <w:pPr>
              <w:rPr>
                <w:rFonts w:hint="eastAsia"/>
                <w:sz w:val="21"/>
                <w:szCs w:val="21"/>
              </w:rPr>
            </w:pPr>
            <w:r>
              <w:rPr>
                <w:rFonts w:hint="eastAsia"/>
                <w:sz w:val="21"/>
                <w:szCs w:val="21"/>
              </w:rPr>
              <w:t>权限、用户管理</w:t>
            </w:r>
          </w:p>
        </w:tc>
        <w:tc>
          <w:tcPr>
            <w:tcW w:w="5661" w:type="dxa"/>
            <w:shd w:val="clear" w:color="auto" w:fill="auto"/>
            <w:vAlign w:val="center"/>
          </w:tcPr>
          <w:p w14:paraId="6A5AEBDD">
            <w:pPr>
              <w:rPr>
                <w:rFonts w:hint="eastAsia"/>
                <w:sz w:val="21"/>
                <w:szCs w:val="21"/>
              </w:rPr>
            </w:pPr>
            <w:r>
              <w:rPr>
                <w:rFonts w:hint="eastAsia"/>
                <w:sz w:val="21"/>
                <w:szCs w:val="21"/>
              </w:rPr>
              <w:t>系统用户、功能、权限等管理</w:t>
            </w:r>
          </w:p>
        </w:tc>
      </w:tr>
    </w:tbl>
    <w:p w14:paraId="1CA49FF6">
      <w:pPr>
        <w:spacing w:line="312" w:lineRule="auto"/>
      </w:pPr>
    </w:p>
    <w:p w14:paraId="04BEAB12">
      <w:pPr>
        <w:pStyle w:val="3"/>
        <w:spacing w:before="0" w:after="0" w:line="415" w:lineRule="auto"/>
        <w:rPr>
          <w:sz w:val="28"/>
          <w:szCs w:val="28"/>
        </w:rPr>
      </w:pPr>
      <w:r>
        <w:rPr>
          <w:rFonts w:hint="eastAsia"/>
          <w:sz w:val="28"/>
          <w:szCs w:val="28"/>
        </w:rPr>
        <w:t>5</w:t>
      </w:r>
      <w:r>
        <w:rPr>
          <w:sz w:val="28"/>
          <w:szCs w:val="28"/>
        </w:rPr>
        <w:t>.3</w:t>
      </w:r>
      <w:r>
        <w:rPr>
          <w:rFonts w:hint="eastAsia"/>
          <w:sz w:val="28"/>
          <w:szCs w:val="28"/>
        </w:rPr>
        <w:t>住院端医保结算接口开发</w:t>
      </w:r>
    </w:p>
    <w:p w14:paraId="13E19F2F">
      <w:pPr>
        <w:spacing w:line="312" w:lineRule="auto"/>
        <w:ind w:firstLine="420"/>
        <w:rPr>
          <w:lang w:eastAsia="zh-Hans"/>
        </w:rPr>
      </w:pPr>
      <w:r>
        <w:rPr>
          <w:lang w:eastAsia="zh-Hans"/>
        </w:rPr>
        <w:t>住院端医保结算接口的开发旨在实现住院患者的医保缴费功能</w:t>
      </w:r>
      <w:r>
        <w:rPr>
          <w:rFonts w:hint="eastAsia"/>
          <w:lang w:eastAsia="zh-Hans"/>
        </w:rPr>
        <w:t>，</w:t>
      </w:r>
      <w:r>
        <w:rPr>
          <w:lang w:eastAsia="zh-Hans"/>
        </w:rPr>
        <w:t>不仅支持传统的医保支付方式，还融入了医保电子凭证支付等现代化手段，确保医保结算的便捷性和安全性。</w:t>
      </w:r>
      <w:r>
        <w:rPr>
          <w:rFonts w:hint="eastAsia"/>
        </w:rPr>
        <w:t>开发过程中需要满足如下几方面要求：</w:t>
      </w:r>
    </w:p>
    <w:p w14:paraId="51A49362">
      <w:pPr>
        <w:pStyle w:val="38"/>
        <w:numPr>
          <w:ilvl w:val="0"/>
          <w:numId w:val="16"/>
        </w:numPr>
        <w:spacing w:line="312" w:lineRule="auto"/>
        <w:ind w:firstLineChars="0"/>
        <w:rPr>
          <w:rFonts w:ascii="宋体" w:hAnsi="宋体" w:eastAsia="宋体"/>
          <w:sz w:val="24"/>
          <w:lang w:eastAsia="zh-Hans"/>
        </w:rPr>
      </w:pPr>
      <w:r>
        <w:rPr>
          <w:rFonts w:ascii="宋体" w:hAnsi="宋体" w:eastAsia="宋体"/>
          <w:sz w:val="24"/>
          <w:lang w:eastAsia="zh-Hans"/>
        </w:rPr>
        <w:t>住院医保缴费功能实现</w:t>
      </w:r>
    </w:p>
    <w:p w14:paraId="31B6F11E">
      <w:pPr>
        <w:spacing w:line="312" w:lineRule="auto"/>
        <w:ind w:firstLine="420"/>
        <w:rPr>
          <w:lang w:eastAsia="zh-Hans"/>
        </w:rPr>
      </w:pPr>
      <w:r>
        <w:rPr>
          <w:lang w:eastAsia="zh-Hans"/>
        </w:rPr>
        <w:t>通过住院端医保结算接口，医院可以高效地处理住院患者的医保缴费事宜。接口与医保系统进行对接，自动读取患者的医保信息，并根据医保政策计算应缴费用。患者或其家属可通过医院提供的支付渠道，如自助缴费机、移动支付平台等，使用医保账户余额或银行卡等方式完成缴费。</w:t>
      </w:r>
    </w:p>
    <w:p w14:paraId="524CCF8F">
      <w:pPr>
        <w:pStyle w:val="38"/>
        <w:numPr>
          <w:ilvl w:val="0"/>
          <w:numId w:val="17"/>
        </w:numPr>
        <w:spacing w:line="312" w:lineRule="auto"/>
        <w:ind w:firstLineChars="0"/>
        <w:rPr>
          <w:rFonts w:ascii="宋体" w:hAnsi="宋体" w:eastAsia="宋体"/>
          <w:sz w:val="24"/>
          <w:lang w:eastAsia="zh-Hans"/>
        </w:rPr>
      </w:pPr>
      <w:r>
        <w:rPr>
          <w:rFonts w:ascii="宋体" w:hAnsi="宋体" w:eastAsia="宋体"/>
          <w:sz w:val="24"/>
          <w:lang w:eastAsia="zh-Hans"/>
        </w:rPr>
        <w:t>医保电子凭证支付</w:t>
      </w:r>
    </w:p>
    <w:p w14:paraId="67C37B9C">
      <w:pPr>
        <w:spacing w:line="312" w:lineRule="auto"/>
        <w:ind w:firstLine="420"/>
        <w:rPr>
          <w:lang w:eastAsia="zh-Hans"/>
        </w:rPr>
      </w:pPr>
      <w:r>
        <w:rPr>
          <w:lang w:eastAsia="zh-Hans"/>
        </w:rPr>
        <w:t>医保电子凭证支付</w:t>
      </w:r>
      <w:r>
        <w:rPr>
          <w:rFonts w:hint="eastAsia"/>
        </w:rPr>
        <w:t>将</w:t>
      </w:r>
      <w:r>
        <w:rPr>
          <w:lang w:eastAsia="zh-Hans"/>
        </w:rPr>
        <w:t>住院端医保结算接口的一大亮点。医保电子凭证作为医保身份认证和支付的媒介，具有便捷、安全、易携带等优点。患者只需通过手机等电子设备出示医保电子凭证，接口即可自动识别并完成支付操作</w:t>
      </w:r>
      <w:r>
        <w:rPr>
          <w:rFonts w:hint="eastAsia"/>
          <w:lang w:eastAsia="zh-Hans"/>
        </w:rPr>
        <w:t>，</w:t>
      </w:r>
      <w:r>
        <w:rPr>
          <w:rFonts w:hint="eastAsia"/>
        </w:rPr>
        <w:t>将</w:t>
      </w:r>
      <w:r>
        <w:rPr>
          <w:lang w:eastAsia="zh-Hans"/>
        </w:rPr>
        <w:t>提高了支付的准确性和速度。</w:t>
      </w:r>
    </w:p>
    <w:p w14:paraId="516A07A2">
      <w:pPr>
        <w:pStyle w:val="38"/>
        <w:numPr>
          <w:ilvl w:val="0"/>
          <w:numId w:val="18"/>
        </w:numPr>
        <w:spacing w:line="312" w:lineRule="auto"/>
        <w:ind w:firstLineChars="0"/>
        <w:rPr>
          <w:rFonts w:ascii="宋体" w:hAnsi="宋体" w:eastAsia="宋体"/>
          <w:sz w:val="24"/>
          <w:lang w:eastAsia="zh-Hans"/>
        </w:rPr>
      </w:pPr>
      <w:r>
        <w:rPr>
          <w:rFonts w:ascii="宋体" w:hAnsi="宋体" w:eastAsia="宋体"/>
          <w:sz w:val="24"/>
          <w:lang w:eastAsia="zh-Hans"/>
        </w:rPr>
        <w:t>医保支付及对账接口</w:t>
      </w:r>
    </w:p>
    <w:p w14:paraId="6BB3A445">
      <w:pPr>
        <w:spacing w:line="312" w:lineRule="auto"/>
        <w:ind w:firstLine="420"/>
        <w:rPr>
          <w:lang w:eastAsia="zh-Hans"/>
        </w:rPr>
      </w:pPr>
      <w:r>
        <w:rPr>
          <w:lang w:eastAsia="zh-Hans"/>
        </w:rPr>
        <w:t>医保支付及对账接口是住院端医保结算接口的核心组成部分。该接口与医保系统实时通信，确保医保支付信息的准确性和及时性。在支付环节，接口将患者的支付信息发送至医保系统，由医保系统进行审核和扣款。同时，接口还具备对账功能，能够自动比对医院和医保系统的支付记录，及时发现并处理差异情况，确保财务数据的准确性和完整性。</w:t>
      </w:r>
    </w:p>
    <w:p w14:paraId="65B1E3C6">
      <w:pPr>
        <w:pStyle w:val="38"/>
        <w:numPr>
          <w:ilvl w:val="0"/>
          <w:numId w:val="18"/>
        </w:numPr>
        <w:spacing w:line="312" w:lineRule="auto"/>
        <w:ind w:firstLineChars="0"/>
        <w:rPr>
          <w:rFonts w:ascii="宋体" w:hAnsi="宋体" w:eastAsia="宋体"/>
          <w:sz w:val="24"/>
          <w:lang w:eastAsia="zh-Hans"/>
        </w:rPr>
      </w:pPr>
      <w:r>
        <w:rPr>
          <w:rFonts w:ascii="宋体" w:hAnsi="宋体" w:eastAsia="宋体"/>
          <w:sz w:val="24"/>
          <w:lang w:eastAsia="zh-Hans"/>
        </w:rPr>
        <w:t>符合国家医保标准的认证规范</w:t>
      </w:r>
    </w:p>
    <w:p w14:paraId="747C14BE">
      <w:pPr>
        <w:spacing w:line="312" w:lineRule="auto"/>
        <w:ind w:firstLine="420"/>
        <w:rPr>
          <w:lang w:eastAsia="zh-Hans"/>
        </w:rPr>
      </w:pPr>
      <w:r>
        <w:rPr>
          <w:lang w:eastAsia="zh-Hans"/>
        </w:rPr>
        <w:t>在住院端医保结算接口的开发过程中，严格遵守国家医保标准的认证规范是至关重要的。这不仅包括接口的技术标准和安全标准，还包括医保政策、支付规则等方面的要求。通过遵循这些规范，可以确保接口与医保系统的兼容性和稳定性，提高医保结算的准确性和可靠性。</w:t>
      </w:r>
    </w:p>
    <w:p w14:paraId="34A04D35">
      <w:pPr>
        <w:spacing w:line="312" w:lineRule="auto"/>
        <w:ind w:firstLine="420"/>
      </w:pPr>
      <w:r>
        <w:rPr>
          <w:lang w:eastAsia="zh-Hans"/>
        </w:rPr>
        <w:t>住院端医保结算接口的开发需要综合考虑技术、政策、安全等多个方面。</w:t>
      </w:r>
      <w:r>
        <w:rPr>
          <w:rFonts w:hint="eastAsia"/>
        </w:rPr>
        <w:t>目标将</w:t>
      </w:r>
      <w:r>
        <w:rPr>
          <w:lang w:eastAsia="zh-Hans"/>
        </w:rPr>
        <w:t>通过不断完善和优化接口功能，可以进一步提升医疗服务质量。</w:t>
      </w:r>
    </w:p>
    <w:p w14:paraId="44DDD479">
      <w:pPr>
        <w:pStyle w:val="3"/>
        <w:spacing w:before="0" w:after="0" w:line="415" w:lineRule="auto"/>
        <w:rPr>
          <w:sz w:val="28"/>
          <w:szCs w:val="28"/>
        </w:rPr>
      </w:pPr>
      <w:r>
        <w:rPr>
          <w:rFonts w:hint="eastAsia"/>
          <w:sz w:val="28"/>
          <w:szCs w:val="28"/>
        </w:rPr>
        <w:t>5</w:t>
      </w:r>
      <w:r>
        <w:rPr>
          <w:sz w:val="28"/>
          <w:szCs w:val="28"/>
        </w:rPr>
        <w:t>.4住院病区自助结算系统开发</w:t>
      </w:r>
    </w:p>
    <w:p w14:paraId="0D2CFB01">
      <w:pPr>
        <w:spacing w:line="312" w:lineRule="auto"/>
        <w:ind w:firstLine="420"/>
        <w:rPr>
          <w:lang w:eastAsia="zh-Hans"/>
        </w:rPr>
      </w:pPr>
      <w:r>
        <w:rPr>
          <w:lang w:eastAsia="zh-Hans"/>
        </w:rPr>
        <w:t>病区设备系统对接开发，入院管理、出院流程改造、一键退费、护士长与住院主任电子签名改造等。</w:t>
      </w:r>
    </w:p>
    <w:p w14:paraId="65DCB5E6">
      <w:pPr>
        <w:spacing w:line="312" w:lineRule="auto"/>
      </w:pPr>
    </w:p>
    <w:p w14:paraId="11DDD25D">
      <w:pPr>
        <w:spacing w:line="312" w:lineRule="auto"/>
        <w:ind w:firstLine="420"/>
        <w:rPr>
          <w:rFonts w:hint="eastAsia"/>
        </w:rPr>
      </w:pPr>
      <w:r>
        <w:rPr>
          <w:rFonts w:hint="eastAsia"/>
        </w:rPr>
        <w:t>住院病区自助结算系统需要至少满足如下功能范围：</w:t>
      </w:r>
    </w:p>
    <w:tbl>
      <w:tblPr>
        <w:tblStyle w:val="22"/>
        <w:tblW w:w="9699" w:type="dxa"/>
        <w:tblInd w:w="0" w:type="dxa"/>
        <w:tblLayout w:type="autofit"/>
        <w:tblCellMar>
          <w:top w:w="0" w:type="dxa"/>
          <w:left w:w="108" w:type="dxa"/>
          <w:bottom w:w="0" w:type="dxa"/>
          <w:right w:w="108" w:type="dxa"/>
        </w:tblCellMar>
      </w:tblPr>
      <w:tblGrid>
        <w:gridCol w:w="2088"/>
        <w:gridCol w:w="7611"/>
      </w:tblGrid>
      <w:tr w14:paraId="05A3CAAC">
        <w:tblPrEx>
          <w:tblCellMar>
            <w:top w:w="0" w:type="dxa"/>
            <w:left w:w="108" w:type="dxa"/>
            <w:bottom w:w="0" w:type="dxa"/>
            <w:right w:w="108" w:type="dxa"/>
          </w:tblCellMar>
        </w:tblPrEx>
        <w:trPr>
          <w:trHeight w:val="422" w:hRule="atLeast"/>
        </w:trPr>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14:paraId="22CFD67B">
            <w:pPr>
              <w:spacing w:line="312" w:lineRule="auto"/>
              <w:rPr>
                <w:rFonts w:hint="eastAsia"/>
                <w:b/>
                <w:bCs/>
                <w:sz w:val="21"/>
                <w:szCs w:val="21"/>
              </w:rPr>
            </w:pPr>
            <w:r>
              <w:rPr>
                <w:rFonts w:hint="eastAsia"/>
                <w:b/>
                <w:bCs/>
                <w:sz w:val="21"/>
                <w:szCs w:val="21"/>
              </w:rPr>
              <w:t>功能</w:t>
            </w:r>
          </w:p>
        </w:tc>
        <w:tc>
          <w:tcPr>
            <w:tcW w:w="7611" w:type="dxa"/>
            <w:tcBorders>
              <w:top w:val="single" w:color="auto" w:sz="4" w:space="0"/>
              <w:left w:val="nil"/>
              <w:bottom w:val="single" w:color="auto" w:sz="4" w:space="0"/>
              <w:right w:val="single" w:color="auto" w:sz="4" w:space="0"/>
            </w:tcBorders>
            <w:shd w:val="clear" w:color="auto" w:fill="auto"/>
            <w:vAlign w:val="center"/>
          </w:tcPr>
          <w:p w14:paraId="1A63E70E">
            <w:pPr>
              <w:spacing w:line="312" w:lineRule="auto"/>
              <w:rPr>
                <w:rFonts w:hint="eastAsia"/>
                <w:b/>
                <w:bCs/>
                <w:sz w:val="21"/>
                <w:szCs w:val="21"/>
              </w:rPr>
            </w:pPr>
            <w:r>
              <w:rPr>
                <w:rFonts w:hint="eastAsia"/>
                <w:b/>
                <w:bCs/>
                <w:sz w:val="21"/>
                <w:szCs w:val="21"/>
              </w:rPr>
              <w:t>描述</w:t>
            </w:r>
          </w:p>
        </w:tc>
      </w:tr>
      <w:tr w14:paraId="48EA41D3">
        <w:tblPrEx>
          <w:tblCellMar>
            <w:top w:w="0" w:type="dxa"/>
            <w:left w:w="108" w:type="dxa"/>
            <w:bottom w:w="0" w:type="dxa"/>
            <w:right w:w="108" w:type="dxa"/>
          </w:tblCellMar>
        </w:tblPrEx>
        <w:trPr>
          <w:trHeight w:val="1230" w:hRule="atLeast"/>
        </w:trPr>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14:paraId="05DBF282">
            <w:pPr>
              <w:spacing w:line="312" w:lineRule="auto"/>
              <w:rPr>
                <w:sz w:val="21"/>
                <w:szCs w:val="21"/>
              </w:rPr>
            </w:pPr>
            <w:r>
              <w:rPr>
                <w:rFonts w:hint="eastAsia"/>
                <w:sz w:val="21"/>
                <w:szCs w:val="21"/>
              </w:rPr>
              <w:t>自助入院</w:t>
            </w:r>
          </w:p>
        </w:tc>
        <w:tc>
          <w:tcPr>
            <w:tcW w:w="7611" w:type="dxa"/>
            <w:tcBorders>
              <w:top w:val="single" w:color="auto" w:sz="4" w:space="0"/>
              <w:left w:val="nil"/>
              <w:bottom w:val="single" w:color="auto" w:sz="4" w:space="0"/>
              <w:right w:val="single" w:color="auto" w:sz="4" w:space="0"/>
            </w:tcBorders>
            <w:shd w:val="clear" w:color="auto" w:fill="auto"/>
            <w:vAlign w:val="center"/>
          </w:tcPr>
          <w:p w14:paraId="61F32BF5">
            <w:pPr>
              <w:spacing w:line="312" w:lineRule="auto"/>
              <w:rPr>
                <w:rFonts w:hint="eastAsia"/>
                <w:sz w:val="21"/>
                <w:szCs w:val="21"/>
              </w:rPr>
            </w:pPr>
            <w:r>
              <w:rPr>
                <w:rFonts w:hint="eastAsia"/>
                <w:sz w:val="21"/>
                <w:szCs w:val="21"/>
              </w:rPr>
              <w:t>患者办理入院登记，使用身份证或者就诊卡、医保卡等进行身份确认，识别个人信息后读取医生开具的电子入院卡，确认信息后自助办理入院登记以及医保身份登记。</w:t>
            </w:r>
          </w:p>
        </w:tc>
      </w:tr>
      <w:tr w14:paraId="5EB41B7B">
        <w:tblPrEx>
          <w:tblCellMar>
            <w:top w:w="0" w:type="dxa"/>
            <w:left w:w="108" w:type="dxa"/>
            <w:bottom w:w="0" w:type="dxa"/>
            <w:right w:w="108" w:type="dxa"/>
          </w:tblCellMar>
        </w:tblPrEx>
        <w:trPr>
          <w:trHeight w:val="824" w:hRule="atLeast"/>
        </w:trPr>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14:paraId="5DEC241A">
            <w:pPr>
              <w:spacing w:line="312" w:lineRule="auto"/>
              <w:rPr>
                <w:rFonts w:hint="eastAsia"/>
                <w:sz w:val="21"/>
                <w:szCs w:val="21"/>
              </w:rPr>
            </w:pPr>
            <w:r>
              <w:rPr>
                <w:rFonts w:hint="eastAsia"/>
                <w:sz w:val="21"/>
                <w:szCs w:val="21"/>
              </w:rPr>
              <w:t>住院押金充值</w:t>
            </w:r>
          </w:p>
        </w:tc>
        <w:tc>
          <w:tcPr>
            <w:tcW w:w="7611" w:type="dxa"/>
            <w:tcBorders>
              <w:top w:val="single" w:color="auto" w:sz="4" w:space="0"/>
              <w:left w:val="nil"/>
              <w:bottom w:val="single" w:color="auto" w:sz="4" w:space="0"/>
              <w:right w:val="single" w:color="auto" w:sz="4" w:space="0"/>
            </w:tcBorders>
            <w:shd w:val="clear" w:color="auto" w:fill="auto"/>
            <w:vAlign w:val="center"/>
          </w:tcPr>
          <w:p w14:paraId="4731DB3A">
            <w:pPr>
              <w:spacing w:line="312" w:lineRule="auto"/>
              <w:rPr>
                <w:rFonts w:hint="eastAsia"/>
                <w:sz w:val="21"/>
                <w:szCs w:val="21"/>
              </w:rPr>
            </w:pPr>
            <w:r>
              <w:rPr>
                <w:rFonts w:hint="eastAsia"/>
                <w:sz w:val="21"/>
                <w:szCs w:val="21"/>
              </w:rPr>
              <w:t>缴纳患者的住院押金，支付类别参照“支付标准”，可根据医院的需求可以配置充值的上限</w:t>
            </w:r>
          </w:p>
        </w:tc>
      </w:tr>
      <w:tr w14:paraId="703D5968">
        <w:tblPrEx>
          <w:tblCellMar>
            <w:top w:w="0" w:type="dxa"/>
            <w:left w:w="108" w:type="dxa"/>
            <w:bottom w:w="0" w:type="dxa"/>
            <w:right w:w="108" w:type="dxa"/>
          </w:tblCellMar>
        </w:tblPrEx>
        <w:trPr>
          <w:trHeight w:val="824" w:hRule="atLeast"/>
        </w:trPr>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14:paraId="3E8F2E9A">
            <w:pPr>
              <w:spacing w:line="312" w:lineRule="auto"/>
              <w:rPr>
                <w:rFonts w:hint="eastAsia"/>
                <w:sz w:val="21"/>
                <w:szCs w:val="21"/>
              </w:rPr>
            </w:pPr>
            <w:r>
              <w:rPr>
                <w:rFonts w:hint="eastAsia"/>
                <w:sz w:val="21"/>
                <w:szCs w:val="21"/>
              </w:rPr>
              <w:t>住院清单查询</w:t>
            </w:r>
          </w:p>
        </w:tc>
        <w:tc>
          <w:tcPr>
            <w:tcW w:w="7611" w:type="dxa"/>
            <w:tcBorders>
              <w:top w:val="single" w:color="auto" w:sz="4" w:space="0"/>
              <w:left w:val="nil"/>
              <w:bottom w:val="single" w:color="auto" w:sz="4" w:space="0"/>
              <w:right w:val="single" w:color="auto" w:sz="4" w:space="0"/>
            </w:tcBorders>
            <w:shd w:val="clear" w:color="auto" w:fill="auto"/>
            <w:vAlign w:val="center"/>
          </w:tcPr>
          <w:p w14:paraId="15FB9986">
            <w:pPr>
              <w:spacing w:line="312" w:lineRule="auto"/>
              <w:rPr>
                <w:rFonts w:hint="eastAsia"/>
                <w:sz w:val="21"/>
                <w:szCs w:val="21"/>
              </w:rPr>
            </w:pPr>
            <w:r>
              <w:rPr>
                <w:rFonts w:hint="eastAsia"/>
                <w:sz w:val="21"/>
                <w:szCs w:val="21"/>
              </w:rPr>
              <w:t>可查询就诊日期内住院详细费用清单，日清单模版默认提供标准模版，可根据医院需求进行适配</w:t>
            </w:r>
          </w:p>
        </w:tc>
      </w:tr>
      <w:tr w14:paraId="7B37A351">
        <w:tblPrEx>
          <w:tblCellMar>
            <w:top w:w="0" w:type="dxa"/>
            <w:left w:w="108" w:type="dxa"/>
            <w:bottom w:w="0" w:type="dxa"/>
            <w:right w:w="108" w:type="dxa"/>
          </w:tblCellMar>
        </w:tblPrEx>
        <w:trPr>
          <w:trHeight w:val="824" w:hRule="atLeast"/>
        </w:trPr>
        <w:tc>
          <w:tcPr>
            <w:tcW w:w="2088" w:type="dxa"/>
            <w:vMerge w:val="restart"/>
            <w:tcBorders>
              <w:top w:val="nil"/>
              <w:left w:val="single" w:color="auto" w:sz="4" w:space="0"/>
              <w:bottom w:val="single" w:color="auto" w:sz="4" w:space="0"/>
              <w:right w:val="single" w:color="auto" w:sz="4" w:space="0"/>
            </w:tcBorders>
            <w:shd w:val="clear" w:color="auto" w:fill="auto"/>
            <w:vAlign w:val="center"/>
          </w:tcPr>
          <w:p w14:paraId="7C9BDFAA">
            <w:pPr>
              <w:spacing w:line="312" w:lineRule="auto"/>
              <w:rPr>
                <w:rFonts w:hint="eastAsia"/>
                <w:sz w:val="21"/>
                <w:szCs w:val="21"/>
              </w:rPr>
            </w:pPr>
            <w:r>
              <w:rPr>
                <w:rFonts w:hint="eastAsia"/>
                <w:sz w:val="21"/>
                <w:szCs w:val="21"/>
              </w:rPr>
              <w:t xml:space="preserve">出院结算    </w:t>
            </w:r>
          </w:p>
        </w:tc>
        <w:tc>
          <w:tcPr>
            <w:tcW w:w="7611" w:type="dxa"/>
            <w:tcBorders>
              <w:top w:val="nil"/>
              <w:left w:val="nil"/>
              <w:bottom w:val="single" w:color="auto" w:sz="4" w:space="0"/>
              <w:right w:val="single" w:color="auto" w:sz="4" w:space="0"/>
            </w:tcBorders>
            <w:shd w:val="clear" w:color="auto" w:fill="auto"/>
            <w:vAlign w:val="center"/>
          </w:tcPr>
          <w:p w14:paraId="02E08AC0">
            <w:pPr>
              <w:spacing w:line="312" w:lineRule="auto"/>
              <w:rPr>
                <w:rFonts w:hint="eastAsia"/>
                <w:sz w:val="21"/>
                <w:szCs w:val="21"/>
              </w:rPr>
            </w:pPr>
            <w:r>
              <w:rPr>
                <w:rFonts w:hint="eastAsia"/>
                <w:sz w:val="21"/>
                <w:szCs w:val="21"/>
              </w:rPr>
              <w:t>患者只需在自助机上按照指引进行身份识别、医保或自费结算、费用退补即可办理完成出院结算手续，减少往返。</w:t>
            </w:r>
          </w:p>
        </w:tc>
      </w:tr>
      <w:tr w14:paraId="3FFDC1CD">
        <w:tblPrEx>
          <w:tblCellMar>
            <w:top w:w="0" w:type="dxa"/>
            <w:left w:w="108" w:type="dxa"/>
            <w:bottom w:w="0" w:type="dxa"/>
            <w:right w:w="108" w:type="dxa"/>
          </w:tblCellMar>
        </w:tblPrEx>
        <w:trPr>
          <w:trHeight w:val="824" w:hRule="atLeast"/>
        </w:trPr>
        <w:tc>
          <w:tcPr>
            <w:tcW w:w="2088" w:type="dxa"/>
            <w:vMerge w:val="continue"/>
            <w:tcBorders>
              <w:top w:val="nil"/>
              <w:left w:val="single" w:color="auto" w:sz="4" w:space="0"/>
              <w:bottom w:val="single" w:color="auto" w:sz="4" w:space="0"/>
              <w:right w:val="single" w:color="auto" w:sz="4" w:space="0"/>
            </w:tcBorders>
            <w:vAlign w:val="center"/>
          </w:tcPr>
          <w:p w14:paraId="208143C8">
            <w:pPr>
              <w:spacing w:line="312" w:lineRule="auto"/>
              <w:rPr>
                <w:sz w:val="21"/>
                <w:szCs w:val="21"/>
              </w:rPr>
            </w:pPr>
          </w:p>
        </w:tc>
        <w:tc>
          <w:tcPr>
            <w:tcW w:w="7611" w:type="dxa"/>
            <w:tcBorders>
              <w:top w:val="nil"/>
              <w:left w:val="nil"/>
              <w:bottom w:val="single" w:color="auto" w:sz="4" w:space="0"/>
              <w:right w:val="single" w:color="auto" w:sz="4" w:space="0"/>
            </w:tcBorders>
            <w:shd w:val="clear" w:color="auto" w:fill="auto"/>
            <w:vAlign w:val="center"/>
          </w:tcPr>
          <w:p w14:paraId="1A1202AF">
            <w:pPr>
              <w:spacing w:line="312" w:lineRule="auto"/>
              <w:rPr>
                <w:rFonts w:hint="eastAsia"/>
                <w:sz w:val="21"/>
                <w:szCs w:val="21"/>
              </w:rPr>
            </w:pPr>
            <w:r>
              <w:rPr>
                <w:rFonts w:hint="eastAsia"/>
                <w:sz w:val="21"/>
                <w:szCs w:val="21"/>
              </w:rPr>
              <w:t>补缴费用出院结算：出院结算支持医保、自费补充支付在院期间有欠费的费用；</w:t>
            </w:r>
          </w:p>
        </w:tc>
      </w:tr>
      <w:tr w14:paraId="25C67F3E">
        <w:tblPrEx>
          <w:tblCellMar>
            <w:top w:w="0" w:type="dxa"/>
            <w:left w:w="108" w:type="dxa"/>
            <w:bottom w:w="0" w:type="dxa"/>
            <w:right w:w="108" w:type="dxa"/>
          </w:tblCellMar>
        </w:tblPrEx>
        <w:trPr>
          <w:trHeight w:val="1230" w:hRule="atLeast"/>
        </w:trPr>
        <w:tc>
          <w:tcPr>
            <w:tcW w:w="2088" w:type="dxa"/>
            <w:vMerge w:val="continue"/>
            <w:tcBorders>
              <w:top w:val="nil"/>
              <w:left w:val="single" w:color="auto" w:sz="4" w:space="0"/>
              <w:bottom w:val="single" w:color="auto" w:sz="4" w:space="0"/>
              <w:right w:val="single" w:color="auto" w:sz="4" w:space="0"/>
            </w:tcBorders>
            <w:vAlign w:val="center"/>
          </w:tcPr>
          <w:p w14:paraId="0500A13B">
            <w:pPr>
              <w:spacing w:line="312" w:lineRule="auto"/>
              <w:rPr>
                <w:sz w:val="21"/>
                <w:szCs w:val="21"/>
              </w:rPr>
            </w:pPr>
          </w:p>
        </w:tc>
        <w:tc>
          <w:tcPr>
            <w:tcW w:w="7611" w:type="dxa"/>
            <w:tcBorders>
              <w:top w:val="nil"/>
              <w:left w:val="nil"/>
              <w:bottom w:val="single" w:color="auto" w:sz="4" w:space="0"/>
              <w:right w:val="single" w:color="auto" w:sz="4" w:space="0"/>
            </w:tcBorders>
            <w:shd w:val="clear" w:color="auto" w:fill="auto"/>
            <w:vAlign w:val="center"/>
          </w:tcPr>
          <w:p w14:paraId="0435FA0D">
            <w:pPr>
              <w:spacing w:line="312" w:lineRule="auto"/>
              <w:rPr>
                <w:rFonts w:hint="eastAsia"/>
                <w:sz w:val="21"/>
                <w:szCs w:val="21"/>
              </w:rPr>
            </w:pPr>
            <w:r>
              <w:rPr>
                <w:rFonts w:hint="eastAsia"/>
                <w:sz w:val="21"/>
                <w:szCs w:val="21"/>
              </w:rPr>
              <w:t>退费出院结算：支持医保、自费退费操作、出院时剩余可退费用支持原路返还。支持自助机使用相关工作量、支付等情况统计查询，相关部门有端口可以查询。</w:t>
            </w:r>
          </w:p>
        </w:tc>
      </w:tr>
      <w:tr w14:paraId="4D03DFA8">
        <w:trPr>
          <w:trHeight w:val="834" w:hRule="atLeast"/>
        </w:trPr>
        <w:tc>
          <w:tcPr>
            <w:tcW w:w="2088" w:type="dxa"/>
            <w:tcBorders>
              <w:top w:val="single" w:color="auto" w:sz="4" w:space="0"/>
              <w:left w:val="single" w:color="auto" w:sz="4" w:space="0"/>
              <w:bottom w:val="single" w:color="auto" w:sz="4" w:space="0"/>
              <w:right w:val="single" w:color="auto" w:sz="4" w:space="0"/>
            </w:tcBorders>
            <w:vAlign w:val="center"/>
          </w:tcPr>
          <w:p w14:paraId="4B0C420B">
            <w:pPr>
              <w:spacing w:line="312" w:lineRule="auto"/>
              <w:rPr>
                <w:sz w:val="21"/>
                <w:szCs w:val="21"/>
              </w:rPr>
            </w:pPr>
            <w:r>
              <w:rPr>
                <w:rFonts w:hint="eastAsia"/>
                <w:sz w:val="21"/>
                <w:szCs w:val="21"/>
              </w:rPr>
              <w:t>出院总清单打印</w:t>
            </w:r>
          </w:p>
        </w:tc>
        <w:tc>
          <w:tcPr>
            <w:tcW w:w="7611" w:type="dxa"/>
            <w:tcBorders>
              <w:top w:val="single" w:color="auto" w:sz="4" w:space="0"/>
              <w:left w:val="nil"/>
              <w:bottom w:val="single" w:color="auto" w:sz="4" w:space="0"/>
              <w:right w:val="single" w:color="auto" w:sz="4" w:space="0"/>
            </w:tcBorders>
            <w:shd w:val="clear" w:color="auto" w:fill="auto"/>
            <w:vAlign w:val="center"/>
          </w:tcPr>
          <w:p w14:paraId="304E75A4">
            <w:pPr>
              <w:spacing w:line="312" w:lineRule="auto"/>
              <w:rPr>
                <w:rFonts w:hint="eastAsia"/>
                <w:sz w:val="21"/>
                <w:szCs w:val="21"/>
              </w:rPr>
            </w:pPr>
            <w:r>
              <w:rPr>
                <w:rFonts w:cs="Arial"/>
                <w:sz w:val="21"/>
                <w:szCs w:val="21"/>
                <w:shd w:val="clear" w:color="auto" w:fill="FFFFFF"/>
              </w:rPr>
              <w:t>患者可以</w:t>
            </w:r>
            <w:r>
              <w:rPr>
                <w:rFonts w:hint="eastAsia" w:cs="Arial"/>
                <w:sz w:val="21"/>
                <w:szCs w:val="21"/>
                <w:shd w:val="clear" w:color="auto" w:fill="FFFFFF"/>
              </w:rPr>
              <w:t>打印</w:t>
            </w:r>
            <w:r>
              <w:rPr>
                <w:rFonts w:cs="Arial"/>
                <w:sz w:val="21"/>
                <w:szCs w:val="21"/>
                <w:shd w:val="clear" w:color="auto" w:fill="FFFFFF"/>
              </w:rPr>
              <w:t>住院费用总清单</w:t>
            </w:r>
            <w:r>
              <w:rPr>
                <w:rFonts w:hint="eastAsia" w:cs="Arial"/>
                <w:sz w:val="21"/>
                <w:szCs w:val="21"/>
                <w:shd w:val="clear" w:color="auto" w:fill="FFFFFF"/>
              </w:rPr>
              <w:t>从而</w:t>
            </w:r>
            <w:r>
              <w:rPr>
                <w:rFonts w:cs="Arial"/>
                <w:sz w:val="21"/>
                <w:szCs w:val="21"/>
                <w:shd w:val="clear" w:color="auto" w:fill="FFFFFF"/>
              </w:rPr>
              <w:t>了解每一项费用的具体内容和金额，确保费用的透明度。</w:t>
            </w:r>
          </w:p>
        </w:tc>
      </w:tr>
    </w:tbl>
    <w:p w14:paraId="6A1F110B">
      <w:pPr>
        <w:spacing w:line="312" w:lineRule="auto"/>
      </w:pPr>
    </w:p>
    <w:p w14:paraId="544660A1">
      <w:pPr>
        <w:pStyle w:val="3"/>
        <w:spacing w:before="0" w:after="0" w:line="415" w:lineRule="auto"/>
        <w:rPr>
          <w:sz w:val="28"/>
          <w:szCs w:val="28"/>
        </w:rPr>
      </w:pPr>
      <w:r>
        <w:rPr>
          <w:rFonts w:hint="eastAsia"/>
          <w:sz w:val="28"/>
          <w:szCs w:val="28"/>
        </w:rPr>
        <w:t>5</w:t>
      </w:r>
      <w:r>
        <w:rPr>
          <w:sz w:val="28"/>
          <w:szCs w:val="28"/>
        </w:rPr>
        <w:t>.5</w:t>
      </w:r>
      <w:r>
        <w:rPr>
          <w:rFonts w:hint="eastAsia"/>
          <w:sz w:val="28"/>
          <w:szCs w:val="28"/>
        </w:rPr>
        <w:t xml:space="preserve"> </w:t>
      </w:r>
      <w:r>
        <w:rPr>
          <w:sz w:val="28"/>
          <w:szCs w:val="28"/>
        </w:rPr>
        <w:t>HIS接口改造服务</w:t>
      </w:r>
    </w:p>
    <w:p w14:paraId="77E546FF">
      <w:pPr>
        <w:spacing w:line="312" w:lineRule="auto"/>
        <w:ind w:firstLine="420"/>
        <w:rPr>
          <w:lang w:eastAsia="zh-Hans"/>
        </w:rPr>
      </w:pPr>
      <w:r>
        <w:rPr>
          <w:lang w:eastAsia="zh-Hans"/>
        </w:rPr>
        <w:t>HIS接口改造</w:t>
      </w:r>
      <w:r>
        <w:rPr>
          <w:rFonts w:hint="eastAsia"/>
        </w:rPr>
        <w:t>需要在银医系统的接口之上，第三方提供SP或WS接口</w:t>
      </w:r>
      <w:r>
        <w:rPr>
          <w:lang w:eastAsia="zh-Hans"/>
        </w:rPr>
        <w:t>，</w:t>
      </w:r>
      <w:r>
        <w:rPr>
          <w:rFonts w:hint="eastAsia"/>
        </w:rPr>
        <w:t>从而</w:t>
      </w:r>
      <w:r>
        <w:rPr>
          <w:lang w:eastAsia="zh-Hans"/>
        </w:rPr>
        <w:t>通过技术手段优化医院业务流程，提升患者就医体验。这一改造过程</w:t>
      </w:r>
      <w:r>
        <w:rPr>
          <w:rFonts w:hint="eastAsia"/>
        </w:rPr>
        <w:t>必须</w:t>
      </w:r>
      <w:r>
        <w:rPr>
          <w:lang w:eastAsia="zh-Hans"/>
        </w:rPr>
        <w:t>第三方开发团队的深度参与，</w:t>
      </w:r>
      <w:r>
        <w:rPr>
          <w:rFonts w:hint="eastAsia"/>
        </w:rPr>
        <w:t>打破传统的接口模式，</w:t>
      </w:r>
      <w:r>
        <w:rPr>
          <w:lang w:eastAsia="zh-Hans"/>
        </w:rPr>
        <w:t>以对</w:t>
      </w:r>
      <w:r>
        <w:rPr>
          <w:rFonts w:hint="eastAsia"/>
        </w:rPr>
        <w:t>医院内</w:t>
      </w:r>
      <w:r>
        <w:rPr>
          <w:lang w:eastAsia="zh-Hans"/>
        </w:rPr>
        <w:t>银医系统</w:t>
      </w:r>
      <w:r>
        <w:rPr>
          <w:rFonts w:hint="eastAsia"/>
        </w:rPr>
        <w:t>接口服务</w:t>
      </w:r>
      <w:r>
        <w:rPr>
          <w:lang w:eastAsia="zh-Hans"/>
        </w:rPr>
        <w:t>的二次封装，以提供更加灵活、高效的接口服务。</w:t>
      </w:r>
      <w:r>
        <w:rPr>
          <w:rFonts w:hint="eastAsia"/>
        </w:rPr>
        <w:t>通过第三方的接口封装改造</w:t>
      </w:r>
      <w:r>
        <w:rPr>
          <w:rFonts w:hint="eastAsia"/>
          <w:lang w:eastAsia="zh-Hans"/>
        </w:rPr>
        <w:t>，</w:t>
      </w:r>
      <w:r>
        <w:rPr>
          <w:lang w:eastAsia="zh-Hans"/>
        </w:rPr>
        <w:t>医院能够实现对内业务流程的智能化管理，同时对外提供多样化的服务接口。</w:t>
      </w:r>
    </w:p>
    <w:p w14:paraId="31E190C2">
      <w:pPr>
        <w:pStyle w:val="38"/>
        <w:numPr>
          <w:ilvl w:val="0"/>
          <w:numId w:val="18"/>
        </w:numPr>
        <w:spacing w:line="312" w:lineRule="auto"/>
        <w:ind w:firstLineChars="0"/>
        <w:rPr>
          <w:rFonts w:ascii="宋体" w:hAnsi="宋体" w:eastAsia="宋体"/>
          <w:sz w:val="24"/>
          <w:lang w:eastAsia="zh-Hans"/>
        </w:rPr>
      </w:pPr>
      <w:r>
        <w:rPr>
          <w:rFonts w:ascii="宋体" w:hAnsi="宋体" w:eastAsia="宋体"/>
          <w:sz w:val="24"/>
          <w:lang w:eastAsia="zh-Hans"/>
        </w:rPr>
        <w:t>第三方开发与银医系统二次封装</w:t>
      </w:r>
    </w:p>
    <w:p w14:paraId="357B4083">
      <w:pPr>
        <w:spacing w:line="312" w:lineRule="auto"/>
        <w:ind w:firstLine="420"/>
        <w:rPr>
          <w:lang w:eastAsia="zh-Hans"/>
        </w:rPr>
      </w:pPr>
      <w:r>
        <w:rPr>
          <w:lang w:eastAsia="zh-Hans"/>
        </w:rPr>
        <w:t>在HIS接口改造中，第三方开发团队扮演着至关重要的角色</w:t>
      </w:r>
      <w:r>
        <w:rPr>
          <w:rFonts w:hint="eastAsia"/>
          <w:lang w:eastAsia="zh-Hans"/>
        </w:rPr>
        <w:t>，</w:t>
      </w:r>
      <w:r>
        <w:rPr>
          <w:lang w:eastAsia="zh-Hans"/>
        </w:rPr>
        <w:t>他们能够根据医院的具体需求，对现有银医系统进行深度定制和二次封装。这一过程不仅包括对</w:t>
      </w:r>
      <w:r>
        <w:rPr>
          <w:rFonts w:hint="eastAsia"/>
        </w:rPr>
        <w:t>银医</w:t>
      </w:r>
      <w:r>
        <w:rPr>
          <w:lang w:eastAsia="zh-Hans"/>
        </w:rPr>
        <w:t>接口的升级和优化，还可能涉及新增接口的开发，以满足医院对自助服务、移动支付、在线预约挂号等功能的迫切需求。通过第三方开发团队的介入，医院能够更快地实现银医系统的升级换代，提升系统的稳定性和安全性。</w:t>
      </w:r>
    </w:p>
    <w:p w14:paraId="5466B9DB">
      <w:pPr>
        <w:pStyle w:val="38"/>
        <w:numPr>
          <w:ilvl w:val="0"/>
          <w:numId w:val="18"/>
        </w:numPr>
        <w:spacing w:line="312" w:lineRule="auto"/>
        <w:ind w:firstLineChars="0"/>
        <w:rPr>
          <w:rFonts w:ascii="宋体" w:hAnsi="宋体" w:eastAsia="宋体"/>
          <w:sz w:val="24"/>
          <w:lang w:eastAsia="zh-Hans"/>
        </w:rPr>
      </w:pPr>
      <w:r>
        <w:rPr>
          <w:rFonts w:ascii="宋体" w:hAnsi="宋体" w:eastAsia="宋体"/>
          <w:sz w:val="24"/>
          <w:lang w:eastAsia="zh-Hans"/>
        </w:rPr>
        <w:t>SP或WS接口提供</w:t>
      </w:r>
    </w:p>
    <w:p w14:paraId="03F4DF5A">
      <w:pPr>
        <w:spacing w:line="312" w:lineRule="auto"/>
        <w:ind w:firstLine="420"/>
        <w:rPr>
          <w:lang w:eastAsia="zh-Hans"/>
        </w:rPr>
      </w:pPr>
      <w:r>
        <w:rPr>
          <w:rFonts w:hint="eastAsia"/>
        </w:rPr>
        <w:t>通过第三方封装后，</w:t>
      </w:r>
      <w:r>
        <w:rPr>
          <w:lang w:eastAsia="zh-Hans"/>
        </w:rPr>
        <w:t>改造的接口通常以SP（Service Provider，服务提供商）或WS（Web Service，网络服务）的形式对外提供服务。SP接口主要用于与银行、支付机构等外部系统的对接，实现资金流的实时处理和监控；而WS接口则更多地用于医院内部系统之间的数据交换和共享，</w:t>
      </w:r>
      <w:r>
        <w:rPr>
          <w:rFonts w:hint="eastAsia"/>
        </w:rPr>
        <w:t>此类</w:t>
      </w:r>
      <w:r>
        <w:rPr>
          <w:lang w:eastAsia="zh-Hans"/>
        </w:rPr>
        <w:t>接口不仅支持同步请求和响应，还具备异步通知和回调机制，确保数据的实时性和准确性。通过SP或WS接口，医院能够实现对银医自助功能的全面支持，如自助缴费、自助查询、自助打印等，极大地提升了患者的就医便捷性。</w:t>
      </w:r>
    </w:p>
    <w:p w14:paraId="51F58D9B">
      <w:pPr>
        <w:spacing w:line="312" w:lineRule="auto"/>
        <w:rPr>
          <w:rFonts w:hint="eastAsia"/>
        </w:rPr>
      </w:pPr>
    </w:p>
    <w:p w14:paraId="09CBA190">
      <w:pPr>
        <w:pStyle w:val="2"/>
        <w:spacing w:before="0" w:beforeAutospacing="0" w:after="0" w:afterAutospacing="0"/>
        <w:rPr>
          <w:sz w:val="32"/>
          <w:szCs w:val="32"/>
        </w:rPr>
      </w:pPr>
      <w:r>
        <w:rPr>
          <w:sz w:val="32"/>
          <w:szCs w:val="32"/>
        </w:rPr>
        <w:t>六、实施方案</w:t>
      </w:r>
    </w:p>
    <w:p w14:paraId="1134D066">
      <w:pPr>
        <w:pStyle w:val="3"/>
        <w:spacing w:before="0" w:after="0" w:line="415" w:lineRule="auto"/>
        <w:rPr>
          <w:sz w:val="28"/>
          <w:szCs w:val="28"/>
        </w:rPr>
      </w:pPr>
      <w:r>
        <w:rPr>
          <w:sz w:val="28"/>
          <w:szCs w:val="28"/>
        </w:rPr>
        <w:t>6.1工期要求</w:t>
      </w:r>
    </w:p>
    <w:p w14:paraId="322B90A7">
      <w:pPr>
        <w:spacing w:line="312" w:lineRule="auto"/>
        <w:ind w:firstLine="420"/>
      </w:pPr>
      <w:r>
        <w:t>供应商应根据项目工程量匡算出项目工期，同时承诺系统</w:t>
      </w:r>
      <w:r>
        <w:rPr>
          <w:rFonts w:hint="eastAsia"/>
        </w:rPr>
        <w:t>开发、</w:t>
      </w:r>
      <w:r>
        <w:t>安装</w:t>
      </w:r>
      <w:r>
        <w:rPr>
          <w:rFonts w:hint="eastAsia"/>
        </w:rPr>
        <w:t>、</w:t>
      </w:r>
      <w:r>
        <w:t>集成</w:t>
      </w:r>
      <w:r>
        <w:rPr>
          <w:rFonts w:hint="eastAsia"/>
        </w:rPr>
        <w:t>、上线</w:t>
      </w:r>
      <w:r>
        <w:t>等严格按照采购方，以及医院方的要求，确保项目在规定时间内完工和投产。</w:t>
      </w:r>
    </w:p>
    <w:p w14:paraId="4C5927F7">
      <w:pPr>
        <w:pStyle w:val="3"/>
        <w:spacing w:before="0" w:after="0" w:line="415" w:lineRule="auto"/>
        <w:rPr>
          <w:sz w:val="28"/>
          <w:szCs w:val="28"/>
        </w:rPr>
      </w:pPr>
      <w:r>
        <w:rPr>
          <w:sz w:val="28"/>
          <w:szCs w:val="28"/>
        </w:rPr>
        <w:t>6.2项目实施与质量控制</w:t>
      </w:r>
    </w:p>
    <w:p w14:paraId="135F0BA5">
      <w:pPr>
        <w:pStyle w:val="38"/>
        <w:numPr>
          <w:ilvl w:val="0"/>
          <w:numId w:val="19"/>
        </w:numPr>
        <w:spacing w:line="312" w:lineRule="auto"/>
        <w:ind w:firstLineChars="0"/>
        <w:rPr>
          <w:rFonts w:ascii="宋体" w:hAnsi="宋体" w:eastAsia="宋体"/>
          <w:sz w:val="24"/>
        </w:rPr>
      </w:pPr>
      <w:r>
        <w:rPr>
          <w:rFonts w:ascii="宋体" w:hAnsi="宋体" w:eastAsia="宋体"/>
          <w:sz w:val="24"/>
        </w:rPr>
        <w:t>供应商应提供项目实施计划，主要包括计划的完整性、合理性、先进性，交货、安装调试、协调、项目验收等内容；</w:t>
      </w:r>
    </w:p>
    <w:p w14:paraId="404E7569">
      <w:pPr>
        <w:pStyle w:val="38"/>
        <w:numPr>
          <w:ilvl w:val="0"/>
          <w:numId w:val="19"/>
        </w:numPr>
        <w:spacing w:line="312" w:lineRule="auto"/>
        <w:ind w:firstLineChars="0"/>
        <w:rPr>
          <w:rFonts w:ascii="宋体" w:hAnsi="宋体" w:eastAsia="宋体"/>
          <w:sz w:val="24"/>
        </w:rPr>
      </w:pPr>
      <w:r>
        <w:rPr>
          <w:rFonts w:ascii="宋体" w:hAnsi="宋体" w:eastAsia="宋体"/>
          <w:sz w:val="24"/>
        </w:rPr>
        <w:t>积极配合采购人完成项目可行性认证及设计，提供最新技术，配合采购人完成实施方案，保证优良性价比以及项目技术先进性。</w:t>
      </w:r>
    </w:p>
    <w:p w14:paraId="1CFB0707">
      <w:pPr>
        <w:pStyle w:val="38"/>
        <w:numPr>
          <w:ilvl w:val="0"/>
          <w:numId w:val="19"/>
        </w:numPr>
        <w:spacing w:line="312" w:lineRule="auto"/>
        <w:ind w:firstLineChars="0"/>
        <w:rPr>
          <w:rFonts w:ascii="宋体" w:hAnsi="宋体" w:eastAsia="宋体"/>
          <w:sz w:val="24"/>
        </w:rPr>
      </w:pPr>
      <w:r>
        <w:rPr>
          <w:rFonts w:ascii="宋体" w:hAnsi="宋体" w:eastAsia="宋体"/>
          <w:sz w:val="24"/>
        </w:rPr>
        <w:t>供应商注重技术人员培训，保证派出有本公司的认证的技术人员在项目施工现场进行安装、调试及技术指导。保障采购人系统正常运行。</w:t>
      </w:r>
    </w:p>
    <w:p w14:paraId="65494EC3">
      <w:pPr>
        <w:pStyle w:val="38"/>
        <w:numPr>
          <w:ilvl w:val="0"/>
          <w:numId w:val="19"/>
        </w:numPr>
        <w:spacing w:line="312" w:lineRule="auto"/>
        <w:ind w:firstLineChars="0"/>
        <w:rPr>
          <w:rFonts w:ascii="宋体" w:hAnsi="宋体" w:eastAsia="宋体"/>
          <w:sz w:val="24"/>
        </w:rPr>
      </w:pPr>
      <w:r>
        <w:rPr>
          <w:rFonts w:ascii="宋体" w:hAnsi="宋体" w:eastAsia="宋体"/>
          <w:sz w:val="24"/>
        </w:rPr>
        <w:t>保证有1-2名认证技术人员为</w:t>
      </w:r>
      <w:r>
        <w:rPr>
          <w:rFonts w:hint="eastAsia" w:ascii="宋体" w:hAnsi="宋体" w:eastAsia="宋体"/>
          <w:sz w:val="24"/>
        </w:rPr>
        <w:t>医院上线</w:t>
      </w:r>
      <w:r>
        <w:rPr>
          <w:rFonts w:ascii="宋体" w:hAnsi="宋体" w:eastAsia="宋体"/>
          <w:sz w:val="24"/>
        </w:rPr>
        <w:t>做好技术服务保障。</w:t>
      </w:r>
    </w:p>
    <w:p w14:paraId="485F8A06">
      <w:pPr>
        <w:pStyle w:val="38"/>
        <w:numPr>
          <w:ilvl w:val="0"/>
          <w:numId w:val="19"/>
        </w:numPr>
        <w:spacing w:line="312" w:lineRule="auto"/>
        <w:ind w:firstLineChars="0"/>
        <w:rPr>
          <w:rFonts w:ascii="宋体" w:hAnsi="宋体" w:eastAsia="宋体"/>
          <w:sz w:val="24"/>
        </w:rPr>
      </w:pPr>
      <w:r>
        <w:rPr>
          <w:rFonts w:ascii="宋体" w:hAnsi="宋体" w:eastAsia="宋体"/>
          <w:sz w:val="24"/>
        </w:rPr>
        <w:t>保证派驻至少1名技术人员配合采购人完成工程项目验收。</w:t>
      </w:r>
    </w:p>
    <w:p w14:paraId="493E44D6">
      <w:pPr>
        <w:pStyle w:val="38"/>
        <w:numPr>
          <w:ilvl w:val="0"/>
          <w:numId w:val="19"/>
        </w:numPr>
        <w:spacing w:line="312" w:lineRule="auto"/>
        <w:ind w:firstLineChars="0"/>
        <w:rPr>
          <w:rFonts w:ascii="宋体" w:hAnsi="宋体" w:eastAsia="宋体"/>
          <w:sz w:val="24"/>
        </w:rPr>
      </w:pPr>
      <w:r>
        <w:rPr>
          <w:rFonts w:ascii="宋体" w:hAnsi="宋体" w:eastAsia="宋体"/>
          <w:sz w:val="24"/>
        </w:rPr>
        <w:t>供应商应提供项目实施质量控制方案，对产品的技术指标和综合性能状况，以及能否很好实现设备的各项功能需求进行说明，并作出相应的承诺；</w:t>
      </w:r>
    </w:p>
    <w:p w14:paraId="74E3A13A">
      <w:pPr>
        <w:pStyle w:val="38"/>
        <w:numPr>
          <w:ilvl w:val="0"/>
          <w:numId w:val="19"/>
        </w:numPr>
        <w:spacing w:line="312" w:lineRule="auto"/>
        <w:ind w:firstLineChars="0"/>
        <w:rPr>
          <w:rFonts w:ascii="宋体" w:hAnsi="宋体" w:eastAsia="宋体"/>
          <w:sz w:val="24"/>
        </w:rPr>
      </w:pPr>
      <w:r>
        <w:rPr>
          <w:rFonts w:ascii="宋体" w:hAnsi="宋体" w:eastAsia="宋体"/>
          <w:sz w:val="24"/>
        </w:rPr>
        <w:t>供应商提供产品为自主研发的，应提供相应专利证明。对与采购人相关系统软硬件产品的适应、兼容和功能扩展性进行响应等。同时就设备外观设计及菜单设置的合理性、操作便捷性进行说明。</w:t>
      </w:r>
    </w:p>
    <w:p w14:paraId="5BAD25F4">
      <w:pPr>
        <w:pStyle w:val="3"/>
        <w:spacing w:before="0" w:after="0" w:line="415" w:lineRule="auto"/>
        <w:rPr>
          <w:sz w:val="28"/>
          <w:szCs w:val="28"/>
        </w:rPr>
      </w:pPr>
      <w:r>
        <w:rPr>
          <w:sz w:val="28"/>
          <w:szCs w:val="28"/>
        </w:rPr>
        <w:t>6.3售后维保服务相关要求</w:t>
      </w:r>
    </w:p>
    <w:p w14:paraId="477ABE05">
      <w:pPr>
        <w:spacing w:line="312" w:lineRule="auto"/>
        <w:ind w:firstLine="420"/>
      </w:pPr>
      <w:r>
        <w:rPr>
          <w:rFonts w:hint="eastAsia"/>
        </w:rPr>
        <w:t>验收合格之日起对医院所购软件产品提供三年的维护支持服务。维护支持服务期内，供应商应提供7×24小时电话、网络等远程支持服务及上门维护支持服务。</w:t>
      </w:r>
    </w:p>
    <w:p w14:paraId="2B33FD7C">
      <w:pPr>
        <w:spacing w:line="312" w:lineRule="auto"/>
        <w:ind w:firstLine="420"/>
        <w:rPr>
          <w:rFonts w:hint="eastAsia"/>
        </w:rPr>
      </w:pPr>
      <w:r>
        <w:rPr>
          <w:rFonts w:hint="eastAsia"/>
        </w:rPr>
        <w:t>供应商可通过电话、网络等远程方式对医院在软件产品使用过程中出现的一般性问题提供咨询解答。软件产品出现故障时，医院可以通过电话或网络方式向供应商报告故障（简称“故障报告”），供应商应按照合同约定立即作出响应。</w:t>
      </w:r>
    </w:p>
    <w:p w14:paraId="2BDF86CF">
      <w:pPr>
        <w:spacing w:line="312" w:lineRule="auto"/>
        <w:ind w:firstLine="420"/>
      </w:pPr>
      <w:r>
        <w:rPr>
          <w:rFonts w:hint="eastAsia"/>
        </w:rPr>
        <w:t>软件系统故障分为严重、一般、轻微三个等级，供应商应根据软件故障的不同级别，提供不同的故障响应及服务：“严重”为软件无法运行或基本无法运行，或软件重要功能失效或基本失效；“一般”为软件可以运行，但非重要性功能的使用受到限制；“轻微”为其它轻微影响软件使用的故障。</w:t>
      </w:r>
    </w:p>
    <w:p w14:paraId="39437C7B">
      <w:pPr>
        <w:spacing w:line="312" w:lineRule="auto"/>
        <w:ind w:firstLine="420"/>
      </w:pPr>
      <w:r>
        <w:rPr>
          <w:rFonts w:hint="eastAsia"/>
        </w:rPr>
        <w:t>供应商应对医院故障报告做出及时响应：</w:t>
      </w:r>
    </w:p>
    <w:p w14:paraId="6D0B46E2">
      <w:pPr>
        <w:pStyle w:val="38"/>
        <w:numPr>
          <w:ilvl w:val="1"/>
          <w:numId w:val="20"/>
        </w:numPr>
        <w:spacing w:line="312" w:lineRule="auto"/>
        <w:ind w:left="851" w:firstLineChars="0"/>
        <w:rPr>
          <w:rFonts w:ascii="宋体" w:hAnsi="宋体" w:eastAsia="宋体"/>
          <w:sz w:val="24"/>
        </w:rPr>
      </w:pPr>
      <w:r>
        <w:rPr>
          <w:rFonts w:hint="eastAsia" w:ascii="宋体" w:hAnsi="宋体" w:eastAsia="宋体"/>
          <w:sz w:val="24"/>
        </w:rPr>
        <w:t>对于严重级别故障，供应商应立即派出高级技术人员到现场进行维修，与此同时，供应商技术支持人员应通过电话、网络等方式尝试排除故障；供应商派出的高级技术人员应当在24小时内（从医院故障报告时间起算，下同）到达故障现场，供应商承诺在收到故障报告后24小时内恢复软件产品正常运行。</w:t>
      </w:r>
    </w:p>
    <w:p w14:paraId="64AB41E3">
      <w:pPr>
        <w:pStyle w:val="38"/>
        <w:numPr>
          <w:ilvl w:val="1"/>
          <w:numId w:val="20"/>
        </w:numPr>
        <w:spacing w:line="312" w:lineRule="auto"/>
        <w:ind w:left="851" w:firstLineChars="0"/>
        <w:rPr>
          <w:rFonts w:ascii="宋体" w:hAnsi="宋体" w:eastAsia="宋体"/>
          <w:sz w:val="24"/>
        </w:rPr>
      </w:pPr>
      <w:r>
        <w:rPr>
          <w:rFonts w:hint="eastAsia" w:ascii="宋体" w:hAnsi="宋体" w:eastAsia="宋体"/>
          <w:sz w:val="24"/>
        </w:rPr>
        <w:t>对于一般级别故障，供应商应立即通过电话、网络等方式尝试排除故障；如故障在48小时内无法排除，供应商应立即派出高级技术人员在48小时内到达故障现场进行维修，供应商承诺在收到故障报告后48小时内恢复软件产品正常运行。</w:t>
      </w:r>
    </w:p>
    <w:p w14:paraId="190B8FFD">
      <w:pPr>
        <w:pStyle w:val="38"/>
        <w:numPr>
          <w:ilvl w:val="1"/>
          <w:numId w:val="20"/>
        </w:numPr>
        <w:spacing w:line="312" w:lineRule="auto"/>
        <w:ind w:left="851" w:firstLineChars="0"/>
        <w:rPr>
          <w:rFonts w:ascii="宋体" w:hAnsi="宋体" w:eastAsia="宋体"/>
          <w:sz w:val="24"/>
        </w:rPr>
      </w:pPr>
      <w:r>
        <w:rPr>
          <w:rFonts w:hint="eastAsia" w:ascii="宋体" w:hAnsi="宋体" w:eastAsia="宋体"/>
          <w:sz w:val="24"/>
        </w:rPr>
        <w:t>对于轻微级别故障，供应商应立即通过电话、网络等方式尝试排除故障；如故障在72小时内无法排除，供应商应在72小时内派出技术人员到达故障现场进行维修，供应商承诺在收到故障报告后72小时内恢复软件产品正常运行。</w:t>
      </w:r>
    </w:p>
    <w:p w14:paraId="6B9F8D50">
      <w:pPr>
        <w:pStyle w:val="38"/>
        <w:numPr>
          <w:ilvl w:val="1"/>
          <w:numId w:val="20"/>
        </w:numPr>
        <w:spacing w:line="312" w:lineRule="auto"/>
        <w:ind w:left="851" w:firstLineChars="0"/>
        <w:rPr>
          <w:rFonts w:ascii="宋体" w:hAnsi="宋体" w:eastAsia="宋体"/>
          <w:sz w:val="24"/>
        </w:rPr>
      </w:pPr>
      <w:r>
        <w:rPr>
          <w:rFonts w:hint="eastAsia" w:ascii="宋体" w:hAnsi="宋体" w:eastAsia="宋体"/>
          <w:sz w:val="24"/>
        </w:rPr>
        <w:t>对于无法现场解决的故障，供应商应当立即以功能相同的符合合同约定的软件产品替换故障软件产品或按照医院要求采取其他补救措施。</w:t>
      </w:r>
    </w:p>
    <w:p w14:paraId="0A1D9043">
      <w:pPr>
        <w:spacing w:line="312" w:lineRule="auto"/>
        <w:ind w:firstLine="420"/>
        <w:rPr>
          <w:rFonts w:hint="eastAsia"/>
        </w:rPr>
      </w:pPr>
      <w:r>
        <w:rPr>
          <w:rFonts w:hint="eastAsia"/>
        </w:rPr>
        <w:t>在维保期内，如医院提出新的需求，供应商将在维护支持服务期外以最优惠的价格为合同项下软件产品提供终身维护支持服务，服务水准应不低于前述服务期内水准，收费标准按照供应商提供给予所有服务采购方中最优惠的服务收费标准执行。</w:t>
      </w:r>
    </w:p>
    <w:p w14:paraId="3FD69AC3">
      <w:pPr>
        <w:rPr>
          <w:rFonts w:hint="eastAsia" w:ascii="宋体" w:hAnsi="宋体" w:eastAsia="宋体" w:cs="宋体"/>
          <w:b w:val="0"/>
          <w:bCs/>
          <w:sz w:val="24"/>
          <w:szCs w:val="24"/>
          <w:highlight w:val="none"/>
          <w:lang w:val="zh-CN" w:eastAsia="zh-CN"/>
        </w:rPr>
      </w:pPr>
      <w:r>
        <w:rPr>
          <w:rFonts w:hint="eastAsia" w:ascii="宋体" w:hAnsi="宋体" w:eastAsia="宋体" w:cs="宋体"/>
          <w:b w:val="0"/>
          <w:bCs/>
          <w:sz w:val="24"/>
          <w:szCs w:val="24"/>
          <w:highlight w:val="none"/>
          <w:lang w:val="zh-CN" w:eastAsia="zh-CN"/>
        </w:rPr>
        <w:br w:type="page"/>
      </w:r>
    </w:p>
    <w:p w14:paraId="2AF32CD6">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val="0"/>
          <w:bCs/>
          <w:sz w:val="44"/>
          <w:szCs w:val="44"/>
          <w:highlight w:val="none"/>
          <w:lang w:val="zh-CN" w:eastAsia="zh-CN"/>
        </w:rPr>
      </w:pPr>
      <w:r>
        <w:rPr>
          <w:rFonts w:hint="eastAsia" w:ascii="宋体" w:hAnsi="宋体" w:eastAsia="宋体" w:cs="宋体"/>
          <w:b w:val="0"/>
          <w:bCs/>
          <w:sz w:val="44"/>
          <w:szCs w:val="44"/>
          <w:highlight w:val="none"/>
          <w:lang w:val="zh-CN" w:eastAsia="zh-CN"/>
        </w:rPr>
        <w:t>第</w:t>
      </w:r>
      <w:r>
        <w:rPr>
          <w:rFonts w:hint="eastAsia" w:ascii="宋体" w:hAnsi="宋体" w:eastAsia="宋体" w:cs="宋体"/>
          <w:b w:val="0"/>
          <w:bCs/>
          <w:sz w:val="44"/>
          <w:szCs w:val="44"/>
          <w:highlight w:val="none"/>
          <w:lang w:val="en-US" w:eastAsia="zh-CN"/>
        </w:rPr>
        <w:t>六</w:t>
      </w:r>
      <w:r>
        <w:rPr>
          <w:rFonts w:hint="eastAsia" w:ascii="宋体" w:hAnsi="宋体" w:eastAsia="宋体" w:cs="宋体"/>
          <w:b w:val="0"/>
          <w:bCs/>
          <w:sz w:val="44"/>
          <w:szCs w:val="44"/>
          <w:highlight w:val="none"/>
          <w:lang w:val="zh-CN" w:eastAsia="zh-CN"/>
        </w:rPr>
        <w:t>章  响应文件格式</w:t>
      </w:r>
      <w:bookmarkEnd w:id="29"/>
      <w:bookmarkEnd w:id="30"/>
      <w:bookmarkEnd w:id="31"/>
      <w:bookmarkEnd w:id="32"/>
    </w:p>
    <w:p w14:paraId="7B8C235B">
      <w:pPr>
        <w:autoSpaceDE w:val="0"/>
        <w:autoSpaceDN w:val="0"/>
        <w:adjustRightInd w:val="0"/>
        <w:spacing w:line="600" w:lineRule="exact"/>
        <w:jc w:val="left"/>
        <w:rPr>
          <w:rFonts w:hint="eastAsia" w:ascii="宋体" w:hAnsi="宋体" w:eastAsia="宋体" w:cs="宋体"/>
          <w:b w:val="0"/>
          <w:szCs w:val="18"/>
          <w:highlight w:val="none"/>
          <w:lang w:val="zh-CN"/>
        </w:rPr>
      </w:pPr>
    </w:p>
    <w:p w14:paraId="33DFAA9E">
      <w:pPr>
        <w:spacing w:line="360" w:lineRule="auto"/>
        <w:jc w:val="center"/>
        <w:outlineLvl w:val="9"/>
        <w:rPr>
          <w:rFonts w:hint="eastAsia" w:ascii="宋体" w:hAnsi="宋体" w:eastAsia="宋体" w:cs="宋体"/>
          <w:b w:val="0"/>
          <w:sz w:val="32"/>
          <w:szCs w:val="32"/>
          <w:highlight w:val="none"/>
          <w:u w:val="single"/>
        </w:rPr>
      </w:pPr>
    </w:p>
    <w:p w14:paraId="5527EBC1">
      <w:pPr>
        <w:spacing w:line="360" w:lineRule="auto"/>
        <w:jc w:val="center"/>
        <w:outlineLvl w:val="9"/>
        <w:rPr>
          <w:rFonts w:hint="eastAsia" w:ascii="宋体" w:hAnsi="宋体" w:eastAsia="宋体" w:cs="宋体"/>
          <w:b w:val="0"/>
          <w:sz w:val="32"/>
          <w:szCs w:val="32"/>
          <w:highlight w:val="none"/>
          <w:u w:val="single"/>
        </w:rPr>
      </w:pPr>
      <w:bookmarkStart w:id="33" w:name="_Toc28544"/>
      <w:r>
        <w:rPr>
          <w:rFonts w:hint="eastAsia" w:ascii="宋体" w:hAnsi="宋体" w:eastAsia="宋体" w:cs="宋体"/>
          <w:b w:val="0"/>
          <w:sz w:val="32"/>
          <w:szCs w:val="32"/>
          <w:highlight w:val="none"/>
          <w:u w:val="single"/>
        </w:rPr>
        <w:t>（项目名称）</w:t>
      </w:r>
      <w:bookmarkEnd w:id="33"/>
    </w:p>
    <w:p w14:paraId="30125ABB">
      <w:pPr>
        <w:spacing w:line="360" w:lineRule="auto"/>
        <w:jc w:val="center"/>
        <w:outlineLvl w:val="9"/>
        <w:rPr>
          <w:rFonts w:hint="eastAsia" w:ascii="宋体" w:hAnsi="宋体" w:eastAsia="宋体" w:cs="宋体"/>
          <w:b w:val="0"/>
          <w:szCs w:val="21"/>
          <w:highlight w:val="none"/>
        </w:rPr>
      </w:pPr>
    </w:p>
    <w:p w14:paraId="39FB9390">
      <w:pPr>
        <w:spacing w:line="360" w:lineRule="auto"/>
        <w:jc w:val="center"/>
        <w:outlineLvl w:val="9"/>
        <w:rPr>
          <w:rFonts w:hint="eastAsia" w:ascii="宋体" w:hAnsi="宋体" w:eastAsia="宋体" w:cs="宋体"/>
          <w:b w:val="0"/>
          <w:sz w:val="72"/>
          <w:szCs w:val="72"/>
          <w:highlight w:val="none"/>
        </w:rPr>
      </w:pPr>
    </w:p>
    <w:p w14:paraId="38D35E45">
      <w:pPr>
        <w:spacing w:line="360" w:lineRule="auto"/>
        <w:jc w:val="center"/>
        <w:outlineLvl w:val="9"/>
        <w:rPr>
          <w:rFonts w:hint="eastAsia" w:ascii="宋体" w:hAnsi="宋体" w:eastAsia="宋体" w:cs="宋体"/>
          <w:b w:val="0"/>
          <w:sz w:val="72"/>
          <w:szCs w:val="72"/>
          <w:highlight w:val="none"/>
        </w:rPr>
      </w:pPr>
    </w:p>
    <w:p w14:paraId="2BCE6BFB">
      <w:pPr>
        <w:spacing w:line="360" w:lineRule="auto"/>
        <w:jc w:val="center"/>
        <w:outlineLvl w:val="9"/>
        <w:rPr>
          <w:rFonts w:hint="eastAsia" w:ascii="宋体" w:hAnsi="宋体" w:eastAsia="宋体" w:cs="宋体"/>
          <w:b w:val="0"/>
          <w:sz w:val="72"/>
          <w:szCs w:val="72"/>
          <w:highlight w:val="none"/>
          <w:lang w:eastAsia="zh-CN"/>
        </w:rPr>
      </w:pPr>
      <w:bookmarkStart w:id="34" w:name="_Toc15896"/>
      <w:r>
        <w:rPr>
          <w:rFonts w:hint="eastAsia" w:ascii="宋体" w:hAnsi="宋体" w:eastAsia="宋体" w:cs="宋体"/>
          <w:b w:val="0"/>
          <w:sz w:val="72"/>
          <w:szCs w:val="72"/>
          <w:highlight w:val="none"/>
          <w:lang w:eastAsia="zh-CN"/>
        </w:rPr>
        <w:t>竞争性磋商响应文件</w:t>
      </w:r>
      <w:bookmarkEnd w:id="34"/>
    </w:p>
    <w:p w14:paraId="10DCDF8E">
      <w:pPr>
        <w:spacing w:line="360" w:lineRule="auto"/>
        <w:jc w:val="center"/>
        <w:outlineLvl w:val="9"/>
        <w:rPr>
          <w:rFonts w:hint="eastAsia" w:ascii="宋体" w:hAnsi="宋体" w:eastAsia="宋体" w:cs="宋体"/>
          <w:b w:val="0"/>
          <w:sz w:val="24"/>
          <w:szCs w:val="24"/>
          <w:highlight w:val="none"/>
          <w:u w:val="single"/>
        </w:rPr>
      </w:pPr>
      <w:r>
        <w:rPr>
          <w:rFonts w:hint="eastAsia" w:ascii="宋体" w:hAnsi="宋体" w:eastAsia="宋体" w:cs="宋体"/>
          <w:b w:val="0"/>
          <w:sz w:val="24"/>
          <w:szCs w:val="24"/>
          <w:highlight w:val="none"/>
        </w:rPr>
        <w:t>项目编号：</w:t>
      </w:r>
    </w:p>
    <w:p w14:paraId="7ECAFDC8">
      <w:pPr>
        <w:spacing w:line="360" w:lineRule="auto"/>
        <w:jc w:val="center"/>
        <w:outlineLvl w:val="9"/>
        <w:rPr>
          <w:rFonts w:hint="eastAsia" w:ascii="宋体" w:hAnsi="宋体" w:eastAsia="宋体" w:cs="宋体"/>
          <w:b w:val="0"/>
          <w:szCs w:val="21"/>
          <w:highlight w:val="none"/>
        </w:rPr>
      </w:pPr>
    </w:p>
    <w:p w14:paraId="7BC3D7A7">
      <w:pPr>
        <w:spacing w:line="360" w:lineRule="auto"/>
        <w:jc w:val="center"/>
        <w:outlineLvl w:val="9"/>
        <w:rPr>
          <w:rFonts w:hint="eastAsia" w:ascii="宋体" w:hAnsi="宋体" w:eastAsia="宋体" w:cs="宋体"/>
          <w:b w:val="0"/>
          <w:szCs w:val="21"/>
          <w:highlight w:val="none"/>
        </w:rPr>
      </w:pPr>
    </w:p>
    <w:p w14:paraId="7BE55520">
      <w:pPr>
        <w:spacing w:line="360" w:lineRule="auto"/>
        <w:jc w:val="center"/>
        <w:outlineLvl w:val="9"/>
        <w:rPr>
          <w:rFonts w:hint="eastAsia" w:ascii="宋体" w:hAnsi="宋体" w:eastAsia="宋体" w:cs="宋体"/>
          <w:b w:val="0"/>
          <w:szCs w:val="21"/>
          <w:highlight w:val="none"/>
        </w:rPr>
      </w:pPr>
    </w:p>
    <w:p w14:paraId="21817ACA">
      <w:pPr>
        <w:spacing w:line="360" w:lineRule="auto"/>
        <w:jc w:val="center"/>
        <w:outlineLvl w:val="9"/>
        <w:rPr>
          <w:rFonts w:hint="eastAsia" w:ascii="宋体" w:hAnsi="宋体" w:eastAsia="宋体" w:cs="宋体"/>
          <w:b w:val="0"/>
          <w:szCs w:val="21"/>
          <w:highlight w:val="none"/>
        </w:rPr>
      </w:pPr>
    </w:p>
    <w:p w14:paraId="0329156D">
      <w:pPr>
        <w:spacing w:line="360" w:lineRule="auto"/>
        <w:jc w:val="center"/>
        <w:outlineLvl w:val="9"/>
        <w:rPr>
          <w:rFonts w:hint="eastAsia" w:ascii="宋体" w:hAnsi="宋体" w:eastAsia="宋体" w:cs="宋体"/>
          <w:b w:val="0"/>
          <w:szCs w:val="21"/>
          <w:highlight w:val="none"/>
        </w:rPr>
      </w:pPr>
    </w:p>
    <w:p w14:paraId="143DA88E">
      <w:pPr>
        <w:spacing w:line="360" w:lineRule="auto"/>
        <w:jc w:val="center"/>
        <w:outlineLvl w:val="9"/>
        <w:rPr>
          <w:rFonts w:hint="eastAsia" w:ascii="宋体" w:hAnsi="宋体" w:eastAsia="宋体" w:cs="宋体"/>
          <w:b w:val="0"/>
          <w:szCs w:val="21"/>
          <w:highlight w:val="none"/>
        </w:rPr>
      </w:pPr>
    </w:p>
    <w:p w14:paraId="1C473464">
      <w:pPr>
        <w:spacing w:line="360" w:lineRule="auto"/>
        <w:jc w:val="center"/>
        <w:outlineLvl w:val="9"/>
        <w:rPr>
          <w:rFonts w:hint="eastAsia" w:ascii="宋体" w:hAnsi="宋体" w:eastAsia="宋体" w:cs="宋体"/>
          <w:b w:val="0"/>
          <w:sz w:val="28"/>
          <w:szCs w:val="28"/>
          <w:highlight w:val="none"/>
        </w:rPr>
      </w:pPr>
      <w:bookmarkStart w:id="35" w:name="_Toc25223"/>
      <w:r>
        <w:rPr>
          <w:rFonts w:hint="eastAsia" w:ascii="宋体" w:hAnsi="宋体" w:cs="宋体"/>
          <w:b w:val="0"/>
          <w:sz w:val="28"/>
          <w:szCs w:val="28"/>
          <w:highlight w:val="none"/>
          <w:lang w:eastAsia="zh-CN"/>
        </w:rPr>
        <w:t>供应商</w:t>
      </w:r>
      <w:r>
        <w:rPr>
          <w:rFonts w:hint="eastAsia" w:ascii="宋体" w:hAnsi="宋体" w:eastAsia="宋体" w:cs="宋体"/>
          <w:b w:val="0"/>
          <w:sz w:val="28"/>
          <w:szCs w:val="28"/>
          <w:highlight w:val="none"/>
        </w:rPr>
        <w:t>：</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（盖单位章）</w:t>
      </w:r>
      <w:bookmarkEnd w:id="35"/>
    </w:p>
    <w:p w14:paraId="21AB6B71">
      <w:pPr>
        <w:spacing w:line="360" w:lineRule="auto"/>
        <w:jc w:val="center"/>
        <w:outlineLvl w:val="9"/>
        <w:rPr>
          <w:rFonts w:hint="eastAsia" w:ascii="宋体" w:hAnsi="宋体" w:eastAsia="宋体" w:cs="宋体"/>
          <w:b w:val="0"/>
          <w:sz w:val="28"/>
          <w:szCs w:val="28"/>
          <w:highlight w:val="none"/>
        </w:rPr>
      </w:pPr>
    </w:p>
    <w:p w14:paraId="6AEDE3B4">
      <w:pPr>
        <w:spacing w:line="360" w:lineRule="auto"/>
        <w:jc w:val="center"/>
        <w:outlineLvl w:val="9"/>
        <w:rPr>
          <w:rFonts w:hint="eastAsia" w:ascii="宋体" w:hAnsi="宋体" w:eastAsia="宋体" w:cs="宋体"/>
          <w:b w:val="0"/>
          <w:sz w:val="28"/>
          <w:szCs w:val="28"/>
          <w:highlight w:val="none"/>
        </w:rPr>
      </w:pPr>
      <w:bookmarkStart w:id="36" w:name="_Toc24711"/>
      <w:r>
        <w:rPr>
          <w:rFonts w:hint="eastAsia" w:ascii="宋体" w:hAnsi="宋体" w:eastAsia="宋体" w:cs="宋体"/>
          <w:b w:val="0"/>
          <w:sz w:val="28"/>
          <w:szCs w:val="28"/>
          <w:highlight w:val="none"/>
        </w:rPr>
        <w:t>法定代表人</w:t>
      </w:r>
      <w:r>
        <w:rPr>
          <w:rFonts w:hint="eastAsia" w:ascii="宋体" w:hAnsi="宋体" w:eastAsia="宋体" w:cs="宋体"/>
          <w:b w:val="0"/>
          <w:sz w:val="28"/>
          <w:szCs w:val="28"/>
          <w:highlight w:val="none"/>
          <w:lang w:eastAsia="zh-CN"/>
        </w:rPr>
        <w:t>或</w:t>
      </w:r>
      <w:r>
        <w:rPr>
          <w:rFonts w:hint="eastAsia" w:ascii="宋体" w:hAnsi="宋体" w:eastAsia="宋体" w:cs="宋体"/>
          <w:b w:val="0"/>
          <w:sz w:val="28"/>
          <w:szCs w:val="28"/>
          <w:highlight w:val="none"/>
        </w:rPr>
        <w:t>其委托代理人：</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（签字</w:t>
      </w:r>
      <w:r>
        <w:rPr>
          <w:rFonts w:hint="eastAsia" w:ascii="宋体" w:hAnsi="宋体" w:eastAsia="宋体" w:cs="宋体"/>
          <w:b w:val="0"/>
          <w:sz w:val="28"/>
          <w:szCs w:val="28"/>
          <w:highlight w:val="none"/>
          <w:lang w:eastAsia="zh-CN"/>
        </w:rPr>
        <w:t>或盖章</w:t>
      </w:r>
      <w:r>
        <w:rPr>
          <w:rFonts w:hint="eastAsia" w:ascii="宋体" w:hAnsi="宋体" w:eastAsia="宋体" w:cs="宋体"/>
          <w:b w:val="0"/>
          <w:sz w:val="28"/>
          <w:szCs w:val="28"/>
          <w:highlight w:val="none"/>
        </w:rPr>
        <w:t>）</w:t>
      </w:r>
      <w:bookmarkEnd w:id="36"/>
    </w:p>
    <w:p w14:paraId="6DF9BFE6">
      <w:pPr>
        <w:spacing w:line="360" w:lineRule="auto"/>
        <w:jc w:val="center"/>
        <w:outlineLvl w:val="9"/>
        <w:rPr>
          <w:rFonts w:hint="eastAsia" w:ascii="宋体" w:hAnsi="宋体" w:eastAsia="宋体" w:cs="宋体"/>
          <w:b w:val="0"/>
          <w:szCs w:val="21"/>
          <w:highlight w:val="none"/>
          <w:u w:val="single"/>
        </w:rPr>
      </w:pPr>
    </w:p>
    <w:p w14:paraId="7A510942">
      <w:pPr>
        <w:spacing w:line="360" w:lineRule="auto"/>
        <w:jc w:val="center"/>
        <w:outlineLvl w:val="9"/>
        <w:rPr>
          <w:rFonts w:hint="eastAsia" w:ascii="宋体" w:hAnsi="宋体" w:eastAsia="宋体" w:cs="宋体"/>
          <w:b w:val="0"/>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18" w:right="1134" w:bottom="1418" w:left="1134" w:header="851" w:footer="992" w:gutter="0"/>
          <w:pgNumType w:fmt="decimal" w:start="1"/>
          <w:cols w:space="720" w:num="1"/>
          <w:docGrid w:type="lines" w:linePitch="312" w:charSpace="0"/>
        </w:sectPr>
      </w:pPr>
      <w:bookmarkStart w:id="37" w:name="_Toc4302"/>
      <w:r>
        <w:rPr>
          <w:rFonts w:hint="eastAsia" w:ascii="宋体" w:hAnsi="宋体" w:eastAsia="宋体" w:cs="宋体"/>
          <w:b w:val="0"/>
          <w:sz w:val="28"/>
          <w:szCs w:val="28"/>
          <w:highlight w:val="none"/>
        </w:rPr>
        <w:t>日期：</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年</w:t>
      </w:r>
      <w:r>
        <w:rPr>
          <w:rFonts w:hint="eastAsia" w:ascii="宋体" w:hAnsi="宋体" w:eastAsia="宋体" w:cs="宋体"/>
          <w:b w:val="0"/>
          <w:sz w:val="28"/>
          <w:szCs w:val="28"/>
          <w:highlight w:val="none"/>
          <w:u w:val="single"/>
        </w:rPr>
        <w:t xml:space="preserve">  </w:t>
      </w:r>
      <w:r>
        <w:rPr>
          <w:rFonts w:hint="eastAsia" w:ascii="宋体" w:hAnsi="宋体" w:cs="宋体"/>
          <w:b w:val="0"/>
          <w:sz w:val="28"/>
          <w:szCs w:val="28"/>
          <w:highlight w:val="none"/>
          <w:u w:val="single"/>
          <w:lang w:val="en-US" w:eastAsia="zh-CN"/>
        </w:rPr>
        <w:t xml:space="preserve"> </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月</w:t>
      </w:r>
      <w:r>
        <w:rPr>
          <w:rFonts w:hint="eastAsia" w:ascii="宋体" w:hAnsi="宋体" w:eastAsia="宋体" w:cs="宋体"/>
          <w:b w:val="0"/>
          <w:sz w:val="28"/>
          <w:szCs w:val="28"/>
          <w:highlight w:val="none"/>
          <w:u w:val="single"/>
        </w:rPr>
        <w:t xml:space="preserve">  </w:t>
      </w:r>
      <w:r>
        <w:rPr>
          <w:rFonts w:hint="eastAsia" w:ascii="宋体" w:hAnsi="宋体" w:cs="宋体"/>
          <w:b w:val="0"/>
          <w:sz w:val="28"/>
          <w:szCs w:val="28"/>
          <w:highlight w:val="none"/>
          <w:u w:val="single"/>
          <w:lang w:val="en-US" w:eastAsia="zh-CN"/>
        </w:rPr>
        <w:t xml:space="preserve"> </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日</w:t>
      </w:r>
      <w:bookmarkEnd w:id="37"/>
    </w:p>
    <w:p w14:paraId="337AD85B">
      <w:pPr>
        <w:tabs>
          <w:tab w:val="left" w:pos="720"/>
        </w:tabs>
        <w:ind w:left="0" w:firstLine="0"/>
        <w:jc w:val="center"/>
        <w:outlineLvl w:val="9"/>
        <w:rPr>
          <w:rFonts w:hint="eastAsia" w:ascii="宋体" w:hAnsi="宋体" w:eastAsia="宋体" w:cs="宋体"/>
          <w:sz w:val="44"/>
          <w:szCs w:val="44"/>
          <w:highlight w:val="none"/>
        </w:rPr>
      </w:pPr>
      <w:bookmarkStart w:id="38" w:name="_Toc184635137"/>
      <w:bookmarkStart w:id="39" w:name="_Toc382396569"/>
      <w:r>
        <w:rPr>
          <w:rFonts w:hint="eastAsia" w:ascii="宋体" w:hAnsi="宋体" w:eastAsia="宋体" w:cs="宋体"/>
          <w:sz w:val="44"/>
          <w:szCs w:val="44"/>
          <w:highlight w:val="none"/>
        </w:rPr>
        <w:t>目    录</w:t>
      </w:r>
      <w:bookmarkEnd w:id="38"/>
      <w:bookmarkEnd w:id="39"/>
    </w:p>
    <w:p w14:paraId="58B2D21D">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p>
    <w:p w14:paraId="5B4D35AE">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p>
    <w:p w14:paraId="78C3579F">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r>
        <w:rPr>
          <w:rFonts w:hint="eastAsia" w:ascii="宋体" w:hAnsi="宋体" w:eastAsia="宋体" w:cs="宋体"/>
          <w:b w:val="0"/>
          <w:sz w:val="24"/>
          <w:szCs w:val="24"/>
          <w:highlight w:val="none"/>
          <w:lang w:val="en-US" w:eastAsia="zh-CN"/>
        </w:rPr>
        <w:t>格式自拟</w:t>
      </w:r>
    </w:p>
    <w:p w14:paraId="6E0E3DD1">
      <w:pPr>
        <w:pStyle w:val="10"/>
        <w:outlineLvl w:val="9"/>
        <w:rPr>
          <w:rFonts w:hint="eastAsia" w:ascii="宋体" w:hAnsi="宋体" w:eastAsia="宋体" w:cs="宋体"/>
          <w:b w:val="0"/>
          <w:sz w:val="24"/>
          <w:szCs w:val="24"/>
          <w:highlight w:val="none"/>
          <w:lang w:val="en-US" w:eastAsia="zh-CN"/>
        </w:rPr>
      </w:pPr>
    </w:p>
    <w:p w14:paraId="0EEE1F44">
      <w:pPr>
        <w:spacing w:line="360" w:lineRule="auto"/>
        <w:ind w:firstLine="420" w:firstLineChars="200"/>
        <w:jc w:val="center"/>
        <w:outlineLvl w:val="9"/>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296E0BDC">
      <w:pPr>
        <w:jc w:val="center"/>
        <w:outlineLvl w:val="9"/>
        <w:rPr>
          <w:rFonts w:hint="eastAsia" w:ascii="宋体" w:hAnsi="宋体" w:eastAsia="宋体" w:cs="宋体"/>
          <w:b/>
          <w:kern w:val="0"/>
          <w:sz w:val="32"/>
          <w:szCs w:val="20"/>
          <w:highlight w:val="none"/>
          <w:lang w:val="en-US" w:eastAsia="zh-CN" w:bidi="ar-SA"/>
        </w:rPr>
      </w:pPr>
      <w:bookmarkStart w:id="40" w:name="_Toc184635138"/>
      <w:bookmarkStart w:id="41" w:name="_Toc31889"/>
      <w:bookmarkStart w:id="42" w:name="_Toc382396570"/>
      <w:r>
        <w:rPr>
          <w:rFonts w:hint="eastAsia" w:ascii="宋体" w:hAnsi="宋体" w:eastAsia="宋体" w:cs="宋体"/>
          <w:b/>
          <w:kern w:val="0"/>
          <w:sz w:val="32"/>
          <w:szCs w:val="20"/>
          <w:highlight w:val="none"/>
          <w:lang w:val="en-US" w:eastAsia="zh-CN" w:bidi="ar-SA"/>
        </w:rPr>
        <w:t>一、投标函及投标函附录</w:t>
      </w:r>
      <w:bookmarkEnd w:id="40"/>
      <w:bookmarkEnd w:id="41"/>
      <w:bookmarkEnd w:id="42"/>
    </w:p>
    <w:p w14:paraId="56F2B9CD">
      <w:pPr>
        <w:jc w:val="center"/>
        <w:outlineLvl w:val="9"/>
        <w:rPr>
          <w:rFonts w:hint="eastAsia" w:ascii="宋体" w:hAnsi="宋体" w:eastAsia="宋体" w:cs="宋体"/>
          <w:b w:val="0"/>
          <w:bCs/>
          <w:kern w:val="0"/>
          <w:sz w:val="28"/>
          <w:szCs w:val="18"/>
          <w:highlight w:val="none"/>
          <w:lang w:val="en-US" w:eastAsia="zh-CN" w:bidi="ar-SA"/>
        </w:rPr>
      </w:pPr>
      <w:r>
        <w:rPr>
          <w:rFonts w:hint="eastAsia" w:ascii="宋体" w:hAnsi="宋体" w:eastAsia="宋体" w:cs="宋体"/>
          <w:b w:val="0"/>
          <w:bCs/>
          <w:kern w:val="0"/>
          <w:sz w:val="28"/>
          <w:szCs w:val="18"/>
          <w:highlight w:val="none"/>
          <w:lang w:val="en-US" w:eastAsia="zh-CN" w:bidi="ar-SA"/>
        </w:rPr>
        <w:t>（一）投标函</w:t>
      </w:r>
    </w:p>
    <w:p w14:paraId="67443D60">
      <w:pPr>
        <w:spacing w:line="360" w:lineRule="auto"/>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lang w:eastAsia="zh-CN"/>
        </w:rPr>
        <w:t>采购人</w:t>
      </w:r>
      <w:r>
        <w:rPr>
          <w:rFonts w:hint="eastAsia" w:ascii="宋体" w:hAnsi="宋体" w:eastAsia="宋体" w:cs="宋体"/>
          <w:b w:val="0"/>
          <w:sz w:val="21"/>
          <w:szCs w:val="21"/>
          <w:highlight w:val="none"/>
        </w:rPr>
        <w:t xml:space="preserve">名称）: </w:t>
      </w:r>
    </w:p>
    <w:p w14:paraId="37443691">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1．我方已仔细研究了</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（项目名称）</w:t>
      </w:r>
      <w:r>
        <w:rPr>
          <w:rFonts w:hint="eastAsia" w:ascii="宋体" w:hAnsi="宋体" w:cs="宋体"/>
          <w:b w:val="0"/>
          <w:sz w:val="21"/>
          <w:szCs w:val="21"/>
          <w:highlight w:val="none"/>
          <w:lang w:val="en-US" w:eastAsia="zh-CN"/>
        </w:rPr>
        <w:t>竞争性磋商文件</w:t>
      </w:r>
      <w:r>
        <w:rPr>
          <w:rFonts w:hint="eastAsia" w:ascii="宋体" w:hAnsi="宋体" w:eastAsia="宋体" w:cs="宋体"/>
          <w:b w:val="0"/>
          <w:sz w:val="21"/>
          <w:szCs w:val="21"/>
          <w:highlight w:val="none"/>
        </w:rPr>
        <w:t>的全部内容，愿意以人民币（大写）</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元（¥</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）的投标总报价，</w:t>
      </w:r>
      <w:r>
        <w:rPr>
          <w:rFonts w:hint="eastAsia" w:ascii="宋体" w:hAnsi="宋体" w:cs="宋体"/>
          <w:sz w:val="21"/>
          <w:szCs w:val="21"/>
          <w:highlight w:val="none"/>
          <w:lang w:val="en-US" w:eastAsia="zh-CN"/>
        </w:rPr>
        <w:t>合同履行期限</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，按合同约定实施</w:t>
      </w:r>
      <w:r>
        <w:rPr>
          <w:rFonts w:hint="eastAsia" w:ascii="宋体" w:hAnsi="宋体" w:cs="宋体"/>
          <w:b w:val="0"/>
          <w:sz w:val="21"/>
          <w:szCs w:val="21"/>
          <w:highlight w:val="none"/>
          <w:lang w:val="en-US" w:eastAsia="zh-CN"/>
        </w:rPr>
        <w:t>服务</w:t>
      </w:r>
      <w:r>
        <w:rPr>
          <w:rFonts w:hint="eastAsia" w:ascii="宋体" w:hAnsi="宋体" w:eastAsia="宋体" w:cs="宋体"/>
          <w:b w:val="0"/>
          <w:sz w:val="21"/>
          <w:szCs w:val="21"/>
          <w:highlight w:val="none"/>
        </w:rPr>
        <w:t>，</w:t>
      </w:r>
      <w:r>
        <w:rPr>
          <w:rFonts w:hint="eastAsia" w:ascii="宋体" w:hAnsi="宋体" w:cs="宋体"/>
          <w:b w:val="0"/>
          <w:sz w:val="21"/>
          <w:szCs w:val="21"/>
          <w:highlight w:val="none"/>
          <w:lang w:val="en-US" w:eastAsia="zh-CN"/>
        </w:rPr>
        <w:t>服务</w:t>
      </w:r>
      <w:r>
        <w:rPr>
          <w:rFonts w:hint="eastAsia" w:ascii="宋体" w:hAnsi="宋体" w:eastAsia="宋体" w:cs="宋体"/>
          <w:b w:val="0"/>
          <w:sz w:val="21"/>
          <w:szCs w:val="21"/>
          <w:highlight w:val="none"/>
        </w:rPr>
        <w:t>质量达到</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3D6D1396">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2．我方承诺在投标有效期内不修改、撤销</w:t>
      </w:r>
      <w:r>
        <w:rPr>
          <w:rFonts w:hint="eastAsia" w:ascii="宋体" w:hAnsi="宋体" w:cs="宋体"/>
          <w:b w:val="0"/>
          <w:sz w:val="21"/>
          <w:szCs w:val="21"/>
          <w:highlight w:val="none"/>
          <w:lang w:eastAsia="zh-CN"/>
        </w:rPr>
        <w:t>响应文件</w:t>
      </w:r>
      <w:r>
        <w:rPr>
          <w:rFonts w:hint="eastAsia" w:ascii="宋体" w:hAnsi="宋体" w:eastAsia="宋体" w:cs="宋体"/>
          <w:b w:val="0"/>
          <w:sz w:val="21"/>
          <w:szCs w:val="21"/>
          <w:highlight w:val="none"/>
        </w:rPr>
        <w:t>。</w:t>
      </w:r>
    </w:p>
    <w:p w14:paraId="7EFF352A">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cs="宋体"/>
          <w:b w:val="0"/>
          <w:sz w:val="21"/>
          <w:szCs w:val="21"/>
          <w:highlight w:val="none"/>
          <w:lang w:val="en-US" w:eastAsia="zh-CN"/>
        </w:rPr>
        <w:t>3</w:t>
      </w:r>
      <w:r>
        <w:rPr>
          <w:rFonts w:hint="eastAsia" w:ascii="宋体" w:hAnsi="宋体" w:eastAsia="宋体" w:cs="宋体"/>
          <w:b w:val="0"/>
          <w:sz w:val="21"/>
          <w:szCs w:val="21"/>
          <w:highlight w:val="none"/>
        </w:rPr>
        <w:t>．如我方中标：</w:t>
      </w:r>
    </w:p>
    <w:p w14:paraId="47682FC9">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cs="宋体"/>
          <w:szCs w:val="21"/>
          <w:highlight w:val="none"/>
          <w:lang w:val="zh-CN"/>
        </w:rPr>
        <w:t>我们已详细阅读了全部招标文件，标段括招标文件的修改、补充文件、参考资料及有关的附件，我们接受招标文件的全部条款和条件，我们知道必须放弃提出含糊不清或误解的问题的权利。</w:t>
      </w:r>
    </w:p>
    <w:p w14:paraId="4130BF9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cs="宋体"/>
          <w:szCs w:val="21"/>
          <w:highlight w:val="none"/>
          <w:lang w:val="zh-CN"/>
        </w:rPr>
        <w:t>我们对招标文件关于时限、程序方面的规定没有异议，保证按照招标文件规定的时限和程序参加投标活动。</w:t>
      </w:r>
    </w:p>
    <w:p w14:paraId="748D4423">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cs="宋体"/>
          <w:szCs w:val="21"/>
          <w:highlight w:val="none"/>
          <w:lang w:val="zh-CN"/>
        </w:rPr>
        <w:t>我们同意在投标人须知规定的开标时间起遵循本投标书，并在投标人须知规定的投标有效期满之前均具有约束力，并有可能中标。</w:t>
      </w:r>
    </w:p>
    <w:p w14:paraId="663EF71E">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w:t>
      </w:r>
      <w:r>
        <w:rPr>
          <w:rFonts w:hint="eastAsia" w:ascii="宋体" w:hAnsi="宋体" w:cs="宋体"/>
          <w:szCs w:val="21"/>
          <w:highlight w:val="none"/>
          <w:lang w:val="zh-CN"/>
        </w:rPr>
        <w:t>我们如果在规定的投标有效期内撤回投标，则你方可不予退还我们的投标保证金。</w:t>
      </w:r>
    </w:p>
    <w:p w14:paraId="61A0F2CB">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5</w:t>
      </w:r>
      <w:r>
        <w:rPr>
          <w:rFonts w:hint="eastAsia" w:ascii="宋体" w:hAnsi="宋体" w:cs="宋体"/>
          <w:szCs w:val="21"/>
          <w:highlight w:val="none"/>
          <w:lang w:eastAsia="zh-CN"/>
        </w:rPr>
        <w:t>）</w:t>
      </w:r>
      <w:r>
        <w:rPr>
          <w:rFonts w:hint="eastAsia" w:ascii="宋体" w:hAnsi="宋体" w:cs="宋体"/>
          <w:szCs w:val="21"/>
          <w:highlight w:val="none"/>
          <w:lang w:val="zh-CN"/>
        </w:rPr>
        <w:t>我们保证向你方提供你方可能要求的与本投标有关的任何证据或资料。</w:t>
      </w:r>
    </w:p>
    <w:p w14:paraId="1E33B6B5">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6</w:t>
      </w:r>
      <w:r>
        <w:rPr>
          <w:rFonts w:hint="eastAsia" w:ascii="宋体" w:hAnsi="宋体" w:cs="宋体"/>
          <w:szCs w:val="21"/>
          <w:highlight w:val="none"/>
          <w:lang w:eastAsia="zh-CN"/>
        </w:rPr>
        <w:t>）</w:t>
      </w:r>
      <w:r>
        <w:rPr>
          <w:rFonts w:hint="eastAsia" w:ascii="宋体" w:hAnsi="宋体" w:cs="宋体"/>
          <w:szCs w:val="21"/>
          <w:highlight w:val="none"/>
          <w:lang w:val="zh-CN"/>
        </w:rPr>
        <w:t>我们完全理解你方不一定要接受最低报价的投标或收到的任何投标。</w:t>
      </w:r>
    </w:p>
    <w:p w14:paraId="4BD34D39">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7</w:t>
      </w:r>
      <w:r>
        <w:rPr>
          <w:rFonts w:hint="eastAsia" w:ascii="宋体" w:hAnsi="宋体" w:cs="宋体"/>
          <w:szCs w:val="21"/>
          <w:highlight w:val="none"/>
          <w:lang w:eastAsia="zh-CN"/>
        </w:rPr>
        <w:t>）</w:t>
      </w:r>
      <w:r>
        <w:rPr>
          <w:rFonts w:hint="eastAsia" w:ascii="宋体" w:hAnsi="宋体" w:cs="宋体"/>
          <w:bCs/>
          <w:szCs w:val="21"/>
          <w:highlight w:val="none"/>
          <w:lang w:val="zh-CN"/>
        </w:rPr>
        <w:t>投标有效期：投标截止之日后90天（日历天）</w:t>
      </w:r>
      <w:r>
        <w:rPr>
          <w:rFonts w:hint="eastAsia" w:ascii="宋体" w:hAnsi="宋体" w:cs="宋体"/>
          <w:szCs w:val="21"/>
          <w:highlight w:val="none"/>
          <w:lang w:val="zh-CN"/>
        </w:rPr>
        <w:t>。</w:t>
      </w:r>
    </w:p>
    <w:p w14:paraId="4E392D07">
      <w:pPr>
        <w:tabs>
          <w:tab w:val="left" w:pos="709"/>
        </w:tabs>
        <w:autoSpaceDE w:val="0"/>
        <w:autoSpaceDN w:val="0"/>
        <w:adjustRightInd w:val="0"/>
        <w:spacing w:line="360" w:lineRule="auto"/>
        <w:ind w:firstLine="482"/>
        <w:rPr>
          <w:rFonts w:hint="eastAsia" w:ascii="宋体" w:hAnsi="宋体" w:cs="宋体"/>
          <w:kern w:val="0"/>
          <w:szCs w:val="21"/>
          <w:highlight w:val="none"/>
          <w:lang w:val="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8</w:t>
      </w:r>
      <w:r>
        <w:rPr>
          <w:rFonts w:hint="eastAsia" w:ascii="宋体" w:hAnsi="宋体" w:cs="宋体"/>
          <w:szCs w:val="21"/>
          <w:highlight w:val="none"/>
          <w:lang w:eastAsia="zh-CN"/>
        </w:rPr>
        <w:t>）</w:t>
      </w:r>
      <w:r>
        <w:rPr>
          <w:rFonts w:hint="eastAsia" w:ascii="宋体" w:hAnsi="宋体" w:cs="宋体"/>
          <w:kern w:val="0"/>
          <w:szCs w:val="21"/>
          <w:highlight w:val="none"/>
          <w:lang w:val="zh-CN"/>
        </w:rPr>
        <w:t>我方保证严格遵守《中华人民共和国政府采购法实施条例》的有关规定，若有下列情形之一的，我方将被处不予退还投标保证金，列入不良行为记录名单，在一至三年内禁止参加政府招标活动，并予以公告：</w:t>
      </w:r>
    </w:p>
    <w:p w14:paraId="01877350">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lang w:val="en-US" w:eastAsia="zh-CN"/>
        </w:rPr>
        <w:t>8.</w:t>
      </w:r>
      <w:r>
        <w:rPr>
          <w:rFonts w:hint="eastAsia" w:ascii="宋体" w:hAnsi="宋体" w:cs="宋体"/>
          <w:szCs w:val="21"/>
          <w:highlight w:val="none"/>
        </w:rPr>
        <w:t>1</w:t>
      </w:r>
      <w:r>
        <w:rPr>
          <w:rFonts w:hint="eastAsia" w:ascii="宋体" w:hAnsi="宋体" w:cs="宋体"/>
          <w:szCs w:val="21"/>
          <w:highlight w:val="none"/>
          <w:lang w:val="zh-CN"/>
        </w:rPr>
        <w:t>）提供虚假材料谋取中标、成交的；</w:t>
      </w:r>
    </w:p>
    <w:p w14:paraId="4858F68D">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lang w:val="en-US" w:eastAsia="zh-CN"/>
        </w:rPr>
        <w:t>8.</w:t>
      </w:r>
      <w:r>
        <w:rPr>
          <w:rFonts w:hint="eastAsia" w:ascii="宋体" w:hAnsi="宋体" w:cs="宋体"/>
          <w:szCs w:val="21"/>
          <w:highlight w:val="none"/>
        </w:rPr>
        <w:t>2</w:t>
      </w:r>
      <w:r>
        <w:rPr>
          <w:rFonts w:hint="eastAsia" w:ascii="宋体" w:hAnsi="宋体" w:cs="宋体"/>
          <w:szCs w:val="21"/>
          <w:highlight w:val="none"/>
          <w:lang w:val="zh-CN"/>
        </w:rPr>
        <w:t>）采取不正当手段诋毁、排挤其他投标人的；</w:t>
      </w:r>
    </w:p>
    <w:p w14:paraId="4F992D60">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lang w:val="en-US" w:eastAsia="zh-CN"/>
        </w:rPr>
        <w:t>8.</w:t>
      </w:r>
      <w:r>
        <w:rPr>
          <w:rFonts w:hint="eastAsia" w:ascii="宋体" w:hAnsi="宋体" w:cs="宋体"/>
          <w:szCs w:val="21"/>
          <w:highlight w:val="none"/>
        </w:rPr>
        <w:t>3</w:t>
      </w:r>
      <w:r>
        <w:rPr>
          <w:rFonts w:hint="eastAsia" w:ascii="宋体" w:hAnsi="宋体" w:cs="宋体"/>
          <w:szCs w:val="21"/>
          <w:highlight w:val="none"/>
          <w:lang w:val="zh-CN"/>
        </w:rPr>
        <w:t>）与其他投标人、招标机构或者采购单位人员或者其他有关人员恶意串通的；</w:t>
      </w:r>
    </w:p>
    <w:p w14:paraId="5CEE9306">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lang w:val="en-US" w:eastAsia="zh-CN"/>
        </w:rPr>
        <w:t>8.</w:t>
      </w:r>
      <w:r>
        <w:rPr>
          <w:rFonts w:hint="eastAsia" w:ascii="宋体" w:hAnsi="宋体" w:cs="宋体"/>
          <w:szCs w:val="21"/>
          <w:highlight w:val="none"/>
        </w:rPr>
        <w:t>4</w:t>
      </w:r>
      <w:r>
        <w:rPr>
          <w:rFonts w:hint="eastAsia" w:ascii="宋体" w:hAnsi="宋体" w:cs="宋体"/>
          <w:szCs w:val="21"/>
          <w:highlight w:val="none"/>
          <w:lang w:val="zh-CN"/>
        </w:rPr>
        <w:t>）向评标委员会成员、招标机构或者采购单位人员或者其他有关人员行贿或者提供其他不正当利益的；</w:t>
      </w:r>
    </w:p>
    <w:p w14:paraId="25FEADB0">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lang w:val="en-US" w:eastAsia="zh-CN"/>
        </w:rPr>
        <w:t>8.</w:t>
      </w:r>
      <w:r>
        <w:rPr>
          <w:rFonts w:hint="eastAsia" w:ascii="宋体" w:hAnsi="宋体" w:cs="宋体"/>
          <w:szCs w:val="21"/>
          <w:highlight w:val="none"/>
        </w:rPr>
        <w:t>5</w:t>
      </w:r>
      <w:r>
        <w:rPr>
          <w:rFonts w:hint="eastAsia" w:ascii="宋体" w:hAnsi="宋体" w:cs="宋体"/>
          <w:szCs w:val="21"/>
          <w:highlight w:val="none"/>
          <w:lang w:val="zh-CN"/>
        </w:rPr>
        <w:t>）被评定中标后无正当理由不与采购人或者采购代理机构订立合同，或者中标后不按招标文件和中标供应商的投标文件订立合同，或者与采购人另行订立背离合同实质性内容的协议的；</w:t>
      </w:r>
    </w:p>
    <w:p w14:paraId="46E787E4">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lang w:val="en-US" w:eastAsia="zh-CN"/>
        </w:rPr>
        <w:t>8.</w:t>
      </w:r>
      <w:r>
        <w:rPr>
          <w:rFonts w:hint="eastAsia" w:ascii="宋体" w:hAnsi="宋体" w:cs="宋体"/>
          <w:szCs w:val="21"/>
          <w:highlight w:val="none"/>
        </w:rPr>
        <w:t>6</w:t>
      </w:r>
      <w:r>
        <w:rPr>
          <w:rFonts w:hint="eastAsia" w:ascii="宋体" w:hAnsi="宋体" w:cs="宋体"/>
          <w:szCs w:val="21"/>
          <w:highlight w:val="none"/>
          <w:lang w:val="zh-CN"/>
        </w:rPr>
        <w:t>）将中标项目转让给他人或者将中标项目分标段给他人的；</w:t>
      </w:r>
    </w:p>
    <w:p w14:paraId="05F3E378">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lang w:val="en-US" w:eastAsia="zh-CN"/>
        </w:rPr>
        <w:t>8.</w:t>
      </w:r>
      <w:r>
        <w:rPr>
          <w:rFonts w:hint="eastAsia" w:ascii="宋体" w:hAnsi="宋体" w:cs="宋体"/>
          <w:szCs w:val="21"/>
          <w:highlight w:val="none"/>
        </w:rPr>
        <w:t>7</w:t>
      </w:r>
      <w:r>
        <w:rPr>
          <w:rFonts w:hint="eastAsia" w:ascii="宋体" w:hAnsi="宋体" w:cs="宋体"/>
          <w:szCs w:val="21"/>
          <w:highlight w:val="none"/>
          <w:lang w:val="zh-CN"/>
        </w:rPr>
        <w:t>）签订合同后拒绝履行合同义务的；</w:t>
      </w:r>
    </w:p>
    <w:p w14:paraId="4B2A7985">
      <w:pPr>
        <w:autoSpaceDE w:val="0"/>
        <w:autoSpaceDN w:val="0"/>
        <w:adjustRightInd w:val="0"/>
        <w:spacing w:line="360" w:lineRule="auto"/>
        <w:ind w:firstLine="480"/>
        <w:rPr>
          <w:rFonts w:hint="eastAsia" w:ascii="宋体" w:hAnsi="宋体" w:eastAsia="宋体" w:cs="宋体"/>
          <w:b w:val="0"/>
          <w:sz w:val="21"/>
          <w:szCs w:val="21"/>
          <w:highlight w:val="none"/>
        </w:rPr>
      </w:pPr>
      <w:r>
        <w:rPr>
          <w:rFonts w:hint="eastAsia" w:ascii="宋体" w:hAnsi="宋体" w:cs="宋体"/>
          <w:szCs w:val="21"/>
          <w:highlight w:val="none"/>
          <w:lang w:val="zh-CN"/>
        </w:rPr>
        <w:t>（</w:t>
      </w:r>
      <w:r>
        <w:rPr>
          <w:rFonts w:hint="eastAsia" w:ascii="宋体" w:hAnsi="宋体" w:cs="宋体"/>
          <w:szCs w:val="21"/>
          <w:highlight w:val="none"/>
          <w:lang w:val="en-US" w:eastAsia="zh-CN"/>
        </w:rPr>
        <w:t>8.</w:t>
      </w:r>
      <w:r>
        <w:rPr>
          <w:rFonts w:hint="eastAsia" w:ascii="宋体" w:hAnsi="宋体" w:cs="宋体"/>
          <w:szCs w:val="21"/>
          <w:highlight w:val="none"/>
        </w:rPr>
        <w:t>8</w:t>
      </w:r>
      <w:r>
        <w:rPr>
          <w:rFonts w:hint="eastAsia" w:ascii="宋体" w:hAnsi="宋体" w:cs="宋体"/>
          <w:szCs w:val="21"/>
          <w:highlight w:val="none"/>
          <w:lang w:val="zh-CN"/>
        </w:rPr>
        <w:t>）拒绝有关部门监督检查或提供虚假情况的。</w:t>
      </w:r>
    </w:p>
    <w:p w14:paraId="01226660">
      <w:pPr>
        <w:spacing w:line="360" w:lineRule="auto"/>
        <w:jc w:val="both"/>
        <w:rPr>
          <w:rFonts w:hint="eastAsia" w:ascii="宋体" w:hAnsi="宋体" w:eastAsia="宋体" w:cs="宋体"/>
          <w:b w:val="0"/>
          <w:sz w:val="21"/>
          <w:szCs w:val="21"/>
          <w:highlight w:val="none"/>
        </w:rPr>
      </w:pPr>
    </w:p>
    <w:p w14:paraId="17304D0E">
      <w:pPr>
        <w:spacing w:line="360" w:lineRule="auto"/>
        <w:jc w:val="righ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（盖单位章）</w:t>
      </w:r>
    </w:p>
    <w:p w14:paraId="3516E04B">
      <w:pPr>
        <w:spacing w:line="360" w:lineRule="auto"/>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r>
        <w:rPr>
          <w:rFonts w:hint="eastAsia" w:ascii="宋体" w:hAnsi="宋体" w:eastAsia="宋体" w:cs="宋体"/>
          <w:b w:val="0"/>
          <w:sz w:val="21"/>
          <w:szCs w:val="21"/>
          <w:highlight w:val="none"/>
          <w:lang w:eastAsia="zh-CN"/>
        </w:rPr>
        <w:t>或</w:t>
      </w:r>
      <w:r>
        <w:rPr>
          <w:rFonts w:hint="eastAsia" w:ascii="宋体" w:hAnsi="宋体" w:eastAsia="宋体" w:cs="宋体"/>
          <w:b w:val="0"/>
          <w:sz w:val="21"/>
          <w:szCs w:val="21"/>
          <w:highlight w:val="none"/>
        </w:rPr>
        <w:t>其委托代理人：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r>
        <w:rPr>
          <w:rFonts w:hint="eastAsia" w:ascii="宋体" w:hAnsi="宋体" w:eastAsia="宋体" w:cs="宋体"/>
          <w:b w:val="0"/>
          <w:sz w:val="21"/>
          <w:szCs w:val="21"/>
          <w:highlight w:val="none"/>
          <w:lang w:eastAsia="zh-CN"/>
        </w:rPr>
        <w:t>或盖章</w:t>
      </w:r>
      <w:r>
        <w:rPr>
          <w:rFonts w:hint="eastAsia" w:ascii="宋体" w:hAnsi="宋体" w:eastAsia="宋体" w:cs="宋体"/>
          <w:b w:val="0"/>
          <w:sz w:val="21"/>
          <w:szCs w:val="21"/>
          <w:highlight w:val="none"/>
        </w:rPr>
        <w:t>）</w:t>
      </w:r>
    </w:p>
    <w:p w14:paraId="5A985515">
      <w:pPr>
        <w:spacing w:line="360" w:lineRule="auto"/>
        <w:ind w:firstLine="3498" w:firstLineChars="1666"/>
        <w:jc w:val="right"/>
        <w:rPr>
          <w:rFonts w:hint="eastAsia" w:ascii="宋体" w:hAnsi="宋体" w:eastAsia="宋体" w:cs="宋体"/>
          <w:b w:val="0"/>
          <w:sz w:val="21"/>
          <w:szCs w:val="21"/>
          <w:highlight w:val="none"/>
          <w:u w:val="single"/>
        </w:rPr>
      </w:pPr>
      <w:r>
        <w:rPr>
          <w:rFonts w:hint="eastAsia" w:ascii="宋体" w:hAnsi="宋体" w:eastAsia="宋体" w:cs="宋体"/>
          <w:b w:val="0"/>
          <w:sz w:val="21"/>
          <w:szCs w:val="21"/>
          <w:highlight w:val="none"/>
        </w:rPr>
        <w:t>地址：</w:t>
      </w:r>
      <w:r>
        <w:rPr>
          <w:rFonts w:hint="eastAsia" w:ascii="宋体" w:hAnsi="宋体" w:eastAsia="宋体" w:cs="宋体"/>
          <w:b w:val="0"/>
          <w:sz w:val="21"/>
          <w:szCs w:val="21"/>
          <w:highlight w:val="none"/>
          <w:u w:val="single"/>
        </w:rPr>
        <w:t xml:space="preserve">                                        .</w:t>
      </w:r>
    </w:p>
    <w:p w14:paraId="3FE84E0C">
      <w:pPr>
        <w:spacing w:line="360" w:lineRule="auto"/>
        <w:ind w:firstLine="3498" w:firstLineChars="1666"/>
        <w:jc w:val="right"/>
        <w:rPr>
          <w:rFonts w:hint="eastAsia" w:ascii="宋体" w:hAnsi="宋体" w:eastAsia="宋体" w:cs="宋体"/>
          <w:b w:val="0"/>
          <w:sz w:val="21"/>
          <w:szCs w:val="21"/>
          <w:highlight w:val="none"/>
          <w:u w:val="single"/>
        </w:rPr>
      </w:pPr>
      <w:r>
        <w:rPr>
          <w:rFonts w:hint="eastAsia" w:ascii="宋体" w:hAnsi="宋体" w:eastAsia="宋体" w:cs="宋体"/>
          <w:b w:val="0"/>
          <w:sz w:val="21"/>
          <w:szCs w:val="21"/>
          <w:highlight w:val="none"/>
        </w:rPr>
        <w:t>网址：</w:t>
      </w:r>
      <w:r>
        <w:rPr>
          <w:rFonts w:hint="eastAsia" w:ascii="宋体" w:hAnsi="宋体" w:eastAsia="宋体" w:cs="宋体"/>
          <w:b w:val="0"/>
          <w:sz w:val="21"/>
          <w:szCs w:val="21"/>
          <w:highlight w:val="none"/>
          <w:u w:val="single"/>
        </w:rPr>
        <w:t xml:space="preserve">                                        .</w:t>
      </w:r>
    </w:p>
    <w:p w14:paraId="58C5586D">
      <w:pPr>
        <w:spacing w:line="360" w:lineRule="auto"/>
        <w:ind w:firstLine="3498" w:firstLineChars="1666"/>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r>
        <w:rPr>
          <w:rFonts w:hint="eastAsia" w:ascii="宋体" w:hAnsi="宋体" w:eastAsia="宋体" w:cs="宋体"/>
          <w:b w:val="0"/>
          <w:sz w:val="21"/>
          <w:szCs w:val="21"/>
          <w:highlight w:val="none"/>
          <w:u w:val="single"/>
        </w:rPr>
        <w:t xml:space="preserve">                                        .</w:t>
      </w:r>
    </w:p>
    <w:p w14:paraId="0112741D">
      <w:pPr>
        <w:spacing w:line="360" w:lineRule="auto"/>
        <w:ind w:firstLine="3498" w:firstLineChars="1666"/>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传真：</w:t>
      </w:r>
      <w:r>
        <w:rPr>
          <w:rFonts w:hint="eastAsia" w:ascii="宋体" w:hAnsi="宋体" w:eastAsia="宋体" w:cs="宋体"/>
          <w:b w:val="0"/>
          <w:sz w:val="21"/>
          <w:szCs w:val="21"/>
          <w:highlight w:val="none"/>
          <w:u w:val="single"/>
        </w:rPr>
        <w:t xml:space="preserve">                                        .</w:t>
      </w:r>
    </w:p>
    <w:p w14:paraId="6A58E2C4">
      <w:pPr>
        <w:spacing w:line="360" w:lineRule="auto"/>
        <w:ind w:firstLine="3498" w:firstLineChars="1666"/>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邮政编码：</w:t>
      </w:r>
      <w:r>
        <w:rPr>
          <w:rFonts w:hint="eastAsia" w:ascii="宋体" w:hAnsi="宋体" w:eastAsia="宋体" w:cs="宋体"/>
          <w:b w:val="0"/>
          <w:sz w:val="21"/>
          <w:szCs w:val="21"/>
          <w:highlight w:val="none"/>
          <w:u w:val="single"/>
        </w:rPr>
        <w:t xml:space="preserve">                                    .</w:t>
      </w:r>
    </w:p>
    <w:p w14:paraId="2DEB693E">
      <w:pPr>
        <w:wordWrap w:val="0"/>
        <w:spacing w:line="360" w:lineRule="auto"/>
        <w:ind w:right="420" w:firstLine="3498" w:firstLineChars="1666"/>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日期：</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12EB2D28">
      <w:pPr>
        <w:wordWrap w:val="0"/>
        <w:spacing w:line="360" w:lineRule="auto"/>
        <w:ind w:right="420" w:firstLine="3498" w:firstLineChars="1666"/>
        <w:jc w:val="right"/>
        <w:rPr>
          <w:rFonts w:hint="eastAsia" w:ascii="宋体" w:hAnsi="宋体" w:eastAsia="宋体" w:cs="宋体"/>
          <w:b w:val="0"/>
          <w:sz w:val="21"/>
          <w:szCs w:val="21"/>
          <w:highlight w:val="none"/>
        </w:rPr>
      </w:pPr>
    </w:p>
    <w:p w14:paraId="7F26ED1A">
      <w:pPr>
        <w:spacing w:line="360" w:lineRule="auto"/>
        <w:ind w:firstLine="420" w:firstLineChars="200"/>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0AFC8D42">
      <w:pPr>
        <w:autoSpaceDE w:val="0"/>
        <w:autoSpaceDN w:val="0"/>
        <w:adjustRightInd w:val="0"/>
        <w:spacing w:line="400" w:lineRule="exact"/>
        <w:jc w:val="center"/>
        <w:rPr>
          <w:rFonts w:hint="eastAsia" w:ascii="宋体" w:hAnsi="宋体" w:eastAsia="宋体" w:cs="宋体"/>
          <w:b w:val="0"/>
          <w:sz w:val="28"/>
          <w:szCs w:val="16"/>
          <w:highlight w:val="none"/>
          <w:lang w:val="zh-CN"/>
        </w:rPr>
      </w:pPr>
      <w:r>
        <w:rPr>
          <w:rFonts w:hint="eastAsia" w:ascii="宋体" w:hAnsi="宋体" w:eastAsia="宋体" w:cs="宋体"/>
          <w:b w:val="0"/>
          <w:sz w:val="28"/>
          <w:szCs w:val="16"/>
          <w:highlight w:val="none"/>
          <w:lang w:val="zh-CN"/>
        </w:rPr>
        <w:t>(二)投标函附录</w:t>
      </w:r>
    </w:p>
    <w:p w14:paraId="1C9C50FC">
      <w:pPr>
        <w:autoSpaceDE w:val="0"/>
        <w:autoSpaceDN w:val="0"/>
        <w:adjustRightInd w:val="0"/>
        <w:spacing w:line="400" w:lineRule="exact"/>
        <w:rPr>
          <w:rFonts w:hint="eastAsia" w:ascii="宋体" w:hAnsi="宋体" w:eastAsia="宋体" w:cs="宋体"/>
          <w:b w:val="0"/>
          <w:sz w:val="28"/>
          <w:szCs w:val="18"/>
          <w:highlight w:val="none"/>
          <w:lang w:val="zh-CN"/>
        </w:rPr>
      </w:pPr>
    </w:p>
    <w:tbl>
      <w:tblPr>
        <w:tblStyle w:val="22"/>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1"/>
        <w:gridCol w:w="1456"/>
        <w:gridCol w:w="6127"/>
        <w:gridCol w:w="1334"/>
      </w:tblGrid>
      <w:tr w14:paraId="21A5B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01" w:type="dxa"/>
            <w:tcBorders>
              <w:top w:val="single" w:color="auto" w:sz="4" w:space="0"/>
              <w:left w:val="single" w:color="auto" w:sz="4" w:space="0"/>
              <w:bottom w:val="single" w:color="auto" w:sz="4" w:space="0"/>
              <w:right w:val="single" w:color="auto" w:sz="4" w:space="0"/>
            </w:tcBorders>
            <w:noWrap w:val="0"/>
            <w:vAlign w:val="center"/>
          </w:tcPr>
          <w:p w14:paraId="5872BEC3">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序号</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551739E9">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名称</w:t>
            </w:r>
          </w:p>
        </w:tc>
        <w:tc>
          <w:tcPr>
            <w:tcW w:w="6127" w:type="dxa"/>
            <w:tcBorders>
              <w:top w:val="single" w:color="auto" w:sz="4" w:space="0"/>
              <w:left w:val="single" w:color="auto" w:sz="4" w:space="0"/>
              <w:bottom w:val="single" w:color="auto" w:sz="4" w:space="0"/>
              <w:right w:val="single" w:color="auto" w:sz="4" w:space="0"/>
            </w:tcBorders>
            <w:noWrap w:val="0"/>
            <w:vAlign w:val="center"/>
          </w:tcPr>
          <w:p w14:paraId="6FCE7292">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约定内容</w:t>
            </w:r>
          </w:p>
        </w:tc>
        <w:tc>
          <w:tcPr>
            <w:tcW w:w="1334" w:type="dxa"/>
            <w:tcBorders>
              <w:top w:val="single" w:color="auto" w:sz="4" w:space="0"/>
              <w:left w:val="single" w:color="auto" w:sz="4" w:space="0"/>
              <w:bottom w:val="single" w:color="auto" w:sz="4" w:space="0"/>
              <w:right w:val="single" w:color="auto" w:sz="4" w:space="0"/>
            </w:tcBorders>
            <w:noWrap w:val="0"/>
            <w:vAlign w:val="center"/>
          </w:tcPr>
          <w:p w14:paraId="54E17CF4">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是否</w:t>
            </w:r>
          </w:p>
          <w:p w14:paraId="2CF8C445">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w:t>
            </w:r>
          </w:p>
        </w:tc>
      </w:tr>
      <w:tr w14:paraId="161798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1001" w:type="dxa"/>
            <w:tcBorders>
              <w:top w:val="single" w:color="auto" w:sz="4" w:space="0"/>
              <w:left w:val="single" w:color="auto" w:sz="4" w:space="0"/>
              <w:bottom w:val="single" w:color="auto" w:sz="4" w:space="0"/>
              <w:right w:val="single" w:color="auto" w:sz="4" w:space="0"/>
            </w:tcBorders>
            <w:noWrap w:val="0"/>
            <w:vAlign w:val="center"/>
          </w:tcPr>
          <w:p w14:paraId="349AAD32">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1</w:t>
            </w:r>
          </w:p>
        </w:tc>
        <w:tc>
          <w:tcPr>
            <w:tcW w:w="14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8953E1">
            <w:pPr>
              <w:autoSpaceDE w:val="0"/>
              <w:autoSpaceDN w:val="0"/>
              <w:adjustRightInd w:val="0"/>
              <w:spacing w:line="0" w:lineRule="atLeast"/>
              <w:jc w:val="left"/>
              <w:rPr>
                <w:rFonts w:hint="eastAsia" w:ascii="宋体" w:hAnsi="宋体" w:eastAsia="宋体" w:cs="宋体"/>
                <w:color w:val="auto"/>
                <w:kern w:val="2"/>
                <w:sz w:val="21"/>
                <w:szCs w:val="21"/>
                <w:highlight w:val="none"/>
                <w:lang w:val="zh-CN" w:eastAsia="zh-CN" w:bidi="ar-SA"/>
              </w:rPr>
            </w:pPr>
            <w:r>
              <w:rPr>
                <w:rFonts w:hint="eastAsia" w:ascii="宋体" w:hAnsi="宋体" w:cs="宋体"/>
                <w:color w:val="auto"/>
                <w:szCs w:val="21"/>
                <w:highlight w:val="none"/>
                <w:lang w:val="zh-CN"/>
              </w:rPr>
              <w:t>合同履行期限</w:t>
            </w:r>
          </w:p>
        </w:tc>
        <w:tc>
          <w:tcPr>
            <w:tcW w:w="61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8FDCE5">
            <w:pPr>
              <w:autoSpaceDE w:val="0"/>
              <w:autoSpaceDN w:val="0"/>
              <w:adjustRightInd w:val="0"/>
              <w:spacing w:line="0" w:lineRule="atLeast"/>
              <w:jc w:val="left"/>
              <w:rPr>
                <w:rFonts w:hint="eastAsia" w:ascii="宋体" w:hAnsi="宋体" w:eastAsia="宋体" w:cs="宋体"/>
                <w:color w:val="auto"/>
                <w:kern w:val="2"/>
                <w:sz w:val="21"/>
                <w:szCs w:val="21"/>
                <w:highlight w:val="none"/>
                <w:lang w:val="zh-CN" w:eastAsia="zh-CN" w:bidi="ar-SA"/>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14:paraId="2664FD17">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23CDB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1001" w:type="dxa"/>
            <w:tcBorders>
              <w:top w:val="single" w:color="auto" w:sz="4" w:space="0"/>
              <w:left w:val="single" w:color="auto" w:sz="4" w:space="0"/>
              <w:bottom w:val="single" w:color="auto" w:sz="4" w:space="0"/>
              <w:right w:val="single" w:color="auto" w:sz="4" w:space="0"/>
            </w:tcBorders>
            <w:noWrap w:val="0"/>
            <w:vAlign w:val="center"/>
          </w:tcPr>
          <w:p w14:paraId="2622A3A0">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w:t>
            </w:r>
          </w:p>
        </w:tc>
        <w:tc>
          <w:tcPr>
            <w:tcW w:w="14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6C1D2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zh-CN"/>
              </w:rPr>
              <w:t>供应商名称</w:t>
            </w:r>
          </w:p>
        </w:tc>
        <w:tc>
          <w:tcPr>
            <w:tcW w:w="61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DA77A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kern w:val="2"/>
                <w:sz w:val="21"/>
                <w:szCs w:val="21"/>
                <w:highlight w:val="none"/>
                <w:lang w:val="zh-CN" w:eastAsia="zh-CN" w:bidi="ar-SA"/>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14:paraId="0B7ABF82">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624B3E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1001" w:type="dxa"/>
            <w:tcBorders>
              <w:top w:val="single" w:color="auto" w:sz="4" w:space="0"/>
              <w:left w:val="single" w:color="auto" w:sz="4" w:space="0"/>
              <w:bottom w:val="single" w:color="auto" w:sz="4" w:space="0"/>
              <w:right w:val="single" w:color="auto" w:sz="4" w:space="0"/>
            </w:tcBorders>
            <w:noWrap w:val="0"/>
            <w:vAlign w:val="center"/>
          </w:tcPr>
          <w:p w14:paraId="77A61796">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3</w:t>
            </w:r>
          </w:p>
        </w:tc>
        <w:tc>
          <w:tcPr>
            <w:tcW w:w="14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CDA2B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b w:val="0"/>
                <w:color w:val="auto"/>
                <w:sz w:val="21"/>
                <w:szCs w:val="21"/>
                <w:highlight w:val="none"/>
                <w:lang w:val="zh-CN"/>
              </w:rPr>
              <w:t>投标文件</w:t>
            </w:r>
            <w:r>
              <w:rPr>
                <w:rFonts w:hint="eastAsia" w:ascii="宋体" w:hAnsi="宋体" w:eastAsia="宋体" w:cs="宋体"/>
                <w:b w:val="0"/>
                <w:color w:val="auto"/>
                <w:sz w:val="21"/>
                <w:szCs w:val="21"/>
                <w:highlight w:val="none"/>
                <w:lang w:val="zh-CN"/>
              </w:rPr>
              <w:t>签字、盖章要求</w:t>
            </w:r>
          </w:p>
        </w:tc>
        <w:tc>
          <w:tcPr>
            <w:tcW w:w="61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73320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kern w:val="2"/>
                <w:sz w:val="21"/>
                <w:szCs w:val="21"/>
                <w:highlight w:val="none"/>
                <w:lang w:val="zh-CN" w:eastAsia="zh-CN" w:bidi="ar-SA"/>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14:paraId="34636BC2">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4B268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1001" w:type="dxa"/>
            <w:tcBorders>
              <w:top w:val="single" w:color="auto" w:sz="4" w:space="0"/>
              <w:left w:val="single" w:color="auto" w:sz="4" w:space="0"/>
              <w:bottom w:val="single" w:color="auto" w:sz="4" w:space="0"/>
              <w:right w:val="single" w:color="auto" w:sz="4" w:space="0"/>
            </w:tcBorders>
            <w:noWrap w:val="0"/>
            <w:vAlign w:val="center"/>
          </w:tcPr>
          <w:p w14:paraId="32DF73BD">
            <w:pPr>
              <w:autoSpaceDE w:val="0"/>
              <w:autoSpaceDN w:val="0"/>
              <w:adjustRightInd w:val="0"/>
              <w:spacing w:line="300" w:lineRule="exact"/>
              <w:rPr>
                <w:rFonts w:hint="default" w:ascii="宋体" w:hAnsi="宋体" w:eastAsia="宋体" w:cs="宋体"/>
                <w:b w:val="0"/>
                <w:kern w:val="2"/>
                <w:sz w:val="21"/>
                <w:szCs w:val="21"/>
                <w:highlight w:val="none"/>
                <w:lang w:val="en-US" w:eastAsia="zh-CN" w:bidi="ar-SA"/>
              </w:rPr>
            </w:pPr>
            <w:r>
              <w:rPr>
                <w:rFonts w:hint="eastAsia" w:ascii="宋体" w:hAnsi="宋体" w:cs="宋体"/>
                <w:b w:val="0"/>
                <w:kern w:val="2"/>
                <w:sz w:val="21"/>
                <w:szCs w:val="21"/>
                <w:highlight w:val="none"/>
                <w:lang w:val="en-US" w:eastAsia="zh-CN" w:bidi="ar-SA"/>
              </w:rPr>
              <w:t>4</w:t>
            </w:r>
          </w:p>
        </w:tc>
        <w:tc>
          <w:tcPr>
            <w:tcW w:w="14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5F7A5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 w:val="0"/>
                <w:color w:val="auto"/>
                <w:sz w:val="21"/>
                <w:szCs w:val="21"/>
                <w:highlight w:val="none"/>
                <w:lang w:val="zh-CN"/>
              </w:rPr>
              <w:t>投标文件</w:t>
            </w:r>
            <w:r>
              <w:rPr>
                <w:rFonts w:hint="eastAsia" w:ascii="宋体" w:hAnsi="宋体" w:eastAsia="宋体" w:cs="宋体"/>
                <w:b w:val="0"/>
                <w:color w:val="auto"/>
                <w:sz w:val="21"/>
                <w:szCs w:val="21"/>
                <w:highlight w:val="none"/>
                <w:lang w:val="zh-CN"/>
              </w:rPr>
              <w:t>格式</w:t>
            </w:r>
          </w:p>
        </w:tc>
        <w:tc>
          <w:tcPr>
            <w:tcW w:w="61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26F28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14:paraId="74640998">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185261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0" w:type="auto"/>
            <w:tcBorders>
              <w:top w:val="single" w:color="auto" w:sz="4" w:space="0"/>
              <w:bottom w:val="single" w:color="auto" w:sz="4" w:space="0"/>
              <w:right w:val="single" w:color="auto" w:sz="4" w:space="0"/>
            </w:tcBorders>
          </w:tcPr>
          <w:p w14:paraId="4B30380B">
            <w:pPr>
              <w:autoSpaceDE w:val="0"/>
              <w:autoSpaceDN w:val="0"/>
              <w:adjustRightInd w:val="0"/>
              <w:spacing w:line="300" w:lineRule="exact"/>
              <w:rPr>
                <w:rFonts w:hint="default" w:ascii="宋体" w:hAnsi="宋体" w:eastAsia="宋体" w:cs="宋体"/>
                <w:b w:val="0"/>
                <w:kern w:val="2"/>
                <w:sz w:val="21"/>
                <w:szCs w:val="21"/>
                <w:highlight w:val="none"/>
                <w:lang w:val="en-US" w:eastAsia="zh-CN" w:bidi="ar-SA"/>
              </w:rPr>
            </w:pPr>
            <w:r>
              <w:rPr>
                <w:rFonts w:hint="eastAsia" w:ascii="宋体" w:hAnsi="宋体" w:cs="宋体"/>
                <w:b w:val="0"/>
                <w:kern w:val="2"/>
                <w:sz w:val="21"/>
                <w:szCs w:val="21"/>
                <w:highlight w:val="none"/>
                <w:lang w:val="en-US" w:eastAsia="zh-CN" w:bidi="ar-SA"/>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646C0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zh-CN"/>
              </w:rPr>
              <w:t>报价唯一</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74E14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p>
        </w:tc>
        <w:tc>
          <w:tcPr>
            <w:tcW w:w="0" w:type="auto"/>
            <w:tcBorders>
              <w:top w:val="single" w:color="auto" w:sz="4" w:space="0"/>
              <w:left w:val="single" w:color="auto" w:sz="4" w:space="0"/>
              <w:bottom w:val="single" w:color="auto" w:sz="4" w:space="0"/>
            </w:tcBorders>
          </w:tcPr>
          <w:p w14:paraId="1D61EEAC">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49A72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0" w:type="auto"/>
            <w:tcBorders>
              <w:top w:val="single" w:color="auto" w:sz="4" w:space="0"/>
              <w:bottom w:val="single" w:color="auto" w:sz="4" w:space="0"/>
              <w:right w:val="single" w:color="auto" w:sz="4" w:space="0"/>
            </w:tcBorders>
          </w:tcPr>
          <w:p w14:paraId="68A64460">
            <w:pPr>
              <w:autoSpaceDE w:val="0"/>
              <w:autoSpaceDN w:val="0"/>
              <w:adjustRightInd w:val="0"/>
              <w:spacing w:line="300" w:lineRule="exact"/>
              <w:rPr>
                <w:rFonts w:hint="default" w:ascii="宋体" w:hAnsi="宋体" w:cs="宋体"/>
                <w:b w:val="0"/>
                <w:kern w:val="2"/>
                <w:sz w:val="21"/>
                <w:szCs w:val="21"/>
                <w:highlight w:val="none"/>
                <w:lang w:val="en-US" w:eastAsia="zh-CN" w:bidi="ar-SA"/>
              </w:rPr>
            </w:pPr>
            <w:r>
              <w:rPr>
                <w:rFonts w:hint="eastAsia" w:ascii="宋体" w:hAnsi="宋体" w:cs="宋体"/>
                <w:b w:val="0"/>
                <w:kern w:val="2"/>
                <w:sz w:val="21"/>
                <w:szCs w:val="21"/>
                <w:highlight w:val="none"/>
                <w:lang w:val="en-US" w:eastAsia="zh-CN" w:bidi="ar-SA"/>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24DC0C">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default" w:ascii="宋体" w:hAnsi="宋体" w:eastAsia="宋体" w:cs="宋体"/>
                <w:b w:val="0"/>
                <w:color w:val="auto"/>
                <w:sz w:val="21"/>
                <w:szCs w:val="21"/>
                <w:highlight w:val="none"/>
                <w:lang w:val="en-US" w:eastAsia="zh-CN"/>
              </w:rPr>
            </w:pPr>
            <w:r>
              <w:rPr>
                <w:rFonts w:hint="eastAsia" w:ascii="宋体" w:hAnsi="宋体" w:cs="宋体"/>
                <w:b w:val="0"/>
                <w:color w:val="auto"/>
                <w:sz w:val="21"/>
                <w:szCs w:val="21"/>
                <w:highlight w:val="none"/>
                <w:lang w:val="en-US" w:eastAsia="zh-CN"/>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FE03A8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 w:val="0"/>
                <w:color w:val="auto"/>
                <w:sz w:val="21"/>
                <w:szCs w:val="21"/>
                <w:highlight w:val="none"/>
                <w:lang w:val="en-US" w:eastAsia="zh-CN"/>
              </w:rPr>
              <w:t>...</w:t>
            </w:r>
          </w:p>
        </w:tc>
        <w:tc>
          <w:tcPr>
            <w:tcW w:w="0" w:type="auto"/>
            <w:tcBorders>
              <w:top w:val="single" w:color="auto" w:sz="4" w:space="0"/>
              <w:left w:val="single" w:color="auto" w:sz="4" w:space="0"/>
              <w:bottom w:val="single" w:color="auto" w:sz="4" w:space="0"/>
            </w:tcBorders>
          </w:tcPr>
          <w:p w14:paraId="33060D86">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40D4A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0" w:type="auto"/>
            <w:tcBorders>
              <w:top w:val="single" w:color="auto" w:sz="4" w:space="0"/>
              <w:bottom w:val="single" w:color="auto" w:sz="4" w:space="0"/>
              <w:right w:val="single" w:color="auto" w:sz="4" w:space="0"/>
            </w:tcBorders>
          </w:tcPr>
          <w:p w14:paraId="7DF7E4C2">
            <w:pPr>
              <w:autoSpaceDE w:val="0"/>
              <w:autoSpaceDN w:val="0"/>
              <w:adjustRightInd w:val="0"/>
              <w:spacing w:line="300" w:lineRule="exact"/>
              <w:rPr>
                <w:rFonts w:hint="default" w:ascii="宋体" w:hAnsi="宋体" w:cs="宋体"/>
                <w:b w:val="0"/>
                <w:kern w:val="2"/>
                <w:sz w:val="21"/>
                <w:szCs w:val="21"/>
                <w:highlight w:val="none"/>
                <w:lang w:val="en-US" w:eastAsia="zh-CN" w:bidi="ar-SA"/>
              </w:rPr>
            </w:pPr>
            <w:r>
              <w:rPr>
                <w:rFonts w:hint="eastAsia" w:ascii="宋体" w:hAnsi="宋体" w:cs="宋体"/>
                <w:b w:val="0"/>
                <w:kern w:val="2"/>
                <w:sz w:val="21"/>
                <w:szCs w:val="21"/>
                <w:highlight w:val="none"/>
                <w:lang w:val="en-US" w:eastAsia="zh-CN" w:bidi="ar-SA"/>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92DE2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default" w:ascii="宋体" w:hAnsi="宋体" w:eastAsia="宋体" w:cs="宋体"/>
                <w:b w:val="0"/>
                <w:color w:val="auto"/>
                <w:sz w:val="21"/>
                <w:szCs w:val="21"/>
                <w:highlight w:val="none"/>
                <w:lang w:val="en-US" w:eastAsia="zh-CN"/>
              </w:rPr>
            </w:pPr>
            <w:r>
              <w:rPr>
                <w:rFonts w:hint="eastAsia" w:ascii="宋体" w:hAnsi="宋体" w:cs="宋体"/>
                <w:b w:val="0"/>
                <w:color w:val="auto"/>
                <w:sz w:val="21"/>
                <w:szCs w:val="21"/>
                <w:highlight w:val="none"/>
                <w:lang w:val="en-US" w:eastAsia="zh-CN"/>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C9E060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 w:val="0"/>
                <w:color w:val="auto"/>
                <w:sz w:val="21"/>
                <w:szCs w:val="21"/>
                <w:highlight w:val="none"/>
                <w:lang w:val="en-US" w:eastAsia="zh-CN"/>
              </w:rPr>
              <w:t>...</w:t>
            </w:r>
          </w:p>
        </w:tc>
        <w:tc>
          <w:tcPr>
            <w:tcW w:w="0" w:type="auto"/>
            <w:tcBorders>
              <w:top w:val="single" w:color="auto" w:sz="4" w:space="0"/>
              <w:left w:val="single" w:color="auto" w:sz="4" w:space="0"/>
              <w:bottom w:val="single" w:color="auto" w:sz="4" w:space="0"/>
            </w:tcBorders>
          </w:tcPr>
          <w:p w14:paraId="327BCDC8">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7B800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0" w:type="auto"/>
            <w:tcBorders>
              <w:top w:val="single" w:color="auto" w:sz="4" w:space="0"/>
              <w:right w:val="single" w:color="auto" w:sz="4" w:space="0"/>
            </w:tcBorders>
          </w:tcPr>
          <w:p w14:paraId="47907A18">
            <w:pPr>
              <w:autoSpaceDE w:val="0"/>
              <w:autoSpaceDN w:val="0"/>
              <w:adjustRightInd w:val="0"/>
              <w:spacing w:line="300" w:lineRule="exact"/>
              <w:rPr>
                <w:rFonts w:hint="default" w:ascii="宋体" w:hAnsi="宋体" w:cs="宋体"/>
                <w:b w:val="0"/>
                <w:kern w:val="2"/>
                <w:sz w:val="21"/>
                <w:szCs w:val="21"/>
                <w:highlight w:val="none"/>
                <w:lang w:val="en-US" w:eastAsia="zh-CN" w:bidi="ar-SA"/>
              </w:rPr>
            </w:pPr>
            <w:r>
              <w:rPr>
                <w:rFonts w:hint="eastAsia" w:ascii="宋体" w:hAnsi="宋体" w:cs="宋体"/>
                <w:b w:val="0"/>
                <w:kern w:val="2"/>
                <w:sz w:val="21"/>
                <w:szCs w:val="21"/>
                <w:highlight w:val="none"/>
                <w:lang w:val="en-US" w:eastAsia="zh-CN" w:bidi="ar-SA"/>
              </w:rPr>
              <w:t>8</w:t>
            </w:r>
          </w:p>
        </w:tc>
        <w:tc>
          <w:tcPr>
            <w:tcW w:w="0" w:type="auto"/>
            <w:tcBorders>
              <w:top w:val="single" w:color="auto" w:sz="4" w:space="0"/>
              <w:left w:val="single" w:color="auto" w:sz="4" w:space="0"/>
              <w:right w:val="single" w:color="auto" w:sz="4" w:space="0"/>
            </w:tcBorders>
            <w:shd w:val="clear" w:color="auto" w:fill="auto"/>
            <w:vAlign w:val="center"/>
          </w:tcPr>
          <w:p w14:paraId="5882A7D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default" w:ascii="宋体" w:hAnsi="宋体" w:eastAsia="宋体" w:cs="宋体"/>
                <w:b w:val="0"/>
                <w:color w:val="auto"/>
                <w:sz w:val="21"/>
                <w:szCs w:val="21"/>
                <w:highlight w:val="none"/>
                <w:lang w:val="en-US" w:eastAsia="zh-CN"/>
              </w:rPr>
            </w:pPr>
            <w:r>
              <w:rPr>
                <w:rFonts w:hint="eastAsia" w:ascii="宋体" w:hAnsi="宋体" w:cs="宋体"/>
                <w:b w:val="0"/>
                <w:color w:val="auto"/>
                <w:sz w:val="21"/>
                <w:szCs w:val="21"/>
                <w:highlight w:val="none"/>
                <w:lang w:val="en-US" w:eastAsia="zh-CN"/>
              </w:rPr>
              <w:t>...</w:t>
            </w:r>
          </w:p>
        </w:tc>
        <w:tc>
          <w:tcPr>
            <w:tcW w:w="0" w:type="auto"/>
            <w:tcBorders>
              <w:top w:val="single" w:color="auto" w:sz="4" w:space="0"/>
              <w:left w:val="single" w:color="auto" w:sz="4" w:space="0"/>
              <w:right w:val="single" w:color="auto" w:sz="4" w:space="0"/>
            </w:tcBorders>
            <w:shd w:val="clear" w:color="auto" w:fill="auto"/>
            <w:vAlign w:val="center"/>
          </w:tcPr>
          <w:p w14:paraId="4CD4A7A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 w:val="0"/>
                <w:color w:val="auto"/>
                <w:sz w:val="21"/>
                <w:szCs w:val="21"/>
                <w:highlight w:val="none"/>
                <w:lang w:val="en-US" w:eastAsia="zh-CN"/>
              </w:rPr>
              <w:t>...</w:t>
            </w:r>
          </w:p>
        </w:tc>
        <w:tc>
          <w:tcPr>
            <w:tcW w:w="0" w:type="auto"/>
            <w:tcBorders>
              <w:top w:val="single" w:color="auto" w:sz="4" w:space="0"/>
              <w:left w:val="single" w:color="auto" w:sz="4" w:space="0"/>
            </w:tcBorders>
          </w:tcPr>
          <w:p w14:paraId="5634EC6D">
            <w:pPr>
              <w:autoSpaceDE w:val="0"/>
              <w:autoSpaceDN w:val="0"/>
              <w:adjustRightInd w:val="0"/>
              <w:spacing w:line="300" w:lineRule="exact"/>
              <w:rPr>
                <w:rFonts w:hint="eastAsia" w:ascii="宋体" w:hAnsi="宋体" w:eastAsia="宋体" w:cs="宋体"/>
                <w:b w:val="0"/>
                <w:sz w:val="21"/>
                <w:szCs w:val="21"/>
                <w:highlight w:val="none"/>
                <w:lang w:val="zh-CN"/>
              </w:rPr>
            </w:pPr>
          </w:p>
        </w:tc>
      </w:tr>
    </w:tbl>
    <w:p w14:paraId="1EDBEBAE">
      <w:pPr>
        <w:autoSpaceDE w:val="0"/>
        <w:autoSpaceDN w:val="0"/>
        <w:adjustRightInd w:val="0"/>
        <w:spacing w:line="400" w:lineRule="exact"/>
        <w:jc w:val="left"/>
        <w:rPr>
          <w:rFonts w:hint="eastAsia" w:ascii="宋体" w:hAnsi="宋体" w:eastAsia="宋体" w:cs="宋体"/>
          <w:b w:val="0"/>
          <w:szCs w:val="18"/>
          <w:highlight w:val="none"/>
        </w:rPr>
      </w:pPr>
    </w:p>
    <w:p w14:paraId="1816FAB9">
      <w:pPr>
        <w:ind w:left="2663" w:leftChars="1268" w:firstLine="2171" w:firstLineChars="1034"/>
        <w:jc w:val="left"/>
        <w:rPr>
          <w:rFonts w:hint="eastAsia" w:ascii="宋体" w:hAnsi="宋体" w:eastAsia="宋体" w:cs="宋体"/>
          <w:b w:val="0"/>
          <w:sz w:val="21"/>
          <w:szCs w:val="21"/>
          <w:highlight w:val="none"/>
        </w:rPr>
      </w:pPr>
      <w:bookmarkStart w:id="43" w:name="_Toc382396571"/>
      <w:bookmarkStart w:id="44" w:name="_Toc4402"/>
      <w:bookmarkStart w:id="45" w:name="_Toc184635139"/>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（盖章）</w:t>
      </w:r>
    </w:p>
    <w:p w14:paraId="0F0C1221">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011CB267">
      <w:pPr>
        <w:ind w:left="4320" w:firstLine="380"/>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r>
        <w:rPr>
          <w:rFonts w:hint="eastAsia" w:ascii="宋体" w:hAnsi="宋体" w:eastAsia="宋体" w:cs="宋体"/>
          <w:b w:val="0"/>
          <w:sz w:val="21"/>
          <w:szCs w:val="21"/>
          <w:highlight w:val="none"/>
          <w:lang w:val="en-US" w:eastAsia="zh-CN"/>
        </w:rPr>
        <w:t>或</w:t>
      </w:r>
      <w:r>
        <w:rPr>
          <w:rFonts w:hint="eastAsia" w:ascii="宋体" w:hAnsi="宋体" w:eastAsia="宋体" w:cs="宋体"/>
          <w:b w:val="0"/>
          <w:sz w:val="21"/>
          <w:szCs w:val="21"/>
          <w:highlight w:val="none"/>
        </w:rPr>
        <w:t>其委托代理人：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r>
        <w:rPr>
          <w:rFonts w:hint="eastAsia" w:ascii="宋体" w:hAnsi="宋体" w:eastAsia="宋体" w:cs="宋体"/>
          <w:b w:val="0"/>
          <w:sz w:val="21"/>
          <w:szCs w:val="21"/>
          <w:highlight w:val="none"/>
          <w:lang w:eastAsia="zh-CN"/>
        </w:rPr>
        <w:t>或</w:t>
      </w:r>
      <w:r>
        <w:rPr>
          <w:rFonts w:hint="eastAsia" w:ascii="宋体" w:hAnsi="宋体" w:eastAsia="宋体" w:cs="宋体"/>
          <w:b w:val="0"/>
          <w:sz w:val="21"/>
          <w:szCs w:val="21"/>
          <w:highlight w:val="none"/>
        </w:rPr>
        <w:t>盖章）</w:t>
      </w:r>
    </w:p>
    <w:p w14:paraId="3FEE6D19">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23E84E97">
      <w:pPr>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日   期：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3903C5C1">
      <w:pPr>
        <w:rPr>
          <w:rFonts w:hint="eastAsia" w:ascii="宋体" w:hAnsi="宋体" w:eastAsia="宋体" w:cs="宋体"/>
          <w:b/>
          <w:bCs/>
          <w:sz w:val="32"/>
          <w:szCs w:val="36"/>
          <w:highlight w:val="none"/>
        </w:rPr>
      </w:pPr>
      <w:r>
        <w:rPr>
          <w:rFonts w:hint="eastAsia" w:ascii="宋体" w:hAnsi="宋体" w:eastAsia="宋体" w:cs="宋体"/>
          <w:b/>
          <w:bCs/>
          <w:sz w:val="32"/>
          <w:szCs w:val="36"/>
          <w:highlight w:val="none"/>
        </w:rPr>
        <w:br w:type="page"/>
      </w:r>
    </w:p>
    <w:p w14:paraId="567E15BA">
      <w:pPr>
        <w:tabs>
          <w:tab w:val="left" w:pos="720"/>
        </w:tabs>
        <w:jc w:val="center"/>
        <w:outlineLvl w:val="9"/>
        <w:rPr>
          <w:rFonts w:hint="eastAsia" w:ascii="宋体" w:hAnsi="宋体" w:eastAsia="宋体" w:cs="宋体"/>
          <w:b/>
          <w:bCs/>
          <w:sz w:val="32"/>
          <w:szCs w:val="36"/>
          <w:highlight w:val="none"/>
        </w:rPr>
      </w:pPr>
      <w:r>
        <w:rPr>
          <w:rFonts w:hint="eastAsia" w:ascii="宋体" w:hAnsi="宋体" w:eastAsia="宋体" w:cs="宋体"/>
          <w:b/>
          <w:bCs/>
          <w:sz w:val="32"/>
          <w:szCs w:val="36"/>
          <w:highlight w:val="none"/>
        </w:rPr>
        <w:t>二、法定代表人身份证明</w:t>
      </w:r>
      <w:bookmarkEnd w:id="43"/>
      <w:bookmarkEnd w:id="44"/>
      <w:bookmarkEnd w:id="45"/>
    </w:p>
    <w:p w14:paraId="0D9E1D85">
      <w:pPr>
        <w:spacing w:line="360" w:lineRule="auto"/>
        <w:ind w:firstLine="480" w:firstLineChars="200"/>
        <w:rPr>
          <w:rFonts w:hint="eastAsia" w:ascii="宋体" w:hAnsi="宋体" w:eastAsia="宋体" w:cs="宋体"/>
          <w:b w:val="0"/>
          <w:sz w:val="24"/>
          <w:szCs w:val="24"/>
          <w:highlight w:val="none"/>
        </w:rPr>
      </w:pPr>
    </w:p>
    <w:p w14:paraId="644FC16E">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48132927">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单位性质：</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1AA64016">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地址：</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64884BD7">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成立时间：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675B3671">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经营期限：</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400E171E">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性别：</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年龄：</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职务：</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_系</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名称）的法定代表人。</w:t>
      </w:r>
    </w:p>
    <w:p w14:paraId="6B26802F">
      <w:pPr>
        <w:spacing w:line="360" w:lineRule="auto"/>
        <w:ind w:firstLine="840" w:firstLineChars="4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特此证明。</w:t>
      </w:r>
    </w:p>
    <w:p w14:paraId="1958D9F0">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附：法定代表人身份证复印件加盖单位公章</w:t>
      </w:r>
    </w:p>
    <w:p w14:paraId="5B7A08C0">
      <w:pPr>
        <w:spacing w:line="360" w:lineRule="auto"/>
        <w:ind w:firstLine="420" w:firstLineChars="200"/>
        <w:jc w:val="both"/>
        <w:rPr>
          <w:rFonts w:hint="eastAsia" w:ascii="宋体" w:hAnsi="宋体" w:eastAsia="宋体" w:cs="宋体"/>
          <w:b w:val="0"/>
          <w:sz w:val="21"/>
          <w:szCs w:val="21"/>
          <w:highlight w:val="none"/>
        </w:rPr>
      </w:pPr>
    </w:p>
    <w:p w14:paraId="7D50A588">
      <w:pPr>
        <w:spacing w:line="360" w:lineRule="auto"/>
        <w:ind w:firstLine="420" w:firstLineChars="200"/>
        <w:jc w:val="both"/>
        <w:rPr>
          <w:rFonts w:hint="eastAsia" w:ascii="宋体" w:hAnsi="宋体" w:eastAsia="宋体" w:cs="宋体"/>
          <w:b w:val="0"/>
          <w:sz w:val="21"/>
          <w:szCs w:val="21"/>
          <w:highlight w:val="none"/>
        </w:rPr>
      </w:pPr>
    </w:p>
    <w:p w14:paraId="17192C98">
      <w:pPr>
        <w:spacing w:line="360" w:lineRule="auto"/>
        <w:jc w:val="righ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（盖单位章）</w:t>
      </w:r>
    </w:p>
    <w:p w14:paraId="68720CD2">
      <w:pPr>
        <w:spacing w:line="360" w:lineRule="auto"/>
        <w:ind w:firstLine="4515" w:firstLineChars="2150"/>
        <w:jc w:val="both"/>
        <w:rPr>
          <w:rFonts w:hint="eastAsia" w:ascii="宋体" w:hAnsi="宋体" w:eastAsia="宋体" w:cs="宋体"/>
          <w:b w:val="0"/>
          <w:sz w:val="21"/>
          <w:szCs w:val="21"/>
          <w:highlight w:val="none"/>
          <w:u w:val="single"/>
        </w:rPr>
      </w:pPr>
    </w:p>
    <w:p w14:paraId="574C38B9">
      <w:pPr>
        <w:spacing w:line="360" w:lineRule="auto"/>
        <w:ind w:firstLine="4515" w:firstLineChars="2150"/>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5E6DCA99">
      <w:pPr>
        <w:spacing w:line="360" w:lineRule="auto"/>
        <w:ind w:firstLine="420" w:firstLineChars="200"/>
        <w:jc w:val="right"/>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6BCB0DBB">
      <w:pPr>
        <w:tabs>
          <w:tab w:val="left" w:pos="720"/>
        </w:tabs>
        <w:jc w:val="center"/>
        <w:outlineLvl w:val="9"/>
        <w:rPr>
          <w:rFonts w:hint="eastAsia" w:ascii="宋体" w:hAnsi="宋体" w:eastAsia="宋体" w:cs="宋体"/>
          <w:b/>
          <w:bCs/>
          <w:sz w:val="32"/>
          <w:szCs w:val="36"/>
          <w:highlight w:val="none"/>
        </w:rPr>
      </w:pPr>
      <w:bookmarkStart w:id="46" w:name="_Toc184635140"/>
      <w:bookmarkStart w:id="47" w:name="_Toc8835"/>
      <w:bookmarkStart w:id="48" w:name="_Toc382396572"/>
      <w:r>
        <w:rPr>
          <w:rFonts w:hint="eastAsia" w:ascii="宋体" w:hAnsi="宋体" w:eastAsia="宋体" w:cs="宋体"/>
          <w:b/>
          <w:bCs/>
          <w:sz w:val="32"/>
          <w:szCs w:val="36"/>
          <w:highlight w:val="none"/>
        </w:rPr>
        <w:t>三、授权委托书</w:t>
      </w:r>
      <w:bookmarkEnd w:id="46"/>
      <w:bookmarkEnd w:id="47"/>
      <w:bookmarkEnd w:id="48"/>
    </w:p>
    <w:p w14:paraId="3B1FE2AF">
      <w:pPr>
        <w:spacing w:line="360" w:lineRule="auto"/>
        <w:ind w:firstLine="420" w:firstLineChars="200"/>
        <w:rPr>
          <w:rFonts w:hint="eastAsia" w:ascii="宋体" w:hAnsi="宋体" w:eastAsia="宋体" w:cs="宋体"/>
          <w:b w:val="0"/>
          <w:szCs w:val="21"/>
          <w:highlight w:val="none"/>
        </w:rPr>
      </w:pPr>
    </w:p>
    <w:p w14:paraId="61327CD7">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本人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（姓名）系</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名称）的法定代表人，现委托</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（姓名）为我方代理人。代理人根据授权，以我方名义签署、澄清、说明、补正、递交、撤回、修改</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（项目名称）</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lang w:eastAsia="zh-CN"/>
        </w:rPr>
        <w:t>响应文件</w:t>
      </w:r>
      <w:r>
        <w:rPr>
          <w:rFonts w:hint="eastAsia" w:ascii="宋体" w:hAnsi="宋体" w:eastAsia="宋体" w:cs="宋体"/>
          <w:b w:val="0"/>
          <w:sz w:val="21"/>
          <w:szCs w:val="21"/>
          <w:highlight w:val="none"/>
        </w:rPr>
        <w:t>、签订合同和处理有关事宜，其法律后果由我方承担。</w:t>
      </w:r>
    </w:p>
    <w:p w14:paraId="7380036E">
      <w:pPr>
        <w:spacing w:line="360" w:lineRule="auto"/>
        <w:ind w:firstLine="420" w:firstLineChars="200"/>
        <w:jc w:val="both"/>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rPr>
        <w:t>委托期限：</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p>
    <w:p w14:paraId="35C5AA4F">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代理人无转委托权。</w:t>
      </w:r>
    </w:p>
    <w:p w14:paraId="4D880C83">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附：委托代理人身份证复印件加盖单位公章</w:t>
      </w:r>
    </w:p>
    <w:p w14:paraId="22BCE1FF">
      <w:pPr>
        <w:spacing w:line="360" w:lineRule="auto"/>
        <w:ind w:firstLine="420" w:firstLineChars="200"/>
        <w:jc w:val="both"/>
        <w:rPr>
          <w:rFonts w:hint="eastAsia" w:ascii="宋体" w:hAnsi="宋体" w:eastAsia="宋体" w:cs="宋体"/>
          <w:b w:val="0"/>
          <w:sz w:val="21"/>
          <w:szCs w:val="21"/>
          <w:highlight w:val="none"/>
        </w:rPr>
      </w:pPr>
    </w:p>
    <w:p w14:paraId="4294BAC4">
      <w:pPr>
        <w:spacing w:line="360" w:lineRule="auto"/>
        <w:ind w:firstLine="420" w:firstLineChars="200"/>
        <w:jc w:val="both"/>
        <w:rPr>
          <w:rFonts w:hint="eastAsia" w:ascii="宋体" w:hAnsi="宋体" w:eastAsia="宋体" w:cs="宋体"/>
          <w:b w:val="0"/>
          <w:sz w:val="21"/>
          <w:szCs w:val="21"/>
          <w:highlight w:val="none"/>
        </w:rPr>
      </w:pPr>
    </w:p>
    <w:p w14:paraId="20519906">
      <w:pPr>
        <w:spacing w:line="360" w:lineRule="auto"/>
        <w:ind w:firstLine="420" w:firstLineChars="200"/>
        <w:jc w:val="both"/>
        <w:rPr>
          <w:rFonts w:hint="eastAsia" w:ascii="宋体" w:hAnsi="宋体" w:eastAsia="宋体" w:cs="宋体"/>
          <w:b w:val="0"/>
          <w:sz w:val="21"/>
          <w:szCs w:val="21"/>
          <w:highlight w:val="none"/>
        </w:rPr>
      </w:pPr>
    </w:p>
    <w:p w14:paraId="59382D9D">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（盖单位章）</w:t>
      </w:r>
    </w:p>
    <w:p w14:paraId="20069860">
      <w:pPr>
        <w:spacing w:line="360" w:lineRule="auto"/>
        <w:ind w:firstLine="420" w:firstLineChars="200"/>
        <w:jc w:val="both"/>
        <w:rPr>
          <w:rFonts w:hint="eastAsia" w:ascii="宋体" w:hAnsi="宋体" w:eastAsia="宋体" w:cs="宋体"/>
          <w:b w:val="0"/>
          <w:sz w:val="21"/>
          <w:szCs w:val="21"/>
          <w:highlight w:val="none"/>
        </w:rPr>
      </w:pPr>
    </w:p>
    <w:p w14:paraId="1ACC59F0">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p>
    <w:p w14:paraId="672DBF32">
      <w:pPr>
        <w:spacing w:line="360" w:lineRule="auto"/>
        <w:ind w:firstLine="420" w:firstLineChars="200"/>
        <w:jc w:val="both"/>
        <w:rPr>
          <w:rFonts w:hint="eastAsia" w:ascii="宋体" w:hAnsi="宋体" w:eastAsia="宋体" w:cs="宋体"/>
          <w:b w:val="0"/>
          <w:sz w:val="21"/>
          <w:szCs w:val="21"/>
          <w:highlight w:val="none"/>
        </w:rPr>
      </w:pPr>
    </w:p>
    <w:p w14:paraId="6963CBAC">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身份证号码：</w:t>
      </w:r>
      <w:r>
        <w:rPr>
          <w:rFonts w:hint="eastAsia" w:ascii="宋体" w:hAnsi="宋体" w:eastAsia="宋体" w:cs="宋体"/>
          <w:b w:val="0"/>
          <w:sz w:val="21"/>
          <w:szCs w:val="21"/>
          <w:highlight w:val="none"/>
          <w:u w:val="single"/>
        </w:rPr>
        <w:t xml:space="preserve">                                .</w:t>
      </w:r>
    </w:p>
    <w:p w14:paraId="0716FD8A">
      <w:pPr>
        <w:spacing w:line="360" w:lineRule="auto"/>
        <w:ind w:firstLine="420" w:firstLineChars="200"/>
        <w:jc w:val="both"/>
        <w:rPr>
          <w:rFonts w:hint="eastAsia" w:ascii="宋体" w:hAnsi="宋体" w:eastAsia="宋体" w:cs="宋体"/>
          <w:b w:val="0"/>
          <w:sz w:val="21"/>
          <w:szCs w:val="21"/>
          <w:highlight w:val="none"/>
        </w:rPr>
      </w:pPr>
    </w:p>
    <w:p w14:paraId="4EF69849">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委托代理人：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p>
    <w:p w14:paraId="099D52B2">
      <w:pPr>
        <w:spacing w:line="360" w:lineRule="auto"/>
        <w:ind w:firstLine="420" w:firstLineChars="200"/>
        <w:jc w:val="both"/>
        <w:rPr>
          <w:rFonts w:hint="eastAsia" w:ascii="宋体" w:hAnsi="宋体" w:eastAsia="宋体" w:cs="宋体"/>
          <w:b w:val="0"/>
          <w:sz w:val="21"/>
          <w:szCs w:val="21"/>
          <w:highlight w:val="none"/>
        </w:rPr>
      </w:pPr>
    </w:p>
    <w:p w14:paraId="432A5609">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身份证号码：</w:t>
      </w:r>
      <w:r>
        <w:rPr>
          <w:rFonts w:hint="eastAsia" w:ascii="宋体" w:hAnsi="宋体" w:eastAsia="宋体" w:cs="宋体"/>
          <w:b w:val="0"/>
          <w:sz w:val="21"/>
          <w:szCs w:val="21"/>
          <w:highlight w:val="none"/>
          <w:u w:val="single"/>
        </w:rPr>
        <w:t xml:space="preserve">                                .</w:t>
      </w:r>
    </w:p>
    <w:p w14:paraId="2AA2BB6C">
      <w:pPr>
        <w:spacing w:line="360" w:lineRule="auto"/>
        <w:ind w:firstLine="5355" w:firstLineChars="2550"/>
        <w:jc w:val="both"/>
        <w:rPr>
          <w:rFonts w:hint="eastAsia" w:ascii="宋体" w:hAnsi="宋体" w:eastAsia="宋体" w:cs="宋体"/>
          <w:b w:val="0"/>
          <w:sz w:val="21"/>
          <w:szCs w:val="21"/>
          <w:highlight w:val="none"/>
        </w:rPr>
      </w:pPr>
    </w:p>
    <w:p w14:paraId="372CEFD3">
      <w:pPr>
        <w:spacing w:line="360" w:lineRule="auto"/>
        <w:ind w:firstLine="5040" w:firstLineChars="2400"/>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2E1C17E6">
      <w:pPr>
        <w:spacing w:line="360" w:lineRule="auto"/>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01BF94A4">
      <w:pPr>
        <w:tabs>
          <w:tab w:val="left" w:pos="720"/>
        </w:tabs>
        <w:ind w:left="0" w:firstLine="0"/>
        <w:jc w:val="center"/>
        <w:outlineLvl w:val="9"/>
        <w:rPr>
          <w:rFonts w:hint="eastAsia" w:ascii="宋体" w:hAnsi="宋体" w:eastAsia="宋体" w:cs="宋体"/>
          <w:b/>
          <w:bCs/>
          <w:kern w:val="2"/>
          <w:sz w:val="32"/>
          <w:szCs w:val="36"/>
          <w:highlight w:val="none"/>
          <w:lang w:val="en-US" w:eastAsia="zh-CN" w:bidi="ar-SA"/>
        </w:rPr>
      </w:pPr>
      <w:bookmarkStart w:id="49" w:name="_Toc184635142"/>
      <w:r>
        <w:rPr>
          <w:rFonts w:hint="eastAsia" w:ascii="宋体" w:hAnsi="宋体" w:cs="宋体"/>
          <w:b/>
          <w:bCs/>
          <w:kern w:val="2"/>
          <w:sz w:val="32"/>
          <w:szCs w:val="36"/>
          <w:highlight w:val="none"/>
          <w:lang w:val="en-US" w:eastAsia="zh-CN" w:bidi="ar-SA"/>
        </w:rPr>
        <w:t>四、</w:t>
      </w:r>
      <w:r>
        <w:rPr>
          <w:rFonts w:hint="eastAsia" w:ascii="宋体" w:hAnsi="宋体" w:eastAsia="宋体" w:cs="宋体"/>
          <w:b/>
          <w:bCs/>
          <w:kern w:val="2"/>
          <w:sz w:val="32"/>
          <w:szCs w:val="36"/>
          <w:highlight w:val="none"/>
          <w:lang w:val="en-US" w:eastAsia="zh-CN" w:bidi="ar-SA"/>
        </w:rPr>
        <w:t>首次报价一览表</w:t>
      </w:r>
    </w:p>
    <w:p w14:paraId="64F7A996">
      <w:pPr>
        <w:pStyle w:val="37"/>
        <w:spacing w:line="360" w:lineRule="auto"/>
        <w:ind w:left="0" w:leftChars="0" w:firstLine="3840" w:firstLineChars="1600"/>
        <w:jc w:val="both"/>
        <w:rPr>
          <w:rFonts w:hint="eastAsia" w:ascii="宋体" w:hAnsi="宋体" w:eastAsia="宋体"/>
          <w:sz w:val="24"/>
          <w:highlight w:val="none"/>
          <w:lang w:eastAsia="zh-CN"/>
        </w:rPr>
      </w:pPr>
      <w:r>
        <w:rPr>
          <w:rFonts w:hint="eastAsia" w:ascii="宋体" w:hAnsi="宋体"/>
          <w:sz w:val="24"/>
          <w:highlight w:val="none"/>
          <w:lang w:eastAsia="zh-CN"/>
        </w:rPr>
        <w:t>以政采云网站格式为准</w:t>
      </w:r>
    </w:p>
    <w:p w14:paraId="60EFDFA5">
      <w:pPr>
        <w:autoSpaceDE w:val="0"/>
        <w:autoSpaceDN w:val="0"/>
        <w:adjustRightInd w:val="0"/>
        <w:spacing w:line="400" w:lineRule="exact"/>
        <w:ind w:firstLine="450" w:firstLineChars="250"/>
        <w:jc w:val="left"/>
        <w:rPr>
          <w:rFonts w:hint="eastAsia" w:ascii="宋体" w:hAnsi="宋体" w:eastAsia="宋体" w:cs="宋体"/>
          <w:b w:val="0"/>
          <w:sz w:val="18"/>
          <w:szCs w:val="18"/>
          <w:highlight w:val="none"/>
          <w:lang w:val="zh-CN"/>
        </w:rPr>
      </w:pPr>
    </w:p>
    <w:p w14:paraId="25D0E34E">
      <w:pPr>
        <w:rPr>
          <w:rFonts w:hint="eastAsia" w:ascii="宋体" w:hAnsi="宋体" w:eastAsia="宋体" w:cs="宋体"/>
          <w:szCs w:val="32"/>
          <w:highlight w:val="none"/>
        </w:rPr>
      </w:pPr>
      <w:bookmarkStart w:id="50" w:name="_Toc15393"/>
      <w:bookmarkStart w:id="51" w:name="_Toc382396574"/>
      <w:r>
        <w:rPr>
          <w:rFonts w:hint="eastAsia" w:ascii="宋体" w:hAnsi="宋体" w:eastAsia="宋体" w:cs="宋体"/>
          <w:szCs w:val="32"/>
          <w:highlight w:val="none"/>
        </w:rPr>
        <w:br w:type="page"/>
      </w:r>
    </w:p>
    <w:bookmarkEnd w:id="49"/>
    <w:bookmarkEnd w:id="50"/>
    <w:bookmarkEnd w:id="51"/>
    <w:p w14:paraId="58A0FEAF">
      <w:pPr>
        <w:autoSpaceDE w:val="0"/>
        <w:autoSpaceDN w:val="0"/>
        <w:adjustRightInd w:val="0"/>
        <w:spacing w:line="360" w:lineRule="auto"/>
        <w:jc w:val="center"/>
        <w:rPr>
          <w:rFonts w:hint="eastAsia" w:ascii="宋体" w:hAnsi="宋体" w:eastAsia="宋体" w:cs="宋体"/>
          <w:b/>
          <w:sz w:val="32"/>
          <w:highlight w:val="none"/>
          <w:lang w:val="zh-CN"/>
        </w:rPr>
      </w:pPr>
      <w:bookmarkStart w:id="52" w:name="_Toc382396577"/>
      <w:bookmarkStart w:id="53" w:name="_Toc184635145"/>
      <w:bookmarkStart w:id="54" w:name="_Toc22129"/>
      <w:r>
        <w:rPr>
          <w:rFonts w:hint="eastAsia" w:ascii="宋体" w:hAnsi="宋体" w:cs="宋体"/>
          <w:b/>
          <w:sz w:val="32"/>
          <w:highlight w:val="none"/>
          <w:lang w:val="en-US" w:eastAsia="zh-CN"/>
        </w:rPr>
        <w:t>五、</w:t>
      </w:r>
      <w:r>
        <w:rPr>
          <w:rFonts w:hint="eastAsia" w:ascii="宋体" w:hAnsi="宋体" w:eastAsia="宋体" w:cs="宋体"/>
          <w:b/>
          <w:sz w:val="32"/>
          <w:highlight w:val="none"/>
          <w:lang w:val="zh-CN"/>
        </w:rPr>
        <w:t>技术文件</w:t>
      </w:r>
    </w:p>
    <w:p w14:paraId="2C07A66B">
      <w:pPr>
        <w:autoSpaceDE w:val="0"/>
        <w:autoSpaceDN w:val="0"/>
        <w:adjustRightInd w:val="0"/>
        <w:spacing w:line="360" w:lineRule="auto"/>
        <w:rPr>
          <w:rFonts w:hint="eastAsia" w:ascii="宋体" w:hAnsi="宋体" w:eastAsia="宋体" w:cs="宋体"/>
          <w:b/>
          <w:sz w:val="24"/>
          <w:highlight w:val="none"/>
          <w:lang w:val="zh-CN"/>
        </w:rPr>
      </w:pPr>
    </w:p>
    <w:p w14:paraId="5AE54C1F">
      <w:pPr>
        <w:autoSpaceDE w:val="0"/>
        <w:autoSpaceDN w:val="0"/>
        <w:adjustRightInd w:val="0"/>
        <w:spacing w:line="36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投标要求：</w:t>
      </w:r>
      <w:r>
        <w:rPr>
          <w:rFonts w:hint="eastAsia" w:ascii="宋体" w:hAnsi="宋体" w:cs="宋体"/>
          <w:szCs w:val="21"/>
          <w:highlight w:val="none"/>
          <w:lang w:val="en-US" w:eastAsia="zh-CN"/>
        </w:rPr>
        <w:t>供应商</w:t>
      </w:r>
      <w:r>
        <w:rPr>
          <w:rFonts w:hint="eastAsia" w:ascii="宋体" w:hAnsi="宋体" w:eastAsia="宋体" w:cs="宋体"/>
          <w:szCs w:val="21"/>
          <w:highlight w:val="none"/>
          <w:lang w:val="zh-CN"/>
        </w:rPr>
        <w:t>应按照</w:t>
      </w:r>
      <w:r>
        <w:rPr>
          <w:rFonts w:hint="eastAsia" w:ascii="宋体" w:hAnsi="宋体" w:cs="宋体"/>
          <w:szCs w:val="21"/>
          <w:highlight w:val="none"/>
          <w:lang w:val="en-US" w:eastAsia="zh-CN"/>
        </w:rPr>
        <w:t>竞争性磋商文件</w:t>
      </w:r>
      <w:r>
        <w:rPr>
          <w:rFonts w:hint="eastAsia" w:ascii="宋体" w:hAnsi="宋体" w:eastAsia="宋体" w:cs="宋体"/>
          <w:szCs w:val="21"/>
          <w:highlight w:val="none"/>
          <w:lang w:val="zh-CN"/>
        </w:rPr>
        <w:t>要求的技术方案编写</w:t>
      </w:r>
      <w:r>
        <w:rPr>
          <w:rFonts w:hint="eastAsia" w:ascii="宋体" w:hAnsi="宋体" w:cs="宋体"/>
          <w:szCs w:val="21"/>
          <w:highlight w:val="none"/>
          <w:lang w:val="zh-CN"/>
        </w:rPr>
        <w:t>。</w:t>
      </w:r>
    </w:p>
    <w:p w14:paraId="556FD948">
      <w:pPr>
        <w:tabs>
          <w:tab w:val="left" w:pos="720"/>
        </w:tabs>
        <w:jc w:val="center"/>
        <w:outlineLvl w:val="9"/>
        <w:rPr>
          <w:rFonts w:hint="eastAsia" w:ascii="宋体" w:hAnsi="宋体" w:eastAsia="宋体" w:cs="宋体"/>
          <w:b/>
          <w:bCs/>
          <w:sz w:val="32"/>
          <w:szCs w:val="48"/>
          <w:highlight w:val="none"/>
        </w:rPr>
      </w:pPr>
    </w:p>
    <w:p w14:paraId="6779E749">
      <w:pPr>
        <w:rPr>
          <w:rFonts w:hint="eastAsia" w:ascii="宋体" w:hAnsi="宋体" w:eastAsia="宋体" w:cs="宋体"/>
          <w:b/>
          <w:bCs/>
          <w:sz w:val="32"/>
          <w:szCs w:val="48"/>
          <w:highlight w:val="none"/>
        </w:rPr>
      </w:pPr>
      <w:r>
        <w:rPr>
          <w:rFonts w:hint="eastAsia" w:ascii="宋体" w:hAnsi="宋体" w:eastAsia="宋体" w:cs="宋体"/>
          <w:b/>
          <w:bCs/>
          <w:sz w:val="32"/>
          <w:szCs w:val="48"/>
          <w:highlight w:val="none"/>
        </w:rPr>
        <w:br w:type="page"/>
      </w:r>
    </w:p>
    <w:p w14:paraId="33A6672A">
      <w:pPr>
        <w:tabs>
          <w:tab w:val="left" w:pos="720"/>
        </w:tabs>
        <w:jc w:val="center"/>
        <w:outlineLvl w:val="9"/>
        <w:rPr>
          <w:rFonts w:hint="default" w:ascii="宋体" w:hAnsi="宋体" w:eastAsia="宋体" w:cs="宋体"/>
          <w:b/>
          <w:bCs/>
          <w:sz w:val="32"/>
          <w:szCs w:val="48"/>
          <w:highlight w:val="none"/>
          <w:lang w:val="en-US" w:eastAsia="zh-CN"/>
        </w:rPr>
      </w:pPr>
      <w:r>
        <w:rPr>
          <w:rFonts w:hint="eastAsia" w:ascii="宋体" w:hAnsi="宋体" w:cs="宋体"/>
          <w:b/>
          <w:bCs/>
          <w:sz w:val="32"/>
          <w:szCs w:val="48"/>
          <w:highlight w:val="none"/>
          <w:lang w:val="en-US" w:eastAsia="zh-CN"/>
        </w:rPr>
        <w:t>六</w:t>
      </w:r>
      <w:r>
        <w:rPr>
          <w:rFonts w:hint="eastAsia" w:ascii="宋体" w:hAnsi="宋体" w:eastAsia="宋体" w:cs="宋体"/>
          <w:b/>
          <w:bCs/>
          <w:sz w:val="32"/>
          <w:szCs w:val="48"/>
          <w:highlight w:val="none"/>
        </w:rPr>
        <w:t>、</w:t>
      </w:r>
      <w:bookmarkEnd w:id="52"/>
      <w:bookmarkEnd w:id="53"/>
      <w:bookmarkEnd w:id="54"/>
      <w:r>
        <w:rPr>
          <w:rFonts w:hint="eastAsia" w:ascii="宋体" w:hAnsi="宋体" w:cs="宋体"/>
          <w:b/>
          <w:bCs/>
          <w:sz w:val="32"/>
          <w:szCs w:val="48"/>
          <w:highlight w:val="none"/>
          <w:lang w:val="en-US" w:eastAsia="zh-CN"/>
        </w:rPr>
        <w:t>项目核心团队成员</w:t>
      </w:r>
    </w:p>
    <w:p w14:paraId="01B12B30">
      <w:pPr>
        <w:bidi w:val="0"/>
        <w:jc w:val="center"/>
        <w:rPr>
          <w:rFonts w:hint="eastAsia" w:ascii="宋体" w:hAnsi="宋体" w:eastAsia="宋体" w:cs="宋体"/>
          <w:sz w:val="24"/>
          <w:szCs w:val="28"/>
          <w:highlight w:val="none"/>
        </w:rPr>
      </w:pPr>
      <w:r>
        <w:rPr>
          <w:rFonts w:hint="eastAsia" w:ascii="宋体" w:hAnsi="宋体" w:eastAsia="宋体" w:cs="宋体"/>
          <w:sz w:val="24"/>
          <w:szCs w:val="28"/>
          <w:highlight w:val="none"/>
        </w:rPr>
        <w:t>项目</w:t>
      </w:r>
      <w:r>
        <w:rPr>
          <w:rFonts w:hint="eastAsia" w:ascii="宋体" w:hAnsi="宋体" w:cs="宋体"/>
          <w:sz w:val="24"/>
          <w:szCs w:val="28"/>
          <w:highlight w:val="none"/>
          <w:lang w:val="en-US" w:eastAsia="zh-CN"/>
        </w:rPr>
        <w:t>核心团队成员</w:t>
      </w:r>
      <w:r>
        <w:rPr>
          <w:rFonts w:hint="eastAsia" w:ascii="宋体" w:hAnsi="宋体" w:eastAsia="宋体" w:cs="宋体"/>
          <w:sz w:val="24"/>
          <w:szCs w:val="28"/>
          <w:highlight w:val="none"/>
        </w:rPr>
        <w:t>组成表</w:t>
      </w:r>
    </w:p>
    <w:tbl>
      <w:tblPr>
        <w:tblStyle w:val="22"/>
        <w:tblW w:w="97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386"/>
        <w:gridCol w:w="1386"/>
        <w:gridCol w:w="1386"/>
        <w:gridCol w:w="1386"/>
        <w:gridCol w:w="1386"/>
        <w:gridCol w:w="1941"/>
      </w:tblGrid>
      <w:tr w14:paraId="5D9C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77" w:type="dxa"/>
            <w:noWrap w:val="0"/>
            <w:vAlign w:val="center"/>
          </w:tcPr>
          <w:p w14:paraId="2F22815A">
            <w:pPr>
              <w:spacing w:line="300" w:lineRule="exact"/>
              <w:jc w:val="center"/>
              <w:rPr>
                <w:rFonts w:hint="default"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序号</w:t>
            </w:r>
          </w:p>
        </w:tc>
        <w:tc>
          <w:tcPr>
            <w:tcW w:w="1386" w:type="dxa"/>
            <w:noWrap w:val="0"/>
            <w:vAlign w:val="center"/>
          </w:tcPr>
          <w:p w14:paraId="519B8A9A">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rPr>
              <w:t>职务</w:t>
            </w:r>
          </w:p>
        </w:tc>
        <w:tc>
          <w:tcPr>
            <w:tcW w:w="1386" w:type="dxa"/>
            <w:noWrap w:val="0"/>
            <w:vAlign w:val="center"/>
          </w:tcPr>
          <w:p w14:paraId="06FF999A">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rPr>
              <w:t>姓名</w:t>
            </w:r>
          </w:p>
        </w:tc>
        <w:tc>
          <w:tcPr>
            <w:tcW w:w="1386" w:type="dxa"/>
            <w:noWrap w:val="0"/>
            <w:vAlign w:val="center"/>
          </w:tcPr>
          <w:p w14:paraId="25C4D1DD">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学历</w:t>
            </w:r>
          </w:p>
        </w:tc>
        <w:tc>
          <w:tcPr>
            <w:tcW w:w="1386" w:type="dxa"/>
            <w:noWrap w:val="0"/>
            <w:vAlign w:val="center"/>
          </w:tcPr>
          <w:p w14:paraId="0CADE894">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年龄</w:t>
            </w:r>
          </w:p>
        </w:tc>
        <w:tc>
          <w:tcPr>
            <w:tcW w:w="1386" w:type="dxa"/>
            <w:noWrap w:val="0"/>
            <w:vAlign w:val="center"/>
          </w:tcPr>
          <w:p w14:paraId="3B921770">
            <w:pPr>
              <w:spacing w:line="360" w:lineRule="auto"/>
              <w:jc w:val="center"/>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从业年限</w:t>
            </w:r>
          </w:p>
        </w:tc>
        <w:tc>
          <w:tcPr>
            <w:tcW w:w="1941" w:type="dxa"/>
            <w:noWrap w:val="0"/>
            <w:vAlign w:val="center"/>
          </w:tcPr>
          <w:p w14:paraId="33E8D004">
            <w:pPr>
              <w:spacing w:line="360" w:lineRule="auto"/>
              <w:jc w:val="center"/>
              <w:rPr>
                <w:rFonts w:hint="default" w:ascii="宋体" w:hAnsi="宋体" w:cs="宋体"/>
                <w:b w:val="0"/>
                <w:sz w:val="21"/>
                <w:szCs w:val="21"/>
                <w:highlight w:val="none"/>
                <w:lang w:val="en-US" w:eastAsia="zh-CN"/>
              </w:rPr>
            </w:pPr>
            <w:r>
              <w:rPr>
                <w:rFonts w:hint="eastAsia" w:ascii="宋体" w:hAnsi="宋体" w:cs="宋体"/>
                <w:b w:val="0"/>
                <w:sz w:val="21"/>
                <w:szCs w:val="21"/>
                <w:highlight w:val="none"/>
                <w:lang w:val="en-US" w:eastAsia="zh-CN"/>
              </w:rPr>
              <w:t>从事过的类似活动</w:t>
            </w:r>
          </w:p>
        </w:tc>
      </w:tr>
      <w:tr w14:paraId="1DE16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351731D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97BBBC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6C86F19">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02B9AC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B3B3CD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B9E125E">
            <w:pPr>
              <w:spacing w:line="360" w:lineRule="auto"/>
              <w:jc w:val="both"/>
              <w:rPr>
                <w:rFonts w:hint="eastAsia" w:ascii="宋体" w:hAnsi="宋体" w:eastAsia="宋体" w:cs="宋体"/>
                <w:b w:val="0"/>
                <w:sz w:val="21"/>
                <w:szCs w:val="21"/>
                <w:highlight w:val="none"/>
              </w:rPr>
            </w:pPr>
          </w:p>
        </w:tc>
        <w:tc>
          <w:tcPr>
            <w:tcW w:w="1941" w:type="dxa"/>
            <w:noWrap w:val="0"/>
            <w:vAlign w:val="top"/>
          </w:tcPr>
          <w:p w14:paraId="6D065FFE">
            <w:pPr>
              <w:spacing w:line="360" w:lineRule="auto"/>
              <w:jc w:val="both"/>
              <w:rPr>
                <w:rFonts w:hint="eastAsia" w:ascii="宋体" w:hAnsi="宋体" w:eastAsia="宋体" w:cs="宋体"/>
                <w:b w:val="0"/>
                <w:sz w:val="21"/>
                <w:szCs w:val="21"/>
                <w:highlight w:val="none"/>
              </w:rPr>
            </w:pPr>
          </w:p>
        </w:tc>
      </w:tr>
      <w:tr w14:paraId="5FD5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4E1DECC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E413BE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3A2FFC3">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74564C3">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DF2D829">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A6299E5">
            <w:pPr>
              <w:spacing w:line="360" w:lineRule="auto"/>
              <w:jc w:val="both"/>
              <w:rPr>
                <w:rFonts w:hint="eastAsia" w:ascii="宋体" w:hAnsi="宋体" w:eastAsia="宋体" w:cs="宋体"/>
                <w:b w:val="0"/>
                <w:sz w:val="21"/>
                <w:szCs w:val="21"/>
                <w:highlight w:val="none"/>
              </w:rPr>
            </w:pPr>
          </w:p>
        </w:tc>
        <w:tc>
          <w:tcPr>
            <w:tcW w:w="1941" w:type="dxa"/>
            <w:noWrap w:val="0"/>
            <w:vAlign w:val="top"/>
          </w:tcPr>
          <w:p w14:paraId="1D04F6AC">
            <w:pPr>
              <w:spacing w:line="360" w:lineRule="auto"/>
              <w:jc w:val="both"/>
              <w:rPr>
                <w:rFonts w:hint="eastAsia" w:ascii="宋体" w:hAnsi="宋体" w:eastAsia="宋体" w:cs="宋体"/>
                <w:b w:val="0"/>
                <w:sz w:val="21"/>
                <w:szCs w:val="21"/>
                <w:highlight w:val="none"/>
              </w:rPr>
            </w:pPr>
          </w:p>
        </w:tc>
      </w:tr>
      <w:tr w14:paraId="69594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2372D8B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BDCC0A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F37354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E67A70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ACCD7C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A0714CE">
            <w:pPr>
              <w:spacing w:line="360" w:lineRule="auto"/>
              <w:jc w:val="both"/>
              <w:rPr>
                <w:rFonts w:hint="eastAsia" w:ascii="宋体" w:hAnsi="宋体" w:eastAsia="宋体" w:cs="宋体"/>
                <w:b w:val="0"/>
                <w:sz w:val="21"/>
                <w:szCs w:val="21"/>
                <w:highlight w:val="none"/>
              </w:rPr>
            </w:pPr>
          </w:p>
        </w:tc>
        <w:tc>
          <w:tcPr>
            <w:tcW w:w="1941" w:type="dxa"/>
            <w:noWrap w:val="0"/>
            <w:vAlign w:val="top"/>
          </w:tcPr>
          <w:p w14:paraId="5A7A4845">
            <w:pPr>
              <w:spacing w:line="360" w:lineRule="auto"/>
              <w:jc w:val="both"/>
              <w:rPr>
                <w:rFonts w:hint="eastAsia" w:ascii="宋体" w:hAnsi="宋体" w:eastAsia="宋体" w:cs="宋体"/>
                <w:b w:val="0"/>
                <w:sz w:val="21"/>
                <w:szCs w:val="21"/>
                <w:highlight w:val="none"/>
              </w:rPr>
            </w:pPr>
          </w:p>
        </w:tc>
      </w:tr>
      <w:tr w14:paraId="2AF28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39C13A4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89EB17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772471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F84573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644893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01DEAEA">
            <w:pPr>
              <w:spacing w:line="360" w:lineRule="auto"/>
              <w:jc w:val="both"/>
              <w:rPr>
                <w:rFonts w:hint="eastAsia" w:ascii="宋体" w:hAnsi="宋体" w:eastAsia="宋体" w:cs="宋体"/>
                <w:b w:val="0"/>
                <w:sz w:val="21"/>
                <w:szCs w:val="21"/>
                <w:highlight w:val="none"/>
              </w:rPr>
            </w:pPr>
          </w:p>
        </w:tc>
        <w:tc>
          <w:tcPr>
            <w:tcW w:w="1941" w:type="dxa"/>
            <w:noWrap w:val="0"/>
            <w:vAlign w:val="top"/>
          </w:tcPr>
          <w:p w14:paraId="5DB46FC0">
            <w:pPr>
              <w:spacing w:line="360" w:lineRule="auto"/>
              <w:jc w:val="both"/>
              <w:rPr>
                <w:rFonts w:hint="eastAsia" w:ascii="宋体" w:hAnsi="宋体" w:eastAsia="宋体" w:cs="宋体"/>
                <w:b w:val="0"/>
                <w:sz w:val="21"/>
                <w:szCs w:val="21"/>
                <w:highlight w:val="none"/>
              </w:rPr>
            </w:pPr>
          </w:p>
        </w:tc>
      </w:tr>
      <w:tr w14:paraId="4A86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4E1EEE8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3D37B37">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1BE2AC7">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2BA307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94B373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6FE8401">
            <w:pPr>
              <w:spacing w:line="360" w:lineRule="auto"/>
              <w:jc w:val="both"/>
              <w:rPr>
                <w:rFonts w:hint="eastAsia" w:ascii="宋体" w:hAnsi="宋体" w:eastAsia="宋体" w:cs="宋体"/>
                <w:b w:val="0"/>
                <w:sz w:val="21"/>
                <w:szCs w:val="21"/>
                <w:highlight w:val="none"/>
              </w:rPr>
            </w:pPr>
          </w:p>
        </w:tc>
        <w:tc>
          <w:tcPr>
            <w:tcW w:w="1941" w:type="dxa"/>
            <w:noWrap w:val="0"/>
            <w:vAlign w:val="top"/>
          </w:tcPr>
          <w:p w14:paraId="053355B3">
            <w:pPr>
              <w:spacing w:line="360" w:lineRule="auto"/>
              <w:jc w:val="both"/>
              <w:rPr>
                <w:rFonts w:hint="eastAsia" w:ascii="宋体" w:hAnsi="宋体" w:eastAsia="宋体" w:cs="宋体"/>
                <w:b w:val="0"/>
                <w:sz w:val="21"/>
                <w:szCs w:val="21"/>
                <w:highlight w:val="none"/>
              </w:rPr>
            </w:pPr>
          </w:p>
        </w:tc>
      </w:tr>
      <w:tr w14:paraId="7C71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07F187A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C4D619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046C3F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93E351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26F9F6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F51FB6F">
            <w:pPr>
              <w:spacing w:line="360" w:lineRule="auto"/>
              <w:jc w:val="both"/>
              <w:rPr>
                <w:rFonts w:hint="eastAsia" w:ascii="宋体" w:hAnsi="宋体" w:eastAsia="宋体" w:cs="宋体"/>
                <w:b w:val="0"/>
                <w:sz w:val="21"/>
                <w:szCs w:val="21"/>
                <w:highlight w:val="none"/>
              </w:rPr>
            </w:pPr>
          </w:p>
        </w:tc>
        <w:tc>
          <w:tcPr>
            <w:tcW w:w="1941" w:type="dxa"/>
            <w:noWrap w:val="0"/>
            <w:vAlign w:val="top"/>
          </w:tcPr>
          <w:p w14:paraId="72A951CB">
            <w:pPr>
              <w:spacing w:line="360" w:lineRule="auto"/>
              <w:jc w:val="both"/>
              <w:rPr>
                <w:rFonts w:hint="eastAsia" w:ascii="宋体" w:hAnsi="宋体" w:eastAsia="宋体" w:cs="宋体"/>
                <w:b w:val="0"/>
                <w:sz w:val="21"/>
                <w:szCs w:val="21"/>
                <w:highlight w:val="none"/>
              </w:rPr>
            </w:pPr>
          </w:p>
        </w:tc>
      </w:tr>
      <w:tr w14:paraId="66451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49C8330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E6F6C6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59DEDF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72F610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80F5B53">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86785B6">
            <w:pPr>
              <w:spacing w:line="360" w:lineRule="auto"/>
              <w:jc w:val="both"/>
              <w:rPr>
                <w:rFonts w:hint="eastAsia" w:ascii="宋体" w:hAnsi="宋体" w:eastAsia="宋体" w:cs="宋体"/>
                <w:b w:val="0"/>
                <w:sz w:val="21"/>
                <w:szCs w:val="21"/>
                <w:highlight w:val="none"/>
              </w:rPr>
            </w:pPr>
          </w:p>
        </w:tc>
        <w:tc>
          <w:tcPr>
            <w:tcW w:w="1941" w:type="dxa"/>
            <w:noWrap w:val="0"/>
            <w:vAlign w:val="top"/>
          </w:tcPr>
          <w:p w14:paraId="6B044113">
            <w:pPr>
              <w:spacing w:line="360" w:lineRule="auto"/>
              <w:jc w:val="both"/>
              <w:rPr>
                <w:rFonts w:hint="eastAsia" w:ascii="宋体" w:hAnsi="宋体" w:eastAsia="宋体" w:cs="宋体"/>
                <w:b w:val="0"/>
                <w:sz w:val="21"/>
                <w:szCs w:val="21"/>
                <w:highlight w:val="none"/>
              </w:rPr>
            </w:pPr>
          </w:p>
        </w:tc>
      </w:tr>
      <w:tr w14:paraId="1AD0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38D82057">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509BC3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C4552C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04D8B3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134C90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3A8D4B8">
            <w:pPr>
              <w:spacing w:line="360" w:lineRule="auto"/>
              <w:jc w:val="both"/>
              <w:rPr>
                <w:rFonts w:hint="eastAsia" w:ascii="宋体" w:hAnsi="宋体" w:eastAsia="宋体" w:cs="宋体"/>
                <w:b w:val="0"/>
                <w:sz w:val="21"/>
                <w:szCs w:val="21"/>
                <w:highlight w:val="none"/>
              </w:rPr>
            </w:pPr>
          </w:p>
        </w:tc>
        <w:tc>
          <w:tcPr>
            <w:tcW w:w="1941" w:type="dxa"/>
            <w:noWrap w:val="0"/>
            <w:vAlign w:val="top"/>
          </w:tcPr>
          <w:p w14:paraId="7969E609">
            <w:pPr>
              <w:spacing w:line="360" w:lineRule="auto"/>
              <w:jc w:val="both"/>
              <w:rPr>
                <w:rFonts w:hint="eastAsia" w:ascii="宋体" w:hAnsi="宋体" w:eastAsia="宋体" w:cs="宋体"/>
                <w:b w:val="0"/>
                <w:sz w:val="21"/>
                <w:szCs w:val="21"/>
                <w:highlight w:val="none"/>
              </w:rPr>
            </w:pPr>
          </w:p>
        </w:tc>
      </w:tr>
      <w:tr w14:paraId="5CC61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2B38C19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82BAC9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FFDA43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74FD649">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73A54B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89D0BFB">
            <w:pPr>
              <w:spacing w:line="360" w:lineRule="auto"/>
              <w:jc w:val="both"/>
              <w:rPr>
                <w:rFonts w:hint="eastAsia" w:ascii="宋体" w:hAnsi="宋体" w:eastAsia="宋体" w:cs="宋体"/>
                <w:b w:val="0"/>
                <w:sz w:val="21"/>
                <w:szCs w:val="21"/>
                <w:highlight w:val="none"/>
              </w:rPr>
            </w:pPr>
          </w:p>
        </w:tc>
        <w:tc>
          <w:tcPr>
            <w:tcW w:w="1941" w:type="dxa"/>
            <w:noWrap w:val="0"/>
            <w:vAlign w:val="top"/>
          </w:tcPr>
          <w:p w14:paraId="3BE798B3">
            <w:pPr>
              <w:spacing w:line="360" w:lineRule="auto"/>
              <w:jc w:val="both"/>
              <w:rPr>
                <w:rFonts w:hint="eastAsia" w:ascii="宋体" w:hAnsi="宋体" w:eastAsia="宋体" w:cs="宋体"/>
                <w:b w:val="0"/>
                <w:sz w:val="21"/>
                <w:szCs w:val="21"/>
                <w:highlight w:val="none"/>
              </w:rPr>
            </w:pPr>
          </w:p>
        </w:tc>
      </w:tr>
      <w:tr w14:paraId="021E0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36EA8F8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6ED804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CA830E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CA489B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B4A352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F9CBA78">
            <w:pPr>
              <w:spacing w:line="360" w:lineRule="auto"/>
              <w:jc w:val="both"/>
              <w:rPr>
                <w:rFonts w:hint="eastAsia" w:ascii="宋体" w:hAnsi="宋体" w:eastAsia="宋体" w:cs="宋体"/>
                <w:b w:val="0"/>
                <w:sz w:val="21"/>
                <w:szCs w:val="21"/>
                <w:highlight w:val="none"/>
              </w:rPr>
            </w:pPr>
          </w:p>
        </w:tc>
        <w:tc>
          <w:tcPr>
            <w:tcW w:w="1941" w:type="dxa"/>
            <w:noWrap w:val="0"/>
            <w:vAlign w:val="top"/>
          </w:tcPr>
          <w:p w14:paraId="0931F8D4">
            <w:pPr>
              <w:spacing w:line="360" w:lineRule="auto"/>
              <w:jc w:val="both"/>
              <w:rPr>
                <w:rFonts w:hint="eastAsia" w:ascii="宋体" w:hAnsi="宋体" w:eastAsia="宋体" w:cs="宋体"/>
                <w:b w:val="0"/>
                <w:sz w:val="21"/>
                <w:szCs w:val="21"/>
                <w:highlight w:val="none"/>
              </w:rPr>
            </w:pPr>
          </w:p>
        </w:tc>
      </w:tr>
      <w:tr w14:paraId="6C88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6D1DC30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20A4DD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3A734E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06D075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454CD3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961D992">
            <w:pPr>
              <w:spacing w:line="360" w:lineRule="auto"/>
              <w:jc w:val="both"/>
              <w:rPr>
                <w:rFonts w:hint="eastAsia" w:ascii="宋体" w:hAnsi="宋体" w:eastAsia="宋体" w:cs="宋体"/>
                <w:b w:val="0"/>
                <w:sz w:val="21"/>
                <w:szCs w:val="21"/>
                <w:highlight w:val="none"/>
              </w:rPr>
            </w:pPr>
          </w:p>
        </w:tc>
        <w:tc>
          <w:tcPr>
            <w:tcW w:w="1941" w:type="dxa"/>
            <w:noWrap w:val="0"/>
            <w:vAlign w:val="top"/>
          </w:tcPr>
          <w:p w14:paraId="1E902782">
            <w:pPr>
              <w:spacing w:line="360" w:lineRule="auto"/>
              <w:jc w:val="both"/>
              <w:rPr>
                <w:rFonts w:hint="eastAsia" w:ascii="宋体" w:hAnsi="宋体" w:eastAsia="宋体" w:cs="宋体"/>
                <w:b w:val="0"/>
                <w:sz w:val="21"/>
                <w:szCs w:val="21"/>
                <w:highlight w:val="none"/>
              </w:rPr>
            </w:pPr>
          </w:p>
        </w:tc>
      </w:tr>
      <w:tr w14:paraId="1235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0612F83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C3FA2E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4EB87D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C2AC57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79514D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F6D5BD9">
            <w:pPr>
              <w:spacing w:line="360" w:lineRule="auto"/>
              <w:jc w:val="both"/>
              <w:rPr>
                <w:rFonts w:hint="eastAsia" w:ascii="宋体" w:hAnsi="宋体" w:eastAsia="宋体" w:cs="宋体"/>
                <w:b w:val="0"/>
                <w:sz w:val="21"/>
                <w:szCs w:val="21"/>
                <w:highlight w:val="none"/>
              </w:rPr>
            </w:pPr>
          </w:p>
        </w:tc>
        <w:tc>
          <w:tcPr>
            <w:tcW w:w="1941" w:type="dxa"/>
            <w:noWrap w:val="0"/>
            <w:vAlign w:val="top"/>
          </w:tcPr>
          <w:p w14:paraId="4BEDD335">
            <w:pPr>
              <w:spacing w:line="360" w:lineRule="auto"/>
              <w:jc w:val="both"/>
              <w:rPr>
                <w:rFonts w:hint="eastAsia" w:ascii="宋体" w:hAnsi="宋体" w:eastAsia="宋体" w:cs="宋体"/>
                <w:b w:val="0"/>
                <w:sz w:val="21"/>
                <w:szCs w:val="21"/>
                <w:highlight w:val="none"/>
              </w:rPr>
            </w:pPr>
          </w:p>
        </w:tc>
      </w:tr>
      <w:tr w14:paraId="37EC0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2FDC019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4326B2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38606A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831CE2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2E0AD37">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1C768F8">
            <w:pPr>
              <w:spacing w:line="360" w:lineRule="auto"/>
              <w:jc w:val="both"/>
              <w:rPr>
                <w:rFonts w:hint="eastAsia" w:ascii="宋体" w:hAnsi="宋体" w:eastAsia="宋体" w:cs="宋体"/>
                <w:b w:val="0"/>
                <w:sz w:val="21"/>
                <w:szCs w:val="21"/>
                <w:highlight w:val="none"/>
              </w:rPr>
            </w:pPr>
          </w:p>
        </w:tc>
        <w:tc>
          <w:tcPr>
            <w:tcW w:w="1941" w:type="dxa"/>
            <w:noWrap w:val="0"/>
            <w:vAlign w:val="top"/>
          </w:tcPr>
          <w:p w14:paraId="21F6E421">
            <w:pPr>
              <w:spacing w:line="360" w:lineRule="auto"/>
              <w:jc w:val="both"/>
              <w:rPr>
                <w:rFonts w:hint="eastAsia" w:ascii="宋体" w:hAnsi="宋体" w:eastAsia="宋体" w:cs="宋体"/>
                <w:b w:val="0"/>
                <w:sz w:val="21"/>
                <w:szCs w:val="21"/>
                <w:highlight w:val="none"/>
              </w:rPr>
            </w:pPr>
          </w:p>
        </w:tc>
      </w:tr>
    </w:tbl>
    <w:p w14:paraId="1ACF047E">
      <w:pPr>
        <w:spacing w:line="360" w:lineRule="auto"/>
        <w:ind w:firstLine="420" w:firstLineChars="200"/>
        <w:jc w:val="both"/>
        <w:rPr>
          <w:rFonts w:hint="default" w:ascii="宋体" w:hAnsi="宋体" w:eastAsia="宋体" w:cs="宋体"/>
          <w:b w:val="0"/>
          <w:sz w:val="21"/>
          <w:szCs w:val="21"/>
          <w:highlight w:val="none"/>
          <w:lang w:val="en-US" w:eastAsia="zh-CN"/>
        </w:rPr>
        <w:sectPr>
          <w:pgSz w:w="11906" w:h="16838"/>
          <w:pgMar w:top="1418" w:right="1134" w:bottom="1418" w:left="1134" w:header="851" w:footer="992" w:gutter="0"/>
          <w:pgNumType w:fmt="decimal"/>
          <w:cols w:space="720" w:num="1"/>
          <w:docGrid w:type="lines" w:linePitch="312" w:charSpace="0"/>
        </w:sectPr>
      </w:pPr>
    </w:p>
    <w:p w14:paraId="14DC079A">
      <w:pPr>
        <w:tabs>
          <w:tab w:val="left" w:pos="720"/>
        </w:tabs>
        <w:ind w:left="0" w:firstLine="0"/>
        <w:jc w:val="center"/>
        <w:outlineLvl w:val="9"/>
        <w:rPr>
          <w:rFonts w:hint="eastAsia" w:ascii="宋体" w:hAnsi="宋体" w:eastAsia="宋体" w:cs="宋体"/>
          <w:b/>
          <w:bCs/>
          <w:sz w:val="32"/>
          <w:szCs w:val="48"/>
          <w:highlight w:val="none"/>
        </w:rPr>
      </w:pPr>
      <w:bookmarkStart w:id="55" w:name="_Toc184635147"/>
      <w:bookmarkStart w:id="56" w:name="_Toc382396579"/>
      <w:bookmarkStart w:id="57" w:name="_Toc3912"/>
      <w:r>
        <w:rPr>
          <w:rFonts w:hint="eastAsia" w:ascii="宋体" w:hAnsi="宋体" w:cs="宋体"/>
          <w:b/>
          <w:bCs/>
          <w:sz w:val="32"/>
          <w:szCs w:val="48"/>
          <w:highlight w:val="none"/>
          <w:lang w:val="en-US" w:eastAsia="zh-CN"/>
        </w:rPr>
        <w:t>七</w:t>
      </w:r>
      <w:r>
        <w:rPr>
          <w:rFonts w:hint="eastAsia" w:ascii="宋体" w:hAnsi="宋体" w:eastAsia="宋体" w:cs="宋体"/>
          <w:b/>
          <w:bCs/>
          <w:sz w:val="32"/>
          <w:szCs w:val="48"/>
          <w:highlight w:val="none"/>
        </w:rPr>
        <w:t>、资格审查资料</w:t>
      </w:r>
      <w:bookmarkEnd w:id="55"/>
      <w:bookmarkEnd w:id="56"/>
      <w:bookmarkEnd w:id="57"/>
    </w:p>
    <w:p w14:paraId="333355DD">
      <w:pPr>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（一）</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基本情况表</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1252"/>
        <w:gridCol w:w="1089"/>
        <w:gridCol w:w="900"/>
        <w:gridCol w:w="1431"/>
      </w:tblGrid>
      <w:tr w14:paraId="6C361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noWrap w:val="0"/>
            <w:vAlign w:val="center"/>
          </w:tcPr>
          <w:p w14:paraId="3300B2E8">
            <w:pPr>
              <w:spacing w:line="300" w:lineRule="exac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p>
        </w:tc>
        <w:tc>
          <w:tcPr>
            <w:tcW w:w="7552" w:type="dxa"/>
            <w:gridSpan w:val="6"/>
            <w:noWrap w:val="0"/>
            <w:vAlign w:val="center"/>
          </w:tcPr>
          <w:p w14:paraId="084BF1C6">
            <w:pPr>
              <w:spacing w:line="300" w:lineRule="exact"/>
              <w:rPr>
                <w:rFonts w:hint="eastAsia" w:ascii="宋体" w:hAnsi="宋体" w:eastAsia="宋体" w:cs="宋体"/>
                <w:b w:val="0"/>
                <w:sz w:val="21"/>
                <w:szCs w:val="21"/>
                <w:highlight w:val="none"/>
              </w:rPr>
            </w:pPr>
          </w:p>
        </w:tc>
      </w:tr>
      <w:tr w14:paraId="6E0BD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80" w:type="dxa"/>
            <w:noWrap w:val="0"/>
            <w:vAlign w:val="center"/>
          </w:tcPr>
          <w:p w14:paraId="45FF428C">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注册地址</w:t>
            </w:r>
          </w:p>
        </w:tc>
        <w:tc>
          <w:tcPr>
            <w:tcW w:w="4132" w:type="dxa"/>
            <w:gridSpan w:val="3"/>
            <w:noWrap w:val="0"/>
            <w:vAlign w:val="center"/>
          </w:tcPr>
          <w:p w14:paraId="3E8562A8">
            <w:pPr>
              <w:spacing w:line="300" w:lineRule="exact"/>
              <w:rPr>
                <w:rFonts w:hint="eastAsia" w:ascii="宋体" w:hAnsi="宋体" w:eastAsia="宋体" w:cs="宋体"/>
                <w:b w:val="0"/>
                <w:sz w:val="21"/>
                <w:szCs w:val="21"/>
                <w:highlight w:val="none"/>
              </w:rPr>
            </w:pPr>
          </w:p>
        </w:tc>
        <w:tc>
          <w:tcPr>
            <w:tcW w:w="1089" w:type="dxa"/>
            <w:noWrap w:val="0"/>
            <w:vAlign w:val="center"/>
          </w:tcPr>
          <w:p w14:paraId="10BB6752">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邮政编码</w:t>
            </w:r>
          </w:p>
        </w:tc>
        <w:tc>
          <w:tcPr>
            <w:tcW w:w="2331" w:type="dxa"/>
            <w:gridSpan w:val="2"/>
            <w:noWrap w:val="0"/>
            <w:vAlign w:val="center"/>
          </w:tcPr>
          <w:p w14:paraId="484D3CCE">
            <w:pPr>
              <w:spacing w:line="300" w:lineRule="exact"/>
              <w:rPr>
                <w:rFonts w:hint="eastAsia" w:ascii="宋体" w:hAnsi="宋体" w:eastAsia="宋体" w:cs="宋体"/>
                <w:b w:val="0"/>
                <w:sz w:val="21"/>
                <w:szCs w:val="21"/>
                <w:highlight w:val="none"/>
              </w:rPr>
            </w:pPr>
          </w:p>
        </w:tc>
      </w:tr>
      <w:tr w14:paraId="228B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vMerge w:val="restart"/>
            <w:noWrap w:val="0"/>
            <w:vAlign w:val="center"/>
          </w:tcPr>
          <w:p w14:paraId="41618125">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联系方式</w:t>
            </w:r>
          </w:p>
        </w:tc>
        <w:tc>
          <w:tcPr>
            <w:tcW w:w="1077" w:type="dxa"/>
            <w:noWrap w:val="0"/>
            <w:vAlign w:val="center"/>
          </w:tcPr>
          <w:p w14:paraId="56E423BE">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联系人</w:t>
            </w:r>
          </w:p>
        </w:tc>
        <w:tc>
          <w:tcPr>
            <w:tcW w:w="3055" w:type="dxa"/>
            <w:gridSpan w:val="2"/>
            <w:noWrap w:val="0"/>
            <w:vAlign w:val="center"/>
          </w:tcPr>
          <w:p w14:paraId="7FBD2BAC">
            <w:pPr>
              <w:spacing w:line="300" w:lineRule="exact"/>
              <w:rPr>
                <w:rFonts w:hint="eastAsia" w:ascii="宋体" w:hAnsi="宋体" w:eastAsia="宋体" w:cs="宋体"/>
                <w:b w:val="0"/>
                <w:sz w:val="21"/>
                <w:szCs w:val="21"/>
                <w:highlight w:val="none"/>
              </w:rPr>
            </w:pPr>
          </w:p>
        </w:tc>
        <w:tc>
          <w:tcPr>
            <w:tcW w:w="1089" w:type="dxa"/>
            <w:noWrap w:val="0"/>
            <w:vAlign w:val="center"/>
          </w:tcPr>
          <w:p w14:paraId="5D94D7CF">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2331" w:type="dxa"/>
            <w:gridSpan w:val="2"/>
            <w:noWrap w:val="0"/>
            <w:vAlign w:val="center"/>
          </w:tcPr>
          <w:p w14:paraId="52F4ED23">
            <w:pPr>
              <w:spacing w:line="300" w:lineRule="exact"/>
              <w:rPr>
                <w:rFonts w:hint="eastAsia" w:ascii="宋体" w:hAnsi="宋体" w:eastAsia="宋体" w:cs="宋体"/>
                <w:b w:val="0"/>
                <w:sz w:val="21"/>
                <w:szCs w:val="21"/>
                <w:highlight w:val="none"/>
              </w:rPr>
            </w:pPr>
          </w:p>
        </w:tc>
      </w:tr>
      <w:tr w14:paraId="088A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Merge w:val="continue"/>
            <w:noWrap w:val="0"/>
            <w:vAlign w:val="center"/>
          </w:tcPr>
          <w:p w14:paraId="09EC15FA">
            <w:pPr>
              <w:spacing w:line="300" w:lineRule="exact"/>
              <w:rPr>
                <w:rFonts w:hint="eastAsia" w:ascii="宋体" w:hAnsi="宋体" w:eastAsia="宋体" w:cs="宋体"/>
                <w:b w:val="0"/>
                <w:sz w:val="21"/>
                <w:szCs w:val="21"/>
                <w:highlight w:val="none"/>
              </w:rPr>
            </w:pPr>
          </w:p>
        </w:tc>
        <w:tc>
          <w:tcPr>
            <w:tcW w:w="1077" w:type="dxa"/>
            <w:noWrap w:val="0"/>
            <w:vAlign w:val="center"/>
          </w:tcPr>
          <w:p w14:paraId="7E02A8B0">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传真</w:t>
            </w:r>
          </w:p>
        </w:tc>
        <w:tc>
          <w:tcPr>
            <w:tcW w:w="3055" w:type="dxa"/>
            <w:gridSpan w:val="2"/>
            <w:noWrap w:val="0"/>
            <w:vAlign w:val="center"/>
          </w:tcPr>
          <w:p w14:paraId="0E365079">
            <w:pPr>
              <w:spacing w:line="300" w:lineRule="exact"/>
              <w:rPr>
                <w:rFonts w:hint="eastAsia" w:ascii="宋体" w:hAnsi="宋体" w:eastAsia="宋体" w:cs="宋体"/>
                <w:b w:val="0"/>
                <w:sz w:val="21"/>
                <w:szCs w:val="21"/>
                <w:highlight w:val="none"/>
              </w:rPr>
            </w:pPr>
          </w:p>
        </w:tc>
        <w:tc>
          <w:tcPr>
            <w:tcW w:w="1089" w:type="dxa"/>
            <w:noWrap w:val="0"/>
            <w:vAlign w:val="center"/>
          </w:tcPr>
          <w:p w14:paraId="10596034">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网址</w:t>
            </w:r>
          </w:p>
        </w:tc>
        <w:tc>
          <w:tcPr>
            <w:tcW w:w="2331" w:type="dxa"/>
            <w:gridSpan w:val="2"/>
            <w:noWrap w:val="0"/>
            <w:vAlign w:val="center"/>
          </w:tcPr>
          <w:p w14:paraId="78B902A3">
            <w:pPr>
              <w:spacing w:line="300" w:lineRule="exact"/>
              <w:rPr>
                <w:rFonts w:hint="eastAsia" w:ascii="宋体" w:hAnsi="宋体" w:eastAsia="宋体" w:cs="宋体"/>
                <w:b w:val="0"/>
                <w:sz w:val="21"/>
                <w:szCs w:val="21"/>
                <w:highlight w:val="none"/>
              </w:rPr>
            </w:pPr>
          </w:p>
        </w:tc>
      </w:tr>
      <w:tr w14:paraId="5785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14:paraId="18D6691D">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组织结构</w:t>
            </w:r>
          </w:p>
        </w:tc>
        <w:tc>
          <w:tcPr>
            <w:tcW w:w="7552" w:type="dxa"/>
            <w:gridSpan w:val="6"/>
            <w:noWrap w:val="0"/>
            <w:vAlign w:val="center"/>
          </w:tcPr>
          <w:p w14:paraId="25A8B535">
            <w:pPr>
              <w:spacing w:line="300" w:lineRule="exact"/>
              <w:rPr>
                <w:rFonts w:hint="eastAsia" w:ascii="宋体" w:hAnsi="宋体" w:eastAsia="宋体" w:cs="宋体"/>
                <w:b w:val="0"/>
                <w:sz w:val="21"/>
                <w:szCs w:val="21"/>
                <w:highlight w:val="none"/>
              </w:rPr>
            </w:pPr>
          </w:p>
        </w:tc>
      </w:tr>
      <w:tr w14:paraId="711C5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noWrap w:val="0"/>
            <w:vAlign w:val="center"/>
          </w:tcPr>
          <w:p w14:paraId="1869E19C">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p>
        </w:tc>
        <w:tc>
          <w:tcPr>
            <w:tcW w:w="1077" w:type="dxa"/>
            <w:noWrap w:val="0"/>
            <w:vAlign w:val="center"/>
          </w:tcPr>
          <w:p w14:paraId="3DE8195D">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p>
        </w:tc>
        <w:tc>
          <w:tcPr>
            <w:tcW w:w="1803" w:type="dxa"/>
            <w:noWrap w:val="0"/>
            <w:vAlign w:val="center"/>
          </w:tcPr>
          <w:p w14:paraId="450CD5F3">
            <w:pPr>
              <w:spacing w:line="300" w:lineRule="exact"/>
              <w:rPr>
                <w:rFonts w:hint="eastAsia" w:ascii="宋体" w:hAnsi="宋体" w:eastAsia="宋体" w:cs="宋体"/>
                <w:b w:val="0"/>
                <w:sz w:val="21"/>
                <w:szCs w:val="21"/>
                <w:highlight w:val="none"/>
              </w:rPr>
            </w:pPr>
          </w:p>
        </w:tc>
        <w:tc>
          <w:tcPr>
            <w:tcW w:w="1252" w:type="dxa"/>
            <w:noWrap w:val="0"/>
            <w:vAlign w:val="center"/>
          </w:tcPr>
          <w:p w14:paraId="535B945B">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技术职称</w:t>
            </w:r>
          </w:p>
        </w:tc>
        <w:tc>
          <w:tcPr>
            <w:tcW w:w="1089" w:type="dxa"/>
            <w:noWrap w:val="0"/>
            <w:vAlign w:val="center"/>
          </w:tcPr>
          <w:p w14:paraId="104AAEC8">
            <w:pPr>
              <w:spacing w:line="300" w:lineRule="exact"/>
              <w:rPr>
                <w:rFonts w:hint="eastAsia" w:ascii="宋体" w:hAnsi="宋体" w:eastAsia="宋体" w:cs="宋体"/>
                <w:b w:val="0"/>
                <w:sz w:val="21"/>
                <w:szCs w:val="21"/>
                <w:highlight w:val="none"/>
              </w:rPr>
            </w:pPr>
          </w:p>
        </w:tc>
        <w:tc>
          <w:tcPr>
            <w:tcW w:w="900" w:type="dxa"/>
            <w:noWrap w:val="0"/>
            <w:vAlign w:val="center"/>
          </w:tcPr>
          <w:p w14:paraId="61207995">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1431" w:type="dxa"/>
            <w:noWrap w:val="0"/>
            <w:vAlign w:val="center"/>
          </w:tcPr>
          <w:p w14:paraId="39B59D2A">
            <w:pPr>
              <w:spacing w:line="300" w:lineRule="exact"/>
              <w:rPr>
                <w:rFonts w:hint="eastAsia" w:ascii="宋体" w:hAnsi="宋体" w:eastAsia="宋体" w:cs="宋体"/>
                <w:b w:val="0"/>
                <w:sz w:val="21"/>
                <w:szCs w:val="21"/>
                <w:highlight w:val="none"/>
              </w:rPr>
            </w:pPr>
          </w:p>
        </w:tc>
      </w:tr>
      <w:tr w14:paraId="0173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noWrap w:val="0"/>
            <w:vAlign w:val="center"/>
          </w:tcPr>
          <w:p w14:paraId="25BC277B">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技术负责人</w:t>
            </w:r>
          </w:p>
        </w:tc>
        <w:tc>
          <w:tcPr>
            <w:tcW w:w="1077" w:type="dxa"/>
            <w:noWrap w:val="0"/>
            <w:vAlign w:val="center"/>
          </w:tcPr>
          <w:p w14:paraId="34362344">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p>
        </w:tc>
        <w:tc>
          <w:tcPr>
            <w:tcW w:w="1803" w:type="dxa"/>
            <w:noWrap w:val="0"/>
            <w:vAlign w:val="center"/>
          </w:tcPr>
          <w:p w14:paraId="20B38A8A">
            <w:pPr>
              <w:spacing w:line="300" w:lineRule="exact"/>
              <w:rPr>
                <w:rFonts w:hint="eastAsia" w:ascii="宋体" w:hAnsi="宋体" w:eastAsia="宋体" w:cs="宋体"/>
                <w:b w:val="0"/>
                <w:sz w:val="21"/>
                <w:szCs w:val="21"/>
                <w:highlight w:val="none"/>
              </w:rPr>
            </w:pPr>
          </w:p>
        </w:tc>
        <w:tc>
          <w:tcPr>
            <w:tcW w:w="1252" w:type="dxa"/>
            <w:noWrap w:val="0"/>
            <w:vAlign w:val="center"/>
          </w:tcPr>
          <w:p w14:paraId="76C826FC">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技术职称</w:t>
            </w:r>
          </w:p>
        </w:tc>
        <w:tc>
          <w:tcPr>
            <w:tcW w:w="1089" w:type="dxa"/>
            <w:noWrap w:val="0"/>
            <w:vAlign w:val="center"/>
          </w:tcPr>
          <w:p w14:paraId="3A4ACCDB">
            <w:pPr>
              <w:spacing w:line="300" w:lineRule="exact"/>
              <w:rPr>
                <w:rFonts w:hint="eastAsia" w:ascii="宋体" w:hAnsi="宋体" w:eastAsia="宋体" w:cs="宋体"/>
                <w:b w:val="0"/>
                <w:sz w:val="21"/>
                <w:szCs w:val="21"/>
                <w:highlight w:val="none"/>
              </w:rPr>
            </w:pPr>
          </w:p>
        </w:tc>
        <w:tc>
          <w:tcPr>
            <w:tcW w:w="900" w:type="dxa"/>
            <w:noWrap w:val="0"/>
            <w:vAlign w:val="center"/>
          </w:tcPr>
          <w:p w14:paraId="40F6D5A0">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1431" w:type="dxa"/>
            <w:noWrap w:val="0"/>
            <w:vAlign w:val="center"/>
          </w:tcPr>
          <w:p w14:paraId="047B0F71">
            <w:pPr>
              <w:spacing w:line="300" w:lineRule="exact"/>
              <w:rPr>
                <w:rFonts w:hint="eastAsia" w:ascii="宋体" w:hAnsi="宋体" w:eastAsia="宋体" w:cs="宋体"/>
                <w:b w:val="0"/>
                <w:sz w:val="21"/>
                <w:szCs w:val="21"/>
                <w:highlight w:val="none"/>
              </w:rPr>
            </w:pPr>
          </w:p>
        </w:tc>
      </w:tr>
      <w:tr w14:paraId="308B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14:paraId="47F88FE8">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成立时间</w:t>
            </w:r>
          </w:p>
        </w:tc>
        <w:tc>
          <w:tcPr>
            <w:tcW w:w="7552" w:type="dxa"/>
            <w:gridSpan w:val="6"/>
            <w:noWrap w:val="0"/>
            <w:vAlign w:val="center"/>
          </w:tcPr>
          <w:p w14:paraId="1C74E1E6">
            <w:pPr>
              <w:spacing w:line="300" w:lineRule="exact"/>
              <w:rPr>
                <w:rFonts w:hint="eastAsia" w:ascii="宋体" w:hAnsi="宋体" w:eastAsia="宋体" w:cs="宋体"/>
                <w:b w:val="0"/>
                <w:sz w:val="21"/>
                <w:szCs w:val="21"/>
                <w:highlight w:val="none"/>
              </w:rPr>
            </w:pPr>
          </w:p>
        </w:tc>
      </w:tr>
      <w:tr w14:paraId="012F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14:paraId="60B8D701">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企业资质等级</w:t>
            </w:r>
          </w:p>
        </w:tc>
        <w:tc>
          <w:tcPr>
            <w:tcW w:w="7552" w:type="dxa"/>
            <w:gridSpan w:val="6"/>
            <w:noWrap w:val="0"/>
            <w:vAlign w:val="center"/>
          </w:tcPr>
          <w:p w14:paraId="3D8BE5B8">
            <w:pPr>
              <w:spacing w:line="300" w:lineRule="exact"/>
              <w:rPr>
                <w:rFonts w:hint="eastAsia" w:ascii="宋体" w:hAnsi="宋体" w:eastAsia="宋体" w:cs="宋体"/>
                <w:b w:val="0"/>
                <w:sz w:val="21"/>
                <w:szCs w:val="21"/>
                <w:highlight w:val="none"/>
              </w:rPr>
            </w:pPr>
          </w:p>
        </w:tc>
      </w:tr>
      <w:tr w14:paraId="5D5A1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noWrap w:val="0"/>
            <w:vAlign w:val="center"/>
          </w:tcPr>
          <w:p w14:paraId="1FF927DE">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营业执照号</w:t>
            </w:r>
          </w:p>
        </w:tc>
        <w:tc>
          <w:tcPr>
            <w:tcW w:w="7552" w:type="dxa"/>
            <w:gridSpan w:val="6"/>
            <w:noWrap w:val="0"/>
            <w:vAlign w:val="center"/>
          </w:tcPr>
          <w:p w14:paraId="63B6BEE8">
            <w:pPr>
              <w:spacing w:line="300" w:lineRule="exact"/>
              <w:rPr>
                <w:rFonts w:hint="eastAsia" w:ascii="宋体" w:hAnsi="宋体" w:eastAsia="宋体" w:cs="宋体"/>
                <w:b w:val="0"/>
                <w:sz w:val="21"/>
                <w:szCs w:val="21"/>
                <w:highlight w:val="none"/>
              </w:rPr>
            </w:pPr>
          </w:p>
        </w:tc>
      </w:tr>
      <w:tr w14:paraId="609C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noWrap w:val="0"/>
            <w:vAlign w:val="center"/>
          </w:tcPr>
          <w:p w14:paraId="423A31E2">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注册资金</w:t>
            </w:r>
          </w:p>
        </w:tc>
        <w:tc>
          <w:tcPr>
            <w:tcW w:w="7552" w:type="dxa"/>
            <w:gridSpan w:val="6"/>
            <w:noWrap w:val="0"/>
            <w:vAlign w:val="center"/>
          </w:tcPr>
          <w:p w14:paraId="3676E526">
            <w:pPr>
              <w:spacing w:line="300" w:lineRule="exact"/>
              <w:rPr>
                <w:rFonts w:hint="eastAsia" w:ascii="宋体" w:hAnsi="宋体" w:eastAsia="宋体" w:cs="宋体"/>
                <w:b w:val="0"/>
                <w:sz w:val="21"/>
                <w:szCs w:val="21"/>
                <w:highlight w:val="none"/>
              </w:rPr>
            </w:pPr>
          </w:p>
        </w:tc>
      </w:tr>
      <w:tr w14:paraId="43A94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noWrap w:val="0"/>
            <w:vAlign w:val="center"/>
          </w:tcPr>
          <w:p w14:paraId="4DA7A4B4">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开户银行</w:t>
            </w:r>
          </w:p>
        </w:tc>
        <w:tc>
          <w:tcPr>
            <w:tcW w:w="7552" w:type="dxa"/>
            <w:gridSpan w:val="6"/>
            <w:noWrap w:val="0"/>
            <w:vAlign w:val="center"/>
          </w:tcPr>
          <w:p w14:paraId="79528DF2">
            <w:pPr>
              <w:spacing w:line="300" w:lineRule="exact"/>
              <w:rPr>
                <w:rFonts w:hint="eastAsia" w:ascii="宋体" w:hAnsi="宋体" w:eastAsia="宋体" w:cs="宋体"/>
                <w:b w:val="0"/>
                <w:sz w:val="21"/>
                <w:szCs w:val="21"/>
                <w:highlight w:val="none"/>
              </w:rPr>
            </w:pPr>
          </w:p>
        </w:tc>
      </w:tr>
      <w:tr w14:paraId="35743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noWrap w:val="0"/>
            <w:vAlign w:val="center"/>
          </w:tcPr>
          <w:p w14:paraId="73588401">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账号</w:t>
            </w:r>
          </w:p>
        </w:tc>
        <w:tc>
          <w:tcPr>
            <w:tcW w:w="7552" w:type="dxa"/>
            <w:gridSpan w:val="6"/>
            <w:noWrap w:val="0"/>
            <w:vAlign w:val="center"/>
          </w:tcPr>
          <w:p w14:paraId="011349DF">
            <w:pPr>
              <w:spacing w:line="300" w:lineRule="exact"/>
              <w:rPr>
                <w:rFonts w:hint="eastAsia" w:ascii="宋体" w:hAnsi="宋体" w:eastAsia="宋体" w:cs="宋体"/>
                <w:b w:val="0"/>
                <w:sz w:val="21"/>
                <w:szCs w:val="21"/>
                <w:highlight w:val="none"/>
              </w:rPr>
            </w:pPr>
          </w:p>
        </w:tc>
      </w:tr>
      <w:tr w14:paraId="62611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1980" w:type="dxa"/>
            <w:noWrap w:val="0"/>
            <w:vAlign w:val="center"/>
          </w:tcPr>
          <w:p w14:paraId="1FDF9D59">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经营范围备注</w:t>
            </w:r>
          </w:p>
        </w:tc>
        <w:tc>
          <w:tcPr>
            <w:tcW w:w="7552" w:type="dxa"/>
            <w:gridSpan w:val="6"/>
            <w:noWrap w:val="0"/>
            <w:vAlign w:val="center"/>
          </w:tcPr>
          <w:p w14:paraId="4AD77441">
            <w:pPr>
              <w:spacing w:line="300" w:lineRule="exact"/>
              <w:ind w:firstLine="420" w:firstLineChars="200"/>
              <w:rPr>
                <w:rFonts w:hint="eastAsia" w:ascii="宋体" w:hAnsi="宋体" w:eastAsia="宋体" w:cs="宋体"/>
                <w:b w:val="0"/>
                <w:sz w:val="21"/>
                <w:szCs w:val="21"/>
                <w:highlight w:val="none"/>
              </w:rPr>
            </w:pPr>
          </w:p>
        </w:tc>
      </w:tr>
    </w:tbl>
    <w:p w14:paraId="0CE35A3B">
      <w:pPr>
        <w:spacing w:line="360" w:lineRule="auto"/>
        <w:jc w:val="left"/>
        <w:rPr>
          <w:rFonts w:hint="eastAsia" w:ascii="宋体" w:hAnsi="宋体" w:eastAsia="宋体" w:cs="宋体"/>
          <w:b w:val="0"/>
          <w:sz w:val="21"/>
          <w:szCs w:val="21"/>
          <w:highlight w:val="none"/>
        </w:rPr>
        <w:sectPr>
          <w:pgSz w:w="11906" w:h="16838"/>
          <w:pgMar w:top="1418" w:right="1134" w:bottom="1418" w:left="1134" w:header="851" w:footer="992" w:gutter="0"/>
          <w:pgNumType w:fmt="decimal"/>
          <w:cols w:space="720" w:num="1"/>
          <w:docGrid w:type="lines" w:linePitch="312" w:charSpace="0"/>
        </w:sectPr>
      </w:pPr>
      <w:r>
        <w:rPr>
          <w:rFonts w:hint="eastAsia" w:ascii="宋体" w:hAnsi="宋体" w:eastAsia="宋体" w:cs="宋体"/>
          <w:b w:val="0"/>
          <w:sz w:val="21"/>
          <w:szCs w:val="21"/>
          <w:highlight w:val="none"/>
        </w:rPr>
        <w:t>后附：企业营业执照等</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认为有必要提供的证明材料复印件盖公章</w:t>
      </w:r>
    </w:p>
    <w:p w14:paraId="7F0F80E0">
      <w:pPr>
        <w:outlineLvl w:val="9"/>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w:t>
      </w:r>
      <w:r>
        <w:rPr>
          <w:rFonts w:hint="eastAsia" w:ascii="宋体" w:hAnsi="宋体" w:cs="宋体"/>
          <w:b w:val="0"/>
          <w:sz w:val="21"/>
          <w:szCs w:val="21"/>
          <w:highlight w:val="none"/>
          <w:lang w:val="en-US" w:eastAsia="zh-CN"/>
        </w:rPr>
        <w:t>二</w:t>
      </w:r>
      <w:r>
        <w:rPr>
          <w:rFonts w:hint="eastAsia" w:ascii="宋体" w:hAnsi="宋体" w:cs="宋体"/>
          <w:b w:val="0"/>
          <w:sz w:val="21"/>
          <w:szCs w:val="21"/>
          <w:highlight w:val="none"/>
          <w:lang w:eastAsia="zh-CN"/>
        </w:rPr>
        <w:t>）</w:t>
      </w:r>
      <w:r>
        <w:rPr>
          <w:rFonts w:hint="eastAsia" w:ascii="宋体" w:hAnsi="宋体" w:eastAsia="宋体" w:cs="宋体"/>
          <w:b w:val="0"/>
          <w:sz w:val="21"/>
          <w:szCs w:val="21"/>
          <w:highlight w:val="none"/>
        </w:rPr>
        <w:t>近年完成的类似项目情况表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6582"/>
      </w:tblGrid>
      <w:tr w14:paraId="4CE57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195DC08A">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项目名称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28909473">
            <w:pPr>
              <w:spacing w:line="300" w:lineRule="exact"/>
              <w:ind w:left="-10" w:leftChars="-5" w:firstLine="2" w:firstLineChars="1"/>
              <w:rPr>
                <w:rFonts w:hint="eastAsia" w:ascii="宋体" w:hAnsi="宋体" w:eastAsia="宋体" w:cs="宋体"/>
                <w:b w:val="0"/>
                <w:sz w:val="21"/>
                <w:szCs w:val="21"/>
                <w:highlight w:val="none"/>
              </w:rPr>
            </w:pPr>
          </w:p>
        </w:tc>
      </w:tr>
      <w:tr w14:paraId="0243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1CCC4CD6">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项目所在地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3011B4CF">
            <w:pPr>
              <w:spacing w:line="300" w:lineRule="exact"/>
              <w:ind w:left="-10" w:leftChars="-5" w:firstLine="2" w:firstLineChars="1"/>
              <w:rPr>
                <w:rFonts w:hint="eastAsia" w:ascii="宋体" w:hAnsi="宋体" w:eastAsia="宋体" w:cs="宋体"/>
                <w:b w:val="0"/>
                <w:sz w:val="21"/>
                <w:szCs w:val="21"/>
                <w:highlight w:val="none"/>
              </w:rPr>
            </w:pPr>
          </w:p>
        </w:tc>
      </w:tr>
      <w:tr w14:paraId="7C6B3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6685EE22">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发包人名称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6234DAFF">
            <w:pPr>
              <w:spacing w:line="300" w:lineRule="exact"/>
              <w:ind w:left="-10" w:leftChars="-5" w:firstLine="2" w:firstLineChars="1"/>
              <w:rPr>
                <w:rFonts w:hint="eastAsia" w:ascii="宋体" w:hAnsi="宋体" w:eastAsia="宋体" w:cs="宋体"/>
                <w:b w:val="0"/>
                <w:sz w:val="21"/>
                <w:szCs w:val="21"/>
                <w:highlight w:val="none"/>
              </w:rPr>
            </w:pPr>
          </w:p>
        </w:tc>
      </w:tr>
      <w:tr w14:paraId="1D01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0D168D1B">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发包人地址</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4170E52F">
            <w:pPr>
              <w:spacing w:line="300" w:lineRule="exact"/>
              <w:ind w:left="-10" w:leftChars="-5" w:firstLine="2" w:firstLineChars="1"/>
              <w:rPr>
                <w:rFonts w:hint="eastAsia" w:ascii="宋体" w:hAnsi="宋体" w:eastAsia="宋体" w:cs="宋体"/>
                <w:b w:val="0"/>
                <w:sz w:val="21"/>
                <w:szCs w:val="21"/>
                <w:highlight w:val="none"/>
              </w:rPr>
            </w:pPr>
          </w:p>
        </w:tc>
      </w:tr>
      <w:tr w14:paraId="1540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02070A0F">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发包人电话</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34CE2434">
            <w:pPr>
              <w:spacing w:line="300" w:lineRule="exact"/>
              <w:ind w:left="-10" w:leftChars="-5" w:firstLine="2" w:firstLineChars="1"/>
              <w:rPr>
                <w:rFonts w:hint="eastAsia" w:ascii="宋体" w:hAnsi="宋体" w:eastAsia="宋体" w:cs="宋体"/>
                <w:b w:val="0"/>
                <w:sz w:val="21"/>
                <w:szCs w:val="21"/>
                <w:highlight w:val="none"/>
              </w:rPr>
            </w:pPr>
          </w:p>
        </w:tc>
      </w:tr>
      <w:tr w14:paraId="08781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281543B0">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合同价格</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077D99EF">
            <w:pPr>
              <w:spacing w:line="300" w:lineRule="exact"/>
              <w:ind w:left="-10" w:leftChars="-5" w:firstLine="2" w:firstLineChars="1"/>
              <w:rPr>
                <w:rFonts w:hint="eastAsia" w:ascii="宋体" w:hAnsi="宋体" w:eastAsia="宋体" w:cs="宋体"/>
                <w:b w:val="0"/>
                <w:sz w:val="21"/>
                <w:szCs w:val="21"/>
                <w:highlight w:val="none"/>
              </w:rPr>
            </w:pPr>
          </w:p>
        </w:tc>
      </w:tr>
      <w:tr w14:paraId="7E9B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4F5DD290">
            <w:pPr>
              <w:spacing w:line="300" w:lineRule="exact"/>
              <w:rPr>
                <w:rFonts w:hint="default" w:ascii="宋体" w:hAnsi="宋体" w:eastAsia="宋体" w:cs="宋体"/>
                <w:b w:val="0"/>
                <w:sz w:val="21"/>
                <w:szCs w:val="21"/>
                <w:highlight w:val="none"/>
                <w:lang w:val="en-US" w:eastAsia="zh-CN"/>
              </w:rPr>
            </w:pPr>
            <w:r>
              <w:rPr>
                <w:rFonts w:hint="eastAsia" w:ascii="宋体" w:hAnsi="宋体" w:cs="宋体"/>
                <w:sz w:val="21"/>
                <w:szCs w:val="21"/>
                <w:highlight w:val="none"/>
                <w:lang w:val="en-US" w:eastAsia="zh-CN"/>
              </w:rPr>
              <w:t>合同履行期限</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46731067">
            <w:pPr>
              <w:spacing w:line="300" w:lineRule="exact"/>
              <w:ind w:left="-10" w:leftChars="-5" w:firstLine="2" w:firstLineChars="1"/>
              <w:rPr>
                <w:rFonts w:hint="eastAsia" w:ascii="宋体" w:hAnsi="宋体" w:eastAsia="宋体" w:cs="宋体"/>
                <w:b w:val="0"/>
                <w:sz w:val="21"/>
                <w:szCs w:val="21"/>
                <w:highlight w:val="none"/>
              </w:rPr>
            </w:pPr>
          </w:p>
        </w:tc>
      </w:tr>
      <w:tr w14:paraId="6C8A0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147C8FCC">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承担的工作</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30837D8E">
            <w:pPr>
              <w:spacing w:line="300" w:lineRule="exact"/>
              <w:ind w:left="-10" w:leftChars="-5" w:firstLine="2" w:firstLineChars="1"/>
              <w:rPr>
                <w:rFonts w:hint="eastAsia" w:ascii="宋体" w:hAnsi="宋体" w:eastAsia="宋体" w:cs="宋体"/>
                <w:b w:val="0"/>
                <w:sz w:val="21"/>
                <w:szCs w:val="21"/>
                <w:highlight w:val="none"/>
              </w:rPr>
            </w:pPr>
          </w:p>
        </w:tc>
      </w:tr>
      <w:tr w14:paraId="647E0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5316B1E4">
            <w:pPr>
              <w:spacing w:line="300" w:lineRule="exact"/>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完成情况</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0FAA78C1">
            <w:pPr>
              <w:spacing w:line="300" w:lineRule="exact"/>
              <w:ind w:left="-10" w:leftChars="-5" w:firstLine="2" w:firstLineChars="1"/>
              <w:rPr>
                <w:rFonts w:hint="eastAsia" w:ascii="宋体" w:hAnsi="宋体" w:eastAsia="宋体" w:cs="宋体"/>
                <w:b w:val="0"/>
                <w:sz w:val="21"/>
                <w:szCs w:val="21"/>
                <w:highlight w:val="none"/>
              </w:rPr>
            </w:pPr>
          </w:p>
        </w:tc>
      </w:tr>
      <w:tr w14:paraId="7721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79947487">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项目描述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2B881523">
            <w:pPr>
              <w:spacing w:line="300" w:lineRule="exact"/>
              <w:ind w:left="-10" w:leftChars="-5" w:firstLine="2" w:firstLineChars="1"/>
              <w:rPr>
                <w:rFonts w:hint="eastAsia" w:ascii="宋体" w:hAnsi="宋体" w:eastAsia="宋体" w:cs="宋体"/>
                <w:b w:val="0"/>
                <w:sz w:val="21"/>
                <w:szCs w:val="21"/>
                <w:highlight w:val="none"/>
              </w:rPr>
            </w:pPr>
          </w:p>
        </w:tc>
      </w:tr>
      <w:tr w14:paraId="70C1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3C56537C">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备注</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63DD1DE5">
            <w:pPr>
              <w:spacing w:line="300" w:lineRule="exact"/>
              <w:ind w:left="-13" w:leftChars="-6"/>
              <w:rPr>
                <w:rFonts w:hint="eastAsia" w:ascii="宋体" w:hAnsi="宋体" w:eastAsia="宋体" w:cs="宋体"/>
                <w:b w:val="0"/>
                <w:sz w:val="21"/>
                <w:szCs w:val="21"/>
                <w:highlight w:val="none"/>
              </w:rPr>
            </w:pPr>
          </w:p>
        </w:tc>
      </w:tr>
    </w:tbl>
    <w:p w14:paraId="024B6BE8">
      <w:pPr>
        <w:autoSpaceDE w:val="0"/>
        <w:autoSpaceDN w:val="0"/>
        <w:adjustRightInd w:val="0"/>
        <w:spacing w:line="276" w:lineRule="auto"/>
        <w:jc w:val="both"/>
        <w:rPr>
          <w:rFonts w:hint="eastAsia" w:ascii="宋体" w:hAnsi="宋体" w:eastAsia="宋体" w:cs="宋体"/>
          <w:b w:val="0"/>
          <w:sz w:val="21"/>
          <w:szCs w:val="21"/>
          <w:highlight w:val="none"/>
        </w:rPr>
        <w:sectPr>
          <w:pgSz w:w="11906" w:h="16838"/>
          <w:pgMar w:top="1418" w:right="1134" w:bottom="1418" w:left="1134" w:header="851" w:footer="992" w:gutter="0"/>
          <w:pgNumType w:fmt="decimal"/>
          <w:cols w:space="720" w:num="1"/>
          <w:docGrid w:type="lines" w:linePitch="312" w:charSpace="0"/>
        </w:sectPr>
      </w:pPr>
      <w:r>
        <w:rPr>
          <w:rFonts w:hint="eastAsia" w:ascii="宋体" w:hAnsi="宋体" w:eastAsia="宋体" w:cs="宋体"/>
          <w:b w:val="0"/>
          <w:sz w:val="21"/>
          <w:szCs w:val="21"/>
          <w:highlight w:val="none"/>
        </w:rPr>
        <w:t>后附：</w:t>
      </w:r>
      <w:r>
        <w:rPr>
          <w:rFonts w:hint="eastAsia" w:ascii="宋体" w:hAnsi="宋体" w:cs="宋体"/>
          <w:b w:val="0"/>
          <w:kern w:val="2"/>
          <w:sz w:val="21"/>
          <w:szCs w:val="21"/>
          <w:highlight w:val="none"/>
          <w:lang w:val="en-US" w:eastAsia="zh-CN" w:bidi="ar-SA"/>
        </w:rPr>
        <w:t>提供中标通知书或合同协议书或其他相关证明材料</w:t>
      </w:r>
      <w:r>
        <w:rPr>
          <w:rFonts w:hint="eastAsia" w:ascii="宋体" w:hAnsi="宋体" w:eastAsia="宋体" w:cs="宋体"/>
          <w:b w:val="0"/>
          <w:sz w:val="21"/>
          <w:szCs w:val="21"/>
          <w:highlight w:val="none"/>
        </w:rPr>
        <w:t>复印件加盖单位公章。</w:t>
      </w:r>
    </w:p>
    <w:p w14:paraId="3899EEED">
      <w:pPr>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w:t>
      </w:r>
      <w:r>
        <w:rPr>
          <w:rFonts w:hint="eastAsia" w:ascii="宋体" w:hAnsi="宋体" w:cs="宋体"/>
          <w:b w:val="0"/>
          <w:sz w:val="21"/>
          <w:szCs w:val="21"/>
          <w:highlight w:val="none"/>
          <w:lang w:val="en-US" w:eastAsia="zh-CN"/>
        </w:rPr>
        <w:t>三</w:t>
      </w:r>
      <w:r>
        <w:rPr>
          <w:rFonts w:hint="eastAsia" w:ascii="宋体" w:hAnsi="宋体" w:eastAsia="宋体" w:cs="宋体"/>
          <w:b w:val="0"/>
          <w:sz w:val="21"/>
          <w:szCs w:val="21"/>
          <w:highlight w:val="none"/>
        </w:rPr>
        <w:t xml:space="preserve">）近年发生的诉讼及仲裁情况 </w:t>
      </w:r>
    </w:p>
    <w:p w14:paraId="275744B0">
      <w:pPr>
        <w:rPr>
          <w:rFonts w:hint="eastAsia" w:ascii="宋体" w:hAnsi="宋体" w:eastAsia="宋体" w:cs="宋体"/>
          <w:highlight w:val="none"/>
        </w:rPr>
      </w:pPr>
      <w:bookmarkStart w:id="58" w:name="_Toc184635148"/>
      <w:bookmarkStart w:id="59" w:name="_Toc382396580"/>
      <w:r>
        <w:rPr>
          <w:rFonts w:hint="eastAsia" w:ascii="宋体" w:hAnsi="宋体" w:eastAsia="宋体" w:cs="宋体"/>
          <w:sz w:val="21"/>
          <w:szCs w:val="21"/>
          <w:highlight w:val="none"/>
        </w:rPr>
        <w:br w:type="page"/>
      </w:r>
    </w:p>
    <w:p w14:paraId="27B5BD93">
      <w:pPr>
        <w:spacing w:line="480" w:lineRule="auto"/>
        <w:jc w:val="center"/>
        <w:rPr>
          <w:rFonts w:hint="eastAsia" w:ascii="宋体" w:hAnsi="宋体" w:eastAsia="宋体" w:cs="宋体"/>
          <w:b/>
          <w:bCs/>
          <w:color w:val="auto"/>
          <w:szCs w:val="21"/>
          <w:highlight w:val="none"/>
          <w:lang w:eastAsia="zh-CN"/>
        </w:rPr>
      </w:pPr>
      <w:bookmarkStart w:id="60" w:name="_Toc31214"/>
      <w:r>
        <w:rPr>
          <w:rFonts w:hint="eastAsia" w:ascii="宋体" w:hAnsi="宋体" w:eastAsia="宋体" w:cs="宋体"/>
          <w:b/>
          <w:bCs/>
          <w:color w:val="auto"/>
          <w:szCs w:val="21"/>
          <w:highlight w:val="none"/>
          <w:lang w:eastAsia="zh-CN"/>
        </w:rPr>
        <w:t>资格条件承诺函</w:t>
      </w:r>
    </w:p>
    <w:p w14:paraId="3CCA533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致：</w:t>
      </w:r>
      <w:r>
        <w:rPr>
          <w:rFonts w:hint="eastAsia" w:ascii="宋体" w:hAnsi="宋体" w:eastAsia="宋体" w:cs="宋体"/>
          <w:highlight w:val="none"/>
          <w:u w:val="single"/>
          <w:lang w:eastAsia="zh-CN"/>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lang w:eastAsia="zh-CN"/>
        </w:rPr>
        <w:t xml:space="preserve"> </w:t>
      </w:r>
      <w:r>
        <w:rPr>
          <w:rFonts w:hint="eastAsia" w:ascii="宋体" w:hAnsi="宋体" w:eastAsia="宋体" w:cs="宋体"/>
          <w:highlight w:val="none"/>
          <w:lang w:eastAsia="zh-CN"/>
        </w:rPr>
        <w:t>（采购人、采购代理机构）</w:t>
      </w:r>
    </w:p>
    <w:p w14:paraId="16B3DA38">
      <w:pPr>
        <w:keepNext w:val="0"/>
        <w:keepLines w:val="0"/>
        <w:pageBreakBefore w:val="0"/>
        <w:widowControl w:val="0"/>
        <w:kinsoku/>
        <w:wordWrap/>
        <w:overflowPunct/>
        <w:topLinePunct w:val="0"/>
        <w:autoSpaceDE/>
        <w:autoSpaceDN/>
        <w:bidi w:val="0"/>
        <w:adjustRightInd/>
        <w:snapToGrid/>
        <w:spacing w:line="480" w:lineRule="auto"/>
        <w:ind w:firstLine="630" w:firstLineChars="3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我单位</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（公司）参与</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lang w:eastAsia="zh-CN"/>
        </w:rPr>
        <w:t>（采购项目名称</w:t>
      </w:r>
      <w:r>
        <w:rPr>
          <w:rFonts w:hint="eastAsia" w:ascii="宋体" w:hAnsi="宋体" w:cs="宋体"/>
          <w:highlight w:val="none"/>
          <w:u w:val="single"/>
          <w:lang w:eastAsia="zh-CN"/>
        </w:rPr>
        <w:t>、</w:t>
      </w:r>
      <w:r>
        <w:rPr>
          <w:rFonts w:hint="eastAsia" w:ascii="宋体" w:hAnsi="宋体" w:eastAsia="宋体" w:cs="宋体"/>
          <w:highlight w:val="none"/>
          <w:u w:val="single"/>
          <w:lang w:eastAsia="zh-CN"/>
        </w:rPr>
        <w:t>项目编号）</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eastAsia="zh-CN"/>
        </w:rPr>
        <w:t>采购项目的政府采购活动，现承诺如下：</w:t>
      </w:r>
    </w:p>
    <w:p w14:paraId="7BDDA10C">
      <w:pPr>
        <w:keepNext w:val="0"/>
        <w:keepLines w:val="0"/>
        <w:pageBreakBefore w:val="0"/>
        <w:widowControl w:val="0"/>
        <w:numPr>
          <w:ilvl w:val="0"/>
          <w:numId w:val="21"/>
        </w:numPr>
        <w:kinsoku/>
        <w:wordWrap/>
        <w:overflowPunct/>
        <w:topLinePunct w:val="0"/>
        <w:autoSpaceDE/>
        <w:autoSpaceDN/>
        <w:bidi w:val="0"/>
        <w:adjustRightInd/>
        <w:snapToGrid/>
        <w:spacing w:line="480" w:lineRule="auto"/>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具有良好的商业信誉和健全的财务会计制度；</w:t>
      </w:r>
    </w:p>
    <w:p w14:paraId="5D56C3FF">
      <w:pPr>
        <w:keepNext w:val="0"/>
        <w:keepLines w:val="0"/>
        <w:pageBreakBefore w:val="0"/>
        <w:widowControl w:val="0"/>
        <w:numPr>
          <w:ilvl w:val="0"/>
          <w:numId w:val="21"/>
        </w:numPr>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具有依法缴纳税收的良好记录；</w:t>
      </w:r>
    </w:p>
    <w:p w14:paraId="5DA200D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3.具有依法缴纳社会保障金的良好记录。</w:t>
      </w:r>
    </w:p>
    <w:p w14:paraId="0EFCE84D">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我方在采购项目评审（评标）环节结束后，随时接受采购人、采购代理机构的检查验证，配合提供相关证明材料，证明符合《中华人民共和国政府采购法》规定的供应商基本资格条件。</w:t>
      </w:r>
    </w:p>
    <w:p w14:paraId="4E629107">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我单位（公司）对上述承诺的真实性负责。如有虚假，将依法承担相应责任。</w:t>
      </w:r>
    </w:p>
    <w:p w14:paraId="1233E565">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特此承诺。</w:t>
      </w:r>
    </w:p>
    <w:p w14:paraId="392665D1">
      <w:pPr>
        <w:widowControl/>
        <w:overflowPunct w:val="0"/>
        <w:autoSpaceDE w:val="0"/>
        <w:autoSpaceDN w:val="0"/>
        <w:adjustRightInd w:val="0"/>
        <w:spacing w:line="360" w:lineRule="auto"/>
        <w:ind w:firstLine="530" w:firstLineChars="200"/>
        <w:jc w:val="both"/>
        <w:textAlignment w:val="baseline"/>
        <w:rPr>
          <w:rFonts w:hint="eastAsia" w:ascii="宋体" w:hAnsi="宋体" w:eastAsia="宋体" w:cs="宋体"/>
          <w:b/>
          <w:spacing w:val="12"/>
          <w:kern w:val="0"/>
          <w:sz w:val="24"/>
          <w:szCs w:val="22"/>
          <w:highlight w:val="none"/>
          <w:lang w:val="en-US" w:eastAsia="zh-CN" w:bidi="ar-SA"/>
        </w:rPr>
      </w:pPr>
    </w:p>
    <w:p w14:paraId="360EE571">
      <w:pPr>
        <w:widowControl/>
        <w:overflowPunct w:val="0"/>
        <w:autoSpaceDE w:val="0"/>
        <w:autoSpaceDN w:val="0"/>
        <w:adjustRightInd w:val="0"/>
        <w:spacing w:line="360" w:lineRule="auto"/>
        <w:ind w:firstLine="530" w:firstLineChars="200"/>
        <w:jc w:val="both"/>
        <w:textAlignment w:val="baseline"/>
        <w:rPr>
          <w:rFonts w:hint="eastAsia" w:ascii="宋体" w:hAnsi="宋体" w:eastAsia="宋体" w:cs="宋体"/>
          <w:b/>
          <w:spacing w:val="12"/>
          <w:kern w:val="0"/>
          <w:sz w:val="24"/>
          <w:szCs w:val="22"/>
          <w:highlight w:val="none"/>
          <w:lang w:val="en-US" w:eastAsia="zh-CN" w:bidi="ar-SA"/>
        </w:rPr>
      </w:pPr>
    </w:p>
    <w:p w14:paraId="53CDEEB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盖章：</w:t>
      </w:r>
    </w:p>
    <w:p w14:paraId="5067792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签字：</w:t>
      </w:r>
    </w:p>
    <w:p w14:paraId="74DA2B2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日期：</w:t>
      </w:r>
    </w:p>
    <w:p w14:paraId="6B2049A5">
      <w:pPr>
        <w:tabs>
          <w:tab w:val="left" w:pos="720"/>
        </w:tabs>
        <w:jc w:val="center"/>
        <w:outlineLvl w:val="9"/>
        <w:rPr>
          <w:rFonts w:hint="eastAsia" w:ascii="宋体" w:hAnsi="宋体" w:eastAsia="宋体" w:cs="宋体"/>
          <w:b/>
          <w:bCs/>
          <w:sz w:val="32"/>
          <w:szCs w:val="48"/>
          <w:highlight w:val="none"/>
        </w:rPr>
      </w:pPr>
      <w:r>
        <w:rPr>
          <w:rFonts w:hint="eastAsia" w:ascii="宋体" w:hAnsi="宋体" w:eastAsia="宋体" w:cs="宋体"/>
          <w:szCs w:val="32"/>
          <w:highlight w:val="none"/>
        </w:rPr>
        <w:br w:type="page"/>
      </w:r>
      <w:r>
        <w:rPr>
          <w:rFonts w:hint="eastAsia" w:ascii="宋体" w:hAnsi="宋体" w:eastAsia="宋体" w:cs="宋体"/>
          <w:b/>
          <w:bCs/>
          <w:sz w:val="32"/>
          <w:szCs w:val="48"/>
          <w:highlight w:val="none"/>
        </w:rPr>
        <w:t>九、其他材料</w:t>
      </w:r>
      <w:bookmarkEnd w:id="58"/>
      <w:bookmarkEnd w:id="59"/>
      <w:bookmarkEnd w:id="60"/>
    </w:p>
    <w:p w14:paraId="1198F037">
      <w:pPr>
        <w:autoSpaceDE w:val="0"/>
        <w:autoSpaceDN w:val="0"/>
        <w:adjustRightInd w:val="0"/>
        <w:spacing w:line="600" w:lineRule="exact"/>
        <w:jc w:val="both"/>
        <w:rPr>
          <w:rFonts w:hint="default" w:ascii="宋体" w:hAnsi="宋体" w:eastAsia="宋体" w:cs="宋体"/>
          <w:b/>
          <w:sz w:val="21"/>
          <w:szCs w:val="21"/>
          <w:highlight w:val="none"/>
          <w:lang w:val="en-US" w:eastAsia="zh-CN"/>
        </w:rPr>
      </w:pPr>
      <w:r>
        <w:rPr>
          <w:rFonts w:hint="eastAsia" w:ascii="宋体" w:hAnsi="宋体" w:eastAsia="宋体" w:cs="宋体"/>
          <w:b/>
          <w:sz w:val="21"/>
          <w:szCs w:val="21"/>
          <w:highlight w:val="none"/>
        </w:rPr>
        <w:t>1.信誉良好承诺书（格式自拟）</w:t>
      </w:r>
      <w:r>
        <w:rPr>
          <w:rFonts w:hint="eastAsia" w:ascii="宋体" w:hAnsi="宋体" w:cs="宋体"/>
          <w:b/>
          <w:sz w:val="21"/>
          <w:szCs w:val="21"/>
          <w:highlight w:val="none"/>
          <w:lang w:eastAsia="zh-CN"/>
        </w:rPr>
        <w:t>，</w:t>
      </w:r>
      <w:r>
        <w:rPr>
          <w:rFonts w:hint="eastAsia" w:ascii="宋体" w:hAnsi="宋体" w:cs="宋体"/>
          <w:b/>
          <w:sz w:val="21"/>
          <w:szCs w:val="21"/>
          <w:highlight w:val="none"/>
          <w:lang w:val="en-US" w:eastAsia="zh-CN"/>
        </w:rPr>
        <w:t>后附相关信誉截图并加盖单位公章。</w:t>
      </w:r>
    </w:p>
    <w:p w14:paraId="5E1F07BF">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br w:type="page"/>
      </w:r>
    </w:p>
    <w:p w14:paraId="7ED44967">
      <w:pPr>
        <w:autoSpaceDE w:val="0"/>
        <w:autoSpaceDN w:val="0"/>
        <w:adjustRightInd w:val="0"/>
        <w:spacing w:line="600" w:lineRule="exact"/>
        <w:jc w:val="both"/>
        <w:rPr>
          <w:rFonts w:hint="default" w:ascii="宋体" w:hAnsi="宋体" w:eastAsia="宋体" w:cs="宋体"/>
          <w:b w:val="0"/>
          <w:sz w:val="21"/>
          <w:szCs w:val="21"/>
          <w:highlight w:val="none"/>
          <w:lang w:val="en-US" w:eastAsia="zh-CN"/>
        </w:rPr>
      </w:pPr>
      <w:bookmarkStart w:id="61" w:name="_Toc217869471"/>
      <w:bookmarkStart w:id="62" w:name="_Toc233037955"/>
      <w:r>
        <w:rPr>
          <w:rFonts w:hint="eastAsia" w:ascii="宋体" w:hAnsi="宋体" w:cs="宋体"/>
          <w:b/>
          <w:sz w:val="21"/>
          <w:szCs w:val="21"/>
          <w:highlight w:val="none"/>
          <w:lang w:val="en-US" w:eastAsia="zh-CN"/>
        </w:rPr>
        <w:t>2.</w:t>
      </w:r>
      <w:r>
        <w:rPr>
          <w:rFonts w:hint="eastAsia" w:ascii="宋体" w:hAnsi="宋体" w:eastAsia="宋体" w:cs="宋体"/>
          <w:b/>
          <w:sz w:val="21"/>
          <w:szCs w:val="21"/>
          <w:highlight w:val="none"/>
        </w:rPr>
        <w:t>优惠条件</w:t>
      </w:r>
      <w:bookmarkEnd w:id="61"/>
      <w:bookmarkEnd w:id="62"/>
      <w:r>
        <w:rPr>
          <w:rFonts w:hint="eastAsia" w:ascii="宋体" w:hAnsi="宋体" w:eastAsia="宋体" w:cs="宋体"/>
          <w:b/>
          <w:sz w:val="21"/>
          <w:szCs w:val="21"/>
          <w:highlight w:val="none"/>
        </w:rPr>
        <w:t>及服务承诺</w:t>
      </w:r>
      <w:r>
        <w:rPr>
          <w:rFonts w:hint="eastAsia" w:ascii="宋体" w:hAnsi="宋体" w:eastAsia="宋体" w:cs="宋体"/>
          <w:b/>
          <w:sz w:val="21"/>
          <w:szCs w:val="21"/>
          <w:highlight w:val="none"/>
          <w:lang w:eastAsia="zh-CN"/>
        </w:rPr>
        <w:t>（如有</w:t>
      </w:r>
      <w:r>
        <w:rPr>
          <w:rFonts w:hint="eastAsia" w:ascii="宋体" w:hAnsi="宋体" w:cs="宋体"/>
          <w:b/>
          <w:sz w:val="21"/>
          <w:szCs w:val="21"/>
          <w:highlight w:val="none"/>
          <w:lang w:eastAsia="zh-CN"/>
        </w:rPr>
        <w:t>，</w:t>
      </w:r>
      <w:r>
        <w:rPr>
          <w:rFonts w:hint="eastAsia" w:ascii="宋体" w:hAnsi="宋体" w:cs="宋体"/>
          <w:b/>
          <w:sz w:val="21"/>
          <w:szCs w:val="21"/>
          <w:highlight w:val="none"/>
          <w:lang w:val="en-US" w:eastAsia="zh-CN"/>
        </w:rPr>
        <w:t>格式自拟</w:t>
      </w:r>
      <w:r>
        <w:rPr>
          <w:rFonts w:hint="eastAsia" w:ascii="宋体" w:hAnsi="宋体" w:eastAsia="宋体" w:cs="宋体"/>
          <w:b/>
          <w:sz w:val="21"/>
          <w:szCs w:val="21"/>
          <w:highlight w:val="none"/>
          <w:lang w:eastAsia="zh-CN"/>
        </w:rPr>
        <w:t>）</w:t>
      </w:r>
    </w:p>
    <w:p w14:paraId="31D8B666">
      <w:pPr>
        <w:autoSpaceDE w:val="0"/>
        <w:autoSpaceDN w:val="0"/>
        <w:adjustRightInd w:val="0"/>
        <w:spacing w:line="600" w:lineRule="exact"/>
        <w:jc w:val="both"/>
        <w:rPr>
          <w:rFonts w:hint="eastAsia" w:ascii="宋体" w:hAnsi="宋体" w:eastAsia="宋体" w:cs="宋体"/>
          <w:b w:val="0"/>
          <w:sz w:val="21"/>
          <w:szCs w:val="21"/>
          <w:highlight w:val="none"/>
        </w:rPr>
      </w:pPr>
    </w:p>
    <w:p w14:paraId="7533E857">
      <w:pPr>
        <w:autoSpaceDE w:val="0"/>
        <w:autoSpaceDN w:val="0"/>
        <w:adjustRightInd w:val="0"/>
        <w:spacing w:line="600" w:lineRule="exact"/>
        <w:jc w:val="both"/>
        <w:rPr>
          <w:rFonts w:hint="eastAsia" w:ascii="宋体" w:hAnsi="宋体" w:eastAsia="宋体" w:cs="宋体"/>
          <w:b w:val="0"/>
          <w:sz w:val="21"/>
          <w:szCs w:val="21"/>
          <w:highlight w:val="none"/>
        </w:rPr>
      </w:pPr>
    </w:p>
    <w:p w14:paraId="3F8FC4CD">
      <w:pPr>
        <w:autoSpaceDE w:val="0"/>
        <w:autoSpaceDN w:val="0"/>
        <w:adjustRightInd w:val="0"/>
        <w:spacing w:line="600" w:lineRule="exact"/>
        <w:jc w:val="both"/>
        <w:rPr>
          <w:rFonts w:hint="eastAsia" w:ascii="宋体" w:hAnsi="宋体" w:eastAsia="宋体" w:cs="宋体"/>
          <w:b w:val="0"/>
          <w:sz w:val="21"/>
          <w:szCs w:val="21"/>
          <w:highlight w:val="none"/>
        </w:rPr>
      </w:pPr>
    </w:p>
    <w:p w14:paraId="56D2F7D6">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br w:type="page"/>
      </w:r>
    </w:p>
    <w:p w14:paraId="76CF5B10">
      <w:pPr>
        <w:autoSpaceDE w:val="0"/>
        <w:autoSpaceDN w:val="0"/>
        <w:adjustRightInd w:val="0"/>
        <w:spacing w:line="600" w:lineRule="exact"/>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3</w:t>
      </w:r>
      <w:r>
        <w:rPr>
          <w:rFonts w:hint="eastAsia" w:ascii="宋体" w:hAnsi="宋体" w:eastAsia="宋体" w:cs="宋体"/>
          <w:b/>
          <w:sz w:val="21"/>
          <w:szCs w:val="21"/>
          <w:highlight w:val="none"/>
        </w:rPr>
        <w:t>.</w:t>
      </w:r>
      <w:r>
        <w:rPr>
          <w:rFonts w:hint="eastAsia" w:ascii="宋体" w:hAnsi="宋体" w:eastAsia="宋体" w:cs="宋体"/>
          <w:b/>
          <w:sz w:val="21"/>
          <w:szCs w:val="21"/>
          <w:highlight w:val="none"/>
          <w:lang w:val="en-US" w:eastAsia="zh-CN"/>
        </w:rPr>
        <w:t>磋商</w:t>
      </w:r>
      <w:r>
        <w:rPr>
          <w:rFonts w:hint="eastAsia" w:ascii="宋体" w:hAnsi="宋体" w:eastAsia="宋体" w:cs="宋体"/>
          <w:b/>
          <w:sz w:val="21"/>
          <w:szCs w:val="21"/>
          <w:highlight w:val="none"/>
        </w:rPr>
        <w:t>文件中要求提交的其他证明材料或</w:t>
      </w:r>
      <w:r>
        <w:rPr>
          <w:rFonts w:hint="eastAsia" w:ascii="宋体" w:hAnsi="宋体" w:eastAsia="宋体" w:cs="宋体"/>
          <w:b/>
          <w:sz w:val="21"/>
          <w:szCs w:val="21"/>
          <w:highlight w:val="none"/>
          <w:lang w:eastAsia="zh-CN"/>
        </w:rPr>
        <w:t>供应商</w:t>
      </w:r>
      <w:r>
        <w:rPr>
          <w:rFonts w:hint="eastAsia" w:ascii="宋体" w:hAnsi="宋体" w:eastAsia="宋体" w:cs="宋体"/>
          <w:b/>
          <w:sz w:val="21"/>
          <w:szCs w:val="21"/>
          <w:highlight w:val="none"/>
        </w:rPr>
        <w:t>认为有必要提供的其他证明材料</w:t>
      </w:r>
    </w:p>
    <w:p w14:paraId="66B484D8">
      <w:pPr>
        <w:autoSpaceDE w:val="0"/>
        <w:autoSpaceDN w:val="0"/>
        <w:adjustRightInd w:val="0"/>
        <w:spacing w:line="600" w:lineRule="exact"/>
        <w:jc w:val="both"/>
        <w:rPr>
          <w:rFonts w:hint="eastAsia" w:ascii="宋体" w:hAnsi="宋体" w:eastAsia="宋体" w:cs="宋体"/>
          <w:b w:val="0"/>
          <w:sz w:val="21"/>
          <w:szCs w:val="21"/>
          <w:highlight w:val="none"/>
        </w:rPr>
      </w:pPr>
    </w:p>
    <w:p w14:paraId="176B584A">
      <w:pPr>
        <w:autoSpaceDE w:val="0"/>
        <w:autoSpaceDN w:val="0"/>
        <w:adjustRightInd w:val="0"/>
        <w:spacing w:line="600" w:lineRule="exact"/>
        <w:jc w:val="both"/>
        <w:rPr>
          <w:rFonts w:hint="eastAsia" w:ascii="宋体" w:hAnsi="宋体" w:eastAsia="宋体" w:cs="宋体"/>
          <w:b w:val="0"/>
          <w:sz w:val="21"/>
          <w:szCs w:val="21"/>
          <w:highlight w:val="none"/>
        </w:rPr>
      </w:pPr>
    </w:p>
    <w:p w14:paraId="12CE39DE">
      <w:pPr>
        <w:autoSpaceDE w:val="0"/>
        <w:autoSpaceDN w:val="0"/>
        <w:adjustRightInd w:val="0"/>
        <w:spacing w:line="600" w:lineRule="exact"/>
        <w:jc w:val="both"/>
        <w:rPr>
          <w:rFonts w:hint="eastAsia" w:ascii="宋体" w:hAnsi="宋体" w:eastAsia="宋体" w:cs="宋体"/>
          <w:b w:val="0"/>
          <w:sz w:val="21"/>
          <w:szCs w:val="21"/>
          <w:highlight w:val="none"/>
        </w:rPr>
      </w:pPr>
    </w:p>
    <w:p w14:paraId="3AC1D944">
      <w:pPr>
        <w:autoSpaceDE w:val="0"/>
        <w:autoSpaceDN w:val="0"/>
        <w:adjustRightInd w:val="0"/>
        <w:spacing w:line="600" w:lineRule="exact"/>
        <w:jc w:val="both"/>
        <w:rPr>
          <w:rFonts w:hint="eastAsia" w:ascii="宋体" w:hAnsi="宋体" w:eastAsia="宋体" w:cs="宋体"/>
          <w:b w:val="0"/>
          <w:sz w:val="21"/>
          <w:szCs w:val="21"/>
          <w:highlight w:val="none"/>
        </w:rPr>
      </w:pPr>
    </w:p>
    <w:p w14:paraId="6B491594">
      <w:pPr>
        <w:autoSpaceDE w:val="0"/>
        <w:autoSpaceDN w:val="0"/>
        <w:adjustRightInd w:val="0"/>
        <w:spacing w:line="600" w:lineRule="exact"/>
        <w:jc w:val="both"/>
        <w:rPr>
          <w:rFonts w:hint="eastAsia" w:ascii="宋体" w:hAnsi="宋体" w:eastAsia="宋体" w:cs="宋体"/>
          <w:b w:val="0"/>
          <w:sz w:val="21"/>
          <w:szCs w:val="21"/>
          <w:highlight w:val="none"/>
        </w:rPr>
      </w:pPr>
    </w:p>
    <w:p w14:paraId="6FEBF007">
      <w:pPr>
        <w:autoSpaceDE w:val="0"/>
        <w:autoSpaceDN w:val="0"/>
        <w:adjustRightInd w:val="0"/>
        <w:spacing w:line="600" w:lineRule="exact"/>
        <w:jc w:val="both"/>
        <w:rPr>
          <w:rFonts w:hint="eastAsia" w:ascii="宋体" w:hAnsi="宋体" w:eastAsia="宋体" w:cs="宋体"/>
          <w:b w:val="0"/>
          <w:sz w:val="21"/>
          <w:szCs w:val="21"/>
          <w:highlight w:val="none"/>
        </w:rPr>
      </w:pPr>
    </w:p>
    <w:p w14:paraId="453D56C1">
      <w:pPr>
        <w:autoSpaceDE w:val="0"/>
        <w:autoSpaceDN w:val="0"/>
        <w:adjustRightInd w:val="0"/>
        <w:spacing w:line="600" w:lineRule="exact"/>
        <w:jc w:val="both"/>
        <w:rPr>
          <w:rFonts w:hint="eastAsia" w:ascii="宋体" w:hAnsi="宋体" w:eastAsia="宋体" w:cs="宋体"/>
          <w:b w:val="0"/>
          <w:sz w:val="21"/>
          <w:szCs w:val="21"/>
          <w:highlight w:val="none"/>
        </w:rPr>
      </w:pPr>
    </w:p>
    <w:p w14:paraId="407D05F7">
      <w:pPr>
        <w:autoSpaceDE w:val="0"/>
        <w:autoSpaceDN w:val="0"/>
        <w:adjustRightInd w:val="0"/>
        <w:spacing w:line="600" w:lineRule="exact"/>
        <w:jc w:val="both"/>
        <w:rPr>
          <w:rFonts w:hint="eastAsia" w:ascii="宋体" w:hAnsi="宋体" w:eastAsia="宋体" w:cs="宋体"/>
          <w:b w:val="0"/>
          <w:sz w:val="21"/>
          <w:szCs w:val="21"/>
          <w:highlight w:val="none"/>
        </w:rPr>
      </w:pPr>
    </w:p>
    <w:p w14:paraId="622FBEF9">
      <w:pPr>
        <w:autoSpaceDE w:val="0"/>
        <w:autoSpaceDN w:val="0"/>
        <w:adjustRightInd w:val="0"/>
        <w:spacing w:line="600" w:lineRule="exact"/>
        <w:jc w:val="both"/>
        <w:rPr>
          <w:rFonts w:hint="eastAsia" w:ascii="宋体" w:hAnsi="宋体" w:eastAsia="宋体" w:cs="宋体"/>
          <w:b w:val="0"/>
          <w:sz w:val="21"/>
          <w:szCs w:val="21"/>
          <w:highlight w:val="none"/>
        </w:rPr>
      </w:pPr>
    </w:p>
    <w:p w14:paraId="48C84DD5">
      <w:pPr>
        <w:autoSpaceDE w:val="0"/>
        <w:autoSpaceDN w:val="0"/>
        <w:adjustRightInd w:val="0"/>
        <w:spacing w:line="600" w:lineRule="exact"/>
        <w:jc w:val="both"/>
        <w:rPr>
          <w:rFonts w:hint="eastAsia" w:ascii="宋体" w:hAnsi="宋体" w:eastAsia="宋体" w:cs="宋体"/>
          <w:b w:val="0"/>
          <w:sz w:val="21"/>
          <w:szCs w:val="21"/>
          <w:highlight w:val="none"/>
        </w:rPr>
      </w:pPr>
    </w:p>
    <w:p w14:paraId="799E9714">
      <w:pPr>
        <w:autoSpaceDE w:val="0"/>
        <w:autoSpaceDN w:val="0"/>
        <w:adjustRightInd w:val="0"/>
        <w:spacing w:line="600" w:lineRule="exact"/>
        <w:jc w:val="both"/>
        <w:rPr>
          <w:rFonts w:hint="eastAsia" w:ascii="宋体" w:hAnsi="宋体" w:eastAsia="宋体" w:cs="宋体"/>
          <w:b w:val="0"/>
          <w:sz w:val="21"/>
          <w:szCs w:val="21"/>
          <w:highlight w:val="none"/>
        </w:rPr>
      </w:pPr>
    </w:p>
    <w:p w14:paraId="776E7A44">
      <w:pPr>
        <w:autoSpaceDE w:val="0"/>
        <w:autoSpaceDN w:val="0"/>
        <w:adjustRightInd w:val="0"/>
        <w:spacing w:line="600" w:lineRule="exact"/>
        <w:jc w:val="both"/>
        <w:rPr>
          <w:rFonts w:hint="eastAsia" w:ascii="宋体" w:hAnsi="宋体" w:eastAsia="宋体" w:cs="宋体"/>
          <w:b w:val="0"/>
          <w:sz w:val="21"/>
          <w:szCs w:val="21"/>
          <w:highlight w:val="none"/>
        </w:rPr>
      </w:pPr>
    </w:p>
    <w:p w14:paraId="6D119BB7">
      <w:pPr>
        <w:autoSpaceDE w:val="0"/>
        <w:autoSpaceDN w:val="0"/>
        <w:adjustRightInd w:val="0"/>
        <w:spacing w:line="600" w:lineRule="exact"/>
        <w:jc w:val="both"/>
        <w:rPr>
          <w:rFonts w:hint="eastAsia" w:ascii="宋体" w:hAnsi="宋体" w:eastAsia="宋体" w:cs="宋体"/>
          <w:b w:val="0"/>
          <w:sz w:val="21"/>
          <w:szCs w:val="21"/>
          <w:highlight w:val="none"/>
        </w:rPr>
      </w:pPr>
    </w:p>
    <w:p w14:paraId="77D310DA">
      <w:pPr>
        <w:autoSpaceDE w:val="0"/>
        <w:autoSpaceDN w:val="0"/>
        <w:adjustRightInd w:val="0"/>
        <w:spacing w:line="600" w:lineRule="exact"/>
        <w:jc w:val="both"/>
        <w:rPr>
          <w:rFonts w:hint="eastAsia" w:ascii="宋体" w:hAnsi="宋体" w:eastAsia="宋体" w:cs="宋体"/>
          <w:b w:val="0"/>
          <w:sz w:val="21"/>
          <w:szCs w:val="21"/>
          <w:highlight w:val="none"/>
        </w:rPr>
      </w:pPr>
    </w:p>
    <w:p w14:paraId="5CAD423F">
      <w:pPr>
        <w:autoSpaceDE w:val="0"/>
        <w:autoSpaceDN w:val="0"/>
        <w:adjustRightInd w:val="0"/>
        <w:spacing w:line="600" w:lineRule="exact"/>
        <w:jc w:val="both"/>
        <w:rPr>
          <w:rFonts w:hint="eastAsia" w:ascii="宋体" w:hAnsi="宋体" w:eastAsia="宋体" w:cs="宋体"/>
          <w:b w:val="0"/>
          <w:sz w:val="21"/>
          <w:szCs w:val="21"/>
          <w:highlight w:val="none"/>
        </w:rPr>
      </w:pPr>
    </w:p>
    <w:p w14:paraId="2F1DD9FC">
      <w:pPr>
        <w:widowControl w:val="0"/>
        <w:spacing w:line="400" w:lineRule="exact"/>
        <w:jc w:val="both"/>
        <w:rPr>
          <w:rFonts w:hint="eastAsia" w:ascii="宋体" w:hAnsi="宋体" w:eastAsia="宋体" w:cs="宋体"/>
          <w:b w:val="0"/>
          <w:sz w:val="21"/>
          <w:szCs w:val="21"/>
          <w:highlight w:val="none"/>
        </w:rPr>
      </w:pPr>
    </w:p>
    <w:p w14:paraId="464DACBF">
      <w:pPr>
        <w:spacing w:line="500" w:lineRule="exact"/>
        <w:jc w:val="left"/>
        <w:rPr>
          <w:rFonts w:hint="eastAsia" w:ascii="宋体" w:hAnsi="宋体" w:eastAsia="宋体" w:cs="宋体"/>
          <w:highlight w:val="none"/>
        </w:rPr>
      </w:pPr>
    </w:p>
    <w:p w14:paraId="33D4924D">
      <w:pPr>
        <w:keepNext w:val="0"/>
        <w:keepLines w:val="0"/>
        <w:widowControl/>
        <w:suppressLineNumbers w:val="0"/>
        <w:shd w:val="clear" w:color="auto" w:fill="FFFFFF"/>
        <w:spacing w:before="100" w:beforeAutospacing="1" w:after="100" w:afterAutospacing="1" w:line="435" w:lineRule="atLeast"/>
        <w:ind w:left="0" w:right="0" w:firstLine="0"/>
        <w:jc w:val="center"/>
        <w:outlineLvl w:val="9"/>
        <w:rPr>
          <w:rFonts w:hint="eastAsia" w:ascii="宋体" w:hAnsi="宋体" w:eastAsia="宋体" w:cs="宋体"/>
          <w:b/>
          <w:bCs w:val="0"/>
          <w:i w:val="0"/>
          <w:iCs w:val="0"/>
          <w:caps w:val="0"/>
          <w:color w:val="333333"/>
          <w:spacing w:val="0"/>
          <w:sz w:val="32"/>
          <w:szCs w:val="32"/>
          <w:highlight w:val="none"/>
        </w:rPr>
      </w:pPr>
      <w:r>
        <w:rPr>
          <w:rFonts w:hint="eastAsia" w:ascii="宋体" w:hAnsi="宋体" w:eastAsia="宋体" w:cs="宋体"/>
          <w:sz w:val="24"/>
          <w:highlight w:val="none"/>
        </w:rPr>
        <w:br w:type="page"/>
      </w:r>
      <w:bookmarkStart w:id="63" w:name="_Toc8816"/>
      <w:r>
        <w:rPr>
          <w:rFonts w:hint="eastAsia" w:ascii="宋体" w:hAnsi="宋体" w:eastAsia="宋体" w:cs="宋体"/>
          <w:b/>
          <w:bCs w:val="0"/>
          <w:kern w:val="0"/>
          <w:sz w:val="32"/>
          <w:szCs w:val="32"/>
          <w:highlight w:val="none"/>
          <w:lang w:val="en-US" w:eastAsia="zh-CN" w:bidi="ar-SA"/>
        </w:rPr>
        <w:t>十、中小企业声明函（服务）</w:t>
      </w:r>
      <w:bookmarkEnd w:id="63"/>
    </w:p>
    <w:p w14:paraId="6D8BF713">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本公司（联合体）郑重声明，根据《政府采购促进中小企业发展管理办法》（财库﹝2020﹞46号）的规定，本公司（联合体）参加</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（单位名称）</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1650E149">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1.   （标的名称）</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，属于</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（采购文件中明确的所属行业）</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；承建（承接）企业为</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（企业名称）</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，从业人员</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人，营业收入为</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万元，资产总额为</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万元，属于</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（中型企业、小型企业、微型企业）</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w:t>
      </w:r>
    </w:p>
    <w:p w14:paraId="0E429629">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2.</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（标的名称）</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，属于</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（采购文件中明确的所属行业）</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行业；制造商为</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（企业名称）</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，从业人员</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人，营业收入为</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万元，资产总额为</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万元</w:t>
      </w:r>
      <w:r>
        <w:rPr>
          <w:rFonts w:hint="eastAsia" w:ascii="宋体" w:hAnsi="宋体" w:eastAsia="宋体" w:cs="宋体"/>
          <w:i w:val="0"/>
          <w:iCs w:val="0"/>
          <w:caps w:val="0"/>
          <w:color w:val="333333"/>
          <w:spacing w:val="0"/>
          <w:kern w:val="0"/>
          <w:sz w:val="21"/>
          <w:szCs w:val="21"/>
          <w:highlight w:val="none"/>
          <w:shd w:val="clear" w:color="auto" w:fill="FFFFFF"/>
          <w:vertAlign w:val="superscript"/>
          <w:lang w:val="en-US" w:eastAsia="zh-CN" w:bidi="ar"/>
        </w:rPr>
        <w:t>1</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，属于</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（中型企业、小型企业、微型企业）</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w:t>
      </w:r>
    </w:p>
    <w:p w14:paraId="1340AAB6">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w:t>
      </w:r>
    </w:p>
    <w:p w14:paraId="5BD9AA34">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以上企业，不属于大企业的分支机构，不存在控股股东为大企业的情形，也不存在与大企业的负责人为同一人的情形。</w:t>
      </w:r>
    </w:p>
    <w:p w14:paraId="49BA8BEA">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本企业对上述声明内容的真实性负责。如有虚假，将依法承担相应责任。</w:t>
      </w:r>
    </w:p>
    <w:p w14:paraId="342F4681">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14:paraId="2FC85434">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14:paraId="3B134EFA">
      <w:pPr>
        <w:keepNext w:val="0"/>
        <w:keepLines w:val="0"/>
        <w:widowControl/>
        <w:suppressLineNumbers w:val="0"/>
        <w:shd w:val="clear" w:color="auto" w:fill="FFFFFF"/>
        <w:spacing w:before="100" w:beforeAutospacing="1" w:after="100" w:afterAutospacing="1" w:line="435" w:lineRule="atLeast"/>
        <w:ind w:left="0" w:right="0" w:firstLine="5280"/>
        <w:jc w:val="left"/>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企业名称（盖章）：</w:t>
      </w:r>
    </w:p>
    <w:p w14:paraId="04B902D7">
      <w:pPr>
        <w:keepNext w:val="0"/>
        <w:keepLines w:val="0"/>
        <w:widowControl/>
        <w:suppressLineNumbers w:val="0"/>
        <w:shd w:val="clear" w:color="auto" w:fill="FFFFFF"/>
        <w:spacing w:before="100" w:beforeAutospacing="1" w:after="100" w:afterAutospacing="1" w:line="435" w:lineRule="atLeast"/>
        <w:ind w:left="0" w:right="0" w:firstLine="0"/>
        <w:jc w:val="left"/>
        <w:rPr>
          <w:rFonts w:hint="eastAsia" w:ascii="宋体" w:hAnsi="宋体" w:eastAsia="宋体" w:cs="宋体"/>
          <w:i w:val="0"/>
          <w:iCs w:val="0"/>
          <w:caps w:val="0"/>
          <w:color w:val="333333"/>
          <w:spacing w:val="0"/>
          <w:sz w:val="21"/>
          <w:szCs w:val="21"/>
          <w:highlight w:val="none"/>
        </w:rPr>
      </w:pPr>
    </w:p>
    <w:p w14:paraId="5051CEB7">
      <w:pPr>
        <w:keepNext w:val="0"/>
        <w:keepLines w:val="0"/>
        <w:widowControl/>
        <w:suppressLineNumbers w:val="0"/>
        <w:shd w:val="clear" w:color="auto" w:fill="FFFFFF"/>
        <w:spacing w:before="100" w:beforeAutospacing="1" w:after="100" w:afterAutospacing="1" w:line="435" w:lineRule="atLeast"/>
        <w:ind w:left="0" w:right="0" w:firstLine="5280"/>
        <w:jc w:val="left"/>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日 期：</w:t>
      </w:r>
    </w:p>
    <w:p w14:paraId="4CC0D63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8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z w:val="24"/>
          <w:highlight w:val="none"/>
        </w:rPr>
        <w:br w:type="page"/>
      </w:r>
      <w:r>
        <w:rPr>
          <w:rFonts w:hint="eastAsia" w:ascii="宋体" w:hAnsi="宋体" w:eastAsia="宋体" w:cs="宋体"/>
          <w:spacing w:val="0"/>
          <w:w w:val="100"/>
          <w:kern w:val="2"/>
          <w:position w:val="0"/>
          <w:sz w:val="21"/>
          <w:szCs w:val="21"/>
          <w:highlight w:val="none"/>
        </w:rPr>
        <w:t>附件：</w:t>
      </w:r>
    </w:p>
    <w:p w14:paraId="4A6A61D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政府采购促进中小企业发展管理办法</w:t>
      </w:r>
    </w:p>
    <w:p w14:paraId="29ED73E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财库〔2020〕46 号</w:t>
      </w:r>
    </w:p>
    <w:p w14:paraId="5432AD7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第一条 为了发挥政府采购的政策功能，促进中小企业健康发展，根据《中华人民共和国政府采 购法》 、 《中华人民共和国中小企业促进法》 等有关法律法规，制定本办法。</w:t>
      </w:r>
    </w:p>
    <w:p w14:paraId="2476C30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第二条 本办法所称中小企业，是指在中华人民共和国境内依法设立，依据国务院批准的中小企 业划分标准确定的中型企业、小型企业和微型企业，但与大企业的负责人为同一人，或者与大企业 存在直接控股、管理关系的除外。</w:t>
      </w:r>
    </w:p>
    <w:p w14:paraId="3BB7037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符合中小企业划分标准的个体工商户，在政府采购活动中视同中小企业。</w:t>
      </w:r>
    </w:p>
    <w:p w14:paraId="23B32ED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第三条 采购人在政府采购活动中应当通过加强采购需求管理，落实预留采购份额、价格评审优惠、优先采购等措施，提高中小企业在政府采购中的份额，支持中小企业发展。</w:t>
      </w:r>
    </w:p>
    <w:p w14:paraId="3F3820F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第四条 在政府采购活动中，</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提供的货物、工程或者服务符合下列情形的，享受本办法规定的中小企业扶持政策：</w:t>
      </w:r>
    </w:p>
    <w:p w14:paraId="147DDEB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（一）在货物采购项目中，货物由中小企业制造，即货物由中小企业生产且使用该中小企业商号或者注册商标；</w:t>
      </w:r>
    </w:p>
    <w:p w14:paraId="5112F9B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 在工程采购项目中，工程由中小企业承建，即工程施工单位为中小企业；</w:t>
      </w:r>
    </w:p>
    <w:p w14:paraId="29EB43C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 在服务采购项目中，服务由中小企业承接，即提供服务的人员为中小企业依照《中华人 民共和国劳动合同法》 订立劳动合同的从业人员。</w:t>
      </w:r>
    </w:p>
    <w:p w14:paraId="08D2D00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在货物采购项目中，</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提供的货物既有中小企业制造货物，也有大型企业制造货物的，不 享受本办法规定的中小企业扶持政策。</w:t>
      </w:r>
    </w:p>
    <w:p w14:paraId="777C373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以联合体形式参加政府采购活动，联合体各方均为中小企业的，联合体视同中小企业。其中， 联合体各方均为小微企业的，联合体视同小微企业。</w:t>
      </w:r>
    </w:p>
    <w:p w14:paraId="143B48E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第五条 采购人在政府采购活动中应当合理确定采购项目的采购需求，不得以企业注册资本、资产总额、营业收入、从业人员、利润、纳税额等规模条件和财务指标作为</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的资格要求或者评审因素，不得在企业股权结构、经营年限等方面对中小企业实行差别待遇或者歧视待遇。</w:t>
      </w:r>
    </w:p>
    <w:p w14:paraId="57E0BF8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第六条 主管预算单位应当组织评估本部门及所属单位政府采购项目，统筹制定面向中小企业预 留采购份额的具体方案，对适宜由中小企业提供的采购项目和采购包，预留采购份额专门面向中小 企业采购，并在政府采购预算中单独列示。</w:t>
      </w:r>
    </w:p>
    <w:p w14:paraId="002979A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符合下列情形之一的，可不专门面向中小企业预留采购份额：</w:t>
      </w:r>
    </w:p>
    <w:p w14:paraId="5605AB3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（一）法律法规和国家有关政策明确规定优先或者应当面向事业单位、社会组织等非企业主体采购的；</w:t>
      </w:r>
    </w:p>
    <w:p w14:paraId="1ED3A31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 因确需使用不可替代的专利、专有技术，基础设施限制，或者提供特定公共服务等原因，只能从中小企业之外的</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处采购的；</w:t>
      </w:r>
    </w:p>
    <w:p w14:paraId="1DFD50B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 按照本办法规定预留采购份额无法确保充分供应、充分竞争，或者存在可能影响政府采购目标实现的情形；</w:t>
      </w:r>
    </w:p>
    <w:p w14:paraId="0CBB68E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 框架协议采购项目；</w:t>
      </w:r>
    </w:p>
    <w:p w14:paraId="78408CA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 省级以上人民政府财政部门规定的其他情形。</w:t>
      </w:r>
    </w:p>
    <w:p w14:paraId="2FE8002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除上述情形外，其他均为适宜由中小企业提供的情形。</w:t>
      </w:r>
    </w:p>
    <w:p w14:paraId="2E0B8F4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第七条 采购限额标准以上，200万元以下的货物和服务采购项目、400万元以下的工程采购项目，适宜由中小企业提供的，采购人应当专门面向中小企业采购。</w:t>
      </w:r>
    </w:p>
    <w:p w14:paraId="102B9BF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第八条 超过200万元的货物和服务采购项目、超过400万元的工程采购项目中适宜由中小企业提供的，预留该部分采购项目预算总额的 30%以上专门面向中小企业采购，其中预留给小微企业的比例不低于60%。预留份额通过下列措施进行：</w:t>
      </w:r>
    </w:p>
    <w:p w14:paraId="308B02C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（一）将采购项目整体或者设置采购包专门面向中小企业采购；</w:t>
      </w:r>
    </w:p>
    <w:p w14:paraId="3A10546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（二）要求</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以联合体形式参加采购活动，且联合体中中小企业承担的部分达到一定比例；</w:t>
      </w:r>
    </w:p>
    <w:p w14:paraId="500B378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（三）要求获得采购合同的</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将采购项目中的一定比例分包给一家或者多家中小企业。</w:t>
      </w:r>
    </w:p>
    <w:p w14:paraId="6940D30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组成联合体或者接受分包合同的中小企业与联合体内其他企业、分包企业之间不得存在直接控 股、管理关系。</w:t>
      </w:r>
    </w:p>
    <w:p w14:paraId="45B5FF4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5C4423A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w:t>
      </w:r>
      <w:r>
        <w:rPr>
          <w:rFonts w:hint="eastAsia" w:ascii="宋体" w:hAnsi="宋体" w:eastAsia="宋体" w:cs="宋体"/>
          <w:spacing w:val="0"/>
          <w:w w:val="100"/>
          <w:kern w:val="2"/>
          <w:position w:val="0"/>
          <w:sz w:val="21"/>
          <w:szCs w:val="21"/>
          <w:highlight w:val="none"/>
          <w:lang w:eastAsia="zh-CN"/>
        </w:rPr>
        <w:t>，</w:t>
      </w:r>
      <w:r>
        <w:rPr>
          <w:rFonts w:hint="eastAsia" w:ascii="宋体" w:hAnsi="宋体" w:eastAsia="宋体" w:cs="宋体"/>
          <w:spacing w:val="0"/>
          <w:w w:val="100"/>
          <w:kern w:val="2"/>
          <w:position w:val="0"/>
          <w:sz w:val="21"/>
          <w:szCs w:val="21"/>
          <w:highlight w:val="none"/>
        </w:rPr>
        <w:t>不享受价格扣除优惠政策。</w:t>
      </w:r>
    </w:p>
    <w:p w14:paraId="354CF3E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3FE8032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第十条 采购人应当严格按照本办法规定和主管预算单位制定的预留采购份额具体方案开展采购活动。预留份额的采购项目或者采购包，通过发布公告方式邀请</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后，符合资格条件的中小企业数量不足3家的，应当中止采购活动，视同未预留份额的采购项目或者采购包，按照本办法第九条有关规定重新组织采购活动。</w:t>
      </w:r>
    </w:p>
    <w:p w14:paraId="43E06C7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第十一条 中小企业参加政府采购活动，应当出具本办法规定的《中小企业声明函》 （附 1） ，否则不得享受相关中小企业扶持政策。任何单位和个人不得要求</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提供《中小企业声明函》 之 外的中小企业身份证明文件。</w:t>
      </w:r>
    </w:p>
    <w:p w14:paraId="346362D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第十二条 采购项目涉及中小企业采购的，采购文件应当明确以下内容：</w:t>
      </w:r>
    </w:p>
    <w:p w14:paraId="7A868C2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（一）预留份额的采购项目或者采购包，明确该项目或相关采购包专门面向中小企业采购，以 及相关标的及预算金额；</w:t>
      </w:r>
    </w:p>
    <w:p w14:paraId="01F9998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（二）要求以联合体形式参加或者合同分包的，明确联合协议或者分包意向协议中中小企业合同金额应当达到的比例，并作为</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资格条件；</w:t>
      </w:r>
    </w:p>
    <w:p w14:paraId="0E22886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（三）非预留份额的采购项目或者采购包，明确有关价格扣除比例或者价格分加分比例；</w:t>
      </w:r>
    </w:p>
    <w:p w14:paraId="7E14E8B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（四）规定依据本办法规定享受扶持政策获得政府采购合同的，小微企业不得将合同分包给大中型企业，中型企业不得将合同分包给大型企业；</w:t>
      </w:r>
    </w:p>
    <w:p w14:paraId="1BB348B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（五）采购人认为具备相关条件的，明确对中小企业在资金支付期限、预付款比例等方面的优惠措施；</w:t>
      </w:r>
    </w:p>
    <w:p w14:paraId="4D8DB88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（六）明确采购标的对应的中小企业划分标准所属行业；</w:t>
      </w:r>
    </w:p>
    <w:p w14:paraId="0A812D1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（七）法律法规和省级以上人民政府财政部门规定的其他事项。</w:t>
      </w:r>
    </w:p>
    <w:p w14:paraId="67FCE51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第十三条 中标、成交</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享受本办法规定的中小企业扶持政策的，采购人、采购代理机构应当随中标、成交结果公开中标、成交</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的《中小企业声明函》 。</w:t>
      </w:r>
    </w:p>
    <w:p w14:paraId="6F4A36C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适用招标投标法的政府采购工程建设项目，应当在公示中标候选人时公开中标候选人的《中小企业声明函》 。</w:t>
      </w:r>
    </w:p>
    <w:p w14:paraId="5414809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16301F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4B0E248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第十六条 政府采购监督检查、投诉处理及政府采购行政处罚中对中小企业的认定，由货物制造商或者工程、服务</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注册登记所在地的县级以上人民政府中小企业主管部门负责。</w:t>
      </w:r>
    </w:p>
    <w:p w14:paraId="7BDB482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中小企业主管部门应当在收到财政部门或者有关招标投标行政监督部门关于协助开展中小企业认定函后10个工作日内做出书面答复。</w:t>
      </w:r>
    </w:p>
    <w:p w14:paraId="3CD9E19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3A67AA2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5EE71A3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 等国家有关规定追究法律责任。</w:t>
      </w:r>
    </w:p>
    <w:p w14:paraId="4A3A079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 xml:space="preserve">第二十条 </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按照本办法规定提供声明函内容不实的，属于提供虚假材料谋取中标、成交，依照《中华人民共和国政府采购法》 等国家有关规定追究相应责任。</w:t>
      </w:r>
    </w:p>
    <w:p w14:paraId="11BA690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适用招标投标法的政府采购工程建设项目，</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按照本办法规定提供声明函内容不实的，属于弄虚作假骗取中标，依照《中华人民共和国招标投标法》 等国家有关规定追究相应责任。</w:t>
      </w:r>
    </w:p>
    <w:p w14:paraId="53257F3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第二十一条 财政部门、中小企业主管部门及其工作人员在履行职责中违反本办法规定及存在其他滥用职权、玩忽职守、徇私舞弊等违法违纪行为的，依照《中华人民共和国政府采购法》 、《中华人民共和国公务员法》 、 《中华人民共和</w:t>
      </w:r>
      <w:r>
        <w:rPr>
          <w:rFonts w:hint="eastAsia" w:ascii="宋体" w:hAnsi="宋体" w:eastAsia="宋体" w:cs="宋体"/>
          <w:spacing w:val="0"/>
          <w:w w:val="100"/>
          <w:kern w:val="2"/>
          <w:position w:val="0"/>
          <w:sz w:val="21"/>
          <w:szCs w:val="21"/>
          <w:highlight w:val="none"/>
        </w:rPr>
        <w:fldChar w:fldCharType="begin"/>
      </w:r>
      <w:r>
        <w:rPr>
          <w:rFonts w:hint="eastAsia" w:ascii="宋体" w:hAnsi="宋体" w:eastAsia="宋体" w:cs="宋体"/>
          <w:spacing w:val="0"/>
          <w:w w:val="100"/>
          <w:kern w:val="2"/>
          <w:position w:val="0"/>
          <w:sz w:val="21"/>
          <w:szCs w:val="21"/>
          <w:highlight w:val="none"/>
        </w:rPr>
        <w:instrText xml:space="preserve"> HYPERLINK "http://10.162.100.18:168/golaw?dbnm=gjfg&amp;flid=1129012015130679" </w:instrText>
      </w:r>
      <w:r>
        <w:rPr>
          <w:rFonts w:hint="eastAsia" w:ascii="宋体" w:hAnsi="宋体" w:eastAsia="宋体" w:cs="宋体"/>
          <w:spacing w:val="0"/>
          <w:w w:val="100"/>
          <w:kern w:val="2"/>
          <w:position w:val="0"/>
          <w:sz w:val="21"/>
          <w:szCs w:val="21"/>
          <w:highlight w:val="none"/>
        </w:rPr>
        <w:fldChar w:fldCharType="separate"/>
      </w:r>
      <w:r>
        <w:rPr>
          <w:rFonts w:hint="eastAsia" w:ascii="宋体" w:hAnsi="宋体" w:eastAsia="宋体" w:cs="宋体"/>
          <w:spacing w:val="0"/>
          <w:w w:val="100"/>
          <w:kern w:val="2"/>
          <w:position w:val="0"/>
          <w:sz w:val="21"/>
          <w:szCs w:val="21"/>
          <w:highlight w:val="none"/>
        </w:rPr>
        <w:t>国监察法</w:t>
      </w:r>
      <w:r>
        <w:rPr>
          <w:rFonts w:hint="eastAsia" w:ascii="宋体" w:hAnsi="宋体" w:cs="宋体"/>
          <w:spacing w:val="0"/>
          <w:w w:val="100"/>
          <w:kern w:val="2"/>
          <w:position w:val="0"/>
          <w:sz w:val="21"/>
          <w:szCs w:val="21"/>
          <w:highlight w:val="none"/>
          <w:lang w:eastAsia="zh-CN"/>
        </w:rPr>
        <w:t>》《</w:t>
      </w:r>
      <w:r>
        <w:rPr>
          <w:rFonts w:hint="eastAsia" w:ascii="宋体" w:hAnsi="宋体" w:eastAsia="宋体" w:cs="宋体"/>
          <w:spacing w:val="0"/>
          <w:w w:val="100"/>
          <w:kern w:val="2"/>
          <w:position w:val="0"/>
          <w:sz w:val="21"/>
          <w:szCs w:val="21"/>
          <w:highlight w:val="none"/>
        </w:rPr>
        <w:t>中华人民共和国政府采购法实施条例》</w:t>
      </w:r>
      <w:r>
        <w:rPr>
          <w:rFonts w:hint="eastAsia" w:ascii="宋体" w:hAnsi="宋体" w:eastAsia="宋体" w:cs="宋体"/>
          <w:spacing w:val="0"/>
          <w:w w:val="100"/>
          <w:kern w:val="2"/>
          <w:position w:val="0"/>
          <w:sz w:val="21"/>
          <w:szCs w:val="21"/>
          <w:highlight w:val="none"/>
        </w:rPr>
        <w:fldChar w:fldCharType="end"/>
      </w:r>
      <w:r>
        <w:rPr>
          <w:rFonts w:hint="eastAsia" w:ascii="宋体" w:hAnsi="宋体" w:eastAsia="宋体" w:cs="宋体"/>
          <w:spacing w:val="0"/>
          <w:w w:val="100"/>
          <w:kern w:val="2"/>
          <w:position w:val="0"/>
          <w:sz w:val="21"/>
          <w:szCs w:val="21"/>
          <w:highlight w:val="none"/>
        </w:rPr>
        <w:t>等国家有关规定追究相应责任； 涉嫌犯罪的，依法移送有关国家机关处理。</w:t>
      </w:r>
    </w:p>
    <w:p w14:paraId="5EA2113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spacing w:val="0"/>
          <w:w w:val="100"/>
          <w:kern w:val="2"/>
          <w:position w:val="0"/>
          <w:sz w:val="21"/>
          <w:szCs w:val="21"/>
          <w:highlight w:val="none"/>
          <w:lang w:eastAsia="zh-CN"/>
        </w:rPr>
        <w:t>第二十二条</w:t>
      </w:r>
      <w:r>
        <w:rPr>
          <w:rFonts w:hint="eastAsia" w:ascii="宋体" w:hAnsi="宋体" w:eastAsia="宋体" w:cs="宋体"/>
          <w:spacing w:val="0"/>
          <w:w w:val="100"/>
          <w:kern w:val="2"/>
          <w:position w:val="0"/>
          <w:sz w:val="21"/>
          <w:szCs w:val="21"/>
          <w:highlight w:val="none"/>
          <w:lang w:val="en-US" w:eastAsia="zh-CN"/>
        </w:rPr>
        <w:t xml:space="preserve"> 对外援助项目、国家相关资格或者资质管理制度另有规定的项目，不适用本办法。</w:t>
      </w:r>
    </w:p>
    <w:p w14:paraId="72F7D5BA">
      <w:pPr>
        <w:pStyle w:val="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spacing w:val="0"/>
          <w:w w:val="100"/>
          <w:kern w:val="2"/>
          <w:position w:val="0"/>
          <w:sz w:val="21"/>
          <w:szCs w:val="21"/>
          <w:highlight w:val="none"/>
          <w:lang w:val="en-US" w:eastAsia="zh-CN"/>
        </w:rPr>
        <w:t>第二十三条 关于视同中小企业的其他主体的政府采购扶持政策，由财政部会同有关部门另行规定。</w:t>
      </w:r>
    </w:p>
    <w:p w14:paraId="50447CE2">
      <w:pPr>
        <w:pStyle w:val="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spacing w:val="0"/>
          <w:w w:val="100"/>
          <w:kern w:val="2"/>
          <w:position w:val="0"/>
          <w:sz w:val="21"/>
          <w:szCs w:val="21"/>
          <w:highlight w:val="none"/>
          <w:lang w:val="en-US" w:eastAsia="zh-CN"/>
        </w:rPr>
        <w:t>第二十四条 省级财政部门可以会同中小企业主管部门根据本办法的规定制定具体实施办法。</w:t>
      </w:r>
    </w:p>
    <w:p w14:paraId="58FFA9B7">
      <w:pPr>
        <w:pStyle w:val="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spacing w:val="0"/>
          <w:w w:val="100"/>
          <w:kern w:val="2"/>
          <w:position w:val="0"/>
          <w:sz w:val="21"/>
          <w:szCs w:val="21"/>
          <w:highlight w:val="none"/>
          <w:lang w:val="en-US" w:eastAsia="zh-CN"/>
        </w:rPr>
        <w:t>第二十五条 本办法自2021年1月1日起施行。《财政部工业和信息化部关于印发〈政府采购促进中小企业发展暂行办法〉的通知》（财库﹝2011﹞181号同时废止。</w:t>
      </w:r>
    </w:p>
    <w:p w14:paraId="7A45BEDF">
      <w:pPr>
        <w:pStyle w:val="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p>
    <w:p w14:paraId="563448D0">
      <w:pPr>
        <w:pStyle w:val="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p>
    <w:p w14:paraId="29F1049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lang w:eastAsia="zh-CN"/>
        </w:rPr>
      </w:pPr>
      <w:r>
        <w:rPr>
          <w:rFonts w:hint="eastAsia" w:ascii="宋体" w:hAnsi="宋体" w:eastAsia="宋体" w:cs="宋体"/>
          <w:spacing w:val="0"/>
          <w:w w:val="100"/>
          <w:kern w:val="2"/>
          <w:position w:val="0"/>
          <w:sz w:val="21"/>
          <w:szCs w:val="21"/>
          <w:highlight w:val="none"/>
          <w:lang w:eastAsia="zh-CN"/>
        </w:rPr>
        <w:br w:type="page"/>
      </w:r>
    </w:p>
    <w:p w14:paraId="025A7219">
      <w:pPr>
        <w:keepNext w:val="0"/>
        <w:keepLines w:val="0"/>
        <w:pageBreakBefore w:val="0"/>
        <w:widowControl w:val="0"/>
        <w:tabs>
          <w:tab w:val="left" w:pos="567"/>
        </w:tabs>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财政部 司法部关于政府采购支持监狱企业发展有关问题的通知</w:t>
      </w:r>
    </w:p>
    <w:p w14:paraId="6B7CC4E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(财库〔2014〕 68 号)</w:t>
      </w:r>
    </w:p>
    <w:p w14:paraId="3B4E769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党中央有关部门，国务院各部委、各直属机构，全国人大常委会办公厅，全国政协办公厅，高法院，高检院，有关人民团体，中央国家机关政府采购中心，中共中央直属机关采购中心，全国人大机关采购中心，各省、 自治区、直辖市、计划单列市财政厅（局）、司法厅（局） ，新疆生产建设兵团 财务局、司法局、监狱管理局：</w:t>
      </w:r>
    </w:p>
    <w:p w14:paraId="4E9689B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 号）文件精神，发挥政府采购支持监狱企业发展的作用，现就有关事项通知如下：</w:t>
      </w:r>
    </w:p>
    <w:p w14:paraId="497CB4A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一、监狱企业是指由司法部认定的为罪犯、戒毒人员提供生产项目和劳动对象，且全部产权属于司法部监狱管理局、戒毒管理局、直属煤矿管理局，各省、 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2ADC65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二、在政府采购活动中，监狱企业视同小型、微型企业，享受预留份额、评审中价格扣除等政府采购促进中小企业发展的政府采购政策。向监狱企业采购的金额，计入面向中小企业采购的统计数据。</w:t>
      </w:r>
    </w:p>
    <w:p w14:paraId="34E3127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三、各地区、各部门要积极通过预留采购份额支持监狱企业。有制服采购项目的部门，应加强对政府采购预算和计划编制工作的统筹，预留本部门制服采购项目预算总额的 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122A767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四、各地区可以结合本地区实际，对监狱企业生产的办公用品、家具用具、车辆维修和提供的保养服务、消防设备等，提出预留份额等政府采购支持措施，加大对监狱企业产品的采购力度。</w:t>
      </w:r>
    </w:p>
    <w:p w14:paraId="51D707D2">
      <w:pPr>
        <w:pStyle w:val="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34AEE63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80" w:firstLineChars="200"/>
        <w:jc w:val="both"/>
        <w:textAlignment w:val="auto"/>
        <w:outlineLvl w:val="9"/>
        <w:rPr>
          <w:rFonts w:hint="eastAsia" w:ascii="宋体" w:hAnsi="宋体" w:eastAsia="宋体" w:cs="宋体"/>
          <w:spacing w:val="0"/>
          <w:w w:val="100"/>
          <w:kern w:val="2"/>
          <w:position w:val="0"/>
          <w:sz w:val="24"/>
          <w:szCs w:val="24"/>
          <w:highlight w:val="none"/>
        </w:rPr>
      </w:pPr>
      <w:r>
        <w:rPr>
          <w:rFonts w:hint="eastAsia" w:ascii="宋体" w:hAnsi="宋体" w:eastAsia="宋体" w:cs="宋体"/>
          <w:spacing w:val="0"/>
          <w:w w:val="100"/>
          <w:kern w:val="2"/>
          <w:position w:val="0"/>
          <w:sz w:val="24"/>
          <w:szCs w:val="24"/>
          <w:highlight w:val="none"/>
        </w:rPr>
        <w:br w:type="page"/>
      </w:r>
    </w:p>
    <w:p w14:paraId="4FA0C4B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中小企业划型标准规定</w:t>
      </w:r>
    </w:p>
    <w:p w14:paraId="5B3EF73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一、根据《中华人民共和国中小企业促进法》 和《国务院关于进一步促进中小企业发展的若干意见》(国发〔2009〕36 号)，制定本规定。</w:t>
      </w:r>
    </w:p>
    <w:p w14:paraId="7AECF91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二、中小企业划分为中型、小型、微型三种类型，具体标准根据企业从业人员、营业收入、资产总额等指标，结合行业特点制定。</w:t>
      </w:r>
    </w:p>
    <w:p w14:paraId="0DFF9A7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三、本规定适用的行业包括：农、林、牧、渔业，工业（包括采矿业，制造业，电力、热力、燃气及水生产和供应业），建筑业，批发业，零售业，交通运输业（不含铁路运输业） ，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E918C2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四、各行业划型标准为：</w:t>
      </w:r>
    </w:p>
    <w:p w14:paraId="0202935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（一）农、林、牧、渔业。营业收入 20000 万元以下的为中小微型企业。其中，营业收入 500 万元及以上的为中型企业，营业收入 50 万元及以上的为小型企业，营业收入 50 万元以下的为微型企业。</w:t>
      </w:r>
    </w:p>
    <w:p w14:paraId="3FC1E9B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14:paraId="461A2F9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（三）建筑业。营业收入 80000 万元以下或资产总额 80000 万元以下的为中小微型企业。其中，营业收入 6000 万元及以上，且资产总额 5000 万元及以上的为中型企业； 营业收入 300 万元及以上，且资产总额 300 万元及以上的为小型企业；营业收入 300 万元以下或资产总额 300 万元以下的为微型企业。</w:t>
      </w:r>
    </w:p>
    <w:p w14:paraId="07C66E7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（四）批发业。从业人员 200 人以下或营业收入 40000 万元以下的为中小微型企业。其中，从业人员 20 人及以上，且营业收入 5000 万元及以上的为中型企业；从业人员 5 人及以上，且营业收入1000万元及以上的为小型企业；从业人员 5 人以下或营业收入 1000 万元以下的为微型企业。</w:t>
      </w:r>
    </w:p>
    <w:p w14:paraId="4867579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（五）零售业。从业人员 300 人以下或营业收入 20000 万元以下的为中小微型企业。其中，从业人员 50 人及以上，且营业收入 500 万元及以上的为中型企业；从业人员 10 人及以上，且营业收入100 万元及以上的为小型企业；从业人员 10 人以下或营业收入 100 万元以下的为微型企业。</w:t>
      </w:r>
    </w:p>
    <w:p w14:paraId="1A50F12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 交通运输业。从业人员 1000 人以下或营业收入 30000 万元以下的为中小微型企业。其中，从业人员 300人及以上，且营业收入 3000 万元及以上的为中型企业；从业人员 20 人及以上，且营业收入 200 万元及以上的为小型企业；从业人员 20 人以下或营业收入 200 万元以下的为微型企业。</w:t>
      </w:r>
    </w:p>
    <w:p w14:paraId="379AE7D9">
      <w:pPr>
        <w:pStyle w:val="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（七）仓储业。从业人员 200 人以下或营业收入 30000 万元以下的为中小微型企业。其中，从业人员 100 人及以上，且营业收入 1000 万元及以上的为中型企业；从业人员 20 人及以上，且营业收入100 万元及以上的为小型企业；从业人员 20 人以下或营业收入 100 万元以下的为微型企业。</w:t>
      </w:r>
    </w:p>
    <w:p w14:paraId="358144B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（八）邮政业。从业人员 1000 人以下或营业收入 30000 万元以下的为中小微型企业。其中，从业人员 300 人及以上，且营业收入 2000 万元及以上的为中型企业；从业人员 20 人及以上，且营业收入100万元及以上的为小型企业；从业人员 20人以下或营业收入 100 万元以下的为微型企业。</w:t>
      </w:r>
    </w:p>
    <w:p w14:paraId="1EA9587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（九）住宿业。从业人员 300 人以下或营业收入 10000 万元以下的为中小微型企业。其中，从业人员 100 人及以上，且营业收入 2000 万元及以上的为中型企业；从业人员 10 人及以上，且营业 收入100 万元及以上的为小型企业；从业人员 10 人以下或营业收入 100 万元以下的为微型企业。</w:t>
      </w:r>
    </w:p>
    <w:p w14:paraId="672BDBB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（十）餐饮业。从业人员 300 人以下或营业收入 10000 万元以下的为中小微型企业。其中，从业人员 100 人及以上，且营业收入 2000 万元及以上的为中型企业；从业人员 10 人及以上，且营业收入100 万元及以上的为小型企业；从业人员 10 人以下或营业收入 100 万元以下的为微型企业。</w:t>
      </w:r>
    </w:p>
    <w:p w14:paraId="724B683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（十一）信息传输业。从业人员 2000 人以下或营业收入 100000 万元以下的为中小微型企业。其中，从业人员 100 人及以上，且营业收入 1000 万元及以上的为中型企业； 从业人员 10 人及以上，且营业收入 100 万元及以上的为小型企业；从业人员 10 人以下或营业收入 100 万元以下的为微型企业。</w:t>
      </w:r>
    </w:p>
    <w:p w14:paraId="1B5CEA5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（十二）软件和信息技术服务业。从业人员 300 人以下或营业收入 10000 万元以下的为中小微型企业。其中，从业人员100 人及以上，且营业收入 1000 万元及以上的为中型企业；从业人员 10人及以上，且营业收入 50 万元及以上的为小型企业；从业人员 10 人以下或营业收入 50 万元以下的为微型企业。</w:t>
      </w:r>
    </w:p>
    <w:p w14:paraId="73735A9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（十三） 房地产开发经营。营业收入 200000 万元以下或资产总额 10000 万元以下的为中小微型企业。其中，营业收入1000 万元及以上，且资产总额 5000 万元及以上的为中型企业；营业收入 100 万元及以上，且资产总额 2000 万元及以上的为小型企业；营业收入 100 万元以下或资产总额 2000 万元以下的为微型企业。</w:t>
      </w:r>
    </w:p>
    <w:p w14:paraId="0F76A92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（十四） 物业管理。从业人员 1000 人以下或营业收入 5000 万元以下的为中小微型企业。其中，从业人员 300 人及以上，且营业收入 1000 万元及以上的为中型企业；从业人员 100 人及以上，且营 业收入500 万元及以上的为小型企业；从业人员 100 人以下或营业收入 500 万元以下的为微型企业。</w:t>
      </w:r>
    </w:p>
    <w:p w14:paraId="6F6D3E3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（十五） 租赁和商务服务业。从业人员 300 人以下或资产总额 120000 万元以下的为中小微型企 业。其中，从业人员 100 人及以上，且资产总额 8000 万元及以上的为中型企业；从业人员 10 人及以上，且资产总额 100 万元及以上的为小型企业；从业人员 10 人以下或资产总额 100 万元以下的为 微型企业。</w:t>
      </w:r>
    </w:p>
    <w:p w14:paraId="5EA210C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（十六）其他未列明行业。从业人员 300 人以下的为中小微型企业。其中，从业人员 100 人及以上的为中型企业；从业人员 10 人及以上的为小型企业；从业人员 10 人以下的为微型企业。</w:t>
      </w:r>
    </w:p>
    <w:p w14:paraId="384046A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五、企业类型的划分以统计部门的统计数据为依据。</w:t>
      </w:r>
    </w:p>
    <w:p w14:paraId="18497C1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六、本规定适用于在中华人民共和国境内依法设立的各类所有制和各种组织形式的企业。个体工商户和本规定以外的行业，参照本规定进行划型。</w:t>
      </w:r>
    </w:p>
    <w:p w14:paraId="186CF63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25D2F82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八、本规定由工业和信息化部、国家统计局会同有关部门根据《国民经济行业分类》 修订情况 和企业发展变化情况适时修订。</w:t>
      </w:r>
    </w:p>
    <w:p w14:paraId="22A355D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九、本规定由工业和信息化部、国家统计局会同有关部门负责解释。</w:t>
      </w:r>
    </w:p>
    <w:p w14:paraId="35E877B9">
      <w:pPr>
        <w:pStyle w:val="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rPr>
      </w:pPr>
      <w:bookmarkStart w:id="64" w:name="_bookmark4"/>
      <w:bookmarkEnd w:id="64"/>
      <w:r>
        <w:rPr>
          <w:rFonts w:hint="eastAsia" w:ascii="宋体" w:hAnsi="宋体" w:eastAsia="宋体" w:cs="宋体"/>
          <w:spacing w:val="0"/>
          <w:w w:val="100"/>
          <w:kern w:val="2"/>
          <w:position w:val="0"/>
          <w:sz w:val="21"/>
          <w:szCs w:val="21"/>
          <w:highlight w:val="none"/>
        </w:rPr>
        <w:t>十、本规定自发布之日起执行，原国家经贸委、原国家计委、财政部和国家统计局 2003 年颁布 的《中小企业标准暂行规定》 同时废止。</w:t>
      </w:r>
    </w:p>
    <w:p w14:paraId="1AACC301">
      <w:pPr>
        <w:rPr>
          <w:rFonts w:hint="eastAsia"/>
        </w:rPr>
      </w:pPr>
      <w:r>
        <w:rPr>
          <w:rFonts w:hint="eastAsia"/>
        </w:rPr>
        <w:br w:type="page"/>
      </w:r>
    </w:p>
    <w:p w14:paraId="4DBB969B">
      <w:pPr>
        <w:keepNext w:val="0"/>
        <w:keepLines w:val="0"/>
        <w:pageBreakBefore/>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最终磋商</w:t>
      </w:r>
      <w:r>
        <w:rPr>
          <w:rFonts w:hint="eastAsia" w:ascii="宋体" w:hAnsi="宋体" w:eastAsia="宋体" w:cs="宋体"/>
          <w:b/>
          <w:color w:val="auto"/>
          <w:sz w:val="28"/>
          <w:szCs w:val="28"/>
          <w:highlight w:val="none"/>
        </w:rPr>
        <w:t>报价</w:t>
      </w:r>
    </w:p>
    <w:p w14:paraId="03D8F759">
      <w:pPr>
        <w:pStyle w:val="37"/>
        <w:spacing w:line="360" w:lineRule="auto"/>
        <w:ind w:left="0" w:leftChars="0" w:firstLine="3840" w:firstLineChars="1600"/>
        <w:jc w:val="both"/>
        <w:rPr>
          <w:rFonts w:hint="eastAsia" w:ascii="宋体" w:hAnsi="宋体" w:eastAsia="宋体"/>
          <w:sz w:val="24"/>
          <w:highlight w:val="none"/>
          <w:lang w:eastAsia="zh-CN"/>
        </w:rPr>
      </w:pPr>
      <w:r>
        <w:rPr>
          <w:rFonts w:hint="eastAsia" w:ascii="宋体" w:hAnsi="宋体"/>
          <w:sz w:val="24"/>
          <w:highlight w:val="none"/>
          <w:lang w:eastAsia="zh-CN"/>
        </w:rPr>
        <w:t>以政采云网站格式为准</w:t>
      </w:r>
    </w:p>
    <w:p w14:paraId="26B7732F">
      <w:pPr>
        <w:rPr>
          <w:rFonts w:hint="eastAsia"/>
        </w:rPr>
      </w:pPr>
    </w:p>
    <w:sectPr>
      <w:pgSz w:w="11906" w:h="16838"/>
      <w:pgMar w:top="1134" w:right="1134" w:bottom="1134" w:left="1134" w:header="851" w:footer="992"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10244">
    <w:pPr>
      <w:pStyle w:val="12"/>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A90294">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A90294">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C646C">
    <w:pPr>
      <w:pStyle w:val="12"/>
      <w:framePr w:wrap="around" w:vAnchor="text" w:hAnchor="margin" w:xAlign="center" w:y="1"/>
      <w:rPr>
        <w:rStyle w:val="25"/>
      </w:rPr>
    </w:pPr>
    <w:r>
      <w:fldChar w:fldCharType="begin"/>
    </w:r>
    <w:r>
      <w:rPr>
        <w:rStyle w:val="25"/>
      </w:rPr>
      <w:instrText xml:space="preserve">PAGE  </w:instrText>
    </w:r>
    <w:r>
      <w:fldChar w:fldCharType="separate"/>
    </w:r>
    <w:r>
      <w:rPr>
        <w:rStyle w:val="25"/>
      </w:rPr>
      <w:t>1</w:t>
    </w:r>
    <w:r>
      <w:fldChar w:fldCharType="end"/>
    </w:r>
  </w:p>
  <w:p w14:paraId="4B2770DC">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911BE">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9C1BB">
    <w:pPr>
      <w:pStyle w:val="13"/>
      <w:pBdr>
        <w:bottom w:val="none" w:color="auto" w:sz="0" w:space="1"/>
      </w:pBdr>
      <w:ind w:right="360"/>
      <w:rPr>
        <w:rFonts w:hint="eastAsia"/>
        <w:b w:val="0"/>
      </w:rPr>
    </w:pPr>
    <w:r>
      <w:rPr>
        <w:rFonts w:hint="eastAsia" w:ascii="华文新魏" w:eastAsia="华文新魏"/>
        <w:b w:val="0"/>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C9CCF">
    <w:pPr>
      <w:pStyle w:val="13"/>
      <w:framePr w:wrap="around" w:vAnchor="text" w:hAnchor="margin" w:xAlign="right" w:y="1"/>
      <w:rPr>
        <w:rStyle w:val="25"/>
      </w:rPr>
    </w:pPr>
    <w:r>
      <w:fldChar w:fldCharType="begin"/>
    </w:r>
    <w:r>
      <w:rPr>
        <w:rStyle w:val="25"/>
      </w:rPr>
      <w:instrText xml:space="preserve">PAGE  </w:instrText>
    </w:r>
    <w:r>
      <w:fldChar w:fldCharType="separate"/>
    </w:r>
    <w:r>
      <w:fldChar w:fldCharType="end"/>
    </w:r>
  </w:p>
  <w:p w14:paraId="437334F6">
    <w:pPr>
      <w:pStyle w:val="1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D1737">
    <w:pPr>
      <w:pStyle w:val="13"/>
      <w:pBdr>
        <w:bottom w:val="double" w:color="auto" w:sz="4" w:space="1"/>
      </w:pBd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959A1"/>
    <w:multiLevelType w:val="singleLevel"/>
    <w:tmpl w:val="A8C959A1"/>
    <w:lvl w:ilvl="0" w:tentative="0">
      <w:start w:val="1"/>
      <w:numFmt w:val="decimal"/>
      <w:suff w:val="nothing"/>
      <w:lvlText w:val="%1．"/>
      <w:lvlJc w:val="left"/>
    </w:lvl>
  </w:abstractNum>
  <w:abstractNum w:abstractNumId="1">
    <w:nsid w:val="B8609A40"/>
    <w:multiLevelType w:val="singleLevel"/>
    <w:tmpl w:val="B8609A40"/>
    <w:lvl w:ilvl="0" w:tentative="0">
      <w:start w:val="1"/>
      <w:numFmt w:val="decimal"/>
      <w:suff w:val="nothing"/>
      <w:lvlText w:val="%1、"/>
      <w:lvlJc w:val="left"/>
    </w:lvl>
  </w:abstractNum>
  <w:abstractNum w:abstractNumId="2">
    <w:nsid w:val="00000001"/>
    <w:multiLevelType w:val="multilevel"/>
    <w:tmpl w:val="00000001"/>
    <w:lvl w:ilvl="0" w:tentative="0">
      <w:start w:val="1"/>
      <w:numFmt w:val="none"/>
      <w:pStyle w:val="2"/>
      <w:lvlText w:val=""/>
      <w:lvlJc w:val="left"/>
      <w:pPr>
        <w:tabs>
          <w:tab w:val="left" w:pos="432"/>
        </w:tabs>
        <w:ind w:left="432" w:hanging="432"/>
      </w:pPr>
    </w:lvl>
    <w:lvl w:ilvl="1" w:tentative="0">
      <w:start w:val="1"/>
      <w:numFmt w:val="none"/>
      <w:lvlText w:val=""/>
      <w:lvlJc w:val="left"/>
      <w:pPr>
        <w:tabs>
          <w:tab w:val="left" w:pos="576"/>
        </w:tabs>
        <w:ind w:left="576" w:hanging="576"/>
      </w:pPr>
    </w:lvl>
    <w:lvl w:ilvl="2" w:tentative="0">
      <w:start w:val="1"/>
      <w:numFmt w:val="none"/>
      <w:pStyle w:val="4"/>
      <w:lvlText w:val=""/>
      <w:lvlJc w:val="left"/>
      <w:pPr>
        <w:tabs>
          <w:tab w:val="left" w:pos="720"/>
        </w:tabs>
        <w:ind w:left="720" w:hanging="720"/>
      </w:pPr>
    </w:lvl>
    <w:lvl w:ilvl="3" w:tentative="0">
      <w:start w:val="1"/>
      <w:numFmt w:val="none"/>
      <w:lvlText w:val=""/>
      <w:lvlJc w:val="left"/>
      <w:pPr>
        <w:tabs>
          <w:tab w:val="left" w:pos="864"/>
        </w:tabs>
        <w:ind w:left="864" w:hanging="864"/>
      </w:pPr>
    </w:lvl>
    <w:lvl w:ilvl="4" w:tentative="0">
      <w:start w:val="1"/>
      <w:numFmt w:val="none"/>
      <w:lvlText w:val=""/>
      <w:lvlJc w:val="left"/>
      <w:pPr>
        <w:tabs>
          <w:tab w:val="left" w:pos="1008"/>
        </w:tabs>
        <w:ind w:left="1008" w:hanging="1008"/>
      </w:pPr>
    </w:lvl>
    <w:lvl w:ilvl="5" w:tentative="0">
      <w:start w:val="1"/>
      <w:numFmt w:val="none"/>
      <w:lvlText w:val=""/>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F187E6D"/>
    <w:multiLevelType w:val="singleLevel"/>
    <w:tmpl w:val="0F187E6D"/>
    <w:lvl w:ilvl="0" w:tentative="0">
      <w:start w:val="1"/>
      <w:numFmt w:val="decimal"/>
      <w:suff w:val="nothing"/>
      <w:lvlText w:val="%1、"/>
      <w:lvlJc w:val="left"/>
    </w:lvl>
  </w:abstractNum>
  <w:abstractNum w:abstractNumId="4">
    <w:nsid w:val="0FEF1997"/>
    <w:multiLevelType w:val="singleLevel"/>
    <w:tmpl w:val="0FEF1997"/>
    <w:lvl w:ilvl="0" w:tentative="0">
      <w:start w:val="1"/>
      <w:numFmt w:val="decimal"/>
      <w:suff w:val="nothing"/>
      <w:lvlText w:val="%1、"/>
      <w:lvlJc w:val="left"/>
    </w:lvl>
  </w:abstractNum>
  <w:abstractNum w:abstractNumId="5">
    <w:nsid w:val="198B2CF9"/>
    <w:multiLevelType w:val="multilevel"/>
    <w:tmpl w:val="198B2CF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9A040FF"/>
    <w:multiLevelType w:val="multilevel"/>
    <w:tmpl w:val="19A040F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04B11F2"/>
    <w:multiLevelType w:val="multilevel"/>
    <w:tmpl w:val="204B11F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07F37FE"/>
    <w:multiLevelType w:val="singleLevel"/>
    <w:tmpl w:val="207F37FE"/>
    <w:lvl w:ilvl="0" w:tentative="0">
      <w:start w:val="1"/>
      <w:numFmt w:val="decimal"/>
      <w:suff w:val="nothing"/>
      <w:lvlText w:val="%1、"/>
      <w:lvlJc w:val="left"/>
    </w:lvl>
  </w:abstractNum>
  <w:abstractNum w:abstractNumId="9">
    <w:nsid w:val="2C020E39"/>
    <w:multiLevelType w:val="multilevel"/>
    <w:tmpl w:val="2C020E3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
    <w:nsid w:val="518A61A4"/>
    <w:multiLevelType w:val="multilevel"/>
    <w:tmpl w:val="518A61A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
    <w:nsid w:val="555EBC7D"/>
    <w:multiLevelType w:val="singleLevel"/>
    <w:tmpl w:val="555EBC7D"/>
    <w:lvl w:ilvl="0" w:tentative="0">
      <w:start w:val="1"/>
      <w:numFmt w:val="decimal"/>
      <w:suff w:val="nothing"/>
      <w:lvlText w:val="%1."/>
      <w:lvlJc w:val="left"/>
    </w:lvl>
  </w:abstractNum>
  <w:abstractNum w:abstractNumId="12">
    <w:nsid w:val="555FE167"/>
    <w:multiLevelType w:val="singleLevel"/>
    <w:tmpl w:val="555FE167"/>
    <w:lvl w:ilvl="0" w:tentative="0">
      <w:start w:val="1"/>
      <w:numFmt w:val="decimal"/>
      <w:suff w:val="nothing"/>
      <w:lvlText w:val="%1."/>
      <w:lvlJc w:val="left"/>
    </w:lvl>
  </w:abstractNum>
  <w:abstractNum w:abstractNumId="13">
    <w:nsid w:val="555FE3C7"/>
    <w:multiLevelType w:val="singleLevel"/>
    <w:tmpl w:val="555FE3C7"/>
    <w:lvl w:ilvl="0" w:tentative="0">
      <w:start w:val="2"/>
      <w:numFmt w:val="decimal"/>
      <w:suff w:val="nothing"/>
      <w:lvlText w:val="%1、"/>
      <w:lvlJc w:val="left"/>
    </w:lvl>
  </w:abstractNum>
  <w:abstractNum w:abstractNumId="14">
    <w:nsid w:val="555FE4F1"/>
    <w:multiLevelType w:val="singleLevel"/>
    <w:tmpl w:val="555FE4F1"/>
    <w:lvl w:ilvl="0" w:tentative="0">
      <w:start w:val="3"/>
      <w:numFmt w:val="decimal"/>
      <w:suff w:val="nothing"/>
      <w:lvlText w:val="%1."/>
      <w:lvlJc w:val="left"/>
    </w:lvl>
  </w:abstractNum>
  <w:abstractNum w:abstractNumId="15">
    <w:nsid w:val="555FE6ED"/>
    <w:multiLevelType w:val="singleLevel"/>
    <w:tmpl w:val="555FE6ED"/>
    <w:lvl w:ilvl="0" w:tentative="0">
      <w:start w:val="1"/>
      <w:numFmt w:val="decimal"/>
      <w:suff w:val="nothing"/>
      <w:lvlText w:val="%1."/>
      <w:lvlJc w:val="left"/>
    </w:lvl>
  </w:abstractNum>
  <w:abstractNum w:abstractNumId="16">
    <w:nsid w:val="555FEA6A"/>
    <w:multiLevelType w:val="singleLevel"/>
    <w:tmpl w:val="555FEA6A"/>
    <w:lvl w:ilvl="0" w:tentative="0">
      <w:start w:val="1"/>
      <w:numFmt w:val="decimal"/>
      <w:suff w:val="nothing"/>
      <w:lvlText w:val="（%1）"/>
      <w:lvlJc w:val="left"/>
    </w:lvl>
  </w:abstractNum>
  <w:abstractNum w:abstractNumId="17">
    <w:nsid w:val="555FEB6A"/>
    <w:multiLevelType w:val="singleLevel"/>
    <w:tmpl w:val="555FEB6A"/>
    <w:lvl w:ilvl="0" w:tentative="0">
      <w:start w:val="5"/>
      <w:numFmt w:val="decimal"/>
      <w:suff w:val="nothing"/>
      <w:lvlText w:val="%1."/>
      <w:lvlJc w:val="left"/>
    </w:lvl>
  </w:abstractNum>
  <w:abstractNum w:abstractNumId="18">
    <w:nsid w:val="58AB569A"/>
    <w:multiLevelType w:val="multilevel"/>
    <w:tmpl w:val="58AB569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9">
    <w:nsid w:val="5BF7299F"/>
    <w:multiLevelType w:val="singleLevel"/>
    <w:tmpl w:val="5BF7299F"/>
    <w:lvl w:ilvl="0" w:tentative="0">
      <w:start w:val="5"/>
      <w:numFmt w:val="chineseCounting"/>
      <w:suff w:val="space"/>
      <w:lvlText w:val="第%1章"/>
      <w:lvlJc w:val="left"/>
      <w:rPr>
        <w:rFonts w:hint="eastAsia"/>
      </w:rPr>
    </w:lvl>
  </w:abstractNum>
  <w:abstractNum w:abstractNumId="20">
    <w:nsid w:val="76DB6F3A"/>
    <w:multiLevelType w:val="multilevel"/>
    <w:tmpl w:val="76DB6F3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2"/>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4"/>
  </w:num>
  <w:num w:numId="10">
    <w:abstractNumId w:val="8"/>
  </w:num>
  <w:num w:numId="11">
    <w:abstractNumId w:val="1"/>
  </w:num>
  <w:num w:numId="12">
    <w:abstractNumId w:val="3"/>
  </w:num>
  <w:num w:numId="13">
    <w:abstractNumId w:val="19"/>
  </w:num>
  <w:num w:numId="14">
    <w:abstractNumId w:val="5"/>
  </w:num>
  <w:num w:numId="15">
    <w:abstractNumId w:val="6"/>
  </w:num>
  <w:num w:numId="16">
    <w:abstractNumId w:val="18"/>
  </w:num>
  <w:num w:numId="17">
    <w:abstractNumId w:val="9"/>
  </w:num>
  <w:num w:numId="18">
    <w:abstractNumId w:val="20"/>
  </w:num>
  <w:num w:numId="19">
    <w:abstractNumId w:val="10"/>
  </w:num>
  <w:num w:numId="20">
    <w:abstractNumId w:val="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1YWMxMTcwMjQyM2Q1NTdjMDRmYjc3YjJmODE4MGEifQ=="/>
  </w:docVars>
  <w:rsids>
    <w:rsidRoot w:val="09E449CF"/>
    <w:rsid w:val="00092509"/>
    <w:rsid w:val="000C3DA7"/>
    <w:rsid w:val="004C0647"/>
    <w:rsid w:val="0071209B"/>
    <w:rsid w:val="0086777B"/>
    <w:rsid w:val="00E865C2"/>
    <w:rsid w:val="011A687D"/>
    <w:rsid w:val="01323926"/>
    <w:rsid w:val="01566362"/>
    <w:rsid w:val="01B110AA"/>
    <w:rsid w:val="01CC11DE"/>
    <w:rsid w:val="026E2AF7"/>
    <w:rsid w:val="026E6F9B"/>
    <w:rsid w:val="02B7624C"/>
    <w:rsid w:val="03630182"/>
    <w:rsid w:val="03B147DF"/>
    <w:rsid w:val="03D1158F"/>
    <w:rsid w:val="040A4AA1"/>
    <w:rsid w:val="044004C3"/>
    <w:rsid w:val="04B728D0"/>
    <w:rsid w:val="051C683A"/>
    <w:rsid w:val="0532605E"/>
    <w:rsid w:val="054B27F0"/>
    <w:rsid w:val="056B77C2"/>
    <w:rsid w:val="056D52E8"/>
    <w:rsid w:val="05A14F91"/>
    <w:rsid w:val="05CB0607"/>
    <w:rsid w:val="060E6ACB"/>
    <w:rsid w:val="06436049"/>
    <w:rsid w:val="06CC4290"/>
    <w:rsid w:val="06ED4932"/>
    <w:rsid w:val="07320CEB"/>
    <w:rsid w:val="07593D76"/>
    <w:rsid w:val="07C02047"/>
    <w:rsid w:val="08047E4C"/>
    <w:rsid w:val="08332547"/>
    <w:rsid w:val="089332B7"/>
    <w:rsid w:val="091778A4"/>
    <w:rsid w:val="09475E50"/>
    <w:rsid w:val="09CF031F"/>
    <w:rsid w:val="09DC0B96"/>
    <w:rsid w:val="09E449CF"/>
    <w:rsid w:val="09FB7366"/>
    <w:rsid w:val="0A334D52"/>
    <w:rsid w:val="0A7863F3"/>
    <w:rsid w:val="0AD11E75"/>
    <w:rsid w:val="0ADB1C5D"/>
    <w:rsid w:val="0BA92DF2"/>
    <w:rsid w:val="0BC47C2C"/>
    <w:rsid w:val="0C0B2B0B"/>
    <w:rsid w:val="0C2F1549"/>
    <w:rsid w:val="0C542D5E"/>
    <w:rsid w:val="0C6F030C"/>
    <w:rsid w:val="0CB679B8"/>
    <w:rsid w:val="0CC00650"/>
    <w:rsid w:val="0CD63D02"/>
    <w:rsid w:val="0CF62067"/>
    <w:rsid w:val="0D4F3EC6"/>
    <w:rsid w:val="0D8D29CB"/>
    <w:rsid w:val="0DBA3094"/>
    <w:rsid w:val="0DD506AB"/>
    <w:rsid w:val="0E06452B"/>
    <w:rsid w:val="0E5057A7"/>
    <w:rsid w:val="0E6B25E0"/>
    <w:rsid w:val="0F36499C"/>
    <w:rsid w:val="0F543075"/>
    <w:rsid w:val="0F73174D"/>
    <w:rsid w:val="0F7751D6"/>
    <w:rsid w:val="0F781103"/>
    <w:rsid w:val="0F781459"/>
    <w:rsid w:val="0F87344A"/>
    <w:rsid w:val="0FFB484F"/>
    <w:rsid w:val="10611EED"/>
    <w:rsid w:val="106E343D"/>
    <w:rsid w:val="10986A51"/>
    <w:rsid w:val="11254CC9"/>
    <w:rsid w:val="113B1005"/>
    <w:rsid w:val="117D0ACE"/>
    <w:rsid w:val="11AE1D79"/>
    <w:rsid w:val="120D5E88"/>
    <w:rsid w:val="12217B86"/>
    <w:rsid w:val="1222745A"/>
    <w:rsid w:val="129A6121"/>
    <w:rsid w:val="12A53EC8"/>
    <w:rsid w:val="12F878A6"/>
    <w:rsid w:val="134F24D1"/>
    <w:rsid w:val="13772926"/>
    <w:rsid w:val="138163C4"/>
    <w:rsid w:val="13985C26"/>
    <w:rsid w:val="13B50586"/>
    <w:rsid w:val="13C474E3"/>
    <w:rsid w:val="13E175CD"/>
    <w:rsid w:val="13F56BD4"/>
    <w:rsid w:val="13F65466"/>
    <w:rsid w:val="141C0605"/>
    <w:rsid w:val="156D6C3E"/>
    <w:rsid w:val="156F0C08"/>
    <w:rsid w:val="15787ABD"/>
    <w:rsid w:val="157B135B"/>
    <w:rsid w:val="157E2810"/>
    <w:rsid w:val="159E393F"/>
    <w:rsid w:val="15F86E50"/>
    <w:rsid w:val="16210154"/>
    <w:rsid w:val="165C73DE"/>
    <w:rsid w:val="16976668"/>
    <w:rsid w:val="16A42B33"/>
    <w:rsid w:val="16DB1A83"/>
    <w:rsid w:val="17033CFE"/>
    <w:rsid w:val="17272224"/>
    <w:rsid w:val="17312619"/>
    <w:rsid w:val="173B52B1"/>
    <w:rsid w:val="17497392"/>
    <w:rsid w:val="17D14C0D"/>
    <w:rsid w:val="17F319E7"/>
    <w:rsid w:val="18AD6D8F"/>
    <w:rsid w:val="18C80D5B"/>
    <w:rsid w:val="18CB4360"/>
    <w:rsid w:val="18D47700"/>
    <w:rsid w:val="192817FA"/>
    <w:rsid w:val="1968609A"/>
    <w:rsid w:val="19987B81"/>
    <w:rsid w:val="19A266CB"/>
    <w:rsid w:val="19D379B8"/>
    <w:rsid w:val="1A5B175B"/>
    <w:rsid w:val="1ABC48F0"/>
    <w:rsid w:val="1B4A3CA9"/>
    <w:rsid w:val="1B4B7A22"/>
    <w:rsid w:val="1B607376"/>
    <w:rsid w:val="1B8540E2"/>
    <w:rsid w:val="1BAC6712"/>
    <w:rsid w:val="1C4526C3"/>
    <w:rsid w:val="1C4C3A51"/>
    <w:rsid w:val="1C9B3E5E"/>
    <w:rsid w:val="1D1C1676"/>
    <w:rsid w:val="1D69418F"/>
    <w:rsid w:val="1D7C1CE5"/>
    <w:rsid w:val="1DE63A32"/>
    <w:rsid w:val="1E0736E7"/>
    <w:rsid w:val="1E4A0464"/>
    <w:rsid w:val="1E603330"/>
    <w:rsid w:val="1ECC70CB"/>
    <w:rsid w:val="1F0371CD"/>
    <w:rsid w:val="1F3F164B"/>
    <w:rsid w:val="1F8C08F3"/>
    <w:rsid w:val="1F923C8B"/>
    <w:rsid w:val="1F9C6A9E"/>
    <w:rsid w:val="1FA74F1F"/>
    <w:rsid w:val="1FB21E1D"/>
    <w:rsid w:val="206F5F60"/>
    <w:rsid w:val="20837948"/>
    <w:rsid w:val="20A43E5C"/>
    <w:rsid w:val="20DD111C"/>
    <w:rsid w:val="2164183D"/>
    <w:rsid w:val="21A97250"/>
    <w:rsid w:val="21D00C81"/>
    <w:rsid w:val="21F52495"/>
    <w:rsid w:val="21F735E1"/>
    <w:rsid w:val="22774B73"/>
    <w:rsid w:val="22995516"/>
    <w:rsid w:val="22E22A19"/>
    <w:rsid w:val="237B67A4"/>
    <w:rsid w:val="23825FAA"/>
    <w:rsid w:val="23841D23"/>
    <w:rsid w:val="23D507D0"/>
    <w:rsid w:val="241E2177"/>
    <w:rsid w:val="24243CE4"/>
    <w:rsid w:val="248F6BD1"/>
    <w:rsid w:val="24AB4534"/>
    <w:rsid w:val="24C50845"/>
    <w:rsid w:val="25137519"/>
    <w:rsid w:val="253022B0"/>
    <w:rsid w:val="2561056D"/>
    <w:rsid w:val="259A75DB"/>
    <w:rsid w:val="26347A30"/>
    <w:rsid w:val="263E21A9"/>
    <w:rsid w:val="26C9444B"/>
    <w:rsid w:val="26D11723"/>
    <w:rsid w:val="26E33204"/>
    <w:rsid w:val="26F176CF"/>
    <w:rsid w:val="26FA787D"/>
    <w:rsid w:val="27182EAE"/>
    <w:rsid w:val="271A2958"/>
    <w:rsid w:val="274A5031"/>
    <w:rsid w:val="27801148"/>
    <w:rsid w:val="278C389C"/>
    <w:rsid w:val="27E965F8"/>
    <w:rsid w:val="27F154AD"/>
    <w:rsid w:val="28035FB0"/>
    <w:rsid w:val="281318C7"/>
    <w:rsid w:val="282B45DC"/>
    <w:rsid w:val="287954DB"/>
    <w:rsid w:val="29824F56"/>
    <w:rsid w:val="298B48AF"/>
    <w:rsid w:val="29A9603F"/>
    <w:rsid w:val="29B50E88"/>
    <w:rsid w:val="2A0373D6"/>
    <w:rsid w:val="2A621372"/>
    <w:rsid w:val="2A924D25"/>
    <w:rsid w:val="2AC309FF"/>
    <w:rsid w:val="2AEF3F25"/>
    <w:rsid w:val="2B083952"/>
    <w:rsid w:val="2B0F6376"/>
    <w:rsid w:val="2B157704"/>
    <w:rsid w:val="2B1B2F6C"/>
    <w:rsid w:val="2B5B01CE"/>
    <w:rsid w:val="2BA56CDA"/>
    <w:rsid w:val="2BC03B14"/>
    <w:rsid w:val="2BD1187D"/>
    <w:rsid w:val="2C1D4AC2"/>
    <w:rsid w:val="2C276851"/>
    <w:rsid w:val="2C520C10"/>
    <w:rsid w:val="2C5A1872"/>
    <w:rsid w:val="2C5A5D16"/>
    <w:rsid w:val="2CA70830"/>
    <w:rsid w:val="2CB76CC5"/>
    <w:rsid w:val="2CF41CC7"/>
    <w:rsid w:val="2D067BEC"/>
    <w:rsid w:val="2D1F2D19"/>
    <w:rsid w:val="2DAD1E76"/>
    <w:rsid w:val="2DC714F8"/>
    <w:rsid w:val="2DC85DAE"/>
    <w:rsid w:val="2DD12008"/>
    <w:rsid w:val="2E0B376C"/>
    <w:rsid w:val="2E7754F2"/>
    <w:rsid w:val="2ECB4CA9"/>
    <w:rsid w:val="2EDA14B1"/>
    <w:rsid w:val="2F1F0B51"/>
    <w:rsid w:val="2F3F2FA2"/>
    <w:rsid w:val="2F4F58DB"/>
    <w:rsid w:val="2F6649D2"/>
    <w:rsid w:val="2F81180C"/>
    <w:rsid w:val="2F8217DB"/>
    <w:rsid w:val="2FB13E9F"/>
    <w:rsid w:val="30542A7D"/>
    <w:rsid w:val="31B639EF"/>
    <w:rsid w:val="31DE2F46"/>
    <w:rsid w:val="322072BC"/>
    <w:rsid w:val="32330746"/>
    <w:rsid w:val="32452FC5"/>
    <w:rsid w:val="32D305D1"/>
    <w:rsid w:val="32E349AB"/>
    <w:rsid w:val="33105381"/>
    <w:rsid w:val="3353526D"/>
    <w:rsid w:val="33813B89"/>
    <w:rsid w:val="33884F17"/>
    <w:rsid w:val="33D22636"/>
    <w:rsid w:val="33D75E9F"/>
    <w:rsid w:val="340824FC"/>
    <w:rsid w:val="347831DE"/>
    <w:rsid w:val="34AA710F"/>
    <w:rsid w:val="34C5219B"/>
    <w:rsid w:val="34CA155F"/>
    <w:rsid w:val="34F14D3E"/>
    <w:rsid w:val="35356F94"/>
    <w:rsid w:val="35470E02"/>
    <w:rsid w:val="357240D1"/>
    <w:rsid w:val="35ED7BFB"/>
    <w:rsid w:val="36114536"/>
    <w:rsid w:val="361B02C4"/>
    <w:rsid w:val="363E0457"/>
    <w:rsid w:val="366C4FC4"/>
    <w:rsid w:val="36965B9D"/>
    <w:rsid w:val="36DF7544"/>
    <w:rsid w:val="3700570C"/>
    <w:rsid w:val="371C0798"/>
    <w:rsid w:val="37421881"/>
    <w:rsid w:val="374675C3"/>
    <w:rsid w:val="37601807"/>
    <w:rsid w:val="376F3581"/>
    <w:rsid w:val="377C2FE5"/>
    <w:rsid w:val="37A61E10"/>
    <w:rsid w:val="37A83DDA"/>
    <w:rsid w:val="38293D99"/>
    <w:rsid w:val="384F06F9"/>
    <w:rsid w:val="385C2E16"/>
    <w:rsid w:val="3905525C"/>
    <w:rsid w:val="39316051"/>
    <w:rsid w:val="396401D4"/>
    <w:rsid w:val="39A5607F"/>
    <w:rsid w:val="39F01A68"/>
    <w:rsid w:val="3A097CB2"/>
    <w:rsid w:val="3A1E0383"/>
    <w:rsid w:val="3B225C51"/>
    <w:rsid w:val="3B482935"/>
    <w:rsid w:val="3B94585F"/>
    <w:rsid w:val="3C522566"/>
    <w:rsid w:val="3C793F97"/>
    <w:rsid w:val="3CE16F85"/>
    <w:rsid w:val="3D103806"/>
    <w:rsid w:val="3D347EBE"/>
    <w:rsid w:val="3D477BF1"/>
    <w:rsid w:val="3D7E17DF"/>
    <w:rsid w:val="3E5A1C90"/>
    <w:rsid w:val="3E9539B9"/>
    <w:rsid w:val="3EA90437"/>
    <w:rsid w:val="3EAF5499"/>
    <w:rsid w:val="3EC05EAD"/>
    <w:rsid w:val="3EEA117C"/>
    <w:rsid w:val="3F3319E8"/>
    <w:rsid w:val="3F7942AE"/>
    <w:rsid w:val="3F852C53"/>
    <w:rsid w:val="3FA37920"/>
    <w:rsid w:val="40AB0497"/>
    <w:rsid w:val="40DC4AF4"/>
    <w:rsid w:val="40FE2CBD"/>
    <w:rsid w:val="415428DD"/>
    <w:rsid w:val="415F2EA0"/>
    <w:rsid w:val="4175144C"/>
    <w:rsid w:val="41792343"/>
    <w:rsid w:val="41A749D5"/>
    <w:rsid w:val="41C96FF3"/>
    <w:rsid w:val="41EB04F2"/>
    <w:rsid w:val="42224789"/>
    <w:rsid w:val="422C51A6"/>
    <w:rsid w:val="426254CD"/>
    <w:rsid w:val="427174BE"/>
    <w:rsid w:val="427F3497"/>
    <w:rsid w:val="42F35A17"/>
    <w:rsid w:val="4335673E"/>
    <w:rsid w:val="436F39FE"/>
    <w:rsid w:val="43A062AD"/>
    <w:rsid w:val="43B52321"/>
    <w:rsid w:val="44C24001"/>
    <w:rsid w:val="4504461A"/>
    <w:rsid w:val="45660E30"/>
    <w:rsid w:val="462F56C6"/>
    <w:rsid w:val="464C0026"/>
    <w:rsid w:val="46683FDD"/>
    <w:rsid w:val="468F6C22"/>
    <w:rsid w:val="469C1719"/>
    <w:rsid w:val="46BA7686"/>
    <w:rsid w:val="46BF4C9C"/>
    <w:rsid w:val="46D3282B"/>
    <w:rsid w:val="46FF153C"/>
    <w:rsid w:val="47264D1B"/>
    <w:rsid w:val="47482EE3"/>
    <w:rsid w:val="47743CD8"/>
    <w:rsid w:val="479559FD"/>
    <w:rsid w:val="47DB4AA0"/>
    <w:rsid w:val="480706A9"/>
    <w:rsid w:val="480C3F11"/>
    <w:rsid w:val="48284AC3"/>
    <w:rsid w:val="483671E0"/>
    <w:rsid w:val="485633DE"/>
    <w:rsid w:val="48E24C72"/>
    <w:rsid w:val="48FD1AAC"/>
    <w:rsid w:val="49290AF3"/>
    <w:rsid w:val="49441489"/>
    <w:rsid w:val="495C7CDB"/>
    <w:rsid w:val="499441BE"/>
    <w:rsid w:val="49A6245D"/>
    <w:rsid w:val="49B84886"/>
    <w:rsid w:val="49C83E68"/>
    <w:rsid w:val="4A2319E6"/>
    <w:rsid w:val="4A7F505F"/>
    <w:rsid w:val="4A987CDE"/>
    <w:rsid w:val="4ACE54AE"/>
    <w:rsid w:val="4B2E23F0"/>
    <w:rsid w:val="4B6A2BC1"/>
    <w:rsid w:val="4BA3693A"/>
    <w:rsid w:val="4BD05255"/>
    <w:rsid w:val="4BD765E4"/>
    <w:rsid w:val="4BF54CBC"/>
    <w:rsid w:val="4C251A45"/>
    <w:rsid w:val="4C684C0D"/>
    <w:rsid w:val="4C820C46"/>
    <w:rsid w:val="4CB608EF"/>
    <w:rsid w:val="4CD80866"/>
    <w:rsid w:val="4CE56900"/>
    <w:rsid w:val="4CE865CF"/>
    <w:rsid w:val="4CE91C3E"/>
    <w:rsid w:val="4D1A2C2C"/>
    <w:rsid w:val="4D727859"/>
    <w:rsid w:val="4E146BE2"/>
    <w:rsid w:val="4E427E6A"/>
    <w:rsid w:val="4E7C58ED"/>
    <w:rsid w:val="4EE74D90"/>
    <w:rsid w:val="4F053468"/>
    <w:rsid w:val="4F895E47"/>
    <w:rsid w:val="4F8B7E11"/>
    <w:rsid w:val="4F9A62A6"/>
    <w:rsid w:val="4FF701A8"/>
    <w:rsid w:val="5006393C"/>
    <w:rsid w:val="507765E7"/>
    <w:rsid w:val="508A6075"/>
    <w:rsid w:val="508A631B"/>
    <w:rsid w:val="508F1B83"/>
    <w:rsid w:val="509E3B74"/>
    <w:rsid w:val="51145BE4"/>
    <w:rsid w:val="513424C7"/>
    <w:rsid w:val="51491D32"/>
    <w:rsid w:val="514C3875"/>
    <w:rsid w:val="515F3303"/>
    <w:rsid w:val="51976D09"/>
    <w:rsid w:val="520E4D2A"/>
    <w:rsid w:val="521B4A13"/>
    <w:rsid w:val="52237943"/>
    <w:rsid w:val="52D40CA7"/>
    <w:rsid w:val="53A05E55"/>
    <w:rsid w:val="53F87A3F"/>
    <w:rsid w:val="54316AAD"/>
    <w:rsid w:val="545F603C"/>
    <w:rsid w:val="54DE09E3"/>
    <w:rsid w:val="54E56216"/>
    <w:rsid w:val="551A5EDA"/>
    <w:rsid w:val="5524161D"/>
    <w:rsid w:val="55A57CE3"/>
    <w:rsid w:val="55CA71B9"/>
    <w:rsid w:val="565C42B5"/>
    <w:rsid w:val="565D12A8"/>
    <w:rsid w:val="568850AA"/>
    <w:rsid w:val="569D042A"/>
    <w:rsid w:val="56AD7656"/>
    <w:rsid w:val="56B22127"/>
    <w:rsid w:val="573E1C0D"/>
    <w:rsid w:val="57461256"/>
    <w:rsid w:val="582D3C81"/>
    <w:rsid w:val="584C2108"/>
    <w:rsid w:val="585F62DF"/>
    <w:rsid w:val="5875340D"/>
    <w:rsid w:val="58C61EBA"/>
    <w:rsid w:val="58CA7BFC"/>
    <w:rsid w:val="59080725"/>
    <w:rsid w:val="590F2F0B"/>
    <w:rsid w:val="59401C6C"/>
    <w:rsid w:val="59945B14"/>
    <w:rsid w:val="59A55F73"/>
    <w:rsid w:val="59D2663D"/>
    <w:rsid w:val="59D40607"/>
    <w:rsid w:val="5A074538"/>
    <w:rsid w:val="5A22381A"/>
    <w:rsid w:val="5AA30C31"/>
    <w:rsid w:val="5AF665B3"/>
    <w:rsid w:val="5B296730"/>
    <w:rsid w:val="5B57504B"/>
    <w:rsid w:val="5B5A2D8E"/>
    <w:rsid w:val="5B5F03A4"/>
    <w:rsid w:val="5B743E4F"/>
    <w:rsid w:val="5BE32D83"/>
    <w:rsid w:val="5C0351D3"/>
    <w:rsid w:val="5C084598"/>
    <w:rsid w:val="5C294C3A"/>
    <w:rsid w:val="5C3D2493"/>
    <w:rsid w:val="5C4F0418"/>
    <w:rsid w:val="5C853E3A"/>
    <w:rsid w:val="5C877BB2"/>
    <w:rsid w:val="5CC23280"/>
    <w:rsid w:val="5D973E25"/>
    <w:rsid w:val="5DBC14D0"/>
    <w:rsid w:val="5E021BE6"/>
    <w:rsid w:val="5E284487"/>
    <w:rsid w:val="5E287173"/>
    <w:rsid w:val="5E532442"/>
    <w:rsid w:val="5EAC1B52"/>
    <w:rsid w:val="5F013C4C"/>
    <w:rsid w:val="5F1514A5"/>
    <w:rsid w:val="5F1F40D2"/>
    <w:rsid w:val="5F3A35AD"/>
    <w:rsid w:val="5F443B39"/>
    <w:rsid w:val="5F906D7E"/>
    <w:rsid w:val="5FEA2932"/>
    <w:rsid w:val="5FFC2665"/>
    <w:rsid w:val="5FFD1529"/>
    <w:rsid w:val="60017C7C"/>
    <w:rsid w:val="608508AD"/>
    <w:rsid w:val="60B371C8"/>
    <w:rsid w:val="60D46BA2"/>
    <w:rsid w:val="6172059E"/>
    <w:rsid w:val="61B01959"/>
    <w:rsid w:val="61C96577"/>
    <w:rsid w:val="621907A5"/>
    <w:rsid w:val="62347E94"/>
    <w:rsid w:val="62596DA5"/>
    <w:rsid w:val="62B45479"/>
    <w:rsid w:val="62E152D1"/>
    <w:rsid w:val="62FB72E3"/>
    <w:rsid w:val="630F5C08"/>
    <w:rsid w:val="6379750C"/>
    <w:rsid w:val="638766EA"/>
    <w:rsid w:val="639A641D"/>
    <w:rsid w:val="639D7CBB"/>
    <w:rsid w:val="643B19AE"/>
    <w:rsid w:val="648D5F82"/>
    <w:rsid w:val="64B90B25"/>
    <w:rsid w:val="64CE68CB"/>
    <w:rsid w:val="64F733FB"/>
    <w:rsid w:val="64FB113D"/>
    <w:rsid w:val="64FD6F44"/>
    <w:rsid w:val="650C334B"/>
    <w:rsid w:val="65D06126"/>
    <w:rsid w:val="66636F9A"/>
    <w:rsid w:val="66BC66AA"/>
    <w:rsid w:val="66F67E0E"/>
    <w:rsid w:val="66FD119D"/>
    <w:rsid w:val="6726071C"/>
    <w:rsid w:val="67370FEC"/>
    <w:rsid w:val="6747066A"/>
    <w:rsid w:val="6759357A"/>
    <w:rsid w:val="67696832"/>
    <w:rsid w:val="67C5612E"/>
    <w:rsid w:val="67CE2B39"/>
    <w:rsid w:val="67D9243E"/>
    <w:rsid w:val="67DB7004"/>
    <w:rsid w:val="69075408"/>
    <w:rsid w:val="691E364C"/>
    <w:rsid w:val="699F478D"/>
    <w:rsid w:val="69A55B1C"/>
    <w:rsid w:val="69AB1384"/>
    <w:rsid w:val="6A31115D"/>
    <w:rsid w:val="6A5F5CCB"/>
    <w:rsid w:val="6A793230"/>
    <w:rsid w:val="6AFE7291"/>
    <w:rsid w:val="6B9876E6"/>
    <w:rsid w:val="6BF32B6E"/>
    <w:rsid w:val="6C123CE5"/>
    <w:rsid w:val="6C2216A6"/>
    <w:rsid w:val="6C223454"/>
    <w:rsid w:val="6C2471CC"/>
    <w:rsid w:val="6C3D64DF"/>
    <w:rsid w:val="6C44786E"/>
    <w:rsid w:val="6C517895"/>
    <w:rsid w:val="6CB910A8"/>
    <w:rsid w:val="6CF63059"/>
    <w:rsid w:val="6D3E42BD"/>
    <w:rsid w:val="6D7032EB"/>
    <w:rsid w:val="6D716441"/>
    <w:rsid w:val="6D7F648C"/>
    <w:rsid w:val="6DAA1953"/>
    <w:rsid w:val="6DF1671D"/>
    <w:rsid w:val="6E381369"/>
    <w:rsid w:val="6E4708A3"/>
    <w:rsid w:val="6E532EF0"/>
    <w:rsid w:val="6E6C09B6"/>
    <w:rsid w:val="6E873A42"/>
    <w:rsid w:val="6E963C85"/>
    <w:rsid w:val="6F63000B"/>
    <w:rsid w:val="6FCD5E62"/>
    <w:rsid w:val="6FF719E0"/>
    <w:rsid w:val="700C5186"/>
    <w:rsid w:val="70545BA6"/>
    <w:rsid w:val="70904E30"/>
    <w:rsid w:val="711772FF"/>
    <w:rsid w:val="714D2D21"/>
    <w:rsid w:val="719C5A56"/>
    <w:rsid w:val="71DB593C"/>
    <w:rsid w:val="72BB015E"/>
    <w:rsid w:val="72C96975"/>
    <w:rsid w:val="72D17828"/>
    <w:rsid w:val="72F83160"/>
    <w:rsid w:val="73694628"/>
    <w:rsid w:val="737D2A18"/>
    <w:rsid w:val="74275AAB"/>
    <w:rsid w:val="745443C6"/>
    <w:rsid w:val="7486053D"/>
    <w:rsid w:val="75135EF9"/>
    <w:rsid w:val="75340715"/>
    <w:rsid w:val="763823E2"/>
    <w:rsid w:val="766C59F7"/>
    <w:rsid w:val="76A35191"/>
    <w:rsid w:val="76E9529A"/>
    <w:rsid w:val="77810731"/>
    <w:rsid w:val="77CE623E"/>
    <w:rsid w:val="780F0D30"/>
    <w:rsid w:val="782F3180"/>
    <w:rsid w:val="78880AE2"/>
    <w:rsid w:val="78CF04BF"/>
    <w:rsid w:val="78EE4DE9"/>
    <w:rsid w:val="791365FE"/>
    <w:rsid w:val="791A5BDE"/>
    <w:rsid w:val="79703A50"/>
    <w:rsid w:val="79B3393D"/>
    <w:rsid w:val="79F71A7C"/>
    <w:rsid w:val="79FE72AE"/>
    <w:rsid w:val="7A6B246A"/>
    <w:rsid w:val="7B0E3521"/>
    <w:rsid w:val="7B247F8E"/>
    <w:rsid w:val="7B2C1223"/>
    <w:rsid w:val="7BC065C3"/>
    <w:rsid w:val="7C4A016F"/>
    <w:rsid w:val="7C915EE5"/>
    <w:rsid w:val="7CB023B6"/>
    <w:rsid w:val="7CCD11BA"/>
    <w:rsid w:val="7D450D50"/>
    <w:rsid w:val="7D7D673C"/>
    <w:rsid w:val="7D99774A"/>
    <w:rsid w:val="7DB54E37"/>
    <w:rsid w:val="7DDB16B4"/>
    <w:rsid w:val="7DE00815"/>
    <w:rsid w:val="7EF667A6"/>
    <w:rsid w:val="7EF96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link w:val="39"/>
    <w:autoRedefine/>
    <w:qFormat/>
    <w:uiPriority w:val="0"/>
    <w:pPr>
      <w:keepNext/>
      <w:widowControl/>
      <w:numPr>
        <w:ilvl w:val="0"/>
        <w:numId w:val="1"/>
      </w:numPr>
      <w:jc w:val="center"/>
      <w:outlineLvl w:val="0"/>
    </w:pPr>
    <w:rPr>
      <w:rFonts w:ascii="黑体" w:hAnsi="宋体" w:eastAsia="黑体"/>
      <w:kern w:val="0"/>
      <w:sz w:val="52"/>
      <w:szCs w:val="20"/>
    </w:rPr>
  </w:style>
  <w:style w:type="paragraph" w:styleId="3">
    <w:name w:val="heading 2"/>
    <w:basedOn w:val="1"/>
    <w:next w:val="1"/>
    <w:autoRedefine/>
    <w:qFormat/>
    <w:uiPriority w:val="0"/>
    <w:pPr>
      <w:keepNext/>
      <w:keepLines/>
      <w:tabs>
        <w:tab w:val="left" w:pos="432"/>
      </w:tabs>
      <w:spacing w:before="260" w:beforeLines="0" w:after="260" w:afterLines="0" w:line="413" w:lineRule="auto"/>
      <w:jc w:val="center"/>
      <w:outlineLvl w:val="1"/>
    </w:pPr>
    <w:rPr>
      <w:rFonts w:ascii="Arial" w:hAnsi="Arial" w:eastAsia="黑体"/>
      <w:b/>
      <w:sz w:val="32"/>
    </w:rPr>
  </w:style>
  <w:style w:type="paragraph" w:styleId="4">
    <w:name w:val="heading 3"/>
    <w:basedOn w:val="1"/>
    <w:next w:val="1"/>
    <w:autoRedefine/>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autoRedefine/>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3">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rPr>
      <w:rFonts w:ascii="Calibri" w:hAnsi="Calibri" w:eastAsia="宋体"/>
    </w:rPr>
  </w:style>
  <w:style w:type="paragraph" w:styleId="7">
    <w:name w:val="annotation text"/>
    <w:basedOn w:val="1"/>
    <w:autoRedefine/>
    <w:unhideWhenUsed/>
    <w:qFormat/>
    <w:uiPriority w:val="99"/>
    <w:pPr>
      <w:jc w:val="left"/>
    </w:pPr>
  </w:style>
  <w:style w:type="paragraph" w:styleId="8">
    <w:name w:val="Body Text"/>
    <w:basedOn w:val="1"/>
    <w:autoRedefine/>
    <w:qFormat/>
    <w:uiPriority w:val="0"/>
    <w:pPr>
      <w:spacing w:line="0" w:lineRule="atLeast"/>
    </w:pPr>
    <w:rPr>
      <w:rFonts w:ascii="Calibri" w:hAnsi="Calibri"/>
      <w:b/>
      <w:sz w:val="30"/>
      <w:szCs w:val="20"/>
    </w:rPr>
  </w:style>
  <w:style w:type="paragraph" w:styleId="9">
    <w:name w:val="Body Text Indent"/>
    <w:basedOn w:val="1"/>
    <w:next w:val="1"/>
    <w:autoRedefine/>
    <w:qFormat/>
    <w:uiPriority w:val="0"/>
    <w:pPr>
      <w:widowControl/>
      <w:overflowPunct w:val="0"/>
      <w:autoSpaceDE w:val="0"/>
      <w:autoSpaceDN w:val="0"/>
      <w:adjustRightInd w:val="0"/>
      <w:spacing w:line="360" w:lineRule="auto"/>
      <w:ind w:firstLine="540"/>
      <w:textAlignment w:val="baseline"/>
    </w:pPr>
    <w:rPr>
      <w:rFonts w:ascii="宋体" w:hAnsi="MS Sans Serif"/>
      <w:b/>
      <w:spacing w:val="12"/>
      <w:kern w:val="0"/>
      <w:sz w:val="24"/>
    </w:rPr>
  </w:style>
  <w:style w:type="paragraph" w:styleId="10">
    <w:name w:val="List 2"/>
    <w:basedOn w:val="1"/>
    <w:autoRedefine/>
    <w:qFormat/>
    <w:uiPriority w:val="0"/>
    <w:pPr>
      <w:ind w:left="100" w:leftChars="200" w:hanging="200" w:hangingChars="200"/>
    </w:pPr>
  </w:style>
  <w:style w:type="paragraph" w:styleId="11">
    <w:name w:val="Plain Text"/>
    <w:basedOn w:val="1"/>
    <w:autoRedefine/>
    <w:qFormat/>
    <w:uiPriority w:val="0"/>
    <w:rPr>
      <w:rFonts w:ascii="宋体" w:hAnsi="Courier New"/>
    </w:r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ind w:right="90"/>
      <w:jc w:val="right"/>
    </w:pPr>
    <w:rPr>
      <w:sz w:val="18"/>
      <w:szCs w:val="18"/>
    </w:rPr>
  </w:style>
  <w:style w:type="paragraph" w:styleId="14">
    <w:name w:val="toc 1"/>
    <w:basedOn w:val="1"/>
    <w:next w:val="1"/>
    <w:autoRedefine/>
    <w:qFormat/>
    <w:uiPriority w:val="0"/>
  </w:style>
  <w:style w:type="paragraph" w:styleId="15">
    <w:name w:val="toc 2"/>
    <w:basedOn w:val="1"/>
    <w:next w:val="1"/>
    <w:autoRedefine/>
    <w:qFormat/>
    <w:uiPriority w:val="0"/>
    <w:pPr>
      <w:ind w:left="210"/>
      <w:jc w:val="left"/>
    </w:pPr>
    <w:rPr>
      <w:rFonts w:ascii="Times New Roman" w:hAnsi="Times New Roman" w:eastAsia="宋体" w:cs="Times New Roman"/>
      <w:smallCaps/>
      <w:sz w:val="20"/>
      <w:szCs w:val="20"/>
    </w:rPr>
  </w:style>
  <w:style w:type="paragraph" w:styleId="16">
    <w:name w:val="Body Text 2"/>
    <w:basedOn w:val="17"/>
    <w:autoRedefine/>
    <w:qFormat/>
    <w:uiPriority w:val="0"/>
    <w:pPr>
      <w:spacing w:after="120" w:afterLines="0" w:line="480" w:lineRule="auto"/>
    </w:pPr>
    <w:rPr>
      <w:szCs w:val="24"/>
    </w:rPr>
  </w:style>
  <w:style w:type="paragraph" w:customStyle="1" w:styleId="17">
    <w:name w:val="Normal_2"/>
    <w:autoRedefine/>
    <w:qFormat/>
    <w:uiPriority w:val="0"/>
    <w:pPr>
      <w:widowControl w:val="0"/>
      <w:jc w:val="both"/>
    </w:pPr>
    <w:rPr>
      <w:rFonts w:ascii="Calibri" w:hAnsi="Calibri" w:eastAsia="宋体" w:cs="Times New Roman"/>
      <w:kern w:val="2"/>
      <w:sz w:val="21"/>
      <w:szCs w:val="24"/>
    </w:rPr>
  </w:style>
  <w:style w:type="paragraph" w:styleId="18">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9">
    <w:name w:val="Title"/>
    <w:basedOn w:val="1"/>
    <w:next w:val="1"/>
    <w:autoRedefine/>
    <w:qFormat/>
    <w:uiPriority w:val="0"/>
    <w:pPr>
      <w:widowControl/>
      <w:spacing w:before="240" w:after="60"/>
      <w:jc w:val="center"/>
      <w:outlineLvl w:val="0"/>
    </w:pPr>
    <w:rPr>
      <w:rFonts w:ascii="Arial" w:hAnsi="Arial"/>
      <w:b/>
      <w:bCs/>
      <w:kern w:val="0"/>
      <w:sz w:val="44"/>
      <w:szCs w:val="32"/>
    </w:rPr>
  </w:style>
  <w:style w:type="paragraph" w:styleId="20">
    <w:name w:val="Body Text First Indent"/>
    <w:basedOn w:val="8"/>
    <w:qFormat/>
    <w:uiPriority w:val="0"/>
    <w:pPr>
      <w:ind w:firstLine="420" w:firstLineChars="100"/>
    </w:pPr>
  </w:style>
  <w:style w:type="paragraph" w:styleId="21">
    <w:name w:val="Body Text First Indent 2"/>
    <w:basedOn w:val="9"/>
    <w:next w:val="1"/>
    <w:autoRedefine/>
    <w:qFormat/>
    <w:uiPriority w:val="0"/>
    <w:pPr>
      <w:ind w:firstLine="420" w:firstLineChars="200"/>
    </w:pPr>
  </w:style>
  <w:style w:type="character" w:styleId="24">
    <w:name w:val="Strong"/>
    <w:basedOn w:val="23"/>
    <w:autoRedefine/>
    <w:qFormat/>
    <w:uiPriority w:val="0"/>
  </w:style>
  <w:style w:type="character" w:styleId="25">
    <w:name w:val="page number"/>
    <w:basedOn w:val="23"/>
    <w:autoRedefine/>
    <w:qFormat/>
    <w:uiPriority w:val="0"/>
    <w:rPr>
      <w:rFonts w:ascii="Calibri" w:hAnsi="Calibri" w:eastAsia="宋体" w:cs="Times New Roman"/>
    </w:rPr>
  </w:style>
  <w:style w:type="character" w:styleId="26">
    <w:name w:val="FollowedHyperlink"/>
    <w:basedOn w:val="23"/>
    <w:autoRedefine/>
    <w:qFormat/>
    <w:uiPriority w:val="0"/>
    <w:rPr>
      <w:color w:val="800080"/>
      <w:u w:val="none"/>
    </w:rPr>
  </w:style>
  <w:style w:type="character" w:styleId="27">
    <w:name w:val="Emphasis"/>
    <w:basedOn w:val="23"/>
    <w:autoRedefine/>
    <w:qFormat/>
    <w:uiPriority w:val="0"/>
  </w:style>
  <w:style w:type="character" w:styleId="28">
    <w:name w:val="HTML Definition"/>
    <w:basedOn w:val="23"/>
    <w:autoRedefine/>
    <w:qFormat/>
    <w:uiPriority w:val="0"/>
  </w:style>
  <w:style w:type="character" w:styleId="29">
    <w:name w:val="HTML Typewriter"/>
    <w:basedOn w:val="23"/>
    <w:autoRedefine/>
    <w:qFormat/>
    <w:uiPriority w:val="0"/>
    <w:rPr>
      <w:rFonts w:hint="default" w:ascii="monospace" w:hAnsi="monospace" w:eastAsia="monospace" w:cs="monospace"/>
      <w:sz w:val="20"/>
    </w:rPr>
  </w:style>
  <w:style w:type="character" w:styleId="30">
    <w:name w:val="HTML Acronym"/>
    <w:basedOn w:val="23"/>
    <w:autoRedefine/>
    <w:qFormat/>
    <w:uiPriority w:val="0"/>
  </w:style>
  <w:style w:type="character" w:styleId="31">
    <w:name w:val="HTML Variable"/>
    <w:basedOn w:val="23"/>
    <w:autoRedefine/>
    <w:qFormat/>
    <w:uiPriority w:val="0"/>
  </w:style>
  <w:style w:type="character" w:styleId="32">
    <w:name w:val="Hyperlink"/>
    <w:basedOn w:val="23"/>
    <w:autoRedefine/>
    <w:qFormat/>
    <w:uiPriority w:val="0"/>
    <w:rPr>
      <w:color w:val="0000FF"/>
      <w:u w:val="single"/>
    </w:rPr>
  </w:style>
  <w:style w:type="character" w:styleId="33">
    <w:name w:val="HTML Code"/>
    <w:basedOn w:val="23"/>
    <w:autoRedefine/>
    <w:qFormat/>
    <w:uiPriority w:val="0"/>
    <w:rPr>
      <w:rFonts w:ascii="monospace" w:hAnsi="monospace" w:eastAsia="monospace" w:cs="monospace"/>
      <w:sz w:val="20"/>
    </w:rPr>
  </w:style>
  <w:style w:type="character" w:styleId="34">
    <w:name w:val="HTML Cite"/>
    <w:basedOn w:val="23"/>
    <w:autoRedefine/>
    <w:qFormat/>
    <w:uiPriority w:val="0"/>
  </w:style>
  <w:style w:type="character" w:styleId="35">
    <w:name w:val="HTML Keyboard"/>
    <w:basedOn w:val="23"/>
    <w:autoRedefine/>
    <w:qFormat/>
    <w:uiPriority w:val="0"/>
    <w:rPr>
      <w:rFonts w:hint="default" w:ascii="monospace" w:hAnsi="monospace" w:eastAsia="monospace" w:cs="monospace"/>
      <w:sz w:val="20"/>
    </w:rPr>
  </w:style>
  <w:style w:type="character" w:styleId="36">
    <w:name w:val="HTML Sample"/>
    <w:basedOn w:val="23"/>
    <w:autoRedefine/>
    <w:qFormat/>
    <w:uiPriority w:val="0"/>
    <w:rPr>
      <w:rFonts w:hint="default" w:ascii="monospace" w:hAnsi="monospace" w:eastAsia="monospace" w:cs="monospace"/>
    </w:rPr>
  </w:style>
  <w:style w:type="paragraph" w:customStyle="1" w:styleId="37">
    <w:name w:val="列出段落1"/>
    <w:basedOn w:val="1"/>
    <w:autoRedefine/>
    <w:qFormat/>
    <w:uiPriority w:val="0"/>
    <w:pPr>
      <w:ind w:firstLine="420" w:firstLineChars="200"/>
    </w:pPr>
    <w:rPr>
      <w:rFonts w:ascii="Times New Roman" w:hAnsi="Times New Roman" w:eastAsia="宋体"/>
      <w:szCs w:val="24"/>
    </w:rPr>
  </w:style>
  <w:style w:type="paragraph" w:styleId="38">
    <w:name w:val="List Paragraph"/>
    <w:basedOn w:val="1"/>
    <w:autoRedefine/>
    <w:qFormat/>
    <w:uiPriority w:val="0"/>
    <w:pPr>
      <w:ind w:firstLine="420" w:firstLineChars="200"/>
    </w:pPr>
    <w:rPr>
      <w:rFonts w:ascii="Calibri" w:hAnsi="Calibri"/>
      <w:szCs w:val="22"/>
    </w:rPr>
  </w:style>
  <w:style w:type="character" w:customStyle="1" w:styleId="39">
    <w:name w:val="标题 1 Char"/>
    <w:link w:val="2"/>
    <w:autoRedefine/>
    <w:qFormat/>
    <w:uiPriority w:val="0"/>
    <w:rPr>
      <w:rFonts w:ascii="黑体" w:hAnsi="宋体" w:eastAsia="黑体"/>
      <w:kern w:val="0"/>
      <w:sz w:val="52"/>
      <w:szCs w:val="20"/>
    </w:rPr>
  </w:style>
  <w:style w:type="paragraph" w:customStyle="1" w:styleId="40">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41">
    <w:name w:val="样式"/>
    <w:autoRedefine/>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42">
    <w:name w:val="Normal_0_1"/>
    <w:autoRedefine/>
    <w:qFormat/>
    <w:uiPriority w:val="0"/>
    <w:rPr>
      <w:rFonts w:ascii="Times New Roman" w:hAnsi="Times New Roman" w:eastAsia="Times New Roman" w:cs="Times New Roman"/>
      <w:sz w:val="24"/>
      <w:szCs w:val="24"/>
      <w:lang w:val="en-US" w:eastAsia="zh-CN" w:bidi="ar-SA"/>
    </w:rPr>
  </w:style>
  <w:style w:type="paragraph" w:customStyle="1" w:styleId="43">
    <w:name w:val="Normal_0_0_1"/>
    <w:autoRedefine/>
    <w:qFormat/>
    <w:uiPriority w:val="0"/>
    <w:rPr>
      <w:rFonts w:ascii="Times New Roman" w:hAnsi="Times New Roman" w:eastAsia="Times New Roman" w:cs="Times New Roman"/>
      <w:sz w:val="24"/>
      <w:szCs w:val="24"/>
      <w:lang w:val="en-US" w:eastAsia="zh-CN" w:bidi="ar-SA"/>
    </w:rPr>
  </w:style>
  <w:style w:type="paragraph" w:customStyle="1" w:styleId="44">
    <w:name w:val="浅色网格 - 强调文字颜色 31"/>
    <w:basedOn w:val="17"/>
    <w:autoRedefine/>
    <w:qFormat/>
    <w:uiPriority w:val="34"/>
    <w:pPr>
      <w:ind w:firstLine="420" w:firstLineChars="200"/>
    </w:pPr>
    <w:rPr>
      <w:rFonts w:ascii="Calibri" w:hAnsi="Calibri" w:eastAsia="宋体"/>
    </w:rPr>
  </w:style>
  <w:style w:type="paragraph" w:customStyle="1" w:styleId="45">
    <w:name w:val="null3"/>
    <w:autoRedefine/>
    <w:hidden/>
    <w:qFormat/>
    <w:uiPriority w:val="0"/>
    <w:rPr>
      <w:rFonts w:hint="eastAsia" w:asciiTheme="minorHAnsi" w:hAnsiTheme="minorHAnsi" w:eastAsiaTheme="minorEastAsia" w:cstheme="minorBidi"/>
      <w:lang w:val="en-US" w:eastAsia="zh-Hans"/>
    </w:rPr>
  </w:style>
  <w:style w:type="paragraph" w:customStyle="1" w:styleId="46">
    <w:name w:val="@正文要点"/>
    <w:basedOn w:val="1"/>
    <w:qFormat/>
    <w:uiPriority w:val="0"/>
    <w:pPr>
      <w:spacing w:line="360" w:lineRule="auto"/>
      <w:jc w:val="center"/>
    </w:pPr>
    <w:rPr>
      <w:b/>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13697</Words>
  <Characters>14703</Characters>
  <Lines>0</Lines>
  <Paragraphs>0</Paragraphs>
  <TotalTime>33</TotalTime>
  <ScaleCrop>false</ScaleCrop>
  <LinksUpToDate>false</LinksUpToDate>
  <CharactersWithSpaces>15099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2023-09-05T01:51:00Z</dcterms:created>
  <dc:creator> 夹心饼干</dc:creator>
  <cp:lastModifiedBy>熬夜仙女.</cp:lastModifiedBy>
  <dcterms:modified xsi:type="dcterms:W3CDTF">2025-06-26T01:58:14Z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986849F8318445AB955867DDB57E9FA1_13</vt:lpwstr>
  </property>
  <property fmtid="{D5CDD505-2E9C-101B-9397-08002B2CF9AE}" pid="4" name="KSOTemplateDocerSaveRecord">
    <vt:lpwstr>eyJoZGlkIjoiYjEyYzgyZjA5OTJhYTc0M2ZkNDAzZWNmYjA0ZTNjMzAiLCJ1c2VySWQiOiIxMzAwNzgzNTU1In0=</vt:lpwstr>
  </property>
</Properties>
</file>