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9C2133">
      <w:pPr>
        <w:spacing w:line="240" w:lineRule="auto"/>
        <w:jc w:val="center"/>
        <w:rPr>
          <w:rFonts w:hint="eastAsia" w:ascii="宋体" w:hAnsi="宋体"/>
          <w:b/>
          <w:color w:val="auto"/>
          <w:sz w:val="52"/>
          <w:szCs w:val="52"/>
          <w:highlight w:val="none"/>
          <w:lang w:eastAsia="zh-CN"/>
        </w:rPr>
      </w:pPr>
    </w:p>
    <w:p w14:paraId="16689720">
      <w:pPr>
        <w:spacing w:line="240" w:lineRule="auto"/>
        <w:jc w:val="center"/>
        <w:outlineLvl w:val="0"/>
        <w:rPr>
          <w:rFonts w:hint="default" w:ascii="宋体" w:hAnsi="宋体" w:eastAsia="宋体"/>
          <w:b/>
          <w:color w:val="auto"/>
          <w:sz w:val="56"/>
          <w:szCs w:val="56"/>
          <w:highlight w:val="none"/>
          <w:lang w:val="en-US" w:eastAsia="zh-CN"/>
        </w:rPr>
      </w:pPr>
      <w:r>
        <w:rPr>
          <w:rFonts w:hint="default" w:ascii="宋体" w:hAnsi="宋体" w:eastAsia="宋体"/>
          <w:b/>
          <w:color w:val="auto"/>
          <w:sz w:val="56"/>
          <w:szCs w:val="56"/>
          <w:highlight w:val="none"/>
          <w:lang w:val="en-US" w:eastAsia="zh-CN"/>
        </w:rPr>
        <w:t>教学楼消防报警设备升级改造项目</w:t>
      </w:r>
    </w:p>
    <w:p w14:paraId="64A43EB1">
      <w:pPr>
        <w:widowControl/>
        <w:spacing w:line="360" w:lineRule="auto"/>
        <w:jc w:val="center"/>
        <w:outlineLvl w:val="9"/>
        <w:rPr>
          <w:rFonts w:hint="eastAsia" w:ascii="宋体" w:hAnsi="宋体" w:eastAsia="宋体" w:cs="宋体"/>
          <w:b/>
          <w:bCs/>
          <w:color w:val="auto"/>
          <w:sz w:val="52"/>
          <w:szCs w:val="52"/>
          <w:highlight w:val="none"/>
        </w:rPr>
      </w:pPr>
    </w:p>
    <w:p w14:paraId="0F47013F">
      <w:pPr>
        <w:widowControl/>
        <w:spacing w:line="360" w:lineRule="auto"/>
        <w:jc w:val="center"/>
        <w:outlineLvl w:val="9"/>
        <w:rPr>
          <w:rFonts w:hint="eastAsia" w:ascii="宋体" w:hAnsi="宋体" w:eastAsia="宋体" w:cs="宋体"/>
          <w:b/>
          <w:bCs/>
          <w:color w:val="auto"/>
          <w:sz w:val="96"/>
          <w:szCs w:val="96"/>
          <w:highlight w:val="none"/>
          <w:lang w:val="en-US" w:eastAsia="zh-CN"/>
        </w:rPr>
      </w:pPr>
    </w:p>
    <w:p w14:paraId="204BE94F">
      <w:pPr>
        <w:widowControl/>
        <w:spacing w:line="360" w:lineRule="auto"/>
        <w:jc w:val="center"/>
        <w:outlineLvl w:val="9"/>
        <w:rPr>
          <w:rFonts w:hint="eastAsia" w:ascii="宋体" w:hAnsi="宋体" w:eastAsia="宋体" w:cs="宋体"/>
          <w:b/>
          <w:bCs/>
          <w:color w:val="auto"/>
          <w:sz w:val="96"/>
          <w:szCs w:val="96"/>
          <w:highlight w:val="none"/>
          <w:lang w:val="en-US" w:eastAsia="zh-CN"/>
        </w:rPr>
      </w:pPr>
      <w:r>
        <w:rPr>
          <w:rFonts w:hint="eastAsia" w:ascii="宋体" w:hAnsi="宋体" w:cs="宋体"/>
          <w:b/>
          <w:bCs/>
          <w:color w:val="auto"/>
          <w:sz w:val="96"/>
          <w:szCs w:val="96"/>
          <w:highlight w:val="none"/>
          <w:lang w:val="en-US" w:eastAsia="zh-CN"/>
        </w:rPr>
        <w:t>采 购</w:t>
      </w:r>
      <w:r>
        <w:rPr>
          <w:rFonts w:hint="eastAsia" w:ascii="宋体" w:hAnsi="宋体" w:eastAsia="宋体" w:cs="宋体"/>
          <w:b/>
          <w:bCs/>
          <w:color w:val="auto"/>
          <w:sz w:val="96"/>
          <w:szCs w:val="96"/>
          <w:highlight w:val="none"/>
          <w:lang w:val="en-US" w:eastAsia="zh-CN"/>
        </w:rPr>
        <w:t xml:space="preserve"> 文 件</w:t>
      </w:r>
    </w:p>
    <w:p w14:paraId="2E60553A">
      <w:pPr>
        <w:spacing w:line="360" w:lineRule="auto"/>
        <w:jc w:val="center"/>
        <w:outlineLvl w:val="9"/>
        <w:rPr>
          <w:rFonts w:hint="eastAsia" w:ascii="宋体" w:hAnsi="宋体" w:eastAsia="宋体" w:cs="宋体"/>
          <w:b/>
          <w:color w:val="auto"/>
          <w:sz w:val="30"/>
          <w:szCs w:val="30"/>
          <w:highlight w:val="none"/>
        </w:rPr>
      </w:pPr>
      <w:bookmarkStart w:id="0" w:name="_Toc32187"/>
      <w:bookmarkStart w:id="1" w:name="_Toc8325"/>
      <w:bookmarkStart w:id="2" w:name="_Toc11466"/>
      <w:bookmarkStart w:id="3" w:name="_Toc2288"/>
      <w:bookmarkStart w:id="4" w:name="_Toc25248"/>
      <w:bookmarkStart w:id="5" w:name="_Toc7231"/>
      <w:bookmarkStart w:id="6" w:name="_Toc13388"/>
      <w:bookmarkStart w:id="7" w:name="_Toc23325"/>
      <w:bookmarkStart w:id="8" w:name="_Toc13633"/>
      <w:bookmarkStart w:id="9" w:name="_Toc29453"/>
      <w:bookmarkStart w:id="10" w:name="_Toc1966"/>
    </w:p>
    <w:p w14:paraId="103AEFDF">
      <w:pPr>
        <w:spacing w:line="360" w:lineRule="auto"/>
        <w:jc w:val="center"/>
        <w:outlineLvl w:val="0"/>
        <w:rPr>
          <w:rFonts w:hint="default" w:ascii="宋体" w:hAnsi="宋体" w:eastAsia="宋体" w:cs="宋体"/>
          <w:b/>
          <w:color w:val="auto"/>
          <w:sz w:val="30"/>
          <w:szCs w:val="30"/>
          <w:highlight w:val="none"/>
          <w:lang w:val="en-US" w:eastAsia="zh-CN"/>
        </w:rPr>
      </w:pPr>
      <w:bookmarkStart w:id="11" w:name="_Toc22602"/>
      <w:r>
        <w:rPr>
          <w:rFonts w:hint="eastAsia" w:ascii="宋体" w:hAnsi="宋体" w:eastAsia="宋体" w:cs="宋体"/>
          <w:b/>
          <w:color w:val="auto"/>
          <w:sz w:val="30"/>
          <w:szCs w:val="30"/>
          <w:highlight w:val="none"/>
        </w:rPr>
        <w:t>项目编号：</w:t>
      </w:r>
      <w:bookmarkEnd w:id="0"/>
      <w:bookmarkEnd w:id="1"/>
      <w:bookmarkEnd w:id="2"/>
      <w:bookmarkEnd w:id="3"/>
      <w:bookmarkEnd w:id="4"/>
      <w:bookmarkEnd w:id="5"/>
      <w:bookmarkEnd w:id="6"/>
      <w:bookmarkEnd w:id="7"/>
      <w:bookmarkEnd w:id="8"/>
      <w:bookmarkEnd w:id="9"/>
      <w:bookmarkEnd w:id="10"/>
      <w:bookmarkEnd w:id="11"/>
      <w:r>
        <w:rPr>
          <w:rFonts w:hint="eastAsia" w:ascii="宋体" w:hAnsi="宋体" w:eastAsia="宋体" w:cs="宋体"/>
          <w:b/>
          <w:color w:val="auto"/>
          <w:sz w:val="30"/>
          <w:szCs w:val="30"/>
          <w:highlight w:val="none"/>
        </w:rPr>
        <w:t>采购计划-[2025]-03212号-JLZG-2025</w:t>
      </w:r>
      <w:r>
        <w:rPr>
          <w:rFonts w:hint="eastAsia" w:ascii="宋体" w:hAnsi="宋体" w:cs="宋体"/>
          <w:b/>
          <w:color w:val="auto"/>
          <w:sz w:val="30"/>
          <w:szCs w:val="30"/>
          <w:highlight w:val="none"/>
          <w:lang w:val="en-US" w:eastAsia="zh-CN"/>
        </w:rPr>
        <w:t>0711</w:t>
      </w:r>
    </w:p>
    <w:p w14:paraId="14252AA7">
      <w:pPr>
        <w:autoSpaceDE w:val="0"/>
        <w:autoSpaceDN w:val="0"/>
        <w:jc w:val="center"/>
        <w:outlineLvl w:val="9"/>
        <w:rPr>
          <w:rFonts w:hint="eastAsia" w:ascii="宋体" w:hAnsi="宋体" w:eastAsia="宋体" w:cs="宋体"/>
          <w:color w:val="auto"/>
          <w:szCs w:val="21"/>
          <w:highlight w:val="none"/>
        </w:rPr>
      </w:pPr>
    </w:p>
    <w:p w14:paraId="6623FC86">
      <w:pPr>
        <w:spacing w:line="360" w:lineRule="auto"/>
        <w:jc w:val="left"/>
        <w:outlineLvl w:val="9"/>
        <w:rPr>
          <w:rFonts w:hint="eastAsia" w:ascii="宋体" w:hAnsi="宋体" w:eastAsia="宋体" w:cs="宋体"/>
          <w:b/>
          <w:color w:val="auto"/>
          <w:sz w:val="30"/>
          <w:szCs w:val="30"/>
          <w:highlight w:val="none"/>
        </w:rPr>
      </w:pPr>
    </w:p>
    <w:p w14:paraId="4B5CC3DA">
      <w:pPr>
        <w:pStyle w:val="5"/>
        <w:rPr>
          <w:rFonts w:hint="eastAsia" w:ascii="宋体" w:hAnsi="宋体" w:eastAsia="宋体" w:cs="宋体"/>
          <w:b/>
          <w:color w:val="auto"/>
          <w:sz w:val="30"/>
          <w:szCs w:val="30"/>
          <w:highlight w:val="none"/>
        </w:rPr>
      </w:pPr>
    </w:p>
    <w:p w14:paraId="77B949CE">
      <w:pPr>
        <w:pStyle w:val="5"/>
        <w:rPr>
          <w:rFonts w:hint="eastAsia" w:ascii="宋体" w:hAnsi="宋体" w:eastAsia="宋体" w:cs="宋体"/>
          <w:b/>
          <w:color w:val="auto"/>
          <w:sz w:val="30"/>
          <w:szCs w:val="30"/>
          <w:highlight w:val="none"/>
        </w:rPr>
      </w:pPr>
    </w:p>
    <w:p w14:paraId="51867471">
      <w:pPr>
        <w:rPr>
          <w:rFonts w:hint="eastAsia" w:ascii="宋体" w:hAnsi="宋体" w:eastAsia="宋体" w:cs="宋体"/>
          <w:color w:val="auto"/>
          <w:highlight w:val="none"/>
        </w:rPr>
      </w:pPr>
    </w:p>
    <w:p w14:paraId="118D642B">
      <w:pPr>
        <w:spacing w:line="360" w:lineRule="auto"/>
        <w:ind w:left="840" w:leftChars="0" w:firstLine="1124" w:firstLineChars="350"/>
        <w:jc w:val="both"/>
        <w:outlineLvl w:val="9"/>
        <w:rPr>
          <w:rFonts w:hint="eastAsia" w:ascii="宋体" w:hAnsi="宋体" w:eastAsia="宋体" w:cs="宋体"/>
          <w:b/>
          <w:color w:val="auto"/>
          <w:sz w:val="32"/>
          <w:highlight w:val="none"/>
          <w:lang w:eastAsia="zh-CN"/>
        </w:rPr>
      </w:pPr>
      <w:r>
        <w:rPr>
          <w:rFonts w:hint="eastAsia" w:ascii="宋体" w:hAnsi="宋体" w:eastAsia="宋体" w:cs="宋体"/>
          <w:b/>
          <w:color w:val="auto"/>
          <w:sz w:val="32"/>
          <w:highlight w:val="none"/>
        </w:rPr>
        <w:t>采</w:t>
      </w:r>
      <w:r>
        <w:rPr>
          <w:rFonts w:hint="eastAsia" w:ascii="宋体" w:hAnsi="宋体" w:eastAsia="宋体" w:cs="宋体"/>
          <w:b/>
          <w:color w:val="auto"/>
          <w:sz w:val="32"/>
          <w:highlight w:val="none"/>
          <w:lang w:val="en-US" w:eastAsia="zh-CN"/>
        </w:rPr>
        <w:t xml:space="preserve"> </w:t>
      </w:r>
      <w:r>
        <w:rPr>
          <w:rFonts w:hint="eastAsia" w:ascii="宋体" w:hAnsi="宋体" w:eastAsia="宋体" w:cs="宋体"/>
          <w:b/>
          <w:color w:val="auto"/>
          <w:sz w:val="32"/>
          <w:highlight w:val="none"/>
        </w:rPr>
        <w:t>购</w:t>
      </w:r>
      <w:r>
        <w:rPr>
          <w:rFonts w:hint="eastAsia" w:ascii="宋体" w:hAnsi="宋体" w:eastAsia="宋体" w:cs="宋体"/>
          <w:b/>
          <w:color w:val="auto"/>
          <w:sz w:val="32"/>
          <w:highlight w:val="none"/>
          <w:lang w:val="en-US" w:eastAsia="zh-CN"/>
        </w:rPr>
        <w:t xml:space="preserve"> </w:t>
      </w:r>
      <w:r>
        <w:rPr>
          <w:rFonts w:hint="eastAsia" w:ascii="宋体" w:hAnsi="宋体" w:eastAsia="宋体" w:cs="宋体"/>
          <w:b/>
          <w:color w:val="auto"/>
          <w:sz w:val="32"/>
          <w:highlight w:val="none"/>
        </w:rPr>
        <w:t>人：</w:t>
      </w:r>
      <w:r>
        <w:rPr>
          <w:rFonts w:hint="eastAsia" w:ascii="宋体" w:hAnsi="宋体" w:cs="宋体"/>
          <w:b/>
          <w:color w:val="auto"/>
          <w:sz w:val="32"/>
          <w:highlight w:val="none"/>
          <w:lang w:eastAsia="zh-CN"/>
        </w:rPr>
        <w:t>长春师范大学</w:t>
      </w:r>
    </w:p>
    <w:p w14:paraId="49C1DFBB">
      <w:pPr>
        <w:outlineLvl w:val="9"/>
        <w:rPr>
          <w:rFonts w:hint="eastAsia" w:ascii="宋体" w:hAnsi="宋体" w:eastAsia="宋体" w:cs="宋体"/>
          <w:color w:val="auto"/>
          <w:highlight w:val="none"/>
          <w:lang w:eastAsia="zh-CN"/>
        </w:rPr>
      </w:pPr>
    </w:p>
    <w:p w14:paraId="05CAC3A2">
      <w:pPr>
        <w:spacing w:line="360" w:lineRule="auto"/>
        <w:jc w:val="center"/>
        <w:outlineLvl w:val="0"/>
        <w:rPr>
          <w:rFonts w:hint="eastAsia" w:ascii="宋体" w:hAnsi="宋体" w:eastAsia="宋体" w:cs="宋体"/>
          <w:b/>
          <w:color w:val="auto"/>
          <w:sz w:val="32"/>
          <w:highlight w:val="none"/>
          <w:lang w:eastAsia="zh-CN"/>
        </w:rPr>
      </w:pPr>
      <w:bookmarkStart w:id="12" w:name="_Toc14364"/>
      <w:r>
        <w:rPr>
          <w:rFonts w:hint="eastAsia" w:ascii="宋体" w:hAnsi="宋体" w:eastAsia="宋体" w:cs="宋体"/>
          <w:b/>
          <w:color w:val="auto"/>
          <w:sz w:val="32"/>
          <w:highlight w:val="none"/>
          <w:lang w:eastAsia="zh-CN"/>
        </w:rPr>
        <w:t>采购代理机构</w:t>
      </w:r>
      <w:r>
        <w:rPr>
          <w:rFonts w:hint="eastAsia" w:ascii="宋体" w:hAnsi="宋体" w:eastAsia="宋体" w:cs="宋体"/>
          <w:b/>
          <w:color w:val="auto"/>
          <w:sz w:val="32"/>
          <w:highlight w:val="none"/>
        </w:rPr>
        <w:t>：</w:t>
      </w:r>
      <w:bookmarkEnd w:id="12"/>
      <w:r>
        <w:rPr>
          <w:rFonts w:hint="eastAsia" w:ascii="宋体" w:hAnsi="宋体" w:cs="宋体"/>
          <w:b/>
          <w:color w:val="auto"/>
          <w:sz w:val="32"/>
          <w:highlight w:val="none"/>
          <w:lang w:val="en-US" w:eastAsia="zh-CN"/>
        </w:rPr>
        <w:t>吉林省智广工程项目管理有限公司</w:t>
      </w:r>
    </w:p>
    <w:p w14:paraId="1951D4B8">
      <w:pPr>
        <w:spacing w:line="360" w:lineRule="auto"/>
        <w:jc w:val="center"/>
        <w:outlineLvl w:val="9"/>
        <w:rPr>
          <w:rFonts w:hint="eastAsia" w:ascii="宋体" w:hAnsi="宋体" w:eastAsia="宋体" w:cs="宋体"/>
          <w:b/>
          <w:color w:val="auto"/>
          <w:sz w:val="32"/>
          <w:highlight w:val="none"/>
        </w:rPr>
      </w:pPr>
      <w:r>
        <w:rPr>
          <w:rFonts w:hint="eastAsia" w:ascii="宋体" w:hAnsi="宋体" w:eastAsia="宋体" w:cs="宋体"/>
          <w:b/>
          <w:color w:val="auto"/>
          <w:sz w:val="32"/>
          <w:highlight w:val="none"/>
        </w:rPr>
        <w:t>20</w:t>
      </w:r>
      <w:r>
        <w:rPr>
          <w:rFonts w:hint="eastAsia" w:ascii="宋体" w:hAnsi="宋体" w:eastAsia="宋体" w:cs="宋体"/>
          <w:b/>
          <w:color w:val="auto"/>
          <w:sz w:val="32"/>
          <w:highlight w:val="none"/>
          <w:lang w:val="en-US" w:eastAsia="zh-CN"/>
        </w:rPr>
        <w:t>2</w:t>
      </w:r>
      <w:r>
        <w:rPr>
          <w:rFonts w:hint="eastAsia" w:ascii="宋体" w:hAnsi="宋体" w:cs="宋体"/>
          <w:b/>
          <w:color w:val="auto"/>
          <w:sz w:val="32"/>
          <w:highlight w:val="none"/>
          <w:lang w:val="en-US" w:eastAsia="zh-CN"/>
        </w:rPr>
        <w:t>5</w:t>
      </w:r>
      <w:r>
        <w:rPr>
          <w:rFonts w:hint="eastAsia" w:ascii="宋体" w:hAnsi="宋体" w:eastAsia="宋体" w:cs="宋体"/>
          <w:b/>
          <w:color w:val="auto"/>
          <w:sz w:val="32"/>
          <w:highlight w:val="none"/>
        </w:rPr>
        <w:t>年</w:t>
      </w:r>
      <w:r>
        <w:rPr>
          <w:rFonts w:hint="eastAsia" w:ascii="宋体" w:hAnsi="宋体" w:cs="宋体"/>
          <w:b/>
          <w:color w:val="auto"/>
          <w:sz w:val="32"/>
          <w:highlight w:val="none"/>
          <w:lang w:val="en-US" w:eastAsia="zh-CN"/>
        </w:rPr>
        <w:t>7</w:t>
      </w:r>
      <w:r>
        <w:rPr>
          <w:rFonts w:hint="eastAsia" w:ascii="宋体" w:hAnsi="宋体" w:eastAsia="宋体" w:cs="宋体"/>
          <w:b/>
          <w:color w:val="auto"/>
          <w:sz w:val="32"/>
          <w:highlight w:val="none"/>
        </w:rPr>
        <w:t>月</w:t>
      </w:r>
    </w:p>
    <w:p w14:paraId="4D395654">
      <w:pPr>
        <w:spacing w:line="240" w:lineRule="auto"/>
        <w:jc w:val="center"/>
        <w:rPr>
          <w:rFonts w:hint="eastAsia" w:ascii="宋体" w:hAnsi="宋体" w:cs="宋体"/>
          <w:color w:val="auto"/>
          <w:highlight w:val="none"/>
        </w:rPr>
      </w:pPr>
    </w:p>
    <w:p w14:paraId="713C5B29">
      <w:pPr>
        <w:spacing w:line="240" w:lineRule="auto"/>
        <w:jc w:val="center"/>
        <w:rPr>
          <w:rFonts w:hint="eastAsia" w:ascii="黑体" w:hAnsi="黑体" w:eastAsia="黑体" w:cs="黑体"/>
          <w:b/>
          <w:bCs/>
          <w:color w:val="auto"/>
          <w:sz w:val="30"/>
          <w:szCs w:val="30"/>
          <w:highlight w:val="none"/>
          <w:lang w:val="zh-CN"/>
        </w:rPr>
        <w:sectPr>
          <w:headerReference r:id="rId3" w:type="default"/>
          <w:footerReference r:id="rId4" w:type="default"/>
          <w:footerReference r:id="rId5" w:type="even"/>
          <w:pgSz w:w="11906" w:h="16838"/>
          <w:pgMar w:top="1440" w:right="1020" w:bottom="1440" w:left="1020" w:header="851" w:footer="992" w:gutter="0"/>
          <w:pgNumType w:fmt="decimal"/>
          <w:cols w:space="720" w:num="1"/>
          <w:docGrid w:type="lines" w:linePitch="381" w:charSpace="0"/>
        </w:sectPr>
      </w:pPr>
    </w:p>
    <w:p w14:paraId="447772C8">
      <w:pPr>
        <w:pStyle w:val="10"/>
        <w:tabs>
          <w:tab w:val="right" w:leader="dot" w:pos="9638"/>
          <w:tab w:val="clear" w:pos="9000"/>
        </w:tabs>
        <w:jc w:val="center"/>
        <w:rPr>
          <w:rFonts w:hint="eastAsia"/>
          <w:b/>
          <w:bCs/>
          <w:color w:val="auto"/>
          <w:sz w:val="36"/>
          <w:szCs w:val="36"/>
          <w:highlight w:val="none"/>
          <w:lang w:val="en-US" w:eastAsia="zh-CN"/>
        </w:rPr>
      </w:pPr>
    </w:p>
    <w:p w14:paraId="27E69EB9">
      <w:pPr>
        <w:pStyle w:val="10"/>
        <w:tabs>
          <w:tab w:val="right" w:leader="dot" w:pos="9638"/>
          <w:tab w:val="clear" w:pos="9000"/>
        </w:tabs>
        <w:jc w:val="center"/>
        <w:rPr>
          <w:b w:val="0"/>
          <w:bCs w:val="0"/>
          <w:color w:val="auto"/>
          <w:highlight w:val="none"/>
        </w:rPr>
      </w:pPr>
      <w:r>
        <w:rPr>
          <w:rFonts w:hint="eastAsia"/>
          <w:b/>
          <w:bCs/>
          <w:color w:val="auto"/>
          <w:sz w:val="36"/>
          <w:szCs w:val="36"/>
          <w:highlight w:val="none"/>
          <w:lang w:val="en-US" w:eastAsia="zh-CN"/>
        </w:rPr>
        <w:t>目  录</w:t>
      </w:r>
      <w:r>
        <w:rPr>
          <w:rFonts w:hint="eastAsia" w:ascii="宋体" w:hAnsi="宋体" w:eastAsia="宋体" w:cs="宋体"/>
          <w:b w:val="0"/>
          <w:bCs w:val="0"/>
          <w:color w:val="auto"/>
          <w:sz w:val="40"/>
          <w:szCs w:val="40"/>
          <w:highlight w:val="none"/>
          <w:lang w:val="zh-CN"/>
        </w:rPr>
        <w:fldChar w:fldCharType="begin"/>
      </w:r>
      <w:r>
        <w:rPr>
          <w:rFonts w:hint="eastAsia" w:ascii="宋体" w:hAnsi="宋体" w:eastAsia="宋体" w:cs="宋体"/>
          <w:b w:val="0"/>
          <w:bCs w:val="0"/>
          <w:color w:val="auto"/>
          <w:sz w:val="40"/>
          <w:szCs w:val="40"/>
          <w:highlight w:val="none"/>
          <w:lang w:val="zh-CN"/>
        </w:rPr>
        <w:instrText xml:space="preserve">TOC \o "1-1" \h \u </w:instrText>
      </w:r>
      <w:r>
        <w:rPr>
          <w:rFonts w:hint="eastAsia" w:ascii="宋体" w:hAnsi="宋体" w:eastAsia="宋体" w:cs="宋体"/>
          <w:b w:val="0"/>
          <w:bCs w:val="0"/>
          <w:color w:val="auto"/>
          <w:sz w:val="40"/>
          <w:szCs w:val="40"/>
          <w:highlight w:val="none"/>
          <w:lang w:val="zh-CN"/>
        </w:rPr>
        <w:fldChar w:fldCharType="separate"/>
      </w:r>
    </w:p>
    <w:sdt>
      <w:sdtPr>
        <w:rPr>
          <w:rFonts w:ascii="宋体" w:hAnsi="宋体" w:eastAsia="宋体" w:cs="Times New Roman"/>
          <w:b w:val="0"/>
          <w:bCs w:val="0"/>
          <w:color w:val="auto"/>
          <w:sz w:val="21"/>
          <w:szCs w:val="28"/>
          <w:highlight w:val="none"/>
          <w:lang w:val="en-US" w:eastAsia="zh-CN" w:bidi="ar-SA"/>
        </w:rPr>
        <w:id w:val="147467078"/>
        <w15:color w:val="DBDBDB"/>
        <w:docPartObj>
          <w:docPartGallery w:val="Table of Contents"/>
          <w:docPartUnique/>
        </w:docPartObj>
      </w:sdtPr>
      <w:sdtEndPr>
        <w:rPr>
          <w:rFonts w:hint="eastAsia" w:ascii="Copperplate Gothic Bold" w:hAnsi="Copperplate Gothic Bold" w:eastAsia="宋体" w:cs="Times New Roman"/>
          <w:b w:val="0"/>
          <w:bCs w:val="0"/>
          <w:color w:val="auto"/>
          <w:sz w:val="28"/>
          <w:szCs w:val="40"/>
          <w:highlight w:val="none"/>
          <w:lang w:val="en-US" w:eastAsia="zh-CN" w:bidi="ar-SA"/>
        </w:rPr>
      </w:sdtEndPr>
      <w:sdtContent>
        <w:p w14:paraId="72051F74">
          <w:pPr>
            <w:spacing w:line="480" w:lineRule="auto"/>
            <w:rPr>
              <w:b w:val="0"/>
              <w:bCs w:val="0"/>
              <w:color w:val="auto"/>
              <w:highlight w:val="none"/>
            </w:rPr>
          </w:pPr>
          <w:r>
            <w:rPr>
              <w:rFonts w:hint="eastAsia"/>
              <w:b w:val="0"/>
              <w:bCs w:val="0"/>
              <w:color w:val="auto"/>
              <w:sz w:val="40"/>
              <w:szCs w:val="40"/>
              <w:highlight w:val="none"/>
            </w:rPr>
            <w:fldChar w:fldCharType="begin"/>
          </w:r>
          <w:r>
            <w:rPr>
              <w:rFonts w:hint="eastAsia"/>
              <w:b w:val="0"/>
              <w:bCs w:val="0"/>
              <w:color w:val="auto"/>
              <w:sz w:val="40"/>
              <w:szCs w:val="40"/>
              <w:highlight w:val="none"/>
            </w:rPr>
            <w:instrText xml:space="preserve">TOC \o "1-2" \h \u </w:instrText>
          </w:r>
          <w:r>
            <w:rPr>
              <w:rFonts w:hint="eastAsia"/>
              <w:b w:val="0"/>
              <w:bCs w:val="0"/>
              <w:color w:val="auto"/>
              <w:sz w:val="40"/>
              <w:szCs w:val="40"/>
              <w:highlight w:val="none"/>
            </w:rPr>
            <w:fldChar w:fldCharType="separate"/>
          </w:r>
        </w:p>
        <w:p w14:paraId="49613B30">
          <w:pPr>
            <w:pStyle w:val="18"/>
            <w:tabs>
              <w:tab w:val="right" w:leader="dot" w:pos="9072"/>
            </w:tabs>
            <w:spacing w:line="48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56"/>
              <w:highlight w:val="none"/>
            </w:rPr>
            <w:fldChar w:fldCharType="begin"/>
          </w:r>
          <w:r>
            <w:rPr>
              <w:rFonts w:hint="eastAsia" w:ascii="宋体" w:hAnsi="宋体" w:eastAsia="宋体" w:cs="宋体"/>
              <w:b w:val="0"/>
              <w:bCs w:val="0"/>
              <w:color w:val="auto"/>
              <w:sz w:val="28"/>
              <w:szCs w:val="56"/>
              <w:highlight w:val="none"/>
            </w:rPr>
            <w:instrText xml:space="preserve"> HYPERLINK \l _Toc2341 </w:instrText>
          </w:r>
          <w:r>
            <w:rPr>
              <w:rFonts w:hint="eastAsia" w:ascii="宋体" w:hAnsi="宋体" w:eastAsia="宋体" w:cs="宋体"/>
              <w:b w:val="0"/>
              <w:bCs w:val="0"/>
              <w:color w:val="auto"/>
              <w:sz w:val="28"/>
              <w:szCs w:val="56"/>
              <w:highlight w:val="none"/>
            </w:rPr>
            <w:fldChar w:fldCharType="separate"/>
          </w:r>
          <w:r>
            <w:rPr>
              <w:rFonts w:hint="eastAsia" w:ascii="宋体" w:hAnsi="宋体" w:eastAsia="宋体" w:cs="宋体"/>
              <w:b w:val="0"/>
              <w:bCs w:val="0"/>
              <w:color w:val="auto"/>
              <w:sz w:val="28"/>
              <w:szCs w:val="44"/>
              <w:highlight w:val="none"/>
              <w:lang w:val="zh-CN"/>
            </w:rPr>
            <w:t>（通用部分）</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_Toc2341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3</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56"/>
              <w:highlight w:val="none"/>
            </w:rPr>
            <w:fldChar w:fldCharType="end"/>
          </w:r>
        </w:p>
        <w:p w14:paraId="698E7355">
          <w:pPr>
            <w:pStyle w:val="18"/>
            <w:tabs>
              <w:tab w:val="right" w:leader="dot" w:pos="9072"/>
            </w:tabs>
            <w:spacing w:line="48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56"/>
              <w:highlight w:val="none"/>
            </w:rPr>
            <w:fldChar w:fldCharType="begin"/>
          </w:r>
          <w:r>
            <w:rPr>
              <w:rFonts w:hint="eastAsia" w:ascii="宋体" w:hAnsi="宋体" w:eastAsia="宋体" w:cs="宋体"/>
              <w:b w:val="0"/>
              <w:bCs w:val="0"/>
              <w:color w:val="auto"/>
              <w:sz w:val="28"/>
              <w:szCs w:val="56"/>
              <w:highlight w:val="none"/>
            </w:rPr>
            <w:instrText xml:space="preserve"> HYPERLINK \l _Toc22848 </w:instrText>
          </w:r>
          <w:r>
            <w:rPr>
              <w:rFonts w:hint="eastAsia" w:ascii="宋体" w:hAnsi="宋体" w:eastAsia="宋体" w:cs="宋体"/>
              <w:b w:val="0"/>
              <w:bCs w:val="0"/>
              <w:color w:val="auto"/>
              <w:sz w:val="28"/>
              <w:szCs w:val="56"/>
              <w:highlight w:val="none"/>
            </w:rPr>
            <w:fldChar w:fldCharType="separate"/>
          </w:r>
          <w:r>
            <w:rPr>
              <w:rFonts w:hint="eastAsia" w:ascii="宋体" w:hAnsi="宋体" w:eastAsia="宋体" w:cs="宋体"/>
              <w:b w:val="0"/>
              <w:bCs w:val="0"/>
              <w:color w:val="auto"/>
              <w:sz w:val="28"/>
              <w:szCs w:val="44"/>
              <w:highlight w:val="none"/>
              <w:lang w:val="zh-CN"/>
            </w:rPr>
            <w:t>第一章 投标人须知</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_Toc22848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3</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56"/>
              <w:highlight w:val="none"/>
            </w:rPr>
            <w:fldChar w:fldCharType="end"/>
          </w:r>
        </w:p>
        <w:p w14:paraId="79FB0EAF">
          <w:pPr>
            <w:pStyle w:val="18"/>
            <w:tabs>
              <w:tab w:val="right" w:leader="dot" w:pos="9072"/>
            </w:tabs>
            <w:spacing w:line="48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56"/>
              <w:highlight w:val="none"/>
            </w:rPr>
            <w:fldChar w:fldCharType="begin"/>
          </w:r>
          <w:r>
            <w:rPr>
              <w:rFonts w:hint="eastAsia" w:ascii="宋体" w:hAnsi="宋体" w:eastAsia="宋体" w:cs="宋体"/>
              <w:b w:val="0"/>
              <w:bCs w:val="0"/>
              <w:color w:val="auto"/>
              <w:sz w:val="28"/>
              <w:szCs w:val="56"/>
              <w:highlight w:val="none"/>
            </w:rPr>
            <w:instrText xml:space="preserve"> HYPERLINK \l _Toc29990 </w:instrText>
          </w:r>
          <w:r>
            <w:rPr>
              <w:rFonts w:hint="eastAsia" w:ascii="宋体" w:hAnsi="宋体" w:eastAsia="宋体" w:cs="宋体"/>
              <w:b w:val="0"/>
              <w:bCs w:val="0"/>
              <w:color w:val="auto"/>
              <w:sz w:val="28"/>
              <w:szCs w:val="56"/>
              <w:highlight w:val="none"/>
            </w:rPr>
            <w:fldChar w:fldCharType="separate"/>
          </w:r>
          <w:r>
            <w:rPr>
              <w:rFonts w:hint="eastAsia" w:ascii="宋体" w:hAnsi="宋体" w:eastAsia="宋体" w:cs="宋体"/>
              <w:b w:val="0"/>
              <w:bCs w:val="0"/>
              <w:color w:val="auto"/>
              <w:sz w:val="28"/>
              <w:szCs w:val="48"/>
              <w:highlight w:val="none"/>
              <w:lang w:val="zh-CN"/>
            </w:rPr>
            <w:t>第二章 合同条款</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_Toc29990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11</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56"/>
              <w:highlight w:val="none"/>
            </w:rPr>
            <w:fldChar w:fldCharType="end"/>
          </w:r>
        </w:p>
        <w:p w14:paraId="38ED846D">
          <w:pPr>
            <w:pStyle w:val="18"/>
            <w:tabs>
              <w:tab w:val="right" w:leader="dot" w:pos="9072"/>
            </w:tabs>
            <w:spacing w:line="48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56"/>
              <w:highlight w:val="none"/>
            </w:rPr>
            <w:fldChar w:fldCharType="begin"/>
          </w:r>
          <w:r>
            <w:rPr>
              <w:rFonts w:hint="eastAsia" w:ascii="宋体" w:hAnsi="宋体" w:eastAsia="宋体" w:cs="宋体"/>
              <w:b w:val="0"/>
              <w:bCs w:val="0"/>
              <w:color w:val="auto"/>
              <w:sz w:val="28"/>
              <w:szCs w:val="56"/>
              <w:highlight w:val="none"/>
            </w:rPr>
            <w:instrText xml:space="preserve"> HYPERLINK \l _Toc1446 </w:instrText>
          </w:r>
          <w:r>
            <w:rPr>
              <w:rFonts w:hint="eastAsia" w:ascii="宋体" w:hAnsi="宋体" w:eastAsia="宋体" w:cs="宋体"/>
              <w:b w:val="0"/>
              <w:bCs w:val="0"/>
              <w:color w:val="auto"/>
              <w:sz w:val="28"/>
              <w:szCs w:val="56"/>
              <w:highlight w:val="none"/>
            </w:rPr>
            <w:fldChar w:fldCharType="separate"/>
          </w:r>
          <w:r>
            <w:rPr>
              <w:rFonts w:hint="eastAsia" w:ascii="宋体" w:hAnsi="宋体" w:eastAsia="宋体" w:cs="宋体"/>
              <w:b w:val="0"/>
              <w:bCs w:val="0"/>
              <w:color w:val="auto"/>
              <w:sz w:val="28"/>
              <w:szCs w:val="48"/>
              <w:highlight w:val="none"/>
              <w:lang w:val="zh-CN"/>
            </w:rPr>
            <w:t>第三章 政府采购合同书格式</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_Toc1446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16</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56"/>
              <w:highlight w:val="none"/>
            </w:rPr>
            <w:fldChar w:fldCharType="end"/>
          </w:r>
        </w:p>
        <w:p w14:paraId="7E0EF93D">
          <w:pPr>
            <w:pStyle w:val="18"/>
            <w:tabs>
              <w:tab w:val="right" w:leader="dot" w:pos="9072"/>
            </w:tabs>
            <w:spacing w:line="48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56"/>
              <w:highlight w:val="none"/>
            </w:rPr>
            <w:fldChar w:fldCharType="begin"/>
          </w:r>
          <w:r>
            <w:rPr>
              <w:rFonts w:hint="eastAsia" w:ascii="宋体" w:hAnsi="宋体" w:eastAsia="宋体" w:cs="宋体"/>
              <w:b w:val="0"/>
              <w:bCs w:val="0"/>
              <w:color w:val="auto"/>
              <w:sz w:val="28"/>
              <w:szCs w:val="56"/>
              <w:highlight w:val="none"/>
            </w:rPr>
            <w:instrText xml:space="preserve"> HYPERLINK \l _Toc17076 </w:instrText>
          </w:r>
          <w:r>
            <w:rPr>
              <w:rFonts w:hint="eastAsia" w:ascii="宋体" w:hAnsi="宋体" w:eastAsia="宋体" w:cs="宋体"/>
              <w:b w:val="0"/>
              <w:bCs w:val="0"/>
              <w:color w:val="auto"/>
              <w:sz w:val="28"/>
              <w:szCs w:val="56"/>
              <w:highlight w:val="none"/>
            </w:rPr>
            <w:fldChar w:fldCharType="separate"/>
          </w:r>
          <w:r>
            <w:rPr>
              <w:rFonts w:hint="eastAsia" w:ascii="宋体" w:hAnsi="宋体" w:eastAsia="宋体" w:cs="宋体"/>
              <w:b w:val="0"/>
              <w:bCs w:val="0"/>
              <w:color w:val="auto"/>
              <w:sz w:val="28"/>
              <w:szCs w:val="44"/>
              <w:highlight w:val="none"/>
              <w:lang w:val="zh-CN"/>
            </w:rPr>
            <w:t>（需求部分）</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_Toc17076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18</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56"/>
              <w:highlight w:val="none"/>
            </w:rPr>
            <w:fldChar w:fldCharType="end"/>
          </w:r>
        </w:p>
        <w:p w14:paraId="6B0410E9">
          <w:pPr>
            <w:pStyle w:val="18"/>
            <w:tabs>
              <w:tab w:val="right" w:leader="dot" w:pos="9072"/>
            </w:tabs>
            <w:spacing w:line="48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56"/>
              <w:highlight w:val="none"/>
            </w:rPr>
            <w:fldChar w:fldCharType="begin"/>
          </w:r>
          <w:r>
            <w:rPr>
              <w:rFonts w:hint="eastAsia" w:ascii="宋体" w:hAnsi="宋体" w:eastAsia="宋体" w:cs="宋体"/>
              <w:b w:val="0"/>
              <w:bCs w:val="0"/>
              <w:color w:val="auto"/>
              <w:sz w:val="28"/>
              <w:szCs w:val="56"/>
              <w:highlight w:val="none"/>
            </w:rPr>
            <w:instrText xml:space="preserve"> HYPERLINK \l _Toc4950 </w:instrText>
          </w:r>
          <w:r>
            <w:rPr>
              <w:rFonts w:hint="eastAsia" w:ascii="宋体" w:hAnsi="宋体" w:eastAsia="宋体" w:cs="宋体"/>
              <w:b w:val="0"/>
              <w:bCs w:val="0"/>
              <w:color w:val="auto"/>
              <w:sz w:val="28"/>
              <w:szCs w:val="56"/>
              <w:highlight w:val="none"/>
            </w:rPr>
            <w:fldChar w:fldCharType="separate"/>
          </w:r>
          <w:r>
            <w:rPr>
              <w:rFonts w:hint="eastAsia" w:ascii="宋体" w:hAnsi="宋体" w:eastAsia="宋体" w:cs="宋体"/>
              <w:b w:val="0"/>
              <w:bCs w:val="0"/>
              <w:color w:val="auto"/>
              <w:sz w:val="28"/>
              <w:szCs w:val="48"/>
              <w:highlight w:val="none"/>
              <w:lang w:val="zh-CN"/>
            </w:rPr>
            <w:t xml:space="preserve">第一章 </w:t>
          </w:r>
          <w:r>
            <w:rPr>
              <w:rFonts w:hint="eastAsia" w:ascii="宋体" w:hAnsi="宋体" w:cs="宋体"/>
              <w:b w:val="0"/>
              <w:bCs w:val="0"/>
              <w:color w:val="auto"/>
              <w:sz w:val="28"/>
              <w:szCs w:val="48"/>
              <w:highlight w:val="none"/>
              <w:lang w:val="en-US" w:eastAsia="zh-CN"/>
            </w:rPr>
            <w:t>采购</w:t>
          </w:r>
          <w:r>
            <w:rPr>
              <w:rFonts w:hint="eastAsia" w:ascii="宋体" w:hAnsi="宋体" w:eastAsia="宋体" w:cs="宋体"/>
              <w:b w:val="0"/>
              <w:bCs w:val="0"/>
              <w:color w:val="auto"/>
              <w:sz w:val="28"/>
              <w:szCs w:val="48"/>
              <w:highlight w:val="none"/>
              <w:lang w:val="zh-CN"/>
            </w:rPr>
            <w:t>公告</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_Toc4950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18</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56"/>
              <w:highlight w:val="none"/>
            </w:rPr>
            <w:fldChar w:fldCharType="end"/>
          </w:r>
        </w:p>
        <w:p w14:paraId="42C8DC0A">
          <w:pPr>
            <w:pStyle w:val="18"/>
            <w:tabs>
              <w:tab w:val="right" w:leader="dot" w:pos="9072"/>
            </w:tabs>
            <w:spacing w:line="48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56"/>
              <w:highlight w:val="none"/>
            </w:rPr>
            <w:fldChar w:fldCharType="begin"/>
          </w:r>
          <w:r>
            <w:rPr>
              <w:rFonts w:hint="eastAsia" w:ascii="宋体" w:hAnsi="宋体" w:eastAsia="宋体" w:cs="宋体"/>
              <w:b w:val="0"/>
              <w:bCs w:val="0"/>
              <w:color w:val="auto"/>
              <w:sz w:val="28"/>
              <w:szCs w:val="56"/>
              <w:highlight w:val="none"/>
            </w:rPr>
            <w:instrText xml:space="preserve"> HYPERLINK \l _Toc8002 </w:instrText>
          </w:r>
          <w:r>
            <w:rPr>
              <w:rFonts w:hint="eastAsia" w:ascii="宋体" w:hAnsi="宋体" w:eastAsia="宋体" w:cs="宋体"/>
              <w:b w:val="0"/>
              <w:bCs w:val="0"/>
              <w:color w:val="auto"/>
              <w:sz w:val="28"/>
              <w:szCs w:val="56"/>
              <w:highlight w:val="none"/>
            </w:rPr>
            <w:fldChar w:fldCharType="separate"/>
          </w:r>
          <w:r>
            <w:rPr>
              <w:rFonts w:hint="eastAsia" w:ascii="宋体" w:hAnsi="宋体" w:eastAsia="宋体" w:cs="宋体"/>
              <w:b w:val="0"/>
              <w:bCs w:val="0"/>
              <w:color w:val="auto"/>
              <w:sz w:val="28"/>
              <w:szCs w:val="48"/>
              <w:highlight w:val="none"/>
              <w:lang w:val="zh-CN"/>
            </w:rPr>
            <w:t>第</w:t>
          </w:r>
          <w:r>
            <w:rPr>
              <w:rFonts w:hint="eastAsia" w:ascii="宋体" w:hAnsi="宋体" w:eastAsia="宋体" w:cs="宋体"/>
              <w:b w:val="0"/>
              <w:bCs w:val="0"/>
              <w:color w:val="auto"/>
              <w:sz w:val="28"/>
              <w:szCs w:val="48"/>
              <w:highlight w:val="none"/>
              <w:lang w:val="en-US" w:eastAsia="zh-CN"/>
            </w:rPr>
            <w:t>二</w:t>
          </w:r>
          <w:r>
            <w:rPr>
              <w:rFonts w:hint="eastAsia" w:ascii="宋体" w:hAnsi="宋体" w:eastAsia="宋体" w:cs="宋体"/>
              <w:b w:val="0"/>
              <w:bCs w:val="0"/>
              <w:color w:val="auto"/>
              <w:sz w:val="28"/>
              <w:szCs w:val="48"/>
              <w:highlight w:val="none"/>
              <w:lang w:val="zh-CN"/>
            </w:rPr>
            <w:t xml:space="preserve">章 </w:t>
          </w:r>
          <w:r>
            <w:rPr>
              <w:rFonts w:hint="eastAsia" w:ascii="宋体" w:hAnsi="宋体" w:cs="宋体"/>
              <w:b w:val="0"/>
              <w:bCs w:val="0"/>
              <w:color w:val="auto"/>
              <w:sz w:val="28"/>
              <w:szCs w:val="48"/>
              <w:highlight w:val="none"/>
              <w:lang w:val="zh-CN"/>
            </w:rPr>
            <w:t>货物需求、评标办法和其他要求</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_Toc8002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22</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56"/>
              <w:highlight w:val="none"/>
            </w:rPr>
            <w:fldChar w:fldCharType="end"/>
          </w:r>
        </w:p>
        <w:p w14:paraId="7A815210">
          <w:pPr>
            <w:pStyle w:val="18"/>
            <w:tabs>
              <w:tab w:val="right" w:leader="dot" w:pos="9072"/>
            </w:tabs>
            <w:spacing w:line="48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56"/>
              <w:highlight w:val="none"/>
            </w:rPr>
            <w:fldChar w:fldCharType="begin"/>
          </w:r>
          <w:r>
            <w:rPr>
              <w:rFonts w:hint="eastAsia" w:ascii="宋体" w:hAnsi="宋体" w:eastAsia="宋体" w:cs="宋体"/>
              <w:b w:val="0"/>
              <w:bCs w:val="0"/>
              <w:color w:val="auto"/>
              <w:sz w:val="28"/>
              <w:szCs w:val="56"/>
              <w:highlight w:val="none"/>
            </w:rPr>
            <w:instrText xml:space="preserve"> HYPERLINK \l _Toc27156 </w:instrText>
          </w:r>
          <w:r>
            <w:rPr>
              <w:rFonts w:hint="eastAsia" w:ascii="宋体" w:hAnsi="宋体" w:eastAsia="宋体" w:cs="宋体"/>
              <w:b w:val="0"/>
              <w:bCs w:val="0"/>
              <w:color w:val="auto"/>
              <w:sz w:val="28"/>
              <w:szCs w:val="56"/>
              <w:highlight w:val="none"/>
            </w:rPr>
            <w:fldChar w:fldCharType="separate"/>
          </w:r>
          <w:r>
            <w:rPr>
              <w:rFonts w:hint="eastAsia" w:ascii="宋体" w:hAnsi="宋体" w:eastAsia="宋体" w:cs="宋体"/>
              <w:b w:val="0"/>
              <w:bCs w:val="0"/>
              <w:color w:val="auto"/>
              <w:sz w:val="28"/>
              <w:szCs w:val="48"/>
              <w:highlight w:val="none"/>
              <w:lang w:val="zh-CN"/>
            </w:rPr>
            <w:t>第三章 投标文件构成、要求及格式</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_Toc27156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38</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56"/>
              <w:highlight w:val="none"/>
            </w:rPr>
            <w:fldChar w:fldCharType="end"/>
          </w:r>
        </w:p>
        <w:p w14:paraId="6C2F2311">
          <w:pPr>
            <w:spacing w:line="480" w:lineRule="auto"/>
            <w:rPr>
              <w:rFonts w:hint="eastAsia"/>
              <w:b w:val="0"/>
              <w:bCs w:val="0"/>
              <w:color w:val="auto"/>
              <w:sz w:val="40"/>
              <w:szCs w:val="40"/>
              <w:highlight w:val="none"/>
            </w:rPr>
          </w:pPr>
          <w:r>
            <w:rPr>
              <w:rFonts w:hint="eastAsia"/>
              <w:b w:val="0"/>
              <w:bCs w:val="0"/>
              <w:color w:val="auto"/>
              <w:szCs w:val="40"/>
              <w:highlight w:val="none"/>
            </w:rPr>
            <w:fldChar w:fldCharType="end"/>
          </w:r>
        </w:p>
      </w:sdtContent>
    </w:sdt>
    <w:p w14:paraId="6FAF68AC">
      <w:pPr>
        <w:spacing w:line="480" w:lineRule="auto"/>
        <w:jc w:val="center"/>
        <w:rPr>
          <w:rFonts w:hint="eastAsia" w:ascii="黑体" w:eastAsia="黑体" w:cs="黑体"/>
          <w:b w:val="0"/>
          <w:bCs w:val="0"/>
          <w:color w:val="auto"/>
          <w:sz w:val="52"/>
          <w:szCs w:val="52"/>
          <w:highlight w:val="none"/>
          <w:lang w:val="zh-CN"/>
        </w:rPr>
      </w:pPr>
      <w:r>
        <w:rPr>
          <w:rFonts w:hint="eastAsia" w:ascii="宋体" w:hAnsi="宋体" w:eastAsia="宋体" w:cs="宋体"/>
          <w:b w:val="0"/>
          <w:bCs w:val="0"/>
          <w:color w:val="auto"/>
          <w:sz w:val="40"/>
          <w:szCs w:val="40"/>
          <w:highlight w:val="none"/>
          <w:lang w:val="zh-CN"/>
        </w:rPr>
        <w:fldChar w:fldCharType="end"/>
      </w:r>
    </w:p>
    <w:p w14:paraId="2C4C6EF9">
      <w:pPr>
        <w:jc w:val="center"/>
        <w:rPr>
          <w:rFonts w:hint="eastAsia" w:ascii="黑体" w:eastAsia="黑体" w:cs="黑体"/>
          <w:b/>
          <w:bCs/>
          <w:color w:val="auto"/>
          <w:sz w:val="36"/>
          <w:szCs w:val="36"/>
          <w:highlight w:val="none"/>
          <w:lang w:val="zh-CN"/>
        </w:rPr>
      </w:pPr>
    </w:p>
    <w:p w14:paraId="0A4F5909">
      <w:pPr>
        <w:bidi w:val="0"/>
        <w:rPr>
          <w:rFonts w:hint="eastAsia" w:ascii="黑体" w:eastAsia="黑体" w:cs="黑体"/>
          <w:b/>
          <w:bCs/>
          <w:color w:val="auto"/>
          <w:sz w:val="36"/>
          <w:szCs w:val="36"/>
          <w:highlight w:val="none"/>
          <w:lang w:val="zh-CN"/>
        </w:rPr>
      </w:pPr>
    </w:p>
    <w:p w14:paraId="0905F7B4">
      <w:pPr>
        <w:bidi w:val="0"/>
        <w:rPr>
          <w:rFonts w:hint="eastAsia" w:ascii="黑体" w:eastAsia="黑体" w:cs="黑体"/>
          <w:b/>
          <w:bCs/>
          <w:color w:val="auto"/>
          <w:sz w:val="36"/>
          <w:szCs w:val="36"/>
          <w:highlight w:val="none"/>
          <w:lang w:val="zh-CN"/>
        </w:rPr>
      </w:pPr>
    </w:p>
    <w:p w14:paraId="014C7D28">
      <w:pPr>
        <w:bidi w:val="0"/>
        <w:rPr>
          <w:rFonts w:hint="eastAsia" w:ascii="黑体" w:eastAsia="黑体" w:cs="黑体"/>
          <w:b/>
          <w:bCs/>
          <w:color w:val="auto"/>
          <w:sz w:val="36"/>
          <w:szCs w:val="36"/>
          <w:highlight w:val="none"/>
          <w:lang w:val="zh-CN"/>
        </w:rPr>
      </w:pPr>
    </w:p>
    <w:p w14:paraId="192767E7">
      <w:pPr>
        <w:bidi w:val="0"/>
        <w:rPr>
          <w:rFonts w:hint="eastAsia" w:ascii="黑体" w:eastAsia="黑体" w:cs="黑体"/>
          <w:b/>
          <w:bCs/>
          <w:color w:val="auto"/>
          <w:sz w:val="36"/>
          <w:szCs w:val="36"/>
          <w:highlight w:val="none"/>
          <w:lang w:val="zh-CN"/>
        </w:rPr>
      </w:pPr>
    </w:p>
    <w:p w14:paraId="02251F30">
      <w:pPr>
        <w:bidi w:val="0"/>
        <w:jc w:val="center"/>
        <w:outlineLvl w:val="0"/>
        <w:rPr>
          <w:rFonts w:ascii="黑体" w:eastAsia="黑体" w:cs="黑体"/>
          <w:b/>
          <w:bCs/>
          <w:color w:val="auto"/>
          <w:sz w:val="30"/>
          <w:szCs w:val="30"/>
          <w:highlight w:val="none"/>
          <w:lang w:val="zh-CN"/>
        </w:rPr>
      </w:pPr>
      <w:r>
        <w:rPr>
          <w:rFonts w:hint="eastAsia" w:ascii="黑体" w:eastAsia="黑体" w:cs="黑体"/>
          <w:b/>
          <w:bCs/>
          <w:color w:val="auto"/>
          <w:sz w:val="36"/>
          <w:szCs w:val="36"/>
          <w:highlight w:val="none"/>
          <w:lang w:val="zh-CN"/>
        </w:rPr>
        <w:br w:type="page"/>
      </w:r>
      <w:bookmarkStart w:id="13" w:name="_Toc13442"/>
      <w:bookmarkStart w:id="14" w:name="_Toc2341"/>
      <w:bookmarkStart w:id="15" w:name="_Toc4956"/>
      <w:r>
        <w:rPr>
          <w:rFonts w:hint="eastAsia" w:ascii="黑体" w:hAnsi="黑体" w:eastAsia="黑体" w:cs="黑体"/>
          <w:b/>
          <w:bCs/>
          <w:color w:val="auto"/>
          <w:sz w:val="30"/>
          <w:szCs w:val="30"/>
          <w:highlight w:val="none"/>
          <w:lang w:val="zh-CN"/>
        </w:rPr>
        <w:t>（通用部分）</w:t>
      </w:r>
      <w:bookmarkEnd w:id="13"/>
      <w:bookmarkEnd w:id="14"/>
      <w:bookmarkEnd w:id="15"/>
    </w:p>
    <w:p w14:paraId="29DA4EBB">
      <w:pPr>
        <w:numPr>
          <w:ilvl w:val="0"/>
          <w:numId w:val="1"/>
        </w:numPr>
        <w:ind w:left="1083" w:hanging="1083"/>
        <w:jc w:val="center"/>
        <w:outlineLvl w:val="0"/>
        <w:rPr>
          <w:rFonts w:ascii="宋体"/>
          <w:color w:val="auto"/>
          <w:sz w:val="30"/>
          <w:szCs w:val="30"/>
          <w:highlight w:val="none"/>
          <w:lang w:val="zh-CN"/>
        </w:rPr>
      </w:pPr>
      <w:bookmarkStart w:id="16" w:name="_Toc22848"/>
      <w:bookmarkStart w:id="17" w:name="_Toc1312"/>
      <w:bookmarkStart w:id="18" w:name="_Toc1702"/>
      <w:r>
        <w:rPr>
          <w:rFonts w:hint="eastAsia" w:ascii="黑体" w:eastAsia="黑体" w:cs="黑体"/>
          <w:b/>
          <w:bCs/>
          <w:color w:val="auto"/>
          <w:sz w:val="30"/>
          <w:szCs w:val="30"/>
          <w:highlight w:val="none"/>
          <w:lang w:val="zh-CN"/>
        </w:rPr>
        <w:t>投标人须知</w:t>
      </w:r>
      <w:bookmarkEnd w:id="16"/>
      <w:bookmarkEnd w:id="17"/>
      <w:bookmarkEnd w:id="18"/>
    </w:p>
    <w:p w14:paraId="797873CE">
      <w:pPr>
        <w:ind w:firstLine="720"/>
        <w:rPr>
          <w:rFonts w:ascii="宋体"/>
          <w:color w:val="auto"/>
          <w:sz w:val="24"/>
          <w:szCs w:val="24"/>
          <w:highlight w:val="none"/>
          <w:lang w:val="zh-CN"/>
        </w:rPr>
      </w:pPr>
    </w:p>
    <w:p w14:paraId="137B957B">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.适用法律：</w:t>
      </w:r>
      <w:r>
        <w:rPr>
          <w:rFonts w:hint="eastAsia" w:ascii="宋体" w:hAnsi="宋体" w:cs="宋体"/>
          <w:color w:val="auto"/>
          <w:sz w:val="24"/>
          <w:szCs w:val="24"/>
          <w:highlight w:val="none"/>
          <w:lang w:val="zh-CN"/>
        </w:rPr>
        <w:t>本次招标适用法律法规为《中华人民共和国政府采购法》《中华人民共和国政府采购法实施条例》《政府采购货物和服务招标投标管理办法》及政府采购其它相关法规。</w:t>
      </w:r>
    </w:p>
    <w:p w14:paraId="247B98EE">
      <w:pPr>
        <w:ind w:firstLine="480"/>
        <w:rPr>
          <w:rFonts w:ascii="宋体" w:hAnsi="宋体"/>
          <w:color w:val="auto"/>
          <w:sz w:val="24"/>
          <w:szCs w:val="24"/>
          <w:highlight w:val="none"/>
          <w:lang w:val="zh-CN"/>
        </w:rPr>
      </w:pPr>
    </w:p>
    <w:p w14:paraId="628DFA05">
      <w:pPr>
        <w:ind w:firstLine="482"/>
        <w:outlineLvl w:val="1"/>
        <w:rPr>
          <w:rFonts w:ascii="宋体" w:hAnsi="宋体"/>
          <w:b/>
          <w:bCs/>
          <w:color w:val="auto"/>
          <w:sz w:val="24"/>
          <w:szCs w:val="24"/>
          <w:highlight w:val="none"/>
          <w:lang w:val="zh-CN"/>
        </w:rPr>
      </w:pPr>
      <w:bookmarkStart w:id="19" w:name="_Toc8504"/>
      <w:r>
        <w:rPr>
          <w:rFonts w:ascii="宋体" w:hAnsi="宋体" w:cs="宋体"/>
          <w:b/>
          <w:bCs/>
          <w:color w:val="auto"/>
          <w:sz w:val="24"/>
          <w:szCs w:val="24"/>
          <w:highlight w:val="none"/>
          <w:lang w:val="zh-CN"/>
        </w:rPr>
        <w:t>2</w:t>
      </w:r>
      <w:r>
        <w:rPr>
          <w:rFonts w:hint="eastAsia" w:ascii="宋体" w:hAnsi="宋体" w:cs="宋体"/>
          <w:b/>
          <w:bCs/>
          <w:color w:val="auto"/>
          <w:sz w:val="24"/>
          <w:szCs w:val="24"/>
          <w:highlight w:val="none"/>
          <w:lang w:val="zh-CN"/>
        </w:rPr>
        <w:t>.定义：</w:t>
      </w:r>
      <w:bookmarkEnd w:id="19"/>
    </w:p>
    <w:p w14:paraId="4436619B">
      <w:pPr>
        <w:ind w:firstLine="480"/>
        <w:rPr>
          <w:rFonts w:ascii="宋体" w:hAnsi="宋体"/>
          <w:color w:val="auto"/>
          <w:sz w:val="24"/>
          <w:szCs w:val="24"/>
          <w:highlight w:val="none"/>
          <w:lang w:val="zh-CN"/>
        </w:rPr>
      </w:pPr>
      <w:r>
        <w:rPr>
          <w:rFonts w:ascii="宋体" w:hAnsi="宋体" w:cs="黑体"/>
          <w:color w:val="auto"/>
          <w:sz w:val="24"/>
          <w:szCs w:val="24"/>
          <w:highlight w:val="none"/>
          <w:lang w:val="zh-CN"/>
        </w:rPr>
        <w:t>2.1</w:t>
      </w:r>
      <w:r>
        <w:rPr>
          <w:rFonts w:ascii="宋体" w:hAnsi="宋体"/>
          <w:color w:val="auto"/>
          <w:sz w:val="24"/>
          <w:szCs w:val="24"/>
          <w:highlight w:val="none"/>
        </w:rPr>
        <w:t>“</w:t>
      </w:r>
      <w:r>
        <w:rPr>
          <w:rFonts w:hint="eastAsia" w:ascii="宋体" w:hAnsi="宋体" w:cs="黑体"/>
          <w:color w:val="auto"/>
          <w:sz w:val="24"/>
          <w:szCs w:val="24"/>
          <w:highlight w:val="none"/>
          <w:lang w:val="zh-CN"/>
        </w:rPr>
        <w:t>代理机构</w:t>
      </w:r>
      <w:r>
        <w:rPr>
          <w:rFonts w:ascii="宋体" w:hAnsi="宋体"/>
          <w:color w:val="auto"/>
          <w:sz w:val="24"/>
          <w:szCs w:val="24"/>
          <w:highlight w:val="none"/>
        </w:rPr>
        <w:t>”</w:t>
      </w:r>
      <w:r>
        <w:rPr>
          <w:rFonts w:hint="eastAsia" w:ascii="宋体" w:hAnsi="宋体" w:cs="宋体"/>
          <w:color w:val="auto"/>
          <w:sz w:val="24"/>
          <w:szCs w:val="24"/>
          <w:highlight w:val="none"/>
          <w:lang w:val="zh-CN"/>
        </w:rPr>
        <w:t>指</w:t>
      </w:r>
      <w:r>
        <w:rPr>
          <w:rFonts w:hint="eastAsia" w:ascii="宋体" w:hAnsi="宋体" w:cs="宋体"/>
          <w:color w:val="auto"/>
          <w:sz w:val="24"/>
          <w:szCs w:val="24"/>
          <w:highlight w:val="none"/>
          <w:u w:val="single"/>
          <w:lang w:val="zh-CN"/>
        </w:rPr>
        <w:t>吉林省智广工程项目管理有限公司</w:t>
      </w:r>
      <w:r>
        <w:rPr>
          <w:rFonts w:hint="eastAsia" w:ascii="宋体" w:hAnsi="宋体" w:cs="宋体"/>
          <w:color w:val="auto"/>
          <w:sz w:val="24"/>
          <w:szCs w:val="24"/>
          <w:highlight w:val="none"/>
          <w:lang w:val="zh-CN"/>
        </w:rPr>
        <w:t>（以下简称代理机构），负责采购活动的组织工作。</w:t>
      </w:r>
    </w:p>
    <w:p w14:paraId="62D76BA7">
      <w:pPr>
        <w:ind w:firstLine="480"/>
        <w:rPr>
          <w:rFonts w:ascii="宋体" w:hAnsi="宋体"/>
          <w:color w:val="auto"/>
          <w:sz w:val="24"/>
          <w:szCs w:val="24"/>
          <w:highlight w:val="none"/>
          <w:lang w:val="zh-CN"/>
        </w:rPr>
      </w:pPr>
      <w:r>
        <w:rPr>
          <w:rFonts w:ascii="宋体" w:hAnsi="宋体" w:cs="黑体"/>
          <w:color w:val="auto"/>
          <w:sz w:val="24"/>
          <w:szCs w:val="24"/>
          <w:highlight w:val="none"/>
          <w:lang w:val="zh-CN"/>
        </w:rPr>
        <w:t>2.2</w:t>
      </w:r>
      <w:r>
        <w:rPr>
          <w:rFonts w:ascii="宋体" w:hAnsi="宋体"/>
          <w:color w:val="auto"/>
          <w:sz w:val="24"/>
          <w:szCs w:val="24"/>
          <w:highlight w:val="none"/>
        </w:rPr>
        <w:t>“</w:t>
      </w:r>
      <w:r>
        <w:rPr>
          <w:rFonts w:hint="eastAsia" w:ascii="宋体" w:hAnsi="宋体" w:cs="黑体"/>
          <w:color w:val="auto"/>
          <w:sz w:val="24"/>
          <w:szCs w:val="24"/>
          <w:highlight w:val="none"/>
          <w:lang w:val="zh-CN"/>
        </w:rPr>
        <w:t>采购人</w:t>
      </w:r>
      <w:r>
        <w:rPr>
          <w:rFonts w:ascii="宋体" w:hAnsi="宋体"/>
          <w:color w:val="auto"/>
          <w:sz w:val="24"/>
          <w:szCs w:val="24"/>
          <w:highlight w:val="none"/>
        </w:rPr>
        <w:t>”</w:t>
      </w:r>
      <w:r>
        <w:rPr>
          <w:rFonts w:hint="eastAsia" w:ascii="宋体" w:hAnsi="宋体" w:cs="宋体"/>
          <w:color w:val="auto"/>
          <w:sz w:val="24"/>
          <w:szCs w:val="24"/>
          <w:highlight w:val="none"/>
          <w:lang w:val="zh-CN"/>
        </w:rPr>
        <w:t>指</w:t>
      </w:r>
      <w:r>
        <w:rPr>
          <w:rFonts w:hint="eastAsia" w:ascii="宋体" w:hAnsi="宋体" w:cs="宋体"/>
          <w:color w:val="auto"/>
          <w:sz w:val="24"/>
          <w:szCs w:val="24"/>
          <w:highlight w:val="none"/>
          <w:u w:val="single"/>
          <w:lang w:val="zh-CN"/>
        </w:rPr>
        <w:t>长春师范大学</w:t>
      </w:r>
      <w:r>
        <w:rPr>
          <w:rFonts w:hint="eastAsia" w:ascii="宋体" w:hAnsi="宋体" w:cs="宋体"/>
          <w:color w:val="auto"/>
          <w:sz w:val="24"/>
          <w:szCs w:val="24"/>
          <w:highlight w:val="none"/>
          <w:lang w:val="zh-CN"/>
        </w:rPr>
        <w:t>，负责采购项目的整体规划、采购需求设计和可行性论证，作为合同的需方，承担质疑答复，合同履行、验收、评价等义务。</w:t>
      </w:r>
    </w:p>
    <w:p w14:paraId="2832BAD3">
      <w:pPr>
        <w:tabs>
          <w:tab w:val="left" w:pos="709"/>
        </w:tabs>
        <w:ind w:firstLine="470"/>
        <w:rPr>
          <w:rFonts w:ascii="宋体" w:hAnsi="宋体"/>
          <w:color w:val="auto"/>
          <w:sz w:val="24"/>
          <w:szCs w:val="24"/>
          <w:highlight w:val="none"/>
          <w:lang w:val="zh-CN"/>
        </w:rPr>
      </w:pPr>
      <w:r>
        <w:rPr>
          <w:rFonts w:ascii="宋体" w:hAnsi="宋体" w:cs="黑体"/>
          <w:color w:val="auto"/>
          <w:sz w:val="24"/>
          <w:szCs w:val="24"/>
          <w:highlight w:val="none"/>
          <w:lang w:val="zh-CN"/>
        </w:rPr>
        <w:t>2.3</w:t>
      </w:r>
      <w:r>
        <w:rPr>
          <w:rFonts w:ascii="宋体" w:hAnsi="宋体"/>
          <w:color w:val="auto"/>
          <w:sz w:val="24"/>
          <w:szCs w:val="24"/>
          <w:highlight w:val="none"/>
        </w:rPr>
        <w:t>“</w:t>
      </w:r>
      <w:r>
        <w:rPr>
          <w:rFonts w:hint="eastAsia" w:ascii="宋体" w:hAnsi="宋体"/>
          <w:color w:val="auto"/>
          <w:sz w:val="24"/>
          <w:szCs w:val="24"/>
          <w:highlight w:val="none"/>
          <w:lang w:val="en-US" w:eastAsia="zh-CN"/>
        </w:rPr>
        <w:t>采购</w:t>
      </w:r>
      <w:r>
        <w:rPr>
          <w:rFonts w:hint="eastAsia" w:ascii="宋体" w:hAnsi="宋体" w:cs="黑体"/>
          <w:color w:val="auto"/>
          <w:sz w:val="24"/>
          <w:szCs w:val="24"/>
          <w:highlight w:val="none"/>
          <w:lang w:val="zh-CN"/>
        </w:rPr>
        <w:t>内容</w:t>
      </w:r>
      <w:r>
        <w:rPr>
          <w:rFonts w:ascii="宋体" w:hAnsi="宋体"/>
          <w:color w:val="auto"/>
          <w:sz w:val="24"/>
          <w:szCs w:val="24"/>
          <w:highlight w:val="none"/>
        </w:rPr>
        <w:t>”</w:t>
      </w:r>
      <w:r>
        <w:rPr>
          <w:rFonts w:hint="eastAsia" w:ascii="宋体" w:hAnsi="宋体" w:cs="宋体"/>
          <w:color w:val="auto"/>
          <w:sz w:val="24"/>
          <w:szCs w:val="24"/>
          <w:highlight w:val="none"/>
          <w:lang w:val="zh-CN"/>
        </w:rPr>
        <w:t>详见采购文件（需求部分）第二章《货物需求、评标办法和其他要求》货物需求及技术规格要求一览表。</w:t>
      </w:r>
    </w:p>
    <w:p w14:paraId="2366411A">
      <w:pPr>
        <w:tabs>
          <w:tab w:val="left" w:pos="709"/>
        </w:tabs>
        <w:ind w:firstLine="470"/>
        <w:rPr>
          <w:rFonts w:ascii="宋体" w:hAnsi="宋体"/>
          <w:color w:val="auto"/>
          <w:sz w:val="24"/>
          <w:szCs w:val="24"/>
          <w:highlight w:val="none"/>
          <w:lang w:val="zh-CN"/>
        </w:rPr>
      </w:pPr>
      <w:r>
        <w:rPr>
          <w:rFonts w:ascii="宋体" w:hAnsi="宋体" w:cs="黑体"/>
          <w:color w:val="auto"/>
          <w:sz w:val="24"/>
          <w:szCs w:val="24"/>
          <w:highlight w:val="none"/>
          <w:lang w:val="zh-CN"/>
        </w:rPr>
        <w:t>2.4</w:t>
      </w:r>
      <w:r>
        <w:rPr>
          <w:rFonts w:ascii="宋体" w:hAnsi="宋体"/>
          <w:color w:val="auto"/>
          <w:sz w:val="24"/>
          <w:szCs w:val="24"/>
          <w:highlight w:val="none"/>
        </w:rPr>
        <w:t>“</w:t>
      </w:r>
      <w:r>
        <w:rPr>
          <w:rFonts w:hint="eastAsia" w:ascii="宋体" w:hAnsi="宋体" w:cs="黑体"/>
          <w:color w:val="auto"/>
          <w:sz w:val="24"/>
          <w:szCs w:val="24"/>
          <w:highlight w:val="none"/>
          <w:lang w:val="zh-CN"/>
        </w:rPr>
        <w:t>潜在投标人</w:t>
      </w:r>
      <w:r>
        <w:rPr>
          <w:rFonts w:ascii="宋体" w:hAnsi="宋体"/>
          <w:color w:val="auto"/>
          <w:sz w:val="24"/>
          <w:szCs w:val="24"/>
          <w:highlight w:val="none"/>
        </w:rPr>
        <w:t>”</w:t>
      </w:r>
      <w:r>
        <w:rPr>
          <w:rFonts w:hint="eastAsia" w:ascii="宋体" w:hAnsi="宋体" w:cs="宋体"/>
          <w:color w:val="auto"/>
          <w:sz w:val="24"/>
          <w:szCs w:val="24"/>
          <w:highlight w:val="none"/>
          <w:lang w:val="zh-CN"/>
        </w:rPr>
        <w:t>指下载采购文件的供应商。</w:t>
      </w:r>
    </w:p>
    <w:p w14:paraId="6CA654BF">
      <w:pPr>
        <w:tabs>
          <w:tab w:val="left" w:pos="709"/>
        </w:tabs>
        <w:ind w:firstLine="470"/>
        <w:rPr>
          <w:rFonts w:ascii="宋体" w:hAnsi="宋体"/>
          <w:color w:val="auto"/>
          <w:sz w:val="24"/>
          <w:szCs w:val="24"/>
          <w:highlight w:val="none"/>
          <w:lang w:val="zh-CN"/>
        </w:rPr>
      </w:pPr>
      <w:r>
        <w:rPr>
          <w:rFonts w:ascii="宋体" w:hAnsi="宋体" w:cs="黑体"/>
          <w:color w:val="auto"/>
          <w:sz w:val="24"/>
          <w:szCs w:val="24"/>
          <w:highlight w:val="none"/>
          <w:lang w:val="zh-CN"/>
        </w:rPr>
        <w:t>2.5</w:t>
      </w:r>
      <w:r>
        <w:rPr>
          <w:rFonts w:ascii="宋体" w:hAnsi="宋体"/>
          <w:color w:val="auto"/>
          <w:sz w:val="24"/>
          <w:szCs w:val="24"/>
          <w:highlight w:val="none"/>
        </w:rPr>
        <w:t>“</w:t>
      </w:r>
      <w:r>
        <w:rPr>
          <w:rFonts w:hint="eastAsia" w:ascii="宋体" w:hAnsi="宋体" w:cs="黑体"/>
          <w:color w:val="auto"/>
          <w:sz w:val="24"/>
          <w:szCs w:val="24"/>
          <w:highlight w:val="none"/>
          <w:lang w:val="zh-CN"/>
        </w:rPr>
        <w:t>投标人</w:t>
      </w:r>
      <w:r>
        <w:rPr>
          <w:rFonts w:ascii="宋体" w:hAnsi="宋体"/>
          <w:color w:val="auto"/>
          <w:sz w:val="24"/>
          <w:szCs w:val="24"/>
          <w:highlight w:val="none"/>
        </w:rPr>
        <w:t>”</w:t>
      </w:r>
      <w:r>
        <w:rPr>
          <w:rFonts w:hint="eastAsia" w:ascii="宋体" w:hAnsi="宋体" w:cs="宋体"/>
          <w:color w:val="auto"/>
          <w:sz w:val="24"/>
          <w:szCs w:val="24"/>
          <w:highlight w:val="none"/>
          <w:lang w:val="zh-CN"/>
        </w:rPr>
        <w:t>指响应本采购文件参加投标的供应商。</w:t>
      </w:r>
    </w:p>
    <w:p w14:paraId="7E49F9D9">
      <w:pPr>
        <w:ind w:firstLine="480"/>
        <w:rPr>
          <w:rFonts w:ascii="宋体" w:hAnsi="宋体"/>
          <w:color w:val="auto"/>
          <w:sz w:val="24"/>
          <w:szCs w:val="24"/>
          <w:highlight w:val="none"/>
          <w:lang w:val="zh-CN"/>
        </w:rPr>
      </w:pPr>
    </w:p>
    <w:p w14:paraId="0E5D8272">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3</w:t>
      </w:r>
      <w:r>
        <w:rPr>
          <w:rFonts w:hint="eastAsia" w:ascii="宋体" w:hAnsi="宋体" w:cs="宋体"/>
          <w:b/>
          <w:bCs/>
          <w:color w:val="auto"/>
          <w:sz w:val="24"/>
          <w:szCs w:val="24"/>
          <w:highlight w:val="none"/>
          <w:lang w:val="zh-CN"/>
        </w:rPr>
        <w:t>.投标费用：</w:t>
      </w:r>
      <w:r>
        <w:rPr>
          <w:rFonts w:hint="eastAsia" w:ascii="宋体" w:hAnsi="宋体" w:cs="宋体"/>
          <w:color w:val="auto"/>
          <w:sz w:val="24"/>
          <w:szCs w:val="24"/>
          <w:highlight w:val="none"/>
          <w:lang w:val="zh-CN"/>
        </w:rPr>
        <w:t>投标人应自行承担所有与编写和提交投标文件有关的费用，无论投标的结果如何，代理机构和采购人在任何情况下均无义务和责任承担这些费用。</w:t>
      </w:r>
    </w:p>
    <w:p w14:paraId="2461EEF6">
      <w:pPr>
        <w:ind w:firstLine="482"/>
        <w:rPr>
          <w:rFonts w:ascii="宋体" w:hAnsi="宋体"/>
          <w:b/>
          <w:bCs/>
          <w:color w:val="auto"/>
          <w:sz w:val="24"/>
          <w:szCs w:val="24"/>
          <w:highlight w:val="none"/>
          <w:lang w:val="zh-CN"/>
        </w:rPr>
      </w:pPr>
    </w:p>
    <w:p w14:paraId="53642286">
      <w:pPr>
        <w:ind w:firstLine="482"/>
        <w:outlineLvl w:val="1"/>
        <w:rPr>
          <w:rFonts w:ascii="宋体" w:hAnsi="宋体"/>
          <w:b/>
          <w:bCs/>
          <w:color w:val="auto"/>
          <w:sz w:val="24"/>
          <w:szCs w:val="24"/>
          <w:highlight w:val="none"/>
          <w:lang w:val="zh-CN"/>
        </w:rPr>
      </w:pPr>
      <w:bookmarkStart w:id="20" w:name="_Toc23206"/>
      <w:r>
        <w:rPr>
          <w:rFonts w:hint="eastAsia" w:ascii="宋体" w:hAnsi="宋体" w:cs="宋体"/>
          <w:b/>
          <w:bCs/>
          <w:color w:val="auto"/>
          <w:sz w:val="24"/>
          <w:szCs w:val="24"/>
          <w:highlight w:val="none"/>
          <w:lang w:val="zh-CN"/>
        </w:rPr>
        <w:t>4</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采购文件：</w:t>
      </w:r>
      <w:bookmarkEnd w:id="20"/>
    </w:p>
    <w:p w14:paraId="1F1974AB">
      <w:pPr>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4</w:t>
      </w:r>
      <w:r>
        <w:rPr>
          <w:rFonts w:ascii="宋体" w:hAnsi="宋体" w:cs="宋体"/>
          <w:color w:val="auto"/>
          <w:sz w:val="24"/>
          <w:szCs w:val="24"/>
          <w:highlight w:val="none"/>
          <w:lang w:val="zh-CN"/>
        </w:rPr>
        <w:t xml:space="preserve">.1 </w:t>
      </w:r>
      <w:r>
        <w:rPr>
          <w:rFonts w:hint="eastAsia" w:ascii="宋体" w:hAnsi="宋体" w:cs="宋体"/>
          <w:color w:val="auto"/>
          <w:sz w:val="24"/>
          <w:szCs w:val="24"/>
          <w:highlight w:val="none"/>
          <w:lang w:val="zh-CN"/>
        </w:rPr>
        <w:t>采购文件的构成：</w:t>
      </w:r>
    </w:p>
    <w:p w14:paraId="5CC81FD9">
      <w:pPr>
        <w:ind w:firstLine="720" w:firstLineChars="3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通用部分</w:t>
      </w:r>
    </w:p>
    <w:p w14:paraId="1694B6AD">
      <w:pPr>
        <w:ind w:firstLine="720" w:firstLineChars="3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第一章 投标人须知</w:t>
      </w:r>
    </w:p>
    <w:p w14:paraId="248A6C3E">
      <w:pPr>
        <w:ind w:firstLine="720"/>
        <w:rPr>
          <w:rFonts w:ascii="宋体" w:hAnsi="宋体"/>
          <w:color w:val="auto"/>
          <w:sz w:val="24"/>
          <w:szCs w:val="24"/>
          <w:highlight w:val="none"/>
          <w:lang w:val="zh-CN"/>
        </w:rPr>
      </w:pPr>
      <w:r>
        <w:rPr>
          <w:rFonts w:hint="eastAsia" w:ascii="宋体" w:hAnsi="宋体" w:cs="宋体"/>
          <w:color w:val="auto"/>
          <w:sz w:val="24"/>
          <w:szCs w:val="24"/>
          <w:highlight w:val="none"/>
          <w:lang w:val="zh-CN"/>
        </w:rPr>
        <w:t>第二章 合同条款</w:t>
      </w:r>
    </w:p>
    <w:p w14:paraId="5E60398D">
      <w:pPr>
        <w:ind w:firstLine="720"/>
        <w:rPr>
          <w:rFonts w:ascii="宋体" w:hAnsi="宋体"/>
          <w:color w:val="auto"/>
          <w:sz w:val="24"/>
          <w:szCs w:val="24"/>
          <w:highlight w:val="none"/>
          <w:lang w:val="zh-CN"/>
        </w:rPr>
      </w:pPr>
      <w:r>
        <w:rPr>
          <w:rFonts w:hint="eastAsia" w:ascii="宋体" w:hAnsi="宋体" w:cs="宋体"/>
          <w:color w:val="auto"/>
          <w:sz w:val="24"/>
          <w:szCs w:val="24"/>
          <w:highlight w:val="none"/>
          <w:lang w:val="zh-CN"/>
        </w:rPr>
        <w:t>第三章 政府采购合同书格式</w:t>
      </w:r>
    </w:p>
    <w:p w14:paraId="712D9F3C">
      <w:pPr>
        <w:ind w:firstLine="72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需求部分</w:t>
      </w:r>
    </w:p>
    <w:p w14:paraId="15C0C46A">
      <w:pPr>
        <w:ind w:firstLine="72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 xml:space="preserve">第一章 </w:t>
      </w:r>
      <w:r>
        <w:rPr>
          <w:rFonts w:hint="eastAsia" w:ascii="宋体" w:hAnsi="宋体" w:cs="宋体"/>
          <w:color w:val="auto"/>
          <w:sz w:val="24"/>
          <w:szCs w:val="24"/>
          <w:highlight w:val="none"/>
          <w:lang w:val="en-US" w:eastAsia="zh-CN"/>
        </w:rPr>
        <w:t>采购</w:t>
      </w:r>
      <w:r>
        <w:rPr>
          <w:rFonts w:hint="eastAsia" w:ascii="宋体" w:hAnsi="宋体" w:cs="宋体"/>
          <w:color w:val="auto"/>
          <w:sz w:val="24"/>
          <w:szCs w:val="24"/>
          <w:highlight w:val="none"/>
          <w:lang w:val="zh-CN"/>
        </w:rPr>
        <w:t>公告</w:t>
      </w:r>
    </w:p>
    <w:p w14:paraId="6D0E87AE">
      <w:pPr>
        <w:ind w:firstLine="72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第二章 货物需求、评标办法和其他要求</w:t>
      </w:r>
    </w:p>
    <w:p w14:paraId="5F4FA8A1">
      <w:pPr>
        <w:ind w:firstLine="72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第三章 投标文件构成、要求及格式</w:t>
      </w:r>
    </w:p>
    <w:p w14:paraId="0A79CF98">
      <w:pPr>
        <w:ind w:firstLine="480"/>
        <w:rPr>
          <w:rFonts w:ascii="宋体" w:hAnsi="宋体"/>
          <w:b/>
          <w:bCs/>
          <w:color w:val="auto"/>
          <w:sz w:val="24"/>
          <w:szCs w:val="24"/>
          <w:highlight w:val="none"/>
          <w:lang w:val="zh-CN"/>
        </w:rPr>
      </w:pPr>
      <w:r>
        <w:rPr>
          <w:rFonts w:hint="eastAsia" w:ascii="宋体" w:hAnsi="宋体" w:cs="宋体"/>
          <w:color w:val="auto"/>
          <w:sz w:val="24"/>
          <w:szCs w:val="24"/>
          <w:highlight w:val="none"/>
          <w:lang w:val="zh-CN"/>
        </w:rPr>
        <w:t>4.2 投标人应认真阅读采购文件中所有事项、格式、条款和规范等要求。如果投标人没有按照采购文件要求提交全部文件资料或投标文件没有对采购文件在各方面都做出实质性响应，是投标人的风险。</w:t>
      </w:r>
    </w:p>
    <w:p w14:paraId="6FB43073">
      <w:pPr>
        <w:ind w:firstLine="482"/>
        <w:rPr>
          <w:rFonts w:ascii="宋体" w:hAnsi="宋体" w:cs="宋体"/>
          <w:b/>
          <w:bCs/>
          <w:color w:val="auto"/>
          <w:sz w:val="24"/>
          <w:szCs w:val="24"/>
          <w:highlight w:val="none"/>
          <w:lang w:val="zh-CN"/>
        </w:rPr>
      </w:pPr>
    </w:p>
    <w:p w14:paraId="38AE8AC1">
      <w:pPr>
        <w:ind w:firstLine="482"/>
        <w:outlineLvl w:val="1"/>
        <w:rPr>
          <w:rFonts w:ascii="宋体" w:hAnsi="宋体"/>
          <w:b/>
          <w:bCs/>
          <w:color w:val="auto"/>
          <w:sz w:val="24"/>
          <w:szCs w:val="24"/>
          <w:highlight w:val="none"/>
          <w:lang w:val="zh-CN"/>
        </w:rPr>
      </w:pPr>
      <w:bookmarkStart w:id="21" w:name="_Toc3018"/>
      <w:r>
        <w:rPr>
          <w:rFonts w:hint="eastAsia" w:ascii="宋体" w:hAnsi="宋体" w:cs="宋体"/>
          <w:b/>
          <w:bCs/>
          <w:color w:val="auto"/>
          <w:sz w:val="24"/>
          <w:szCs w:val="24"/>
          <w:highlight w:val="none"/>
          <w:lang w:val="zh-CN"/>
        </w:rPr>
        <w:t>5</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采购文件的澄清和修改</w:t>
      </w:r>
      <w:bookmarkEnd w:id="21"/>
    </w:p>
    <w:p w14:paraId="22189975">
      <w:pPr>
        <w:ind w:firstLine="482"/>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5.1 任何要求对采购文件进行澄清或对采购文件质疑的投标人，均应在质疑有效期内书面提交给代理机构，超过规定期限提出的澄清要求或质疑将不予受理。代理机构对收到的澄清要求将视所提问题的具体情况书面予以答复澄清或在发布</w:t>
      </w:r>
      <w:r>
        <w:rPr>
          <w:rFonts w:hint="eastAsia" w:ascii="宋体" w:hAnsi="宋体" w:cs="宋体"/>
          <w:color w:val="auto"/>
          <w:sz w:val="24"/>
          <w:szCs w:val="24"/>
          <w:highlight w:val="none"/>
          <w:lang w:val="en-US" w:eastAsia="zh-CN"/>
        </w:rPr>
        <w:t>采购</w:t>
      </w:r>
      <w:r>
        <w:rPr>
          <w:rFonts w:hint="eastAsia" w:ascii="宋体" w:hAnsi="宋体" w:cs="宋体"/>
          <w:color w:val="auto"/>
          <w:sz w:val="24"/>
          <w:szCs w:val="24"/>
          <w:highlight w:val="none"/>
          <w:lang w:val="zh-CN"/>
        </w:rPr>
        <w:t>公告的媒体上公告。答复中可以包括所提的问题，但不包括问题的来源。代理机构对收到的供应商质疑，将按照政府采购法律规章的规定处理。</w:t>
      </w:r>
    </w:p>
    <w:p w14:paraId="6AB128BA">
      <w:pPr>
        <w:ind w:firstLine="482"/>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5.2 代理机构可在投标截止时间15日前（含）对采购文件进行修改、补充。采购文件的修改、补充文件将在</w:t>
      </w:r>
      <w:r>
        <w:rPr>
          <w:rFonts w:hint="eastAsia" w:ascii="宋体" w:hAnsi="宋体" w:cs="宋体"/>
          <w:color w:val="auto"/>
          <w:sz w:val="24"/>
          <w:szCs w:val="24"/>
          <w:highlight w:val="none"/>
          <w:lang w:val="en-US" w:eastAsia="zh-CN"/>
        </w:rPr>
        <w:t>政采云平台</w:t>
      </w:r>
      <w:r>
        <w:rPr>
          <w:rFonts w:hint="eastAsia" w:ascii="宋体" w:hAnsi="宋体" w:cs="宋体"/>
          <w:color w:val="auto"/>
          <w:sz w:val="24"/>
          <w:szCs w:val="24"/>
          <w:highlight w:val="none"/>
          <w:lang w:val="zh-CN"/>
        </w:rPr>
        <w:t>上向潜在投标人发出公告。</w:t>
      </w:r>
    </w:p>
    <w:p w14:paraId="01BA8D3A">
      <w:pPr>
        <w:ind w:firstLine="482"/>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5.3 采购文件的澄清、修改、补充文件均构成采购文件的组成部分，对所有投标人具有约束力。</w:t>
      </w:r>
    </w:p>
    <w:p w14:paraId="5F97006D">
      <w:pPr>
        <w:ind w:firstLine="482"/>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5.4 为使投标人有充分的时间对采购文件的澄清、修改、补充部分进行研究，代理机构可在投标截止时间3日前（含）自行决定酌情延长投标截止时间，延长投标截止时间的公告将在发布</w:t>
      </w:r>
      <w:r>
        <w:rPr>
          <w:rFonts w:hint="eastAsia" w:ascii="宋体" w:hAnsi="宋体" w:cs="宋体"/>
          <w:color w:val="auto"/>
          <w:sz w:val="24"/>
          <w:szCs w:val="24"/>
          <w:highlight w:val="none"/>
          <w:lang w:val="en-US" w:eastAsia="zh-CN"/>
        </w:rPr>
        <w:t>采购</w:t>
      </w:r>
      <w:r>
        <w:rPr>
          <w:rFonts w:hint="eastAsia" w:ascii="宋体" w:hAnsi="宋体" w:cs="宋体"/>
          <w:color w:val="auto"/>
          <w:sz w:val="24"/>
          <w:szCs w:val="24"/>
          <w:highlight w:val="none"/>
          <w:lang w:val="zh-CN"/>
        </w:rPr>
        <w:t>公告的媒体上发告。在这种情况下，代理机构和投标人受投标截止时间制约的所有权利和义务均相应延长至新的投标截止时间。</w:t>
      </w:r>
    </w:p>
    <w:p w14:paraId="62BD51A6">
      <w:pPr>
        <w:ind w:firstLine="482"/>
        <w:rPr>
          <w:rFonts w:hint="eastAsia" w:ascii="宋体" w:hAnsi="宋体" w:cs="宋体"/>
          <w:b/>
          <w:bCs/>
          <w:color w:val="auto"/>
          <w:sz w:val="24"/>
          <w:szCs w:val="24"/>
          <w:highlight w:val="none"/>
          <w:lang w:val="zh-CN"/>
        </w:rPr>
      </w:pPr>
    </w:p>
    <w:p w14:paraId="48710401">
      <w:pPr>
        <w:ind w:firstLine="482"/>
        <w:outlineLvl w:val="1"/>
        <w:rPr>
          <w:rFonts w:ascii="宋体"/>
          <w:b/>
          <w:bCs/>
          <w:color w:val="auto"/>
          <w:sz w:val="24"/>
          <w:szCs w:val="24"/>
          <w:highlight w:val="none"/>
          <w:lang w:val="zh-CN"/>
        </w:rPr>
      </w:pPr>
      <w:bookmarkStart w:id="22" w:name="_Toc27585"/>
      <w:r>
        <w:rPr>
          <w:rFonts w:hint="eastAsia" w:ascii="宋体" w:cs="宋体"/>
          <w:b/>
          <w:bCs/>
          <w:color w:val="auto"/>
          <w:sz w:val="24"/>
          <w:szCs w:val="24"/>
          <w:highlight w:val="none"/>
          <w:lang w:val="zh-CN"/>
        </w:rPr>
        <w:t>6</w:t>
      </w:r>
      <w:r>
        <w:rPr>
          <w:rFonts w:ascii="宋体" w:cs="宋体"/>
          <w:b/>
          <w:bCs/>
          <w:color w:val="auto"/>
          <w:sz w:val="24"/>
          <w:szCs w:val="24"/>
          <w:highlight w:val="none"/>
          <w:lang w:val="zh-CN"/>
        </w:rPr>
        <w:t xml:space="preserve">. </w:t>
      </w:r>
      <w:r>
        <w:rPr>
          <w:rFonts w:hint="eastAsia" w:ascii="宋体" w:cs="宋体"/>
          <w:b/>
          <w:bCs/>
          <w:color w:val="auto"/>
          <w:sz w:val="24"/>
          <w:szCs w:val="24"/>
          <w:highlight w:val="none"/>
          <w:lang w:val="zh-CN"/>
        </w:rPr>
        <w:t>投标文件构成：</w:t>
      </w:r>
      <w:bookmarkEnd w:id="22"/>
    </w:p>
    <w:p w14:paraId="2DFFB9F6">
      <w:pPr>
        <w:tabs>
          <w:tab w:val="left" w:pos="709"/>
        </w:tabs>
        <w:spacing w:line="360" w:lineRule="exact"/>
        <w:ind w:firstLine="480"/>
        <w:rPr>
          <w:rFonts w:ascii="宋体"/>
          <w:b w:val="0"/>
          <w:bCs w:val="0"/>
          <w:color w:val="auto"/>
          <w:sz w:val="24"/>
          <w:szCs w:val="24"/>
          <w:highlight w:val="none"/>
          <w:lang w:val="zh-CN"/>
        </w:rPr>
      </w:pPr>
      <w:r>
        <w:rPr>
          <w:rFonts w:hint="eastAsia" w:ascii="宋体" w:cs="宋体"/>
          <w:b w:val="0"/>
          <w:bCs w:val="0"/>
          <w:color w:val="auto"/>
          <w:sz w:val="24"/>
          <w:szCs w:val="24"/>
          <w:highlight w:val="none"/>
          <w:lang w:val="zh-CN"/>
        </w:rPr>
        <w:t>6</w:t>
      </w:r>
      <w:r>
        <w:rPr>
          <w:rFonts w:ascii="宋体" w:cs="宋体"/>
          <w:b w:val="0"/>
          <w:bCs w:val="0"/>
          <w:color w:val="auto"/>
          <w:sz w:val="24"/>
          <w:szCs w:val="24"/>
          <w:highlight w:val="none"/>
          <w:lang w:val="zh-CN"/>
        </w:rPr>
        <w:t>.1</w:t>
      </w:r>
      <w:r>
        <w:rPr>
          <w:rFonts w:hint="eastAsia" w:ascii="宋体" w:cs="宋体"/>
          <w:b w:val="0"/>
          <w:bCs w:val="0"/>
          <w:color w:val="auto"/>
          <w:sz w:val="24"/>
          <w:szCs w:val="24"/>
          <w:highlight w:val="none"/>
          <w:lang w:val="zh-CN"/>
        </w:rPr>
        <w:t xml:space="preserve"> 投标文件分为资格审查部分和商务、技术审查部分。资格审查部分是投标人提交的证明其具有合格的投标资格和中标后有能力履行合同的文件。商务、技术审查部分是能够证明投标人所提供货物和服务的合格性和符合采购文件规定的文件。</w:t>
      </w:r>
    </w:p>
    <w:p w14:paraId="404696DC">
      <w:pPr>
        <w:tabs>
          <w:tab w:val="left" w:pos="709"/>
        </w:tabs>
        <w:spacing w:line="360" w:lineRule="exact"/>
        <w:ind w:firstLine="480"/>
        <w:rPr>
          <w:rFonts w:ascii="宋体"/>
          <w:b w:val="0"/>
          <w:bCs w:val="0"/>
          <w:color w:val="auto"/>
          <w:sz w:val="24"/>
          <w:szCs w:val="24"/>
          <w:highlight w:val="none"/>
          <w:lang w:val="zh-CN"/>
        </w:rPr>
      </w:pPr>
      <w:r>
        <w:rPr>
          <w:rFonts w:hint="eastAsia" w:ascii="宋体" w:cs="宋体"/>
          <w:b w:val="0"/>
          <w:bCs w:val="0"/>
          <w:color w:val="auto"/>
          <w:sz w:val="24"/>
          <w:szCs w:val="24"/>
          <w:highlight w:val="none"/>
          <w:lang w:val="zh-CN"/>
        </w:rPr>
        <w:t>6</w:t>
      </w:r>
      <w:r>
        <w:rPr>
          <w:rFonts w:ascii="宋体" w:cs="宋体"/>
          <w:b w:val="0"/>
          <w:bCs w:val="0"/>
          <w:color w:val="auto"/>
          <w:sz w:val="24"/>
          <w:szCs w:val="24"/>
          <w:highlight w:val="none"/>
          <w:lang w:val="zh-CN"/>
        </w:rPr>
        <w:t xml:space="preserve">.2 </w:t>
      </w:r>
      <w:r>
        <w:rPr>
          <w:rFonts w:hint="eastAsia" w:ascii="宋体" w:cs="宋体"/>
          <w:b w:val="0"/>
          <w:bCs w:val="0"/>
          <w:color w:val="auto"/>
          <w:sz w:val="24"/>
          <w:szCs w:val="24"/>
          <w:highlight w:val="none"/>
          <w:lang w:val="zh-CN"/>
        </w:rPr>
        <w:t>投标人应提交采购文件（需求部分）第三章《投标文件构成、要求及格式》要求的全部资格性文件和商务、技术文件，若有缺失、无效或者不符合采购文件要求，将导致其投标被拒绝。</w:t>
      </w:r>
    </w:p>
    <w:p w14:paraId="36FED125">
      <w:pPr>
        <w:tabs>
          <w:tab w:val="left" w:pos="709"/>
        </w:tabs>
        <w:ind w:firstLine="480"/>
        <w:rPr>
          <w:rFonts w:ascii="宋体"/>
          <w:b w:val="0"/>
          <w:bCs w:val="0"/>
          <w:color w:val="auto"/>
          <w:sz w:val="24"/>
          <w:szCs w:val="24"/>
          <w:highlight w:val="none"/>
          <w:lang w:val="zh-CN"/>
        </w:rPr>
      </w:pPr>
      <w:r>
        <w:rPr>
          <w:rFonts w:hint="eastAsia" w:ascii="宋体" w:cs="宋体"/>
          <w:b w:val="0"/>
          <w:bCs w:val="0"/>
          <w:color w:val="auto"/>
          <w:sz w:val="24"/>
          <w:szCs w:val="24"/>
          <w:highlight w:val="none"/>
          <w:lang w:val="zh-CN"/>
        </w:rPr>
        <w:t>6</w:t>
      </w:r>
      <w:r>
        <w:rPr>
          <w:rFonts w:ascii="宋体" w:cs="宋体"/>
          <w:b w:val="0"/>
          <w:bCs w:val="0"/>
          <w:color w:val="auto"/>
          <w:sz w:val="24"/>
          <w:szCs w:val="24"/>
          <w:highlight w:val="none"/>
          <w:lang w:val="zh-CN"/>
        </w:rPr>
        <w:t xml:space="preserve">.3 </w:t>
      </w:r>
      <w:r>
        <w:rPr>
          <w:rFonts w:hint="eastAsia" w:ascii="宋体" w:cs="宋体"/>
          <w:b w:val="0"/>
          <w:bCs w:val="0"/>
          <w:color w:val="auto"/>
          <w:sz w:val="24"/>
          <w:szCs w:val="24"/>
          <w:highlight w:val="none"/>
          <w:lang w:val="zh-CN"/>
        </w:rPr>
        <w:t>投标文件要求提交的投标保证金。</w:t>
      </w:r>
    </w:p>
    <w:p w14:paraId="37B94ECD">
      <w:pPr>
        <w:tabs>
          <w:tab w:val="left" w:pos="709"/>
        </w:tabs>
        <w:ind w:firstLine="482"/>
        <w:rPr>
          <w:rFonts w:ascii="宋体" w:hAnsi="宋体"/>
          <w:b/>
          <w:bCs/>
          <w:color w:val="auto"/>
          <w:sz w:val="24"/>
          <w:szCs w:val="24"/>
          <w:highlight w:val="none"/>
          <w:lang w:val="zh-CN"/>
        </w:rPr>
      </w:pPr>
    </w:p>
    <w:p w14:paraId="0184DC36">
      <w:pPr>
        <w:ind w:firstLine="482"/>
        <w:outlineLvl w:val="1"/>
        <w:rPr>
          <w:rFonts w:ascii="宋体" w:hAnsi="宋体"/>
          <w:b/>
          <w:bCs/>
          <w:color w:val="auto"/>
          <w:sz w:val="24"/>
          <w:szCs w:val="24"/>
          <w:highlight w:val="none"/>
          <w:lang w:val="zh-CN"/>
        </w:rPr>
      </w:pPr>
      <w:bookmarkStart w:id="23" w:name="_Toc3751"/>
      <w:r>
        <w:rPr>
          <w:rFonts w:hint="eastAsia" w:ascii="宋体" w:hAnsi="宋体" w:cs="宋体"/>
          <w:b/>
          <w:bCs/>
          <w:color w:val="auto"/>
          <w:sz w:val="24"/>
          <w:szCs w:val="24"/>
          <w:highlight w:val="none"/>
          <w:lang w:val="zh-CN"/>
        </w:rPr>
        <w:t>7</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投标文件的编制</w:t>
      </w:r>
      <w:bookmarkEnd w:id="23"/>
    </w:p>
    <w:p w14:paraId="427294AA">
      <w:pPr>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7</w:t>
      </w:r>
      <w:r>
        <w:rPr>
          <w:rFonts w:ascii="宋体" w:hAnsi="宋体" w:cs="宋体"/>
          <w:color w:val="auto"/>
          <w:sz w:val="24"/>
          <w:szCs w:val="24"/>
          <w:highlight w:val="none"/>
          <w:lang w:val="zh-CN"/>
        </w:rPr>
        <w:t xml:space="preserve">.1 </w:t>
      </w:r>
      <w:r>
        <w:rPr>
          <w:rFonts w:hint="eastAsia" w:ascii="宋体" w:hAnsi="宋体" w:cs="宋体"/>
          <w:color w:val="auto"/>
          <w:sz w:val="24"/>
          <w:szCs w:val="24"/>
          <w:highlight w:val="none"/>
          <w:lang w:val="zh-CN"/>
        </w:rPr>
        <w:t>投标语言：投标文件以及投标人与代理机构就有关投标的来往函电均使用中文。</w:t>
      </w:r>
      <w:r>
        <w:rPr>
          <w:rFonts w:ascii="宋体" w:hAnsi="宋体" w:cs="宋体"/>
          <w:color w:val="auto"/>
          <w:sz w:val="24"/>
          <w:szCs w:val="24"/>
          <w:highlight w:val="none"/>
          <w:lang w:val="zh-CN"/>
        </w:rPr>
        <w:t xml:space="preserve"> </w:t>
      </w:r>
    </w:p>
    <w:p w14:paraId="58C09D3F">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7</w:t>
      </w:r>
      <w:r>
        <w:rPr>
          <w:rFonts w:ascii="宋体" w:hAnsi="宋体" w:cs="宋体"/>
          <w:color w:val="auto"/>
          <w:sz w:val="24"/>
          <w:szCs w:val="24"/>
          <w:highlight w:val="none"/>
          <w:lang w:val="zh-CN"/>
        </w:rPr>
        <w:t xml:space="preserve">.2 </w:t>
      </w:r>
      <w:r>
        <w:rPr>
          <w:rFonts w:hint="eastAsia" w:ascii="宋体" w:hAnsi="宋体" w:cs="宋体"/>
          <w:color w:val="auto"/>
          <w:sz w:val="24"/>
          <w:szCs w:val="24"/>
          <w:highlight w:val="none"/>
          <w:lang w:val="zh-CN"/>
        </w:rPr>
        <w:t>计量单位：中华人民共和国法定计量单位。</w:t>
      </w:r>
    </w:p>
    <w:p w14:paraId="00F3316F">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7</w:t>
      </w:r>
      <w:r>
        <w:rPr>
          <w:rFonts w:ascii="宋体" w:hAnsi="宋体" w:cs="宋体"/>
          <w:color w:val="auto"/>
          <w:sz w:val="24"/>
          <w:szCs w:val="24"/>
          <w:highlight w:val="none"/>
          <w:lang w:val="zh-CN"/>
        </w:rPr>
        <w:t>.3</w:t>
      </w:r>
      <w:r>
        <w:rPr>
          <w:rFonts w:hint="eastAsia" w:ascii="宋体" w:hAnsi="宋体" w:cs="宋体"/>
          <w:color w:val="auto"/>
          <w:sz w:val="24"/>
          <w:szCs w:val="24"/>
          <w:highlight w:val="none"/>
          <w:lang w:val="zh-CN"/>
        </w:rPr>
        <w:t xml:space="preserve"> 投标文件规格采用</w:t>
      </w:r>
      <w:r>
        <w:rPr>
          <w:rFonts w:ascii="宋体" w:hAnsi="宋体" w:cs="宋体"/>
          <w:color w:val="auto"/>
          <w:sz w:val="24"/>
          <w:szCs w:val="24"/>
          <w:highlight w:val="none"/>
          <w:lang w:val="zh-CN"/>
        </w:rPr>
        <w:t>A4</w:t>
      </w:r>
      <w:r>
        <w:rPr>
          <w:rFonts w:hint="eastAsia" w:ascii="宋体" w:hAnsi="宋体" w:cs="宋体"/>
          <w:color w:val="auto"/>
          <w:sz w:val="24"/>
          <w:szCs w:val="24"/>
          <w:highlight w:val="none"/>
          <w:lang w:val="zh-CN"/>
        </w:rPr>
        <w:t>幅面，按照采购文件规定的顺序，统一编目连续编码，技术文件中的各项表格应按照采购文件规定的格式制作，否则将被视为无效投标。</w:t>
      </w:r>
    </w:p>
    <w:p w14:paraId="1BE5CCE0">
      <w:pPr>
        <w:tabs>
          <w:tab w:val="left" w:pos="709"/>
        </w:tabs>
        <w:ind w:firstLine="480"/>
        <w:rPr>
          <w:rFonts w:ascii="宋体" w:hAnsi="宋体"/>
          <w:color w:val="auto"/>
          <w:sz w:val="24"/>
          <w:szCs w:val="24"/>
          <w:highlight w:val="none"/>
          <w:lang w:val="zh-CN"/>
        </w:rPr>
      </w:pPr>
      <w:r>
        <w:rPr>
          <w:rFonts w:hint="eastAsia" w:ascii="宋体" w:hAnsi="宋体" w:cs="黑体"/>
          <w:color w:val="auto"/>
          <w:sz w:val="24"/>
          <w:szCs w:val="24"/>
          <w:highlight w:val="none"/>
          <w:lang w:val="zh-CN"/>
        </w:rPr>
        <w:t>7</w:t>
      </w:r>
      <w:r>
        <w:rPr>
          <w:rFonts w:ascii="宋体" w:hAnsi="宋体" w:cs="黑体"/>
          <w:color w:val="auto"/>
          <w:sz w:val="24"/>
          <w:szCs w:val="24"/>
          <w:highlight w:val="none"/>
          <w:lang w:val="zh-CN"/>
        </w:rPr>
        <w:t xml:space="preserve">.4 </w:t>
      </w:r>
      <w:r>
        <w:rPr>
          <w:rFonts w:hint="eastAsia" w:ascii="宋体" w:hAnsi="宋体" w:cs="黑体"/>
          <w:color w:val="auto"/>
          <w:sz w:val="24"/>
          <w:szCs w:val="24"/>
          <w:highlight w:val="none"/>
          <w:lang w:val="zh-CN"/>
        </w:rPr>
        <w:t>投标人在投标文件以及在投标、谈判、合同签订、履行过程中所签署的相关文件中所加盖的公章，均须按照采购文件的规定加盖与投标人名称全称相一致的标准公章，不得使用彩喷或者彩印的印章，否则将被视为无效。</w:t>
      </w:r>
    </w:p>
    <w:p w14:paraId="166E04AF">
      <w:pPr>
        <w:ind w:firstLine="482"/>
        <w:rPr>
          <w:rFonts w:ascii="宋体" w:hAnsi="宋体"/>
          <w:b/>
          <w:bCs/>
          <w:color w:val="auto"/>
          <w:sz w:val="24"/>
          <w:szCs w:val="24"/>
          <w:highlight w:val="none"/>
          <w:lang w:val="zh-CN"/>
        </w:rPr>
      </w:pPr>
    </w:p>
    <w:p w14:paraId="3B5CC6AD">
      <w:pPr>
        <w:ind w:firstLine="482"/>
        <w:outlineLvl w:val="1"/>
        <w:rPr>
          <w:rFonts w:ascii="宋体" w:hAnsi="宋体"/>
          <w:b/>
          <w:bCs/>
          <w:color w:val="auto"/>
          <w:sz w:val="24"/>
          <w:szCs w:val="24"/>
          <w:highlight w:val="none"/>
          <w:lang w:val="zh-CN"/>
        </w:rPr>
      </w:pPr>
      <w:bookmarkStart w:id="24" w:name="_Toc18123"/>
      <w:r>
        <w:rPr>
          <w:rFonts w:hint="eastAsia" w:ascii="宋体" w:hAnsi="宋体" w:cs="宋体"/>
          <w:b/>
          <w:bCs/>
          <w:color w:val="auto"/>
          <w:sz w:val="24"/>
          <w:szCs w:val="24"/>
          <w:highlight w:val="none"/>
          <w:lang w:val="zh-CN"/>
        </w:rPr>
        <w:t>8</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投标报价</w:t>
      </w:r>
      <w:bookmarkEnd w:id="24"/>
    </w:p>
    <w:p w14:paraId="4209BBE4">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8</w:t>
      </w: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 xml:space="preserve"> 投标货币：所有投标报价均以人民币元为计算单位。</w:t>
      </w:r>
    </w:p>
    <w:p w14:paraId="7FFBB9D1">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8</w:t>
      </w:r>
      <w:r>
        <w:rPr>
          <w:rFonts w:ascii="宋体" w:hAnsi="宋体" w:cs="宋体"/>
          <w:color w:val="auto"/>
          <w:sz w:val="24"/>
          <w:szCs w:val="24"/>
          <w:highlight w:val="none"/>
          <w:lang w:val="zh-CN"/>
        </w:rPr>
        <w:t>.2</w:t>
      </w:r>
      <w:r>
        <w:rPr>
          <w:rFonts w:hint="eastAsia" w:ascii="宋体" w:hAnsi="宋体" w:cs="宋体"/>
          <w:color w:val="auto"/>
          <w:sz w:val="24"/>
          <w:szCs w:val="24"/>
          <w:highlight w:val="none"/>
          <w:lang w:val="zh-CN"/>
        </w:rPr>
        <w:t xml:space="preserve"> 投标人应一次性报出投标货物的单价和总价，每种货物只允许有一个报价，</w:t>
      </w:r>
      <w:r>
        <w:rPr>
          <w:rFonts w:hint="eastAsia" w:ascii="宋体" w:hAnsi="宋体" w:cs="宋体"/>
          <w:b/>
          <w:bCs/>
          <w:color w:val="auto"/>
          <w:sz w:val="24"/>
          <w:szCs w:val="24"/>
          <w:highlight w:val="none"/>
          <w:lang w:val="en-US" w:eastAsia="zh-CN"/>
        </w:rPr>
        <w:t>且不得超过最高投标限价</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lang w:val="zh-CN"/>
        </w:rPr>
        <w:t>任何有选择的报价将不予接受。投标人所报价格应为在本采购文件指定地点交货、由投标人负责安装调试、验收合格并交付的全部价格。</w:t>
      </w:r>
    </w:p>
    <w:p w14:paraId="1B534873">
      <w:pPr>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8</w:t>
      </w:r>
      <w:r>
        <w:rPr>
          <w:rFonts w:ascii="宋体" w:hAnsi="宋体" w:cs="宋体"/>
          <w:color w:val="auto"/>
          <w:sz w:val="24"/>
          <w:szCs w:val="24"/>
          <w:highlight w:val="none"/>
          <w:lang w:val="zh-CN"/>
        </w:rPr>
        <w:t>.3</w:t>
      </w:r>
      <w:r>
        <w:rPr>
          <w:rFonts w:hint="eastAsia" w:ascii="宋体" w:hAnsi="宋体" w:cs="宋体"/>
          <w:color w:val="auto"/>
          <w:sz w:val="24"/>
          <w:szCs w:val="24"/>
          <w:highlight w:val="none"/>
          <w:lang w:val="zh-CN"/>
        </w:rPr>
        <w:t xml:space="preserve"> 投标人所报的价格在合同执行过程中是固定不变的，不得以任何理由予以变更。以可调整的价格提交的投标将作为非响应性投标予以拒绝。</w:t>
      </w:r>
    </w:p>
    <w:p w14:paraId="622DE134">
      <w:pPr>
        <w:ind w:firstLine="480"/>
        <w:rPr>
          <w:rFonts w:ascii="宋体" w:hAnsi="宋体"/>
          <w:color w:val="auto"/>
          <w:sz w:val="24"/>
          <w:szCs w:val="24"/>
          <w:highlight w:val="none"/>
          <w:lang w:val="zh-CN"/>
        </w:rPr>
      </w:pPr>
      <w:r>
        <w:rPr>
          <w:rFonts w:hint="eastAsia" w:ascii="宋体" w:hAnsi="宋体" w:eastAsia="宋体" w:cs="宋体"/>
          <w:color w:val="auto"/>
          <w:sz w:val="24"/>
          <w:szCs w:val="24"/>
          <w:highlight w:val="none"/>
          <w:lang w:val="en-US" w:eastAsia="zh-CN"/>
        </w:rPr>
        <w:t xml:space="preserve">8.4 </w:t>
      </w:r>
      <w:r>
        <w:rPr>
          <w:rFonts w:hint="eastAsia" w:ascii="宋体" w:hAnsi="宋体" w:eastAsia="宋体" w:cs="宋体"/>
          <w:color w:val="auto"/>
          <w:sz w:val="24"/>
          <w:szCs w:val="24"/>
          <w:highlight w:val="none"/>
          <w:lang w:val="zh-CN"/>
        </w:rPr>
        <w:t>最低报价不能作为中标的保证</w:t>
      </w:r>
      <w:r>
        <w:rPr>
          <w:rFonts w:hint="eastAsia" w:ascii="宋体" w:hAnsi="宋体" w:cs="黑体"/>
          <w:color w:val="auto"/>
          <w:sz w:val="24"/>
          <w:szCs w:val="24"/>
          <w:highlight w:val="none"/>
          <w:lang w:val="zh-CN"/>
        </w:rPr>
        <w:t>。</w:t>
      </w:r>
    </w:p>
    <w:p w14:paraId="5EF5C15B">
      <w:pPr>
        <w:ind w:firstLine="482"/>
        <w:rPr>
          <w:rFonts w:ascii="宋体" w:hAnsi="宋体"/>
          <w:b/>
          <w:bCs/>
          <w:color w:val="auto"/>
          <w:sz w:val="24"/>
          <w:szCs w:val="24"/>
          <w:highlight w:val="none"/>
          <w:lang w:val="zh-CN"/>
        </w:rPr>
      </w:pPr>
    </w:p>
    <w:p w14:paraId="307B79BB">
      <w:pPr>
        <w:ind w:firstLine="482"/>
        <w:outlineLvl w:val="1"/>
        <w:rPr>
          <w:rFonts w:ascii="宋体" w:hAnsi="宋体"/>
          <w:b/>
          <w:bCs/>
          <w:color w:val="auto"/>
          <w:sz w:val="24"/>
          <w:szCs w:val="24"/>
          <w:highlight w:val="none"/>
          <w:lang w:val="zh-CN"/>
        </w:rPr>
      </w:pPr>
      <w:bookmarkStart w:id="25" w:name="_Toc16460"/>
      <w:r>
        <w:rPr>
          <w:rFonts w:ascii="宋体" w:hAnsi="宋体" w:cs="宋体"/>
          <w:b/>
          <w:bCs/>
          <w:color w:val="auto"/>
          <w:sz w:val="24"/>
          <w:szCs w:val="24"/>
          <w:highlight w:val="none"/>
          <w:lang w:val="zh-CN"/>
        </w:rPr>
        <w:t>9.</w:t>
      </w:r>
      <w:r>
        <w:rPr>
          <w:rFonts w:hint="eastAsia" w:ascii="宋体" w:hAnsi="宋体" w:cs="宋体"/>
          <w:b/>
          <w:bCs/>
          <w:color w:val="auto"/>
          <w:sz w:val="24"/>
          <w:szCs w:val="24"/>
          <w:highlight w:val="none"/>
          <w:lang w:val="zh-CN"/>
        </w:rPr>
        <w:t>投标保证金</w:t>
      </w:r>
      <w:bookmarkEnd w:id="25"/>
    </w:p>
    <w:p w14:paraId="1C7190BC">
      <w:pPr>
        <w:ind w:firstLine="480"/>
        <w:rPr>
          <w:rFonts w:ascii="宋体"/>
          <w:b w:val="0"/>
          <w:bCs w:val="0"/>
          <w:color w:val="auto"/>
          <w:sz w:val="24"/>
          <w:szCs w:val="24"/>
          <w:highlight w:val="none"/>
          <w:lang w:val="zh-CN"/>
        </w:rPr>
      </w:pPr>
      <w:r>
        <w:rPr>
          <w:rFonts w:ascii="宋体" w:hAnsi="宋体" w:cs="黑体"/>
          <w:b w:val="0"/>
          <w:bCs w:val="0"/>
          <w:color w:val="auto"/>
          <w:sz w:val="24"/>
          <w:szCs w:val="24"/>
          <w:highlight w:val="none"/>
          <w:lang w:val="zh-CN"/>
        </w:rPr>
        <w:t>9.1</w:t>
      </w:r>
      <w:r>
        <w:rPr>
          <w:rFonts w:hint="eastAsia" w:ascii="宋体" w:hAnsi="宋体" w:cs="黑体"/>
          <w:b w:val="0"/>
          <w:bCs w:val="0"/>
          <w:color w:val="auto"/>
          <w:sz w:val="24"/>
          <w:szCs w:val="24"/>
          <w:highlight w:val="none"/>
          <w:lang w:val="zh-CN"/>
        </w:rPr>
        <w:t xml:space="preserve"> 投标人须按照采购文件（需求部分）第一章《</w:t>
      </w:r>
      <w:r>
        <w:rPr>
          <w:rFonts w:hint="eastAsia" w:ascii="宋体" w:hAnsi="宋体" w:cs="黑体"/>
          <w:b w:val="0"/>
          <w:bCs w:val="0"/>
          <w:color w:val="auto"/>
          <w:sz w:val="24"/>
          <w:szCs w:val="24"/>
          <w:highlight w:val="none"/>
          <w:lang w:val="en-US" w:eastAsia="zh-CN"/>
        </w:rPr>
        <w:t>采购</w:t>
      </w:r>
      <w:r>
        <w:rPr>
          <w:rFonts w:hint="eastAsia" w:ascii="宋体" w:hAnsi="宋体" w:cs="黑体"/>
          <w:b w:val="0"/>
          <w:bCs w:val="0"/>
          <w:color w:val="auto"/>
          <w:sz w:val="24"/>
          <w:szCs w:val="24"/>
          <w:highlight w:val="none"/>
          <w:lang w:val="zh-CN"/>
        </w:rPr>
        <w:t>公告》标明的代理机构账户名称，在投标截止时间之前，提交投标保证金。</w:t>
      </w:r>
      <w:r>
        <w:rPr>
          <w:rFonts w:hint="eastAsia" w:ascii="宋体" w:hAnsi="宋体" w:eastAsia="宋体" w:cs="宋体"/>
          <w:b w:val="0"/>
          <w:bCs/>
          <w:color w:val="auto"/>
          <w:sz w:val="24"/>
          <w:szCs w:val="24"/>
          <w:highlight w:val="none"/>
          <w:lang w:val="zh-CN"/>
        </w:rPr>
        <w:t>投标保证金应当以</w:t>
      </w:r>
      <w:r>
        <w:rPr>
          <w:rFonts w:hint="eastAsia" w:ascii="宋体" w:hAnsi="宋体" w:eastAsia="宋体" w:cs="宋体"/>
          <w:b/>
          <w:color w:val="auto"/>
          <w:sz w:val="24"/>
          <w:szCs w:val="24"/>
          <w:highlight w:val="none"/>
          <w:lang w:val="zh-CN"/>
        </w:rPr>
        <w:t>银行汇票(必须同时提交第2、3联)、银行本票、银行保函或其它保函方式单独提交（均为原件）</w:t>
      </w:r>
      <w:r>
        <w:rPr>
          <w:rFonts w:hint="eastAsia" w:ascii="宋体" w:hAnsi="宋体" w:cs="黑体"/>
          <w:b w:val="0"/>
          <w:bCs w:val="0"/>
          <w:color w:val="auto"/>
          <w:sz w:val="24"/>
          <w:szCs w:val="24"/>
          <w:highlight w:val="none"/>
          <w:lang w:val="zh-CN"/>
        </w:rPr>
        <w:t>，并经过项目负责人当场确认后参加投标。票据有效时限为自开标当日起不少于25天（遇到国家法定3天假日的，在假期结束后3日内开标的，有效期为自开标之日起不少于18天）。投标人未按照采购文件要求提交投标保证金的，投标无效。同时投标人必须将票据复印件（加盖投标人公章或财务章）</w:t>
      </w:r>
      <w:r>
        <w:rPr>
          <w:rFonts w:hint="eastAsia" w:ascii="宋体" w:hAnsi="宋体" w:cs="黑体"/>
          <w:b w:val="0"/>
          <w:bCs w:val="0"/>
          <w:color w:val="auto"/>
          <w:sz w:val="24"/>
          <w:szCs w:val="24"/>
          <w:highlight w:val="none"/>
          <w:lang w:val="en-US" w:eastAsia="zh-CN"/>
        </w:rPr>
        <w:t>响应</w:t>
      </w:r>
      <w:r>
        <w:rPr>
          <w:rFonts w:hint="eastAsia" w:ascii="宋体" w:hAnsi="宋体" w:cs="黑体"/>
          <w:b w:val="0"/>
          <w:bCs w:val="0"/>
          <w:color w:val="auto"/>
          <w:sz w:val="24"/>
          <w:szCs w:val="24"/>
          <w:highlight w:val="none"/>
          <w:lang w:val="zh-CN"/>
        </w:rPr>
        <w:t>于投标文件内最后一页。</w:t>
      </w:r>
    </w:p>
    <w:p w14:paraId="116714C3">
      <w:pPr>
        <w:ind w:firstLine="602"/>
        <w:rPr>
          <w:rFonts w:hint="eastAsia" w:ascii="宋体" w:hAnsi="宋体" w:cs="黑体"/>
          <w:b w:val="0"/>
          <w:bCs w:val="0"/>
          <w:color w:val="auto"/>
          <w:sz w:val="24"/>
          <w:szCs w:val="24"/>
          <w:highlight w:val="none"/>
          <w:lang w:val="zh-CN"/>
        </w:rPr>
      </w:pPr>
      <w:r>
        <w:rPr>
          <w:rFonts w:hint="eastAsia" w:ascii="宋体" w:hAnsi="宋体" w:cs="黑体"/>
          <w:b w:val="0"/>
          <w:bCs w:val="0"/>
          <w:color w:val="auto"/>
          <w:sz w:val="24"/>
          <w:szCs w:val="24"/>
          <w:highlight w:val="none"/>
          <w:lang w:val="zh-CN"/>
        </w:rPr>
        <w:t>代理机构特别声明：供应商在提交保证金时，票据上必须注明投标供应商名称，未注明的或以个人名义提交的，视为未按要求提交保证金。投标人以现金、现金支票、银行转账支票及转入、汇入（存入）等方式提交的投标保证金的，视为未按要求提交保证金。</w:t>
      </w:r>
    </w:p>
    <w:p w14:paraId="4CD92DDB">
      <w:pPr>
        <w:ind w:firstLine="602"/>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特殊约定：</w:t>
      </w:r>
      <w:r>
        <w:rPr>
          <w:rFonts w:hint="eastAsia" w:ascii="宋体" w:hAnsi="宋体"/>
          <w:color w:val="auto"/>
          <w:sz w:val="24"/>
          <w:szCs w:val="24"/>
          <w:highlight w:val="none"/>
        </w:rPr>
        <w:t>如果因投标人开户行没有银行汇票、银行本票或银行保函业务范围，可以改为投标人开户行转账缴纳，但必须在开标现场提交开户行出具的无业务范围书面证明和转账票据两个原件，</w:t>
      </w:r>
      <w:r>
        <w:rPr>
          <w:rFonts w:hint="eastAsia" w:ascii="宋体" w:hAnsi="宋体" w:cs="宋体"/>
          <w:bCs/>
          <w:color w:val="auto"/>
          <w:sz w:val="24"/>
          <w:szCs w:val="24"/>
          <w:highlight w:val="none"/>
          <w:lang w:val="zh-CN"/>
        </w:rPr>
        <w:t>书面证明和转账票据复印件</w:t>
      </w:r>
      <w:r>
        <w:rPr>
          <w:rFonts w:hint="eastAsia" w:ascii="宋体" w:hAnsi="宋体" w:cs="宋体"/>
          <w:bCs/>
          <w:color w:val="auto"/>
          <w:sz w:val="24"/>
          <w:szCs w:val="24"/>
          <w:highlight w:val="none"/>
          <w:lang w:val="en-US" w:eastAsia="zh-CN"/>
        </w:rPr>
        <w:t>响应</w:t>
      </w:r>
      <w:r>
        <w:rPr>
          <w:rFonts w:hint="eastAsia" w:ascii="宋体" w:hAnsi="宋体" w:cs="黑体"/>
          <w:color w:val="auto"/>
          <w:sz w:val="24"/>
          <w:szCs w:val="24"/>
          <w:highlight w:val="none"/>
          <w:lang w:val="zh-CN"/>
        </w:rPr>
        <w:t>于投标文件内最后二页（加盖投标人公章或财务章）</w:t>
      </w:r>
      <w:r>
        <w:rPr>
          <w:rFonts w:hint="eastAsia" w:ascii="宋体" w:hAnsi="宋体" w:cs="宋体"/>
          <w:bCs/>
          <w:color w:val="auto"/>
          <w:sz w:val="24"/>
          <w:szCs w:val="24"/>
          <w:highlight w:val="none"/>
          <w:lang w:val="zh-CN"/>
        </w:rPr>
        <w:t>，</w:t>
      </w:r>
      <w:r>
        <w:rPr>
          <w:rFonts w:hint="eastAsia" w:ascii="宋体" w:hAnsi="宋体"/>
          <w:color w:val="auto"/>
          <w:sz w:val="24"/>
          <w:szCs w:val="24"/>
          <w:highlight w:val="none"/>
        </w:rPr>
        <w:t>否则视为无效投标</w:t>
      </w:r>
      <w:r>
        <w:rPr>
          <w:rFonts w:hint="eastAsia" w:ascii="宋体" w:hAnsi="宋体" w:cs="宋体"/>
          <w:b/>
          <w:bCs/>
          <w:color w:val="auto"/>
          <w:sz w:val="24"/>
          <w:szCs w:val="24"/>
          <w:highlight w:val="none"/>
          <w:lang w:val="zh-CN"/>
        </w:rPr>
        <w:t>。</w:t>
      </w:r>
    </w:p>
    <w:p w14:paraId="67288B42">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9.2 </w:t>
      </w:r>
      <w:r>
        <w:rPr>
          <w:rFonts w:hint="eastAsia" w:ascii="宋体" w:hAnsi="宋体" w:cs="宋体"/>
          <w:color w:val="auto"/>
          <w:sz w:val="24"/>
          <w:szCs w:val="24"/>
          <w:highlight w:val="none"/>
          <w:lang w:val="zh-CN"/>
        </w:rPr>
        <w:t>联合体投标的，可以由联合体中的一方或共同提交投标保证金，以一方名义提交投标保证金的，对联合体各方均具有约束力。</w:t>
      </w:r>
    </w:p>
    <w:p w14:paraId="7795AF66">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9.3 </w:t>
      </w:r>
      <w:r>
        <w:rPr>
          <w:rFonts w:hint="eastAsia" w:ascii="宋体" w:hAnsi="宋体" w:cs="宋体"/>
          <w:color w:val="auto"/>
          <w:sz w:val="24"/>
          <w:szCs w:val="24"/>
          <w:highlight w:val="none"/>
          <w:lang w:val="zh-CN"/>
        </w:rPr>
        <w:t>投标保证金是投标文件的一个组成部分。在开标时，凡没有按规定提交投标保证金的投标，将被视为非响应性投标予以拒绝。</w:t>
      </w:r>
    </w:p>
    <w:p w14:paraId="07583250">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9.4 </w:t>
      </w:r>
      <w:r>
        <w:rPr>
          <w:rFonts w:hint="eastAsia" w:ascii="宋体" w:hAnsi="宋体" w:cs="宋体"/>
          <w:color w:val="auto"/>
          <w:sz w:val="24"/>
          <w:szCs w:val="24"/>
          <w:highlight w:val="none"/>
          <w:lang w:val="zh-CN"/>
        </w:rPr>
        <w:t>落标人的投标保证金将在中标通知书发出后2个工作日内退还。</w:t>
      </w:r>
    </w:p>
    <w:p w14:paraId="69B94EFF">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9.5 </w:t>
      </w:r>
      <w:r>
        <w:rPr>
          <w:rFonts w:hint="eastAsia" w:ascii="宋体" w:hAnsi="宋体" w:cs="宋体"/>
          <w:color w:val="auto"/>
          <w:sz w:val="24"/>
          <w:szCs w:val="24"/>
          <w:highlight w:val="none"/>
          <w:lang w:val="zh-CN"/>
        </w:rPr>
        <w:t>中标人的投标保证金，在中标人按规定签署合同，并交纳履约保证金后2个工作日内退还。</w:t>
      </w:r>
    </w:p>
    <w:p w14:paraId="293F6D49">
      <w:pPr>
        <w:ind w:firstLine="482"/>
        <w:rPr>
          <w:rFonts w:ascii="宋体" w:hAnsi="宋体"/>
          <w:bCs/>
          <w:color w:val="auto"/>
          <w:sz w:val="24"/>
          <w:szCs w:val="24"/>
          <w:highlight w:val="none"/>
          <w:lang w:val="zh-CN"/>
        </w:rPr>
      </w:pPr>
      <w:r>
        <w:rPr>
          <w:rFonts w:ascii="宋体" w:hAnsi="宋体" w:cs="宋体"/>
          <w:bCs/>
          <w:color w:val="auto"/>
          <w:sz w:val="24"/>
          <w:szCs w:val="24"/>
          <w:highlight w:val="none"/>
          <w:lang w:val="zh-CN"/>
        </w:rPr>
        <w:t xml:space="preserve">9.6 </w:t>
      </w:r>
      <w:r>
        <w:rPr>
          <w:rFonts w:hint="eastAsia" w:ascii="宋体" w:hAnsi="宋体" w:cs="宋体"/>
          <w:bCs/>
          <w:color w:val="auto"/>
          <w:sz w:val="24"/>
          <w:szCs w:val="24"/>
          <w:highlight w:val="none"/>
          <w:lang w:val="zh-CN"/>
        </w:rPr>
        <w:t>投标保证金将一律由项目负责人退还。</w:t>
      </w:r>
    </w:p>
    <w:p w14:paraId="4BDA3CC1">
      <w:pPr>
        <w:ind w:firstLine="480"/>
        <w:rPr>
          <w:rFonts w:ascii="宋体" w:hAnsi="宋体" w:cs="宋体"/>
          <w:color w:val="auto"/>
          <w:sz w:val="24"/>
          <w:szCs w:val="24"/>
          <w:highlight w:val="none"/>
          <w:lang w:val="zh-CN"/>
        </w:rPr>
      </w:pPr>
      <w:r>
        <w:rPr>
          <w:rFonts w:ascii="宋体" w:hAnsi="宋体" w:cs="宋体"/>
          <w:color w:val="auto"/>
          <w:sz w:val="24"/>
          <w:szCs w:val="24"/>
          <w:highlight w:val="none"/>
          <w:lang w:val="zh-CN"/>
        </w:rPr>
        <w:t xml:space="preserve">9.7 </w:t>
      </w:r>
      <w:r>
        <w:rPr>
          <w:rFonts w:hint="eastAsia" w:ascii="宋体" w:hAnsi="宋体" w:cs="宋体"/>
          <w:color w:val="auto"/>
          <w:sz w:val="24"/>
          <w:szCs w:val="24"/>
          <w:highlight w:val="none"/>
          <w:lang w:val="zh-CN"/>
        </w:rPr>
        <w:t>下列情况之一发生时，投标保证金将不予退还：</w:t>
      </w:r>
    </w:p>
    <w:p w14:paraId="203CB5FD">
      <w:pPr>
        <w:ind w:firstLine="480" w:firstLineChars="200"/>
        <w:rPr>
          <w:rFonts w:asci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）投标人在</w:t>
      </w:r>
      <w:r>
        <w:rPr>
          <w:rFonts w:hint="eastAsia" w:ascii="宋体" w:hAnsi="宋体"/>
          <w:color w:val="auto"/>
          <w:sz w:val="24"/>
          <w:szCs w:val="24"/>
          <w:highlight w:val="none"/>
          <w:lang w:eastAsia="zh-CN"/>
        </w:rPr>
        <w:t>采购文件</w:t>
      </w:r>
      <w:r>
        <w:rPr>
          <w:rFonts w:hint="eastAsia" w:ascii="宋体" w:hAnsi="宋体"/>
          <w:color w:val="auto"/>
          <w:sz w:val="24"/>
          <w:szCs w:val="24"/>
          <w:highlight w:val="none"/>
        </w:rPr>
        <w:t>规定的投标有效期内撤回其投标；</w:t>
      </w:r>
    </w:p>
    <w:p w14:paraId="4777CDD5">
      <w:pPr>
        <w:ind w:firstLine="480" w:firstLineChars="200"/>
        <w:outlineLvl w:val="0"/>
        <w:rPr>
          <w:rFonts w:ascii="宋体"/>
          <w:color w:val="auto"/>
          <w:sz w:val="24"/>
          <w:szCs w:val="24"/>
          <w:highlight w:val="none"/>
        </w:rPr>
      </w:pPr>
      <w:bookmarkStart w:id="26" w:name="_Toc8369"/>
      <w:bookmarkStart w:id="27" w:name="_Toc14671"/>
      <w:bookmarkStart w:id="28" w:name="_Toc32685"/>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）中标人未按规定提交履约保证金的；</w:t>
      </w:r>
      <w:bookmarkEnd w:id="26"/>
      <w:bookmarkEnd w:id="27"/>
      <w:bookmarkEnd w:id="28"/>
    </w:p>
    <w:p w14:paraId="190CAF3A">
      <w:pPr>
        <w:ind w:firstLine="480" w:firstLineChars="200"/>
        <w:rPr>
          <w:rFonts w:asci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）中标人未按规定时间、地点与采购人签订合同的；</w:t>
      </w:r>
    </w:p>
    <w:p w14:paraId="0AAD1A9E">
      <w:pPr>
        <w:ind w:firstLine="480" w:firstLineChars="200"/>
        <w:outlineLvl w:val="0"/>
        <w:rPr>
          <w:rFonts w:ascii="宋体"/>
          <w:color w:val="auto"/>
          <w:sz w:val="24"/>
          <w:szCs w:val="24"/>
          <w:highlight w:val="none"/>
        </w:rPr>
      </w:pPr>
      <w:bookmarkStart w:id="29" w:name="_Toc9538"/>
      <w:bookmarkStart w:id="30" w:name="_Toc21546"/>
      <w:bookmarkStart w:id="31" w:name="_Toc16566"/>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）在招投标过程中，严重扰乱招投标程序的；</w:t>
      </w:r>
      <w:bookmarkEnd w:id="29"/>
      <w:bookmarkEnd w:id="30"/>
      <w:bookmarkEnd w:id="31"/>
    </w:p>
    <w:p w14:paraId="026AA4C7">
      <w:pPr>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w:t>
      </w:r>
      <w:r>
        <w:rPr>
          <w:rFonts w:hint="eastAsia" w:ascii="宋体" w:hAnsi="宋体"/>
          <w:color w:val="auto"/>
          <w:sz w:val="24"/>
          <w:szCs w:val="24"/>
          <w:highlight w:val="none"/>
          <w:lang w:eastAsia="zh-CN"/>
        </w:rPr>
        <w:t>采购文件</w:t>
      </w:r>
      <w:r>
        <w:rPr>
          <w:rFonts w:hint="eastAsia" w:ascii="宋体" w:hAnsi="宋体"/>
          <w:color w:val="auto"/>
          <w:sz w:val="24"/>
          <w:szCs w:val="24"/>
          <w:highlight w:val="none"/>
        </w:rPr>
        <w:t>规定不予退还投标保证金的其他情形。</w:t>
      </w:r>
    </w:p>
    <w:p w14:paraId="1B5FB92D">
      <w:pPr>
        <w:ind w:firstLine="482"/>
        <w:outlineLvl w:val="1"/>
        <w:rPr>
          <w:rFonts w:ascii="宋体" w:hAnsi="宋体"/>
          <w:b/>
          <w:bCs/>
          <w:color w:val="auto"/>
          <w:sz w:val="24"/>
          <w:szCs w:val="24"/>
          <w:highlight w:val="none"/>
          <w:lang w:val="zh-CN"/>
        </w:rPr>
      </w:pPr>
      <w:bookmarkStart w:id="32" w:name="_Toc25915"/>
      <w:r>
        <w:rPr>
          <w:rFonts w:hint="eastAsia" w:ascii="宋体" w:hAnsi="宋体" w:cs="宋体"/>
          <w:b/>
          <w:bCs/>
          <w:color w:val="auto"/>
          <w:sz w:val="24"/>
          <w:szCs w:val="24"/>
          <w:highlight w:val="none"/>
          <w:lang w:val="zh-CN"/>
        </w:rPr>
        <w:t>10</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投标有效期：</w:t>
      </w:r>
      <w:bookmarkEnd w:id="32"/>
    </w:p>
    <w:p w14:paraId="79E76931">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0</w:t>
      </w: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 xml:space="preserve"> 投标有效期为自开标之时起</w:t>
      </w:r>
      <w:r>
        <w:rPr>
          <w:rFonts w:ascii="宋体" w:hAnsi="宋体" w:cs="宋体"/>
          <w:color w:val="auto"/>
          <w:sz w:val="24"/>
          <w:szCs w:val="24"/>
          <w:highlight w:val="none"/>
          <w:lang w:val="zh-CN"/>
        </w:rPr>
        <w:t>90</w:t>
      </w:r>
      <w:r>
        <w:rPr>
          <w:rFonts w:hint="eastAsia" w:ascii="宋体" w:hAnsi="宋体" w:cs="宋体"/>
          <w:color w:val="auto"/>
          <w:sz w:val="24"/>
          <w:szCs w:val="24"/>
          <w:highlight w:val="none"/>
          <w:lang w:val="zh-CN"/>
        </w:rPr>
        <w:t>天。投标文件在这个规定期限内应保持有效。</w:t>
      </w:r>
    </w:p>
    <w:p w14:paraId="70842C27">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0</w:t>
      </w:r>
      <w:r>
        <w:rPr>
          <w:rFonts w:ascii="宋体" w:hAnsi="宋体" w:cs="宋体"/>
          <w:color w:val="auto"/>
          <w:sz w:val="24"/>
          <w:szCs w:val="24"/>
          <w:highlight w:val="none"/>
          <w:lang w:val="zh-CN"/>
        </w:rPr>
        <w:t>.2</w:t>
      </w:r>
      <w:r>
        <w:rPr>
          <w:rFonts w:hint="eastAsia" w:ascii="宋体" w:hAnsi="宋体" w:cs="宋体"/>
          <w:color w:val="auto"/>
          <w:sz w:val="24"/>
          <w:szCs w:val="24"/>
          <w:highlight w:val="none"/>
          <w:lang w:val="zh-CN"/>
        </w:rPr>
        <w:t xml:space="preserve"> 在特殊情况下，代理机构可与投标人协商延长投标有效期。这种要求和答复都应以书面形式进行。投标人可以拒绝接受延期要求而不会被没收投标保证金。同意延长投标有效期的投标人除按照代理机构要求修改投标文件的有效期外，不能修改投标文件的其他内容。</w:t>
      </w:r>
    </w:p>
    <w:p w14:paraId="37606B22">
      <w:pPr>
        <w:ind w:firstLine="482"/>
        <w:rPr>
          <w:rFonts w:ascii="宋体" w:hAnsi="宋体"/>
          <w:b/>
          <w:bCs/>
          <w:color w:val="auto"/>
          <w:sz w:val="24"/>
          <w:szCs w:val="24"/>
          <w:highlight w:val="none"/>
          <w:lang w:val="zh-CN"/>
        </w:rPr>
      </w:pPr>
    </w:p>
    <w:p w14:paraId="070F83D8">
      <w:pPr>
        <w:ind w:firstLine="480"/>
        <w:outlineLvl w:val="1"/>
        <w:rPr>
          <w:rFonts w:ascii="宋体" w:hAnsi="宋体" w:cs="宋体"/>
          <w:b/>
          <w:bCs/>
          <w:color w:val="auto"/>
          <w:sz w:val="24"/>
          <w:szCs w:val="24"/>
          <w:highlight w:val="none"/>
          <w:lang w:val="zh-CN"/>
        </w:rPr>
      </w:pPr>
      <w:bookmarkStart w:id="33" w:name="_Toc20833"/>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1.投标文件的式样和签署</w:t>
      </w:r>
      <w:bookmarkEnd w:id="33"/>
    </w:p>
    <w:p w14:paraId="269179B9">
      <w:pPr>
        <w:ind w:firstLine="480"/>
        <w:rPr>
          <w:rFonts w:ascii="宋体" w:hAnsi="宋体"/>
          <w:b/>
          <w:bCs/>
          <w:color w:val="auto"/>
          <w:sz w:val="24"/>
          <w:szCs w:val="24"/>
          <w:highlight w:val="none"/>
          <w:lang w:val="zh-CN"/>
        </w:rPr>
      </w:pPr>
      <w:r>
        <w:rPr>
          <w:rFonts w:hint="eastAsia" w:ascii="宋体" w:hAnsi="宋体" w:cs="宋体"/>
          <w:color w:val="auto"/>
          <w:sz w:val="24"/>
          <w:szCs w:val="24"/>
          <w:highlight w:val="none"/>
          <w:lang w:val="zh-CN"/>
        </w:rPr>
        <w:t>11.</w:t>
      </w:r>
      <w:r>
        <w:rPr>
          <w:rFonts w:ascii="宋体" w:hAnsi="宋体" w:cs="宋体"/>
          <w:color w:val="auto"/>
          <w:sz w:val="24"/>
          <w:szCs w:val="24"/>
          <w:highlight w:val="none"/>
          <w:lang w:val="zh-CN"/>
        </w:rPr>
        <w:t>1</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lang w:val="zh-CN"/>
        </w:rPr>
        <w:t>投标文件</w:t>
      </w:r>
      <w:r>
        <w:rPr>
          <w:rFonts w:hint="eastAsia" w:ascii="宋体" w:hAnsi="宋体" w:cs="宋体"/>
          <w:color w:val="auto"/>
          <w:sz w:val="24"/>
          <w:szCs w:val="24"/>
          <w:highlight w:val="none"/>
          <w:lang w:val="en-US" w:eastAsia="zh-CN"/>
        </w:rPr>
        <w:t>以电子文件形式上传</w:t>
      </w:r>
      <w:r>
        <w:rPr>
          <w:rFonts w:hint="eastAsia" w:ascii="宋体" w:hAnsi="宋体" w:cs="宋体"/>
          <w:color w:val="auto"/>
          <w:sz w:val="24"/>
          <w:szCs w:val="24"/>
          <w:highlight w:val="none"/>
          <w:lang w:val="zh-CN"/>
        </w:rPr>
        <w:t>。采购文件（需求部分）第三章</w:t>
      </w:r>
      <w:r>
        <w:rPr>
          <w:rFonts w:hint="eastAsia" w:ascii="宋体" w:hAnsi="宋体" w:cs="黑体"/>
          <w:bCs/>
          <w:color w:val="auto"/>
          <w:sz w:val="24"/>
          <w:szCs w:val="24"/>
          <w:highlight w:val="none"/>
          <w:lang w:val="zh-CN"/>
        </w:rPr>
        <w:t>《投标文件构成、要求及格式》中凡要求签署和</w:t>
      </w:r>
      <w:r>
        <w:rPr>
          <w:rFonts w:ascii="宋体" w:hAnsi="宋体" w:cs="黑体"/>
          <w:bCs/>
          <w:color w:val="auto"/>
          <w:sz w:val="24"/>
          <w:szCs w:val="24"/>
          <w:highlight w:val="none"/>
          <w:lang w:val="zh-CN"/>
        </w:rPr>
        <w:t>/</w:t>
      </w:r>
      <w:r>
        <w:rPr>
          <w:rFonts w:hint="eastAsia" w:ascii="宋体" w:hAnsi="宋体" w:cs="黑体"/>
          <w:bCs/>
          <w:color w:val="auto"/>
          <w:sz w:val="24"/>
          <w:szCs w:val="24"/>
          <w:highlight w:val="none"/>
          <w:lang w:val="zh-CN"/>
        </w:rPr>
        <w:t>或加盖公章的，均须由投标人的法定代表人或其授权代理人手书签字和</w:t>
      </w:r>
      <w:r>
        <w:rPr>
          <w:rFonts w:ascii="宋体" w:hAnsi="宋体" w:cs="黑体"/>
          <w:bCs/>
          <w:color w:val="auto"/>
          <w:sz w:val="24"/>
          <w:szCs w:val="24"/>
          <w:highlight w:val="none"/>
          <w:lang w:val="zh-CN"/>
        </w:rPr>
        <w:t>/</w:t>
      </w:r>
      <w:r>
        <w:rPr>
          <w:rFonts w:hint="eastAsia" w:ascii="宋体" w:hAnsi="宋体" w:cs="黑体"/>
          <w:bCs/>
          <w:color w:val="auto"/>
          <w:sz w:val="24"/>
          <w:szCs w:val="24"/>
          <w:highlight w:val="none"/>
          <w:lang w:val="zh-CN"/>
        </w:rPr>
        <w:t>或加盖投标人公章。投标文件由法定代表人签署的，须与其企业法人营业执照相符；由授权代理人签署的，须提交以书面形式出具的《法定代表人授权书》（按规定的格式提交）。</w:t>
      </w:r>
    </w:p>
    <w:p w14:paraId="35269F94">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1</w:t>
      </w:r>
      <w:r>
        <w:rPr>
          <w:rFonts w:ascii="宋体" w:hAnsi="宋体" w:cs="宋体"/>
          <w:color w:val="auto"/>
          <w:sz w:val="24"/>
          <w:szCs w:val="24"/>
          <w:highlight w:val="none"/>
          <w:lang w:val="zh-CN"/>
        </w:rPr>
        <w:t xml:space="preserve">.2 </w:t>
      </w:r>
      <w:r>
        <w:rPr>
          <w:rFonts w:hint="eastAsia" w:ascii="宋体" w:hAnsi="宋体" w:cs="宋体"/>
          <w:color w:val="auto"/>
          <w:sz w:val="24"/>
          <w:szCs w:val="24"/>
          <w:highlight w:val="none"/>
          <w:lang w:val="zh-CN"/>
        </w:rPr>
        <w:t>投标文件中如有修改错漏处，应在修改处加盖投标人公章。</w:t>
      </w:r>
    </w:p>
    <w:p w14:paraId="42CA3625">
      <w:pPr>
        <w:ind w:firstLine="482"/>
        <w:rPr>
          <w:rFonts w:ascii="宋体" w:hAnsi="宋体"/>
          <w:b/>
          <w:bCs/>
          <w:color w:val="auto"/>
          <w:sz w:val="24"/>
          <w:szCs w:val="24"/>
          <w:highlight w:val="none"/>
          <w:lang w:val="zh-CN"/>
        </w:rPr>
      </w:pPr>
    </w:p>
    <w:p w14:paraId="7193D0EE">
      <w:pPr>
        <w:ind w:firstLine="482"/>
        <w:outlineLvl w:val="1"/>
        <w:rPr>
          <w:rFonts w:ascii="宋体" w:hAnsi="宋体"/>
          <w:b/>
          <w:bCs/>
          <w:color w:val="auto"/>
          <w:sz w:val="24"/>
          <w:szCs w:val="24"/>
          <w:highlight w:val="none"/>
          <w:lang w:val="zh-CN"/>
        </w:rPr>
      </w:pPr>
      <w:bookmarkStart w:id="34" w:name="_Toc2429"/>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2.投标文件的修改和撤回</w:t>
      </w:r>
      <w:bookmarkEnd w:id="34"/>
    </w:p>
    <w:p w14:paraId="100C35C3">
      <w:pPr>
        <w:ind w:firstLine="482"/>
        <w:rPr>
          <w:rFonts w:ascii="宋体" w:hAnsi="宋体"/>
          <w:bCs/>
          <w:color w:val="auto"/>
          <w:sz w:val="24"/>
          <w:szCs w:val="24"/>
          <w:highlight w:val="none"/>
          <w:lang w:val="zh-CN"/>
        </w:rPr>
      </w:pPr>
      <w:r>
        <w:rPr>
          <w:rFonts w:ascii="宋体" w:hAnsi="宋体" w:cs="黑体"/>
          <w:bCs/>
          <w:color w:val="auto"/>
          <w:sz w:val="24"/>
          <w:szCs w:val="24"/>
          <w:highlight w:val="none"/>
          <w:lang w:val="zh-CN"/>
        </w:rPr>
        <w:t>1</w:t>
      </w:r>
      <w:r>
        <w:rPr>
          <w:rFonts w:hint="eastAsia" w:ascii="宋体" w:hAnsi="宋体" w:cs="黑体"/>
          <w:bCs/>
          <w:color w:val="auto"/>
          <w:sz w:val="24"/>
          <w:szCs w:val="24"/>
          <w:highlight w:val="none"/>
          <w:lang w:val="zh-CN"/>
        </w:rPr>
        <w:t>2</w:t>
      </w:r>
      <w:r>
        <w:rPr>
          <w:rFonts w:ascii="宋体" w:hAnsi="宋体" w:cs="黑体"/>
          <w:bCs/>
          <w:color w:val="auto"/>
          <w:sz w:val="24"/>
          <w:szCs w:val="24"/>
          <w:highlight w:val="none"/>
          <w:lang w:val="zh-CN"/>
        </w:rPr>
        <w:t>.</w:t>
      </w:r>
      <w:r>
        <w:rPr>
          <w:rFonts w:hint="eastAsia" w:ascii="宋体" w:hAnsi="宋体" w:cs="黑体"/>
          <w:bCs/>
          <w:color w:val="auto"/>
          <w:sz w:val="24"/>
          <w:szCs w:val="24"/>
          <w:highlight w:val="none"/>
          <w:lang w:val="en-US" w:eastAsia="zh-CN"/>
        </w:rPr>
        <w:t>1</w:t>
      </w:r>
      <w:r>
        <w:rPr>
          <w:rFonts w:ascii="宋体" w:hAnsi="宋体" w:cs="黑体"/>
          <w:bCs/>
          <w:color w:val="auto"/>
          <w:sz w:val="24"/>
          <w:szCs w:val="24"/>
          <w:highlight w:val="none"/>
          <w:lang w:val="zh-CN"/>
        </w:rPr>
        <w:t xml:space="preserve"> </w:t>
      </w:r>
      <w:r>
        <w:rPr>
          <w:rFonts w:hint="eastAsia" w:ascii="宋体" w:hAnsi="宋体" w:cs="黑体"/>
          <w:bCs/>
          <w:color w:val="auto"/>
          <w:sz w:val="24"/>
          <w:szCs w:val="24"/>
          <w:highlight w:val="none"/>
          <w:lang w:val="zh-CN"/>
        </w:rPr>
        <w:t>在</w:t>
      </w:r>
      <w:r>
        <w:rPr>
          <w:rFonts w:hint="eastAsia" w:ascii="宋体" w:hAnsi="宋体" w:cs="黑体"/>
          <w:bCs/>
          <w:color w:val="auto"/>
          <w:sz w:val="24"/>
          <w:szCs w:val="24"/>
          <w:highlight w:val="none"/>
          <w:lang w:val="en-US" w:eastAsia="zh-CN"/>
        </w:rPr>
        <w:t>投标</w:t>
      </w:r>
      <w:r>
        <w:rPr>
          <w:rFonts w:hint="eastAsia" w:ascii="宋体" w:hAnsi="宋体" w:cs="黑体"/>
          <w:bCs/>
          <w:color w:val="auto"/>
          <w:sz w:val="24"/>
          <w:szCs w:val="24"/>
          <w:highlight w:val="none"/>
          <w:lang w:val="zh-CN"/>
        </w:rPr>
        <w:t>截止时间（开</w:t>
      </w:r>
      <w:r>
        <w:rPr>
          <w:rFonts w:hint="eastAsia" w:ascii="宋体" w:hAnsi="宋体" w:cs="黑体"/>
          <w:bCs/>
          <w:color w:val="auto"/>
          <w:sz w:val="24"/>
          <w:szCs w:val="24"/>
          <w:highlight w:val="none"/>
          <w:lang w:val="en-US" w:eastAsia="zh-CN"/>
        </w:rPr>
        <w:t>标</w:t>
      </w:r>
      <w:r>
        <w:rPr>
          <w:rFonts w:hint="eastAsia" w:ascii="宋体" w:hAnsi="宋体" w:cs="黑体"/>
          <w:bCs/>
          <w:color w:val="auto"/>
          <w:sz w:val="24"/>
          <w:szCs w:val="24"/>
          <w:highlight w:val="none"/>
          <w:lang w:val="zh-CN"/>
        </w:rPr>
        <w:t>时间）之后，</w:t>
      </w:r>
      <w:r>
        <w:rPr>
          <w:rFonts w:hint="eastAsia" w:ascii="宋体" w:hAnsi="宋体" w:cs="黑体"/>
          <w:bCs/>
          <w:color w:val="auto"/>
          <w:sz w:val="24"/>
          <w:szCs w:val="24"/>
          <w:highlight w:val="none"/>
          <w:lang w:val="en-US" w:eastAsia="zh-CN"/>
        </w:rPr>
        <w:t>投标</w:t>
      </w:r>
      <w:r>
        <w:rPr>
          <w:rFonts w:hint="eastAsia" w:ascii="宋体" w:hAnsi="宋体" w:cs="黑体"/>
          <w:bCs/>
          <w:color w:val="auto"/>
          <w:sz w:val="24"/>
          <w:szCs w:val="24"/>
          <w:highlight w:val="none"/>
          <w:lang w:val="zh-CN"/>
        </w:rPr>
        <w:t>人不得对其</w:t>
      </w:r>
      <w:r>
        <w:rPr>
          <w:rFonts w:hint="eastAsia" w:ascii="宋体" w:hAnsi="宋体" w:cs="黑体"/>
          <w:bCs/>
          <w:color w:val="auto"/>
          <w:sz w:val="24"/>
          <w:szCs w:val="24"/>
          <w:highlight w:val="none"/>
          <w:lang w:val="en-US" w:eastAsia="zh-CN"/>
        </w:rPr>
        <w:t>投标文件</w:t>
      </w:r>
      <w:r>
        <w:rPr>
          <w:rFonts w:hint="eastAsia" w:ascii="宋体" w:hAnsi="宋体" w:cs="黑体"/>
          <w:bCs/>
          <w:color w:val="auto"/>
          <w:sz w:val="24"/>
          <w:szCs w:val="24"/>
          <w:highlight w:val="none"/>
          <w:lang w:val="zh-CN"/>
        </w:rPr>
        <w:t>做任何修改（包括开</w:t>
      </w:r>
      <w:r>
        <w:rPr>
          <w:rFonts w:hint="eastAsia" w:ascii="宋体" w:hAnsi="宋体" w:cs="黑体"/>
          <w:bCs/>
          <w:color w:val="auto"/>
          <w:sz w:val="24"/>
          <w:szCs w:val="24"/>
          <w:highlight w:val="none"/>
          <w:lang w:val="en-US" w:eastAsia="zh-CN"/>
        </w:rPr>
        <w:t>标</w:t>
      </w:r>
      <w:r>
        <w:rPr>
          <w:rFonts w:hint="eastAsia" w:ascii="宋体" w:hAnsi="宋体" w:cs="黑体"/>
          <w:bCs/>
          <w:color w:val="auto"/>
          <w:sz w:val="24"/>
          <w:szCs w:val="24"/>
          <w:highlight w:val="none"/>
          <w:lang w:val="zh-CN"/>
        </w:rPr>
        <w:t>一览表的内容）。</w:t>
      </w:r>
    </w:p>
    <w:p w14:paraId="55D58098">
      <w:pPr>
        <w:ind w:firstLine="482"/>
        <w:rPr>
          <w:rFonts w:hint="eastAsia" w:ascii="宋体" w:hAnsi="宋体" w:cs="黑体"/>
          <w:bCs/>
          <w:color w:val="auto"/>
          <w:sz w:val="24"/>
          <w:szCs w:val="24"/>
          <w:highlight w:val="none"/>
          <w:lang w:val="zh-CN"/>
        </w:rPr>
      </w:pPr>
      <w:r>
        <w:rPr>
          <w:rFonts w:ascii="宋体" w:hAnsi="宋体" w:cs="黑体"/>
          <w:bCs/>
          <w:color w:val="auto"/>
          <w:sz w:val="24"/>
          <w:szCs w:val="24"/>
          <w:highlight w:val="none"/>
          <w:lang w:val="zh-CN"/>
        </w:rPr>
        <w:t>1</w:t>
      </w:r>
      <w:r>
        <w:rPr>
          <w:rFonts w:hint="eastAsia" w:ascii="宋体" w:hAnsi="宋体" w:cs="黑体"/>
          <w:bCs/>
          <w:color w:val="auto"/>
          <w:sz w:val="24"/>
          <w:szCs w:val="24"/>
          <w:highlight w:val="none"/>
          <w:lang w:val="zh-CN"/>
        </w:rPr>
        <w:t>2</w:t>
      </w:r>
      <w:r>
        <w:rPr>
          <w:rFonts w:ascii="宋体" w:hAnsi="宋体" w:cs="黑体"/>
          <w:bCs/>
          <w:color w:val="auto"/>
          <w:sz w:val="24"/>
          <w:szCs w:val="24"/>
          <w:highlight w:val="none"/>
          <w:lang w:val="zh-CN"/>
        </w:rPr>
        <w:t>.</w:t>
      </w:r>
      <w:r>
        <w:rPr>
          <w:rFonts w:hint="eastAsia" w:ascii="宋体" w:hAnsi="宋体" w:cs="黑体"/>
          <w:bCs/>
          <w:color w:val="auto"/>
          <w:sz w:val="24"/>
          <w:szCs w:val="24"/>
          <w:highlight w:val="none"/>
          <w:lang w:val="en-US" w:eastAsia="zh-CN"/>
        </w:rPr>
        <w:t>2</w:t>
      </w:r>
      <w:r>
        <w:rPr>
          <w:rFonts w:hint="eastAsia" w:ascii="宋体" w:hAnsi="宋体" w:cs="黑体"/>
          <w:bCs/>
          <w:color w:val="auto"/>
          <w:sz w:val="24"/>
          <w:szCs w:val="24"/>
          <w:highlight w:val="none"/>
          <w:lang w:val="zh-CN"/>
        </w:rPr>
        <w:t xml:space="preserve"> 从开</w:t>
      </w:r>
      <w:r>
        <w:rPr>
          <w:rFonts w:hint="eastAsia" w:ascii="宋体" w:hAnsi="宋体" w:cs="黑体"/>
          <w:bCs/>
          <w:color w:val="auto"/>
          <w:sz w:val="24"/>
          <w:szCs w:val="24"/>
          <w:highlight w:val="none"/>
          <w:lang w:val="en-US" w:eastAsia="zh-CN"/>
        </w:rPr>
        <w:t>标</w:t>
      </w:r>
      <w:r>
        <w:rPr>
          <w:rFonts w:hint="eastAsia" w:ascii="宋体" w:hAnsi="宋体" w:cs="黑体"/>
          <w:bCs/>
          <w:color w:val="auto"/>
          <w:sz w:val="24"/>
          <w:szCs w:val="24"/>
          <w:highlight w:val="none"/>
          <w:lang w:val="zh-CN"/>
        </w:rPr>
        <w:t>时间起至</w:t>
      </w:r>
      <w:r>
        <w:rPr>
          <w:rFonts w:hint="eastAsia" w:ascii="宋体" w:hAnsi="宋体" w:cs="黑体"/>
          <w:bCs/>
          <w:color w:val="auto"/>
          <w:sz w:val="24"/>
          <w:szCs w:val="24"/>
          <w:highlight w:val="none"/>
          <w:lang w:val="en-US" w:eastAsia="zh-CN"/>
        </w:rPr>
        <w:t>投标</w:t>
      </w:r>
      <w:r>
        <w:rPr>
          <w:rFonts w:hint="eastAsia" w:ascii="宋体" w:hAnsi="宋体" w:cs="黑体"/>
          <w:bCs/>
          <w:color w:val="auto"/>
          <w:sz w:val="24"/>
          <w:szCs w:val="24"/>
          <w:highlight w:val="none"/>
          <w:lang w:val="zh-CN"/>
        </w:rPr>
        <w:t>有效期期满</w:t>
      </w:r>
      <w:r>
        <w:rPr>
          <w:rFonts w:hint="eastAsia" w:ascii="宋体" w:hAnsi="宋体" w:cs="黑体"/>
          <w:bCs/>
          <w:color w:val="auto"/>
          <w:sz w:val="24"/>
          <w:szCs w:val="24"/>
          <w:highlight w:val="none"/>
          <w:lang w:val="en-US" w:eastAsia="zh-CN"/>
        </w:rPr>
        <w:t>投标</w:t>
      </w:r>
      <w:r>
        <w:rPr>
          <w:rFonts w:hint="eastAsia" w:ascii="宋体" w:hAnsi="宋体" w:cs="黑体"/>
          <w:bCs/>
          <w:color w:val="auto"/>
          <w:sz w:val="24"/>
          <w:szCs w:val="24"/>
          <w:highlight w:val="none"/>
          <w:lang w:val="zh-CN"/>
        </w:rPr>
        <w:t>人不得撤回其</w:t>
      </w:r>
      <w:r>
        <w:rPr>
          <w:rFonts w:hint="eastAsia" w:ascii="宋体" w:hAnsi="宋体" w:cs="黑体"/>
          <w:bCs/>
          <w:color w:val="auto"/>
          <w:sz w:val="24"/>
          <w:szCs w:val="24"/>
          <w:highlight w:val="none"/>
          <w:lang w:val="en-US" w:eastAsia="zh-CN"/>
        </w:rPr>
        <w:t>投标文件</w:t>
      </w:r>
      <w:r>
        <w:rPr>
          <w:rFonts w:hint="eastAsia" w:ascii="宋体" w:hAnsi="宋体" w:cs="黑体"/>
          <w:bCs/>
          <w:color w:val="auto"/>
          <w:sz w:val="24"/>
          <w:szCs w:val="24"/>
          <w:highlight w:val="none"/>
          <w:lang w:val="zh-CN"/>
        </w:rPr>
        <w:t>，否则其</w:t>
      </w:r>
      <w:r>
        <w:rPr>
          <w:rFonts w:hint="eastAsia" w:ascii="宋体" w:hAnsi="宋体" w:cs="黑体"/>
          <w:bCs/>
          <w:color w:val="auto"/>
          <w:sz w:val="24"/>
          <w:szCs w:val="24"/>
          <w:highlight w:val="none"/>
          <w:lang w:val="en-US" w:eastAsia="zh-CN"/>
        </w:rPr>
        <w:t>投标</w:t>
      </w:r>
      <w:r>
        <w:rPr>
          <w:rFonts w:hint="eastAsia" w:ascii="宋体" w:hAnsi="宋体" w:cs="黑体"/>
          <w:bCs/>
          <w:color w:val="auto"/>
          <w:sz w:val="24"/>
          <w:szCs w:val="24"/>
          <w:highlight w:val="none"/>
          <w:lang w:val="zh-CN"/>
        </w:rPr>
        <w:t>保证金将不予退还。</w:t>
      </w:r>
    </w:p>
    <w:p w14:paraId="362A957C">
      <w:pPr>
        <w:pStyle w:val="5"/>
        <w:rPr>
          <w:color w:val="auto"/>
          <w:highlight w:val="none"/>
          <w:lang w:val="zh-CN"/>
        </w:rPr>
      </w:pPr>
    </w:p>
    <w:p w14:paraId="7F4116EA">
      <w:pPr>
        <w:ind w:firstLine="482"/>
        <w:outlineLvl w:val="1"/>
        <w:rPr>
          <w:rFonts w:ascii="宋体" w:hAnsi="宋体"/>
          <w:b/>
          <w:bCs/>
          <w:color w:val="auto"/>
          <w:sz w:val="24"/>
          <w:szCs w:val="24"/>
          <w:highlight w:val="none"/>
          <w:lang w:val="zh-CN"/>
        </w:rPr>
      </w:pPr>
      <w:bookmarkStart w:id="35" w:name="_Toc3701"/>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3.投标</w:t>
      </w:r>
      <w:bookmarkEnd w:id="35"/>
    </w:p>
    <w:p w14:paraId="200EDED4">
      <w:pPr>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13.1 禁止一标多投，每个投标人只能提交一套投标文件。参与提交了一套以上投标文件的投标人将使其参与提交的全部投标文件无效。</w:t>
      </w:r>
    </w:p>
    <w:p w14:paraId="1D8295C1">
      <w:pPr>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eastAsia="zh-CN"/>
        </w:rPr>
        <w:t>13</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zh-CN" w:eastAsia="zh-CN"/>
        </w:rPr>
        <w:t>2</w:t>
      </w:r>
      <w:r>
        <w:rPr>
          <w:rFonts w:hint="eastAsia" w:ascii="宋体" w:hAnsi="宋体" w:cs="宋体"/>
          <w:color w:val="auto"/>
          <w:sz w:val="24"/>
          <w:szCs w:val="24"/>
          <w:highlight w:val="none"/>
          <w:lang w:val="zh-CN"/>
        </w:rPr>
        <w:t>供应商应按照</w:t>
      </w:r>
      <w:r>
        <w:rPr>
          <w:rFonts w:hint="eastAsia" w:ascii="宋体" w:hAnsi="宋体" w:cs="宋体"/>
          <w:color w:val="auto"/>
          <w:sz w:val="24"/>
          <w:szCs w:val="24"/>
          <w:highlight w:val="none"/>
          <w:lang w:val="zh-CN" w:eastAsia="zh-CN"/>
        </w:rPr>
        <w:t>采购文件</w:t>
      </w:r>
      <w:r>
        <w:rPr>
          <w:rFonts w:hint="eastAsia" w:ascii="宋体" w:hAnsi="宋体" w:cs="宋体"/>
          <w:color w:val="auto"/>
          <w:sz w:val="24"/>
          <w:szCs w:val="24"/>
          <w:highlight w:val="none"/>
          <w:lang w:val="zh-CN"/>
        </w:rPr>
        <w:t>提供的</w:t>
      </w:r>
      <w:r>
        <w:rPr>
          <w:rFonts w:hint="eastAsia" w:ascii="宋体" w:hAnsi="宋体" w:cs="宋体"/>
          <w:color w:val="auto"/>
          <w:sz w:val="24"/>
          <w:szCs w:val="24"/>
          <w:highlight w:val="none"/>
          <w:lang w:val="zh-CN" w:eastAsia="zh-CN"/>
        </w:rPr>
        <w:t>投标文件格式</w:t>
      </w:r>
      <w:r>
        <w:rPr>
          <w:rFonts w:hint="eastAsia" w:ascii="宋体" w:hAnsi="宋体" w:cs="宋体"/>
          <w:color w:val="auto"/>
          <w:sz w:val="24"/>
          <w:szCs w:val="24"/>
          <w:highlight w:val="none"/>
          <w:lang w:val="zh-CN"/>
        </w:rPr>
        <w:t>编制电子</w:t>
      </w:r>
      <w:r>
        <w:rPr>
          <w:rFonts w:hint="eastAsia" w:ascii="宋体" w:hAnsi="宋体" w:cs="宋体"/>
          <w:color w:val="auto"/>
          <w:sz w:val="24"/>
          <w:szCs w:val="24"/>
          <w:highlight w:val="none"/>
          <w:lang w:val="zh-CN" w:eastAsia="zh-CN"/>
        </w:rPr>
        <w:t>投标文件格式</w:t>
      </w:r>
      <w:r>
        <w:rPr>
          <w:rFonts w:hint="eastAsia" w:ascii="宋体" w:hAnsi="宋体" w:cs="宋体"/>
          <w:color w:val="auto"/>
          <w:sz w:val="24"/>
          <w:szCs w:val="24"/>
          <w:highlight w:val="none"/>
          <w:lang w:val="zh-CN"/>
        </w:rPr>
        <w:t>和单独的开标一览表（用于公布响应报价信息）并转换为PDF格式，PDF格式以外的电子</w:t>
      </w:r>
      <w:r>
        <w:rPr>
          <w:rFonts w:hint="eastAsia" w:ascii="宋体" w:hAnsi="宋体" w:cs="宋体"/>
          <w:color w:val="auto"/>
          <w:sz w:val="24"/>
          <w:szCs w:val="24"/>
          <w:highlight w:val="none"/>
          <w:lang w:val="zh-CN" w:eastAsia="zh-CN"/>
        </w:rPr>
        <w:t>投标文件格式</w:t>
      </w:r>
      <w:r>
        <w:rPr>
          <w:rFonts w:hint="eastAsia" w:ascii="宋体" w:hAnsi="宋体" w:cs="宋体"/>
          <w:color w:val="auto"/>
          <w:sz w:val="24"/>
          <w:szCs w:val="24"/>
          <w:highlight w:val="none"/>
          <w:lang w:val="zh-CN"/>
        </w:rPr>
        <w:t>无法实现</w:t>
      </w:r>
      <w:r>
        <w:rPr>
          <w:rFonts w:hint="eastAsia" w:ascii="宋体" w:hAnsi="宋体" w:cs="宋体"/>
          <w:color w:val="auto"/>
          <w:sz w:val="24"/>
          <w:szCs w:val="24"/>
          <w:highlight w:val="none"/>
          <w:lang w:val="zh-CN" w:eastAsia="zh-CN"/>
        </w:rPr>
        <w:t>投标文件格式</w:t>
      </w:r>
      <w:r>
        <w:rPr>
          <w:rFonts w:hint="eastAsia" w:ascii="宋体" w:hAnsi="宋体" w:cs="宋体"/>
          <w:color w:val="auto"/>
          <w:sz w:val="24"/>
          <w:szCs w:val="24"/>
          <w:highlight w:val="none"/>
          <w:lang w:val="zh-CN"/>
        </w:rPr>
        <w:t>的签章、加密和提交，因PDF格式电子</w:t>
      </w:r>
      <w:r>
        <w:rPr>
          <w:rFonts w:hint="eastAsia" w:ascii="宋体" w:hAnsi="宋体" w:cs="宋体"/>
          <w:color w:val="auto"/>
          <w:sz w:val="24"/>
          <w:szCs w:val="24"/>
          <w:highlight w:val="none"/>
          <w:lang w:val="zh-CN" w:eastAsia="zh-CN"/>
        </w:rPr>
        <w:t>投标文件格式</w:t>
      </w:r>
      <w:r>
        <w:rPr>
          <w:rFonts w:hint="eastAsia" w:ascii="宋体" w:hAnsi="宋体" w:cs="宋体"/>
          <w:color w:val="auto"/>
          <w:sz w:val="24"/>
          <w:szCs w:val="24"/>
          <w:highlight w:val="none"/>
          <w:lang w:val="zh-CN"/>
        </w:rPr>
        <w:t>转换造成</w:t>
      </w:r>
      <w:r>
        <w:rPr>
          <w:rFonts w:hint="eastAsia" w:ascii="宋体" w:hAnsi="宋体" w:cs="宋体"/>
          <w:color w:val="auto"/>
          <w:sz w:val="24"/>
          <w:szCs w:val="24"/>
          <w:highlight w:val="none"/>
          <w:lang w:val="zh-CN" w:eastAsia="zh-CN"/>
        </w:rPr>
        <w:t>投标文件格式</w:t>
      </w:r>
      <w:r>
        <w:rPr>
          <w:rFonts w:hint="eastAsia" w:ascii="宋体" w:hAnsi="宋体" w:cs="宋体"/>
          <w:color w:val="auto"/>
          <w:sz w:val="24"/>
          <w:szCs w:val="24"/>
          <w:highlight w:val="none"/>
          <w:lang w:val="zh-CN"/>
        </w:rPr>
        <w:t>内容缺漏错误的，是供应商的风险。供应商投报多个采购包的，可以按采购包分别编制独立的一个电子</w:t>
      </w:r>
      <w:r>
        <w:rPr>
          <w:rFonts w:hint="eastAsia" w:ascii="宋体" w:hAnsi="宋体" w:cs="宋体"/>
          <w:color w:val="auto"/>
          <w:sz w:val="24"/>
          <w:szCs w:val="24"/>
          <w:highlight w:val="none"/>
          <w:lang w:val="zh-CN" w:eastAsia="zh-CN"/>
        </w:rPr>
        <w:t>投标文件格式</w:t>
      </w:r>
      <w:r>
        <w:rPr>
          <w:rFonts w:hint="eastAsia" w:ascii="宋体" w:hAnsi="宋体" w:cs="宋体"/>
          <w:color w:val="auto"/>
          <w:sz w:val="24"/>
          <w:szCs w:val="24"/>
          <w:highlight w:val="none"/>
          <w:lang w:val="zh-CN"/>
        </w:rPr>
        <w:t>和单独的开标一览表。</w:t>
      </w:r>
    </w:p>
    <w:p w14:paraId="5A517AAB">
      <w:pPr>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eastAsia="zh-CN"/>
        </w:rPr>
        <w:t>13</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zh-CN" w:eastAsia="zh-CN"/>
        </w:rPr>
        <w:t>3</w:t>
      </w:r>
      <w:r>
        <w:rPr>
          <w:rFonts w:hint="eastAsia" w:ascii="宋体" w:hAnsi="宋体" w:cs="宋体"/>
          <w:color w:val="auto"/>
          <w:sz w:val="24"/>
          <w:szCs w:val="24"/>
          <w:highlight w:val="none"/>
          <w:lang w:val="zh-CN"/>
        </w:rPr>
        <w:t xml:space="preserve"> 供应商通过“政采云”平台（http：//www.zcygov.cn）实行在线电子投标，供应商应先安装“政采云投标客户端”。供应商应当按照</w:t>
      </w:r>
      <w:r>
        <w:rPr>
          <w:rFonts w:hint="eastAsia" w:ascii="宋体" w:hAnsi="宋体" w:cs="宋体"/>
          <w:color w:val="auto"/>
          <w:sz w:val="24"/>
          <w:szCs w:val="24"/>
          <w:highlight w:val="none"/>
          <w:lang w:val="zh-CN" w:eastAsia="zh-CN"/>
        </w:rPr>
        <w:t>采购文件</w:t>
      </w:r>
      <w:r>
        <w:rPr>
          <w:rFonts w:hint="eastAsia" w:ascii="宋体" w:hAnsi="宋体" w:cs="宋体"/>
          <w:color w:val="auto"/>
          <w:sz w:val="24"/>
          <w:szCs w:val="24"/>
          <w:highlight w:val="none"/>
          <w:lang w:val="zh-CN"/>
        </w:rPr>
        <w:t>要求加盖单位签章（企业数字证书）和法定代表人电子签章（法人数字证书，电子法人名章或电子法人签字章均可）。电子</w:t>
      </w:r>
      <w:r>
        <w:rPr>
          <w:rFonts w:hint="eastAsia" w:ascii="宋体" w:hAnsi="宋体" w:cs="宋体"/>
          <w:color w:val="auto"/>
          <w:sz w:val="24"/>
          <w:szCs w:val="24"/>
          <w:highlight w:val="none"/>
          <w:lang w:val="zh-CN" w:eastAsia="zh-CN"/>
        </w:rPr>
        <w:t>投标文件格式</w:t>
      </w:r>
      <w:r>
        <w:rPr>
          <w:rFonts w:hint="eastAsia" w:ascii="宋体" w:hAnsi="宋体" w:cs="宋体"/>
          <w:color w:val="auto"/>
          <w:sz w:val="24"/>
          <w:szCs w:val="24"/>
          <w:highlight w:val="none"/>
          <w:lang w:val="zh-CN"/>
        </w:rPr>
        <w:t>签章完成后，生成正式</w:t>
      </w:r>
      <w:r>
        <w:rPr>
          <w:rFonts w:hint="eastAsia" w:ascii="宋体" w:hAnsi="宋体" w:cs="宋体"/>
          <w:color w:val="auto"/>
          <w:sz w:val="24"/>
          <w:szCs w:val="24"/>
          <w:highlight w:val="none"/>
          <w:lang w:val="zh-CN" w:eastAsia="zh-CN"/>
        </w:rPr>
        <w:t>投标文件格式</w:t>
      </w:r>
      <w:r>
        <w:rPr>
          <w:rFonts w:hint="eastAsia" w:ascii="宋体" w:hAnsi="宋体" w:cs="宋体"/>
          <w:color w:val="auto"/>
          <w:sz w:val="24"/>
          <w:szCs w:val="24"/>
          <w:highlight w:val="none"/>
          <w:lang w:val="zh-CN"/>
        </w:rPr>
        <w:t>并加密。经数字证书加密的</w:t>
      </w:r>
      <w:r>
        <w:rPr>
          <w:rFonts w:hint="eastAsia" w:ascii="宋体" w:hAnsi="宋体" w:cs="宋体"/>
          <w:color w:val="auto"/>
          <w:sz w:val="24"/>
          <w:szCs w:val="24"/>
          <w:highlight w:val="none"/>
          <w:lang w:val="zh-CN" w:eastAsia="zh-CN"/>
        </w:rPr>
        <w:t>投标文件格式</w:t>
      </w:r>
      <w:r>
        <w:rPr>
          <w:rFonts w:hint="eastAsia" w:ascii="宋体" w:hAnsi="宋体" w:cs="宋体"/>
          <w:color w:val="auto"/>
          <w:sz w:val="24"/>
          <w:szCs w:val="24"/>
          <w:highlight w:val="none"/>
          <w:lang w:val="zh-CN"/>
        </w:rPr>
        <w:t>必须在递交</w:t>
      </w:r>
      <w:r>
        <w:rPr>
          <w:rFonts w:hint="eastAsia" w:ascii="宋体" w:hAnsi="宋体" w:cs="宋体"/>
          <w:color w:val="auto"/>
          <w:sz w:val="24"/>
          <w:szCs w:val="24"/>
          <w:highlight w:val="none"/>
          <w:lang w:val="zh-CN" w:eastAsia="zh-CN"/>
        </w:rPr>
        <w:t>投标文件格式</w:t>
      </w:r>
      <w:r>
        <w:rPr>
          <w:rFonts w:hint="eastAsia" w:ascii="宋体" w:hAnsi="宋体" w:cs="宋体"/>
          <w:color w:val="auto"/>
          <w:sz w:val="24"/>
          <w:szCs w:val="24"/>
          <w:highlight w:val="none"/>
          <w:lang w:val="zh-CN"/>
        </w:rPr>
        <w:t>前登录“政采云”平台，选择本采购项目的对应采购包，完成上传，加密和解密必须使用同一数字证书。具体操作方法见“投标文件制作操作手册”。</w:t>
      </w:r>
    </w:p>
    <w:p w14:paraId="32FAB7D1">
      <w:pPr>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提交电子</w:t>
      </w:r>
      <w:r>
        <w:rPr>
          <w:rFonts w:hint="eastAsia" w:ascii="宋体" w:hAnsi="宋体" w:cs="宋体"/>
          <w:color w:val="auto"/>
          <w:sz w:val="24"/>
          <w:szCs w:val="24"/>
          <w:highlight w:val="none"/>
          <w:lang w:val="zh-CN" w:eastAsia="zh-CN"/>
        </w:rPr>
        <w:t>投标文件格式</w:t>
      </w:r>
      <w:r>
        <w:rPr>
          <w:rFonts w:hint="eastAsia" w:ascii="宋体" w:hAnsi="宋体" w:cs="宋体"/>
          <w:color w:val="auto"/>
          <w:sz w:val="24"/>
          <w:szCs w:val="24"/>
          <w:highlight w:val="none"/>
          <w:lang w:val="zh-CN"/>
        </w:rPr>
        <w:t>截止时间前出现下列情形的，供应商必须对</w:t>
      </w:r>
      <w:r>
        <w:rPr>
          <w:rFonts w:hint="eastAsia" w:ascii="宋体" w:hAnsi="宋体" w:cs="宋体"/>
          <w:color w:val="auto"/>
          <w:sz w:val="24"/>
          <w:szCs w:val="24"/>
          <w:highlight w:val="none"/>
          <w:lang w:val="zh-CN" w:eastAsia="zh-CN"/>
        </w:rPr>
        <w:t>投标文件格式</w:t>
      </w:r>
      <w:r>
        <w:rPr>
          <w:rFonts w:hint="eastAsia" w:ascii="宋体" w:hAnsi="宋体" w:cs="宋体"/>
          <w:color w:val="auto"/>
          <w:sz w:val="24"/>
          <w:szCs w:val="24"/>
          <w:highlight w:val="none"/>
          <w:lang w:val="zh-CN"/>
        </w:rPr>
        <w:t>重新电子签章和生成</w:t>
      </w:r>
      <w:r>
        <w:rPr>
          <w:rFonts w:hint="eastAsia" w:ascii="宋体" w:hAnsi="宋体" w:cs="宋体"/>
          <w:color w:val="auto"/>
          <w:sz w:val="24"/>
          <w:szCs w:val="24"/>
          <w:highlight w:val="none"/>
          <w:lang w:val="zh-CN" w:eastAsia="zh-CN"/>
        </w:rPr>
        <w:t>投标文件格式</w:t>
      </w:r>
      <w:r>
        <w:rPr>
          <w:rFonts w:hint="eastAsia" w:ascii="宋体" w:hAnsi="宋体" w:cs="宋体"/>
          <w:color w:val="auto"/>
          <w:sz w:val="24"/>
          <w:szCs w:val="24"/>
          <w:highlight w:val="none"/>
          <w:lang w:val="zh-CN"/>
        </w:rPr>
        <w:t>，并在提交</w:t>
      </w:r>
      <w:r>
        <w:rPr>
          <w:rFonts w:hint="eastAsia" w:ascii="宋体" w:hAnsi="宋体" w:cs="宋体"/>
          <w:color w:val="auto"/>
          <w:sz w:val="24"/>
          <w:szCs w:val="24"/>
          <w:highlight w:val="none"/>
          <w:lang w:val="zh-CN" w:eastAsia="zh-CN"/>
        </w:rPr>
        <w:t>投标文件格式</w:t>
      </w:r>
      <w:r>
        <w:rPr>
          <w:rFonts w:hint="eastAsia" w:ascii="宋体" w:hAnsi="宋体" w:cs="宋体"/>
          <w:color w:val="auto"/>
          <w:sz w:val="24"/>
          <w:szCs w:val="24"/>
          <w:highlight w:val="none"/>
          <w:lang w:val="zh-CN"/>
        </w:rPr>
        <w:t>截止时间之前上传至系统，否则无法完成解密：</w:t>
      </w:r>
    </w:p>
    <w:p w14:paraId="413687E6">
      <w:pPr>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eastAsia="zh-CN"/>
        </w:rPr>
        <w:t>13</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zh-CN" w:eastAsia="zh-CN"/>
        </w:rPr>
        <w:t>3.1</w:t>
      </w:r>
      <w:r>
        <w:rPr>
          <w:rFonts w:hint="eastAsia" w:ascii="宋体" w:hAnsi="宋体" w:cs="宋体"/>
          <w:color w:val="auto"/>
          <w:sz w:val="24"/>
          <w:szCs w:val="24"/>
          <w:highlight w:val="none"/>
          <w:lang w:val="zh-CN"/>
        </w:rPr>
        <w:t xml:space="preserve"> 数字证书到期后重新续期；</w:t>
      </w:r>
    </w:p>
    <w:p w14:paraId="50015B16">
      <w:pPr>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eastAsia="zh-CN"/>
        </w:rPr>
        <w:t>13</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zh-CN" w:eastAsia="zh-CN"/>
        </w:rPr>
        <w:t>3.2</w:t>
      </w:r>
      <w:r>
        <w:rPr>
          <w:rFonts w:hint="eastAsia" w:ascii="宋体" w:hAnsi="宋体" w:cs="宋体"/>
          <w:color w:val="auto"/>
          <w:sz w:val="24"/>
          <w:szCs w:val="24"/>
          <w:highlight w:val="none"/>
          <w:lang w:val="zh-CN"/>
        </w:rPr>
        <w:t>数字证书因遗失、损坏、企业信息变更等情况更换新证书。</w:t>
      </w:r>
    </w:p>
    <w:p w14:paraId="4827FABB">
      <w:pPr>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供应商由于数字证书遗失、损坏、更换、续期等情况导致</w:t>
      </w:r>
      <w:r>
        <w:rPr>
          <w:rFonts w:hint="eastAsia" w:ascii="宋体" w:hAnsi="宋体" w:cs="宋体"/>
          <w:color w:val="auto"/>
          <w:sz w:val="24"/>
          <w:szCs w:val="24"/>
          <w:highlight w:val="none"/>
          <w:lang w:val="zh-CN" w:eastAsia="zh-CN"/>
        </w:rPr>
        <w:t>投标文件格式</w:t>
      </w:r>
      <w:r>
        <w:rPr>
          <w:rFonts w:hint="eastAsia" w:ascii="宋体" w:hAnsi="宋体" w:cs="宋体"/>
          <w:color w:val="auto"/>
          <w:sz w:val="24"/>
          <w:szCs w:val="24"/>
          <w:highlight w:val="none"/>
          <w:lang w:val="zh-CN"/>
        </w:rPr>
        <w:t>无法解密，由供应商自行承担责任。</w:t>
      </w:r>
    </w:p>
    <w:p w14:paraId="3FCE7FE3">
      <w:pPr>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eastAsia="zh-CN"/>
        </w:rPr>
        <w:t>13</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zh-CN" w:eastAsia="zh-CN"/>
        </w:rPr>
        <w:t>4</w:t>
      </w:r>
      <w:r>
        <w:rPr>
          <w:rFonts w:hint="eastAsia" w:ascii="宋体" w:hAnsi="宋体" w:cs="宋体"/>
          <w:color w:val="auto"/>
          <w:sz w:val="24"/>
          <w:szCs w:val="24"/>
          <w:highlight w:val="none"/>
          <w:lang w:val="zh-CN"/>
        </w:rPr>
        <w:t xml:space="preserve"> 投标语言：投标文件以及供应商与采购人就有关投标的来往函电均使用中文。 </w:t>
      </w:r>
    </w:p>
    <w:p w14:paraId="30CBEC7D">
      <w:pPr>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eastAsia="zh-CN"/>
        </w:rPr>
        <w:t>13</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zh-CN" w:eastAsia="zh-CN"/>
        </w:rPr>
        <w:t>5</w:t>
      </w:r>
      <w:r>
        <w:rPr>
          <w:rFonts w:hint="eastAsia" w:ascii="宋体" w:hAnsi="宋体" w:cs="宋体"/>
          <w:color w:val="auto"/>
          <w:sz w:val="24"/>
          <w:szCs w:val="24"/>
          <w:highlight w:val="none"/>
          <w:lang w:val="zh-CN"/>
        </w:rPr>
        <w:t xml:space="preserve"> 计量单位：中华人民共和国法定计量单位。</w:t>
      </w:r>
    </w:p>
    <w:p w14:paraId="5ABBAF79">
      <w:pPr>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eastAsia="zh-CN"/>
        </w:rPr>
        <w:t>13</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zh-CN" w:eastAsia="zh-CN"/>
        </w:rPr>
        <w:t>6</w:t>
      </w:r>
      <w:r>
        <w:rPr>
          <w:rFonts w:hint="eastAsia" w:ascii="宋体" w:hAnsi="宋体" w:cs="宋体"/>
          <w:color w:val="auto"/>
          <w:sz w:val="24"/>
          <w:szCs w:val="24"/>
          <w:highlight w:val="none"/>
          <w:lang w:val="zh-CN"/>
        </w:rPr>
        <w:t xml:space="preserve"> 投标文件规格应采用A4幅面，打印，按照采购文件规定的顺序，统一编目编码装订。技术文件中的各项表格应按照采购文件第五章规定的格式制作。</w:t>
      </w:r>
    </w:p>
    <w:p w14:paraId="3AD2A7A9">
      <w:pPr>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eastAsia="zh-CN"/>
        </w:rPr>
        <w:t>13</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zh-CN" w:eastAsia="zh-CN"/>
        </w:rPr>
        <w:t>7</w:t>
      </w:r>
      <w:r>
        <w:rPr>
          <w:rFonts w:hint="eastAsia" w:ascii="宋体" w:hAnsi="宋体" w:cs="宋体"/>
          <w:color w:val="auto"/>
          <w:sz w:val="24"/>
          <w:szCs w:val="24"/>
          <w:highlight w:val="none"/>
          <w:lang w:val="zh-CN"/>
        </w:rPr>
        <w:t xml:space="preserve"> 供应商在投标文件以及在投标、合同签订、履行过程中所签署的相关文件中所加盖的公章，均须按照采购文件的规定加盖与供应商名称全称相一致的标准公章。</w:t>
      </w:r>
    </w:p>
    <w:p w14:paraId="0784FD3A">
      <w:pPr>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eastAsia="zh-CN"/>
        </w:rPr>
        <w:t>13</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zh-CN" w:eastAsia="zh-CN"/>
        </w:rPr>
        <w:t>8</w:t>
      </w:r>
      <w:r>
        <w:rPr>
          <w:rFonts w:hint="eastAsia" w:ascii="宋体" w:hAnsi="宋体" w:cs="宋体"/>
          <w:color w:val="auto"/>
          <w:sz w:val="24"/>
          <w:szCs w:val="24"/>
          <w:highlight w:val="none"/>
          <w:lang w:val="zh-CN"/>
        </w:rPr>
        <w:t xml:space="preserve"> 采购代理机构不接受采用传真方式提交的投标文件。</w:t>
      </w:r>
    </w:p>
    <w:p w14:paraId="453A9298">
      <w:pPr>
        <w:ind w:firstLine="480"/>
        <w:rPr>
          <w:rFonts w:ascii="宋体" w:hAnsi="宋体"/>
          <w:b/>
          <w:bCs/>
          <w:color w:val="auto"/>
          <w:sz w:val="24"/>
          <w:szCs w:val="24"/>
          <w:highlight w:val="none"/>
          <w:lang w:val="zh-CN"/>
        </w:rPr>
      </w:pPr>
    </w:p>
    <w:p w14:paraId="0D2BB74D">
      <w:pPr>
        <w:ind w:firstLine="482"/>
        <w:outlineLvl w:val="1"/>
        <w:rPr>
          <w:rFonts w:ascii="宋体" w:hAnsi="宋体"/>
          <w:b/>
          <w:bCs/>
          <w:color w:val="auto"/>
          <w:sz w:val="24"/>
          <w:szCs w:val="24"/>
          <w:highlight w:val="none"/>
          <w:lang w:val="zh-CN"/>
        </w:rPr>
      </w:pPr>
      <w:bookmarkStart w:id="36" w:name="_Toc20184"/>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4.开标</w:t>
      </w:r>
      <w:bookmarkEnd w:id="36"/>
    </w:p>
    <w:p w14:paraId="3551D962">
      <w:pPr>
        <w:ind w:firstLine="482"/>
        <w:rPr>
          <w:rFonts w:hint="eastAsia" w:ascii="宋体" w:hAnsi="宋体"/>
          <w:b w:val="0"/>
          <w:bCs w:val="0"/>
          <w:color w:val="auto"/>
          <w:sz w:val="24"/>
          <w:szCs w:val="24"/>
          <w:highlight w:val="none"/>
          <w:lang w:val="zh-CN"/>
        </w:rPr>
      </w:pPr>
      <w:r>
        <w:rPr>
          <w:rFonts w:hint="eastAsia" w:ascii="宋体" w:hAnsi="宋体"/>
          <w:b w:val="0"/>
          <w:bCs w:val="0"/>
          <w:color w:val="auto"/>
          <w:sz w:val="24"/>
          <w:szCs w:val="24"/>
          <w:highlight w:val="none"/>
          <w:lang w:val="zh-CN"/>
        </w:rPr>
        <w:t>14.1采购代理机构将在《</w:t>
      </w:r>
      <w:r>
        <w:rPr>
          <w:rFonts w:hint="eastAsia" w:ascii="宋体" w:hAnsi="宋体"/>
          <w:b w:val="0"/>
          <w:bCs w:val="0"/>
          <w:color w:val="auto"/>
          <w:sz w:val="24"/>
          <w:szCs w:val="24"/>
          <w:highlight w:val="none"/>
          <w:lang w:val="en-US" w:eastAsia="zh-CN"/>
        </w:rPr>
        <w:t>采购</w:t>
      </w:r>
      <w:r>
        <w:rPr>
          <w:rFonts w:hint="eastAsia" w:ascii="宋体" w:hAnsi="宋体"/>
          <w:b w:val="0"/>
          <w:bCs w:val="0"/>
          <w:color w:val="auto"/>
          <w:sz w:val="24"/>
          <w:szCs w:val="24"/>
          <w:highlight w:val="none"/>
          <w:lang w:val="zh-CN"/>
        </w:rPr>
        <w:t>公告》规定的时间和地点公开开标。</w:t>
      </w:r>
    </w:p>
    <w:p w14:paraId="18CE78FB">
      <w:pPr>
        <w:ind w:firstLine="482"/>
        <w:rPr>
          <w:rFonts w:hint="eastAsia" w:ascii="宋体" w:hAnsi="宋体"/>
          <w:b w:val="0"/>
          <w:bCs w:val="0"/>
          <w:color w:val="auto"/>
          <w:sz w:val="24"/>
          <w:szCs w:val="24"/>
          <w:highlight w:val="none"/>
          <w:lang w:val="zh-CN"/>
        </w:rPr>
      </w:pPr>
      <w:r>
        <w:rPr>
          <w:rFonts w:hint="eastAsia" w:ascii="宋体" w:hAnsi="宋体"/>
          <w:b w:val="0"/>
          <w:bCs w:val="0"/>
          <w:color w:val="auto"/>
          <w:sz w:val="24"/>
          <w:szCs w:val="24"/>
          <w:highlight w:val="none"/>
          <w:lang w:val="zh-CN"/>
        </w:rPr>
        <w:t>14.2 开标会由采购代理机构组织并主持。</w:t>
      </w:r>
    </w:p>
    <w:p w14:paraId="3A6EFC6B">
      <w:pPr>
        <w:ind w:firstLine="482"/>
        <w:rPr>
          <w:rFonts w:hint="eastAsia" w:ascii="宋体" w:hAnsi="宋体"/>
          <w:b w:val="0"/>
          <w:bCs w:val="0"/>
          <w:color w:val="auto"/>
          <w:sz w:val="24"/>
          <w:szCs w:val="24"/>
          <w:highlight w:val="none"/>
          <w:lang w:val="zh-CN"/>
        </w:rPr>
      </w:pPr>
      <w:r>
        <w:rPr>
          <w:rFonts w:hint="eastAsia" w:ascii="宋体" w:hAnsi="宋体"/>
          <w:b w:val="0"/>
          <w:bCs w:val="0"/>
          <w:color w:val="auto"/>
          <w:sz w:val="24"/>
          <w:szCs w:val="24"/>
          <w:highlight w:val="none"/>
          <w:lang w:val="zh-CN"/>
        </w:rPr>
        <w:t>14.3 开标时，采购代理机构将按照投标人提交的“开标一览表”，当众宣读投标人名称、修改和撤回投标的通知、投标价格、</w:t>
      </w:r>
      <w:r>
        <w:rPr>
          <w:rFonts w:hint="eastAsia" w:ascii="宋体" w:hAnsi="宋体"/>
          <w:b w:val="0"/>
          <w:bCs w:val="0"/>
          <w:color w:val="auto"/>
          <w:sz w:val="24"/>
          <w:szCs w:val="24"/>
          <w:highlight w:val="none"/>
          <w:lang w:val="en-US" w:eastAsia="zh-CN"/>
        </w:rPr>
        <w:t>交货</w:t>
      </w:r>
      <w:r>
        <w:rPr>
          <w:rFonts w:hint="eastAsia" w:ascii="宋体" w:hAnsi="宋体"/>
          <w:b w:val="0"/>
          <w:bCs w:val="0"/>
          <w:color w:val="auto"/>
          <w:sz w:val="24"/>
          <w:szCs w:val="24"/>
          <w:highlight w:val="none"/>
          <w:lang w:val="zh-CN"/>
        </w:rPr>
        <w:t>时间、是否提交了投标保证金等内容。</w:t>
      </w:r>
    </w:p>
    <w:p w14:paraId="63691FFE">
      <w:pPr>
        <w:ind w:firstLine="482"/>
        <w:rPr>
          <w:rFonts w:hint="eastAsia" w:ascii="宋体" w:hAnsi="宋体"/>
          <w:b w:val="0"/>
          <w:bCs w:val="0"/>
          <w:color w:val="auto"/>
          <w:sz w:val="24"/>
          <w:szCs w:val="24"/>
          <w:highlight w:val="none"/>
          <w:lang w:val="zh-CN"/>
        </w:rPr>
      </w:pPr>
      <w:r>
        <w:rPr>
          <w:rFonts w:hint="eastAsia" w:ascii="宋体" w:hAnsi="宋体"/>
          <w:b w:val="0"/>
          <w:bCs w:val="0"/>
          <w:color w:val="auto"/>
          <w:sz w:val="24"/>
          <w:szCs w:val="24"/>
          <w:highlight w:val="none"/>
          <w:lang w:val="zh-CN"/>
        </w:rPr>
        <w:t>14.4 开标时未宣读的投标价格等实质性内容，评标时不予承认。</w:t>
      </w:r>
    </w:p>
    <w:p w14:paraId="61FF4306">
      <w:pPr>
        <w:ind w:firstLine="482"/>
        <w:rPr>
          <w:rFonts w:hint="eastAsia" w:ascii="宋体" w:hAnsi="宋体"/>
          <w:b w:val="0"/>
          <w:bCs w:val="0"/>
          <w:color w:val="auto"/>
          <w:sz w:val="24"/>
          <w:szCs w:val="24"/>
          <w:highlight w:val="none"/>
          <w:lang w:val="zh-CN"/>
        </w:rPr>
      </w:pPr>
      <w:r>
        <w:rPr>
          <w:rFonts w:hint="eastAsia" w:ascii="宋体" w:hAnsi="宋体"/>
          <w:b w:val="0"/>
          <w:bCs w:val="0"/>
          <w:color w:val="auto"/>
          <w:sz w:val="24"/>
          <w:szCs w:val="24"/>
          <w:highlight w:val="none"/>
          <w:lang w:val="zh-CN"/>
        </w:rPr>
        <w:t>14.5 按照投标人须知第12条的规定，提交了可接受的“撤回”通知的投标将不予开封。撤回的投标书将原封退回投标人。</w:t>
      </w:r>
    </w:p>
    <w:p w14:paraId="3FCFF55E">
      <w:pPr>
        <w:widowControl/>
        <w:ind w:firstLine="480"/>
        <w:rPr>
          <w:rFonts w:ascii="宋体" w:hAnsi="宋体"/>
          <w:b/>
          <w:bCs/>
          <w:color w:val="auto"/>
          <w:sz w:val="24"/>
          <w:highlight w:val="none"/>
        </w:rPr>
      </w:pPr>
    </w:p>
    <w:p w14:paraId="506CACD3">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5</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评标过程的保密性：</w:t>
      </w:r>
      <w:r>
        <w:rPr>
          <w:rFonts w:hint="eastAsia" w:ascii="宋体" w:hAnsi="宋体" w:cs="宋体"/>
          <w:color w:val="auto"/>
          <w:sz w:val="24"/>
          <w:szCs w:val="24"/>
          <w:highlight w:val="none"/>
          <w:lang w:val="zh-CN"/>
        </w:rPr>
        <w:t>公开开标后，直至向中标的投标人授予合同时止，除按采购文件规定予以公开的评标结果外，凡与审查、澄清、评价和比较投标有关的资料以及授标意见等，均不得向投标人及与评标无关的其他人透露。</w:t>
      </w:r>
    </w:p>
    <w:p w14:paraId="4620551E">
      <w:pPr>
        <w:ind w:firstLine="482"/>
        <w:rPr>
          <w:rFonts w:ascii="宋体" w:hAnsi="宋体"/>
          <w:b/>
          <w:bCs/>
          <w:color w:val="auto"/>
          <w:sz w:val="24"/>
          <w:szCs w:val="24"/>
          <w:highlight w:val="none"/>
          <w:lang w:val="zh-CN"/>
        </w:rPr>
      </w:pPr>
    </w:p>
    <w:p w14:paraId="6AA944CC">
      <w:pPr>
        <w:ind w:firstLine="482"/>
        <w:outlineLvl w:val="1"/>
        <w:rPr>
          <w:rFonts w:ascii="宋体" w:hAnsi="宋体"/>
          <w:b/>
          <w:bCs/>
          <w:color w:val="auto"/>
          <w:sz w:val="24"/>
          <w:szCs w:val="24"/>
          <w:highlight w:val="none"/>
          <w:lang w:val="zh-CN"/>
        </w:rPr>
      </w:pPr>
      <w:bookmarkStart w:id="37" w:name="_Toc23099"/>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6</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评标</w:t>
      </w:r>
      <w:bookmarkEnd w:id="37"/>
    </w:p>
    <w:p w14:paraId="7720A376">
      <w:pPr>
        <w:ind w:firstLine="482"/>
        <w:rPr>
          <w:rFonts w:hint="eastAsia" w:ascii="宋体" w:hAnsi="宋体" w:cs="宋体"/>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6</w:t>
      </w: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 xml:space="preserve"> 评标工作由代理机构负责组织，具体评标工作由</w:t>
      </w:r>
      <w:r>
        <w:rPr>
          <w:rFonts w:hint="eastAsia" w:ascii="宋体" w:hAnsi="宋体" w:cs="宋体"/>
          <w:b/>
          <w:bCs/>
          <w:color w:val="auto"/>
          <w:sz w:val="24"/>
          <w:szCs w:val="24"/>
          <w:highlight w:val="none"/>
          <w:lang w:val="en-US" w:eastAsia="zh-CN"/>
        </w:rPr>
        <w:t>采购</w:t>
      </w:r>
      <w:r>
        <w:rPr>
          <w:rFonts w:hint="eastAsia" w:ascii="宋体" w:hAnsi="宋体" w:cs="宋体"/>
          <w:b/>
          <w:bCs/>
          <w:color w:val="auto"/>
          <w:sz w:val="24"/>
          <w:szCs w:val="24"/>
          <w:highlight w:val="none"/>
          <w:lang w:val="zh-CN"/>
        </w:rPr>
        <w:t>人依法组建的评标委员会负责。</w:t>
      </w:r>
      <w:r>
        <w:rPr>
          <w:rFonts w:hint="eastAsia" w:ascii="宋体" w:cs="宋体"/>
          <w:bCs/>
          <w:color w:val="auto"/>
          <w:sz w:val="24"/>
          <w:szCs w:val="24"/>
          <w:highlight w:val="none"/>
          <w:lang w:val="zh-CN"/>
        </w:rPr>
        <w:t>评标委员会由</w:t>
      </w:r>
      <w:r>
        <w:rPr>
          <w:rFonts w:hint="eastAsia" w:ascii="宋体" w:hAnsi="宋体" w:cs="Helvetica"/>
          <w:color w:val="auto"/>
          <w:sz w:val="24"/>
          <w:szCs w:val="24"/>
          <w:highlight w:val="none"/>
        </w:rPr>
        <w:t>采购人代表和评审专家</w:t>
      </w:r>
      <w:r>
        <w:rPr>
          <w:rFonts w:hint="eastAsia" w:ascii="宋体" w:hAnsi="宋体" w:cs="宋体"/>
          <w:color w:val="auto"/>
          <w:sz w:val="24"/>
          <w:szCs w:val="24"/>
          <w:highlight w:val="none"/>
          <w:lang w:val="zh-CN"/>
        </w:rPr>
        <w:t>共5人</w:t>
      </w:r>
      <w:r>
        <w:rPr>
          <w:rFonts w:hint="eastAsia" w:ascii="宋体" w:hAnsi="宋体" w:cs="宋体"/>
          <w:color w:val="auto"/>
          <w:sz w:val="24"/>
          <w:szCs w:val="24"/>
          <w:highlight w:val="none"/>
          <w:lang w:val="en-US" w:eastAsia="zh-CN"/>
        </w:rPr>
        <w:t>及</w:t>
      </w:r>
      <w:r>
        <w:rPr>
          <w:rFonts w:hint="eastAsia" w:ascii="宋体" w:hAnsi="宋体" w:cs="宋体"/>
          <w:color w:val="auto"/>
          <w:sz w:val="24"/>
          <w:szCs w:val="24"/>
          <w:highlight w:val="none"/>
          <w:lang w:val="zh-CN"/>
        </w:rPr>
        <w:t>以上单数组成。评标委员会的专家成员由代理机构</w:t>
      </w:r>
      <w:r>
        <w:rPr>
          <w:rFonts w:hint="eastAsia" w:ascii="宋体" w:hAnsi="宋体" w:cs="宋体"/>
          <w:color w:val="auto"/>
          <w:sz w:val="24"/>
          <w:szCs w:val="24"/>
          <w:highlight w:val="none"/>
          <w:lang w:val="en-US" w:eastAsia="zh-CN"/>
        </w:rPr>
        <w:t>在采购人的监督下</w:t>
      </w:r>
      <w:r>
        <w:rPr>
          <w:rFonts w:hint="eastAsia" w:ascii="宋体" w:hAnsi="宋体" w:cs="宋体"/>
          <w:color w:val="auto"/>
          <w:sz w:val="24"/>
          <w:szCs w:val="24"/>
          <w:highlight w:val="none"/>
          <w:lang w:val="zh-CN"/>
        </w:rPr>
        <w:t>从政采云”平台专家库中随机抽取产生，</w:t>
      </w:r>
      <w:r>
        <w:rPr>
          <w:rFonts w:hint="eastAsia" w:ascii="宋体" w:cs="宋体"/>
          <w:bCs/>
          <w:color w:val="auto"/>
          <w:sz w:val="24"/>
          <w:szCs w:val="24"/>
          <w:highlight w:val="none"/>
          <w:lang w:val="zh-CN"/>
        </w:rPr>
        <w:t>采购人代表由采购人委派（</w:t>
      </w:r>
      <w:r>
        <w:rPr>
          <w:color w:val="auto"/>
          <w:sz w:val="24"/>
          <w:szCs w:val="24"/>
          <w:highlight w:val="none"/>
        </w:rPr>
        <w:t>要向</w:t>
      </w:r>
      <w:r>
        <w:rPr>
          <w:rFonts w:hint="eastAsia"/>
          <w:color w:val="auto"/>
          <w:sz w:val="24"/>
          <w:szCs w:val="24"/>
          <w:highlight w:val="none"/>
          <w:lang w:eastAsia="zh-CN"/>
        </w:rPr>
        <w:t>代理机构</w:t>
      </w:r>
      <w:r>
        <w:rPr>
          <w:color w:val="auto"/>
          <w:sz w:val="24"/>
          <w:szCs w:val="24"/>
          <w:highlight w:val="none"/>
        </w:rPr>
        <w:t>出具授权函</w:t>
      </w:r>
      <w:r>
        <w:rPr>
          <w:rFonts w:hint="eastAsia" w:ascii="宋体" w:cs="宋体"/>
          <w:bCs/>
          <w:color w:val="auto"/>
          <w:sz w:val="24"/>
          <w:szCs w:val="24"/>
          <w:highlight w:val="none"/>
          <w:lang w:val="zh-CN"/>
        </w:rPr>
        <w:t>）</w:t>
      </w:r>
      <w:r>
        <w:rPr>
          <w:rFonts w:hint="eastAsia" w:ascii="宋体" w:hAnsi="宋体" w:cs="宋体"/>
          <w:color w:val="auto"/>
          <w:sz w:val="24"/>
          <w:szCs w:val="24"/>
          <w:highlight w:val="none"/>
          <w:lang w:val="zh-CN"/>
        </w:rPr>
        <w:t>。</w:t>
      </w:r>
      <w:r>
        <w:rPr>
          <w:rFonts w:hint="eastAsia" w:ascii="宋体" w:cs="宋体"/>
          <w:bCs/>
          <w:color w:val="auto"/>
          <w:sz w:val="24"/>
          <w:szCs w:val="24"/>
          <w:highlight w:val="none"/>
          <w:lang w:val="zh-CN"/>
        </w:rPr>
        <w:t>需要设立评标委员会主任的，评标委员会主任由专家担任，由评标委员会成员选举产生，负责主持具体评标工作。评标委员会根据有关法律法规和采购文件规定的方法和标准独立评标，负责完成评标的全过程直至评定中标人。</w:t>
      </w:r>
    </w:p>
    <w:p w14:paraId="14E15511">
      <w:pPr>
        <w:ind w:firstLine="482"/>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val="zh-CN"/>
        </w:rPr>
        <w:t>代理机构</w:t>
      </w:r>
      <w:r>
        <w:rPr>
          <w:rFonts w:hint="eastAsia" w:ascii="宋体" w:hAnsi="宋体" w:cs="宋体"/>
          <w:b/>
          <w:bCs/>
          <w:color w:val="auto"/>
          <w:sz w:val="24"/>
          <w:szCs w:val="24"/>
          <w:highlight w:val="none"/>
        </w:rPr>
        <w:t>应当</w:t>
      </w:r>
      <w:r>
        <w:rPr>
          <w:rFonts w:ascii="宋体" w:hAnsi="宋体" w:cs="宋体"/>
          <w:b/>
          <w:bCs/>
          <w:color w:val="auto"/>
          <w:sz w:val="24"/>
          <w:szCs w:val="24"/>
          <w:highlight w:val="none"/>
        </w:rPr>
        <w:t>组织评审专家认真核对</w:t>
      </w:r>
      <w:r>
        <w:rPr>
          <w:rFonts w:hint="eastAsia" w:ascii="宋体" w:hAnsi="宋体" w:cs="宋体"/>
          <w:b/>
          <w:bCs/>
          <w:color w:val="auto"/>
          <w:sz w:val="24"/>
          <w:szCs w:val="24"/>
          <w:highlight w:val="none"/>
          <w:lang w:val="en-US" w:eastAsia="zh-CN"/>
        </w:rPr>
        <w:t>采购</w:t>
      </w:r>
      <w:r>
        <w:rPr>
          <w:rFonts w:ascii="宋体" w:hAnsi="宋体" w:cs="宋体"/>
          <w:b/>
          <w:bCs/>
          <w:color w:val="auto"/>
          <w:sz w:val="24"/>
          <w:szCs w:val="24"/>
          <w:highlight w:val="none"/>
        </w:rPr>
        <w:t>、投标文件及相关资信证明材料，切实履行职责。</w:t>
      </w:r>
      <w:r>
        <w:rPr>
          <w:rFonts w:hint="eastAsia" w:ascii="宋体" w:hAnsi="宋体" w:cs="宋体"/>
          <w:b/>
          <w:bCs/>
          <w:color w:val="auto"/>
          <w:sz w:val="24"/>
          <w:szCs w:val="24"/>
          <w:highlight w:val="none"/>
        </w:rPr>
        <w:t>如</w:t>
      </w:r>
      <w:r>
        <w:rPr>
          <w:rFonts w:ascii="宋体" w:hAnsi="宋体" w:cs="宋体"/>
          <w:b/>
          <w:bCs/>
          <w:color w:val="auto"/>
          <w:sz w:val="24"/>
          <w:szCs w:val="24"/>
          <w:highlight w:val="none"/>
        </w:rPr>
        <w:t>发现评标过程中评审专家对有关政策、法律、制度规定等方面出现的误解，</w:t>
      </w:r>
      <w:r>
        <w:rPr>
          <w:rFonts w:hint="eastAsia" w:ascii="宋体" w:hAnsi="宋体" w:cs="宋体"/>
          <w:b/>
          <w:bCs/>
          <w:color w:val="auto"/>
          <w:sz w:val="24"/>
          <w:szCs w:val="24"/>
          <w:highlight w:val="none"/>
        </w:rPr>
        <w:t>应当</w:t>
      </w:r>
      <w:r>
        <w:rPr>
          <w:rFonts w:ascii="宋体" w:hAnsi="宋体" w:cs="宋体"/>
          <w:b/>
          <w:bCs/>
          <w:color w:val="auto"/>
          <w:sz w:val="24"/>
          <w:szCs w:val="24"/>
          <w:highlight w:val="none"/>
        </w:rPr>
        <w:t>并进行正确的阐述和纠偏</w:t>
      </w:r>
      <w:r>
        <w:rPr>
          <w:rFonts w:hint="eastAsia" w:ascii="宋体" w:hAnsi="宋体" w:cs="宋体"/>
          <w:b/>
          <w:bCs/>
          <w:color w:val="auto"/>
          <w:sz w:val="24"/>
          <w:szCs w:val="24"/>
          <w:highlight w:val="none"/>
        </w:rPr>
        <w:t>。</w:t>
      </w:r>
    </w:p>
    <w:p w14:paraId="1100EE3A">
      <w:pPr>
        <w:ind w:firstLine="482"/>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评标委员会成员如发现采购文件内容违反国家有关强制性规定的，应当停止评审并向采购人或者</w:t>
      </w:r>
      <w:r>
        <w:rPr>
          <w:rFonts w:hint="eastAsia" w:ascii="宋体" w:hAnsi="宋体" w:cs="宋体"/>
          <w:b/>
          <w:bCs/>
          <w:color w:val="auto"/>
          <w:sz w:val="24"/>
          <w:szCs w:val="24"/>
          <w:highlight w:val="none"/>
          <w:lang w:eastAsia="zh-CN"/>
        </w:rPr>
        <w:t>代理机构</w:t>
      </w:r>
      <w:r>
        <w:rPr>
          <w:rFonts w:hint="eastAsia" w:ascii="宋体" w:hAnsi="宋体" w:cs="宋体"/>
          <w:b/>
          <w:bCs/>
          <w:color w:val="auto"/>
          <w:sz w:val="24"/>
          <w:szCs w:val="24"/>
          <w:highlight w:val="none"/>
        </w:rPr>
        <w:t>说明情况并提出修改意见，采购人应当按照评审专家给出的意见修改采购文件，如采购人坚持不修改采购文件的，</w:t>
      </w:r>
      <w:r>
        <w:rPr>
          <w:rFonts w:hint="eastAsia" w:ascii="宋体" w:hAnsi="宋体" w:cs="宋体"/>
          <w:b/>
          <w:bCs/>
          <w:color w:val="auto"/>
          <w:sz w:val="24"/>
          <w:szCs w:val="24"/>
          <w:highlight w:val="none"/>
          <w:lang w:eastAsia="zh-CN"/>
        </w:rPr>
        <w:t>代理机构</w:t>
      </w:r>
      <w:r>
        <w:rPr>
          <w:rFonts w:hint="eastAsia" w:ascii="宋体" w:hAnsi="宋体" w:cs="宋体"/>
          <w:b/>
          <w:bCs/>
          <w:color w:val="auto"/>
          <w:sz w:val="24"/>
          <w:szCs w:val="24"/>
          <w:highlight w:val="none"/>
        </w:rPr>
        <w:t>可暂停本项目的采购工作，并报采购办处理。</w:t>
      </w:r>
    </w:p>
    <w:p w14:paraId="49513D8B">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6</w:t>
      </w:r>
      <w:r>
        <w:rPr>
          <w:rFonts w:ascii="宋体" w:hAnsi="宋体" w:cs="宋体"/>
          <w:b/>
          <w:bCs/>
          <w:color w:val="auto"/>
          <w:sz w:val="24"/>
          <w:szCs w:val="24"/>
          <w:highlight w:val="none"/>
          <w:lang w:val="zh-CN"/>
        </w:rPr>
        <w:t xml:space="preserve">.2 </w:t>
      </w:r>
      <w:r>
        <w:rPr>
          <w:rFonts w:hint="eastAsia" w:ascii="宋体" w:hAnsi="宋体" w:cs="宋体"/>
          <w:b/>
          <w:bCs/>
          <w:color w:val="auto"/>
          <w:sz w:val="24"/>
          <w:szCs w:val="24"/>
          <w:highlight w:val="none"/>
          <w:lang w:val="zh-CN"/>
        </w:rPr>
        <w:t>审查是否有投标人的报价超过采购预算：</w:t>
      </w:r>
      <w:r>
        <w:rPr>
          <w:rFonts w:hint="eastAsia" w:ascii="宋体" w:hAnsi="宋体" w:cs="宋体"/>
          <w:color w:val="auto"/>
          <w:sz w:val="24"/>
          <w:szCs w:val="24"/>
          <w:highlight w:val="none"/>
          <w:lang w:val="zh-CN"/>
        </w:rPr>
        <w:t>投标人的报价超过采购预算的，应予废标。</w:t>
      </w:r>
    </w:p>
    <w:p w14:paraId="4A45CE50">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6</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3 审查投标人是否存在串通投标行为：</w:t>
      </w:r>
      <w:r>
        <w:rPr>
          <w:rFonts w:hint="eastAsia" w:ascii="宋体" w:hAnsi="宋体" w:cs="宋体"/>
          <w:color w:val="auto"/>
          <w:sz w:val="24"/>
          <w:szCs w:val="24"/>
          <w:highlight w:val="none"/>
          <w:lang w:val="zh-CN"/>
        </w:rPr>
        <w:t>评标委员会发现投标人有下列情形之一的，将认定属于串通投标行为，相关投标人的投标应作废标处理。评标结束后，代理机构将以书面形式报告</w:t>
      </w:r>
      <w:r>
        <w:rPr>
          <w:rFonts w:hint="eastAsia" w:ascii="宋体" w:hAnsi="宋体" w:cs="宋体"/>
          <w:color w:val="auto"/>
          <w:sz w:val="24"/>
          <w:szCs w:val="24"/>
          <w:highlight w:val="none"/>
          <w:lang w:val="en-US" w:eastAsia="zh-CN"/>
        </w:rPr>
        <w:t>监督部门</w:t>
      </w:r>
      <w:r>
        <w:rPr>
          <w:rFonts w:hint="eastAsia" w:ascii="宋体" w:hAnsi="宋体" w:cs="宋体"/>
          <w:color w:val="auto"/>
          <w:sz w:val="24"/>
          <w:szCs w:val="24"/>
          <w:highlight w:val="none"/>
          <w:lang w:val="zh-CN"/>
        </w:rPr>
        <w:t>：</w:t>
      </w:r>
    </w:p>
    <w:p w14:paraId="0D85D0CD">
      <w:pPr>
        <w:ind w:firstLine="482"/>
        <w:rPr>
          <w:rFonts w:ascii="宋体" w:hAnsi="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Helvetica"/>
          <w:color w:val="auto"/>
          <w:sz w:val="24"/>
          <w:szCs w:val="24"/>
          <w:highlight w:val="none"/>
        </w:rPr>
        <w:t>不同投标人的投标文件异常一致或者投标报价呈规律性差异</w:t>
      </w:r>
      <w:r>
        <w:rPr>
          <w:rFonts w:hint="eastAsia" w:ascii="宋体" w:hAnsi="宋体" w:cs="宋体"/>
          <w:color w:val="auto"/>
          <w:sz w:val="24"/>
          <w:szCs w:val="24"/>
          <w:highlight w:val="none"/>
          <w:lang w:val="zh-CN"/>
        </w:rPr>
        <w:t>；</w:t>
      </w:r>
    </w:p>
    <w:p w14:paraId="752CF25D">
      <w:pPr>
        <w:ind w:firstLine="482"/>
        <w:rPr>
          <w:rFonts w:hint="eastAsia" w:ascii="宋体" w:hAnsi="宋体"/>
          <w:color w:val="auto"/>
          <w:sz w:val="24"/>
          <w:szCs w:val="24"/>
          <w:highlight w:val="none"/>
          <w:lang w:val="zh-CN"/>
        </w:rPr>
      </w:pPr>
      <w:r>
        <w:rPr>
          <w:rFonts w:hint="eastAsia" w:ascii="宋体" w:hAnsi="宋体" w:cs="宋体"/>
          <w:color w:val="auto"/>
          <w:sz w:val="24"/>
          <w:szCs w:val="24"/>
          <w:highlight w:val="none"/>
          <w:lang w:val="zh-CN"/>
        </w:rPr>
        <w:t>（2）不同投标人的投标文件相互混装的，或者相互加盖了对方公章的，或者相互出现了对方法定代表人或者授权代理人签名的，或者相互书写了对方名称的；</w:t>
      </w:r>
    </w:p>
    <w:p w14:paraId="0976BB30">
      <w:pPr>
        <w:ind w:firstLine="482"/>
        <w:rPr>
          <w:rFonts w:hint="eastAsia" w:ascii="宋体" w:hAnsi="宋体"/>
          <w:color w:val="auto"/>
          <w:sz w:val="24"/>
          <w:szCs w:val="24"/>
          <w:highlight w:val="none"/>
          <w:lang w:val="zh-CN"/>
        </w:rPr>
      </w:pPr>
      <w:r>
        <w:rPr>
          <w:rFonts w:hint="eastAsia" w:ascii="宋体" w:hAnsi="宋体" w:cs="宋体"/>
          <w:color w:val="auto"/>
          <w:sz w:val="24"/>
          <w:szCs w:val="24"/>
          <w:highlight w:val="none"/>
          <w:lang w:val="zh-CN"/>
        </w:rPr>
        <w:t>（3）一家投标人的投标文件中加盖了另一家投标人公章的；</w:t>
      </w:r>
    </w:p>
    <w:p w14:paraId="63821181">
      <w:pPr>
        <w:ind w:firstLine="482"/>
        <w:rPr>
          <w:rFonts w:hint="eastAsia" w:ascii="宋体" w:hAnsi="宋体"/>
          <w:color w:val="auto"/>
          <w:sz w:val="24"/>
          <w:szCs w:val="24"/>
          <w:highlight w:val="none"/>
          <w:lang w:val="zh-CN"/>
        </w:rPr>
      </w:pPr>
      <w:r>
        <w:rPr>
          <w:rFonts w:hint="eastAsia" w:ascii="宋体" w:hAnsi="宋体" w:cs="宋体"/>
          <w:color w:val="auto"/>
          <w:sz w:val="24"/>
          <w:szCs w:val="24"/>
          <w:highlight w:val="none"/>
          <w:lang w:val="zh-CN"/>
        </w:rPr>
        <w:t>（4）</w:t>
      </w:r>
      <w:r>
        <w:rPr>
          <w:rFonts w:hint="eastAsia" w:ascii="宋体" w:hAnsi="宋体" w:cs="Helvetica"/>
          <w:color w:val="auto"/>
          <w:sz w:val="24"/>
          <w:szCs w:val="24"/>
          <w:highlight w:val="none"/>
        </w:rPr>
        <w:t>不同投标人的投标文件载明的项目管理成员或者联系人员为同一人</w:t>
      </w:r>
      <w:r>
        <w:rPr>
          <w:rFonts w:hint="eastAsia" w:ascii="宋体" w:hAnsi="宋体" w:cs="宋体"/>
          <w:color w:val="auto"/>
          <w:sz w:val="24"/>
          <w:szCs w:val="24"/>
          <w:highlight w:val="none"/>
          <w:lang w:val="zh-CN"/>
        </w:rPr>
        <w:t>；</w:t>
      </w:r>
    </w:p>
    <w:p w14:paraId="03AC42BB">
      <w:pPr>
        <w:ind w:firstLine="482"/>
        <w:rPr>
          <w:rFonts w:hint="eastAsia" w:ascii="宋体" w:hAnsi="宋体"/>
          <w:color w:val="auto"/>
          <w:sz w:val="24"/>
          <w:szCs w:val="24"/>
          <w:highlight w:val="none"/>
          <w:lang w:val="zh-CN"/>
        </w:rPr>
      </w:pPr>
      <w:r>
        <w:rPr>
          <w:rFonts w:hint="eastAsia" w:ascii="宋体" w:hAnsi="宋体" w:cs="宋体"/>
          <w:color w:val="auto"/>
          <w:sz w:val="24"/>
          <w:szCs w:val="24"/>
          <w:highlight w:val="none"/>
          <w:lang w:val="zh-CN"/>
        </w:rPr>
        <w:t>（5）不同投标人的投标文件中相关内容的段落、字句、售后服务电话、联系人姓名等非正常一致的；</w:t>
      </w:r>
    </w:p>
    <w:p w14:paraId="50AF442E">
      <w:pPr>
        <w:ind w:firstLine="482"/>
        <w:rPr>
          <w:rFonts w:hint="eastAsia" w:ascii="宋体" w:hAnsi="宋体"/>
          <w:color w:val="auto"/>
          <w:sz w:val="24"/>
          <w:szCs w:val="24"/>
          <w:highlight w:val="none"/>
          <w:lang w:val="zh-CN"/>
        </w:rPr>
      </w:pPr>
      <w:r>
        <w:rPr>
          <w:rFonts w:hint="eastAsia" w:ascii="宋体" w:hAnsi="宋体" w:cs="宋体"/>
          <w:color w:val="auto"/>
          <w:sz w:val="24"/>
          <w:szCs w:val="24"/>
          <w:highlight w:val="none"/>
          <w:lang w:val="zh-CN"/>
        </w:rPr>
        <w:t>（6）一家投标人的投标文件中</w:t>
      </w:r>
      <w:r>
        <w:rPr>
          <w:rFonts w:hint="eastAsia" w:ascii="宋体" w:hAnsi="宋体" w:cs="宋体"/>
          <w:color w:val="auto"/>
          <w:sz w:val="24"/>
          <w:szCs w:val="24"/>
          <w:highlight w:val="none"/>
          <w:lang w:val="en-US" w:eastAsia="zh-CN"/>
        </w:rPr>
        <w:t>响应</w:t>
      </w:r>
      <w:r>
        <w:rPr>
          <w:rFonts w:hint="eastAsia" w:ascii="宋体" w:hAnsi="宋体" w:cs="宋体"/>
          <w:color w:val="auto"/>
          <w:sz w:val="24"/>
          <w:szCs w:val="24"/>
          <w:highlight w:val="none"/>
          <w:lang w:val="zh-CN"/>
        </w:rPr>
        <w:t>了标有另一家投标人名称的文件材料，或者出现了另一家法定代表人或者授予代理人签名的，其投标作废标处理；</w:t>
      </w:r>
    </w:p>
    <w:p w14:paraId="26493777">
      <w:pPr>
        <w:ind w:firstLine="482"/>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（7）不同投标人的投标文件由同一投标人或者同一个人编制的；</w:t>
      </w:r>
    </w:p>
    <w:p w14:paraId="1F1C5A64">
      <w:pPr>
        <w:ind w:firstLine="482"/>
        <w:rPr>
          <w:rFonts w:hint="eastAsia" w:ascii="Helvetica" w:hAnsi="Helvetica" w:cs="Helvetica"/>
          <w:color w:val="auto"/>
          <w:sz w:val="24"/>
          <w:szCs w:val="24"/>
          <w:highlight w:val="none"/>
        </w:rPr>
      </w:pPr>
      <w:r>
        <w:rPr>
          <w:rFonts w:hint="eastAsia" w:ascii="宋体" w:hAnsi="宋体" w:cs="Helvetica"/>
          <w:color w:val="auto"/>
          <w:sz w:val="24"/>
          <w:szCs w:val="24"/>
          <w:highlight w:val="none"/>
        </w:rPr>
        <w:t>（8）不同投标人委托同一单位或者个人办理投标事宜；</w:t>
      </w:r>
    </w:p>
    <w:p w14:paraId="58A8814A">
      <w:pPr>
        <w:ind w:firstLine="482"/>
        <w:rPr>
          <w:rFonts w:ascii="宋体" w:hAnsi="宋体"/>
          <w:color w:val="auto"/>
          <w:sz w:val="24"/>
          <w:szCs w:val="24"/>
          <w:highlight w:val="none"/>
          <w:lang w:val="zh-CN"/>
        </w:rPr>
      </w:pPr>
      <w:r>
        <w:rPr>
          <w:rFonts w:hint="eastAsia" w:ascii="宋体" w:hAnsi="宋体" w:cs="Helvetica"/>
          <w:color w:val="auto"/>
          <w:sz w:val="24"/>
          <w:szCs w:val="24"/>
          <w:highlight w:val="none"/>
        </w:rPr>
        <w:t>（9）不同投标人的投标保证金从同一单位或者个人的账户转出；</w:t>
      </w:r>
    </w:p>
    <w:p w14:paraId="38B5E209">
      <w:pPr>
        <w:ind w:firstLine="482"/>
        <w:rPr>
          <w:rFonts w:ascii="宋体" w:hAnsi="宋体"/>
          <w:color w:val="auto"/>
          <w:sz w:val="24"/>
          <w:szCs w:val="24"/>
          <w:highlight w:val="none"/>
          <w:lang w:val="zh-CN"/>
        </w:rPr>
      </w:pPr>
      <w:r>
        <w:rPr>
          <w:rFonts w:hint="eastAsia" w:ascii="宋体" w:hAnsi="宋体" w:cs="宋体"/>
          <w:color w:val="auto"/>
          <w:sz w:val="24"/>
          <w:szCs w:val="24"/>
          <w:highlight w:val="none"/>
          <w:lang w:val="zh-CN"/>
        </w:rPr>
        <w:t>（10）供应商串通投标的其他情形。</w:t>
      </w:r>
    </w:p>
    <w:p w14:paraId="0B54AC04">
      <w:pPr>
        <w:ind w:firstLine="482"/>
        <w:rPr>
          <w:rFonts w:hint="eastAsia" w:ascii="宋体" w:hAnsi="宋体" w:cs="宋体"/>
          <w:color w:val="auto"/>
          <w:sz w:val="24"/>
          <w:szCs w:val="24"/>
          <w:highlight w:val="none"/>
          <w:lang w:val="zh-CN"/>
        </w:rPr>
      </w:pPr>
      <w:r>
        <w:rPr>
          <w:rFonts w:hint="eastAsia" w:ascii="宋体" w:hAnsi="宋体" w:cs="宋体"/>
          <w:b/>
          <w:color w:val="auto"/>
          <w:sz w:val="24"/>
          <w:szCs w:val="24"/>
          <w:highlight w:val="none"/>
          <w:lang w:val="zh-CN"/>
        </w:rPr>
        <w:t>16.4 对投标人资格进行审查：</w:t>
      </w:r>
      <w:r>
        <w:rPr>
          <w:rFonts w:hint="eastAsia" w:ascii="宋体" w:hAnsi="宋体" w:cs="宋体"/>
          <w:color w:val="auto"/>
          <w:sz w:val="24"/>
          <w:szCs w:val="24"/>
          <w:highlight w:val="none"/>
          <w:lang w:val="zh-CN"/>
        </w:rPr>
        <w:t>采购人或者采购代理机构将审查每个投标人提交的资格审查文件是否齐全完整，是否合法有效，是否有重大偏离和保留，是否符合采购文件要求。投标人资格审查不符合采购文件要求的投标文件将被拒绝。</w:t>
      </w:r>
    </w:p>
    <w:p w14:paraId="0BFF8FA4">
      <w:pPr>
        <w:ind w:firstLine="482" w:firstLineChars="200"/>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lang w:val="zh-CN"/>
        </w:rPr>
        <w:t>16.5 对投标文件商务和技术部分（符合性）进行审查：</w:t>
      </w:r>
    </w:p>
    <w:p w14:paraId="3959B774">
      <w:pPr>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16.5.1 对于资格审查合格的投标人，评标委员会将审查其投标文件商务和技术部分是否对采购文件规定的事项、格式、条款和技术规格等要求都做出了实质性响应。</w:t>
      </w:r>
    </w:p>
    <w:p w14:paraId="563E0E5C">
      <w:pPr>
        <w:ind w:firstLine="480" w:firstLineChars="200"/>
        <w:rPr>
          <w:rFonts w:ascii="宋体" w:hAnsi="宋体"/>
          <w:color w:val="auto"/>
          <w:sz w:val="24"/>
          <w:szCs w:val="24"/>
          <w:highlight w:val="none"/>
          <w:lang w:val="zh-CN"/>
        </w:rPr>
      </w:pPr>
      <w:r>
        <w:rPr>
          <w:rFonts w:hint="eastAsia" w:ascii="宋体" w:hAnsi="宋体" w:cs="宋体"/>
          <w:color w:val="auto"/>
          <w:sz w:val="24"/>
          <w:szCs w:val="24"/>
          <w:highlight w:val="none"/>
          <w:lang w:val="zh-CN"/>
        </w:rPr>
        <w:t>16.5.2 实质性响应的投标是指与采购文件规定的事项、条款、条件和技术规格相符，没有重大偏离和保留。没有实质性响应采购文件要求的投标将被拒绝。</w:t>
      </w:r>
    </w:p>
    <w:p w14:paraId="3E2267F1">
      <w:pPr>
        <w:ind w:firstLine="480"/>
        <w:rPr>
          <w:rFonts w:ascii="宋体" w:hAnsi="宋体"/>
          <w:b/>
          <w:bCs/>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6</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6</w:t>
      </w:r>
      <w:r>
        <w:rPr>
          <w:rFonts w:ascii="宋体" w:hAnsi="宋体" w:cs="宋体"/>
          <w:b/>
          <w:bCs/>
          <w:color w:val="auto"/>
          <w:sz w:val="24"/>
          <w:szCs w:val="24"/>
          <w:highlight w:val="none"/>
          <w:lang w:val="zh-CN"/>
        </w:rPr>
        <w:t xml:space="preserve"> </w:t>
      </w:r>
      <w:r>
        <w:rPr>
          <w:rFonts w:hint="eastAsia" w:ascii="宋体" w:hAnsi="宋体" w:cs="宋体"/>
          <w:b/>
          <w:bCs/>
          <w:color w:val="auto"/>
          <w:sz w:val="24"/>
          <w:szCs w:val="24"/>
          <w:highlight w:val="none"/>
          <w:lang w:val="zh-CN"/>
        </w:rPr>
        <w:t>重大偏离和保留是指实质上影响合同的供货范围、质量和性能，或者实质上限制了合同中采购人的权利或投标人的义务。投标文件有下列情形之一的属于重大偏离和保留，将作废标处理：</w:t>
      </w:r>
    </w:p>
    <w:p w14:paraId="219E150B">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）投标文件不完整、无效或不符合采购文件的规定；</w:t>
      </w:r>
    </w:p>
    <w:p w14:paraId="2AE7A7DD">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2</w:t>
      </w:r>
      <w:r>
        <w:rPr>
          <w:rFonts w:hint="eastAsia" w:ascii="宋体" w:hAnsi="宋体" w:cs="宋体"/>
          <w:color w:val="auto"/>
          <w:sz w:val="24"/>
          <w:szCs w:val="24"/>
          <w:highlight w:val="none"/>
          <w:lang w:val="zh-CN"/>
        </w:rPr>
        <w:t>）投标文件未按采购文件的规定</w:t>
      </w:r>
      <w:r>
        <w:rPr>
          <w:rFonts w:hint="eastAsia" w:ascii="宋体" w:hAnsi="宋体" w:cs="黑体"/>
          <w:bCs/>
          <w:color w:val="auto"/>
          <w:sz w:val="24"/>
          <w:szCs w:val="24"/>
          <w:highlight w:val="none"/>
          <w:lang w:val="zh-CN"/>
        </w:rPr>
        <w:t>有效签署和</w:t>
      </w:r>
      <w:r>
        <w:rPr>
          <w:rFonts w:ascii="宋体" w:hAnsi="宋体" w:cs="黑体"/>
          <w:bCs/>
          <w:color w:val="auto"/>
          <w:sz w:val="24"/>
          <w:szCs w:val="24"/>
          <w:highlight w:val="none"/>
          <w:lang w:val="zh-CN"/>
        </w:rPr>
        <w:t>/</w:t>
      </w:r>
      <w:r>
        <w:rPr>
          <w:rFonts w:hint="eastAsia" w:ascii="宋体" w:hAnsi="宋体" w:cs="黑体"/>
          <w:bCs/>
          <w:color w:val="auto"/>
          <w:sz w:val="24"/>
          <w:szCs w:val="24"/>
          <w:highlight w:val="none"/>
          <w:lang w:val="zh-CN"/>
        </w:rPr>
        <w:t>或加盖公章</w:t>
      </w:r>
      <w:r>
        <w:rPr>
          <w:rFonts w:hint="eastAsia" w:ascii="宋体" w:hAnsi="宋体" w:cs="宋体"/>
          <w:color w:val="auto"/>
          <w:sz w:val="24"/>
          <w:szCs w:val="24"/>
          <w:highlight w:val="none"/>
          <w:lang w:val="zh-CN"/>
        </w:rPr>
        <w:t>；</w:t>
      </w:r>
    </w:p>
    <w:p w14:paraId="6A47DA3F">
      <w:pPr>
        <w:tabs>
          <w:tab w:val="left" w:pos="1920"/>
        </w:tabs>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3</w:t>
      </w:r>
      <w:r>
        <w:rPr>
          <w:rFonts w:hint="eastAsia" w:ascii="宋体" w:hAnsi="宋体" w:cs="宋体"/>
          <w:color w:val="auto"/>
          <w:sz w:val="24"/>
          <w:szCs w:val="24"/>
          <w:highlight w:val="none"/>
          <w:lang w:val="zh-CN"/>
        </w:rPr>
        <w:t>）投标文件载明的项目完成期限超过采购文件规定的期限；</w:t>
      </w:r>
    </w:p>
    <w:p w14:paraId="03DC9C0E">
      <w:pPr>
        <w:tabs>
          <w:tab w:val="left" w:pos="1920"/>
        </w:tabs>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4</w:t>
      </w:r>
      <w:r>
        <w:rPr>
          <w:rFonts w:hint="eastAsia" w:ascii="宋体" w:hAnsi="宋体" w:cs="宋体"/>
          <w:color w:val="auto"/>
          <w:sz w:val="24"/>
          <w:szCs w:val="24"/>
          <w:highlight w:val="none"/>
          <w:lang w:val="zh-CN"/>
        </w:rPr>
        <w:t>）投标文件明显不符合采购文件规定的技术规格、技术标准要求；</w:t>
      </w:r>
    </w:p>
    <w:p w14:paraId="1DC4EA19">
      <w:pPr>
        <w:tabs>
          <w:tab w:val="left" w:pos="1920"/>
        </w:tabs>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5</w:t>
      </w:r>
      <w:r>
        <w:rPr>
          <w:rFonts w:hint="eastAsia" w:ascii="宋体" w:hAnsi="宋体" w:cs="宋体"/>
          <w:color w:val="auto"/>
          <w:sz w:val="24"/>
          <w:szCs w:val="24"/>
          <w:highlight w:val="none"/>
          <w:lang w:val="zh-CN"/>
        </w:rPr>
        <w:t>）投标文件载明的货物包装方式、方法和标准等不符合采购文件要求；</w:t>
      </w:r>
    </w:p>
    <w:p w14:paraId="115D1270">
      <w:pPr>
        <w:tabs>
          <w:tab w:val="left" w:pos="1920"/>
        </w:tabs>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lang w:val="zh-CN"/>
        </w:rPr>
        <w:t xml:space="preserve">）投标文件附件有采购人不能接受的条件； </w:t>
      </w:r>
    </w:p>
    <w:p w14:paraId="6AC2B76E">
      <w:pPr>
        <w:tabs>
          <w:tab w:val="left" w:pos="1920"/>
        </w:tabs>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lang w:val="zh-CN"/>
        </w:rPr>
        <w:t>）投标文件未按采购文件规定格式和顺序编制的；</w:t>
      </w:r>
    </w:p>
    <w:p w14:paraId="253BC7CD">
      <w:pPr>
        <w:ind w:firstLine="482"/>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lang w:val="zh-CN"/>
        </w:rPr>
        <w:t>）不符合采购文件规定的其他实质性要求。</w:t>
      </w:r>
    </w:p>
    <w:p w14:paraId="2DE760CA">
      <w:pPr>
        <w:ind w:firstLine="482"/>
        <w:rPr>
          <w:rFonts w:ascii="宋体" w:hAnsi="宋体"/>
          <w:color w:val="auto"/>
          <w:sz w:val="24"/>
          <w:szCs w:val="24"/>
          <w:highlight w:val="none"/>
          <w:lang w:val="zh-CN"/>
        </w:rPr>
      </w:pPr>
      <w:r>
        <w:rPr>
          <w:rFonts w:ascii="宋体" w:hAnsi="宋体" w:cs="宋体"/>
          <w:b/>
          <w:color w:val="auto"/>
          <w:sz w:val="24"/>
          <w:szCs w:val="24"/>
          <w:highlight w:val="none"/>
          <w:lang w:val="zh-CN"/>
        </w:rPr>
        <w:t>1</w:t>
      </w:r>
      <w:r>
        <w:rPr>
          <w:rFonts w:hint="eastAsia" w:ascii="宋体" w:hAnsi="宋体" w:cs="宋体"/>
          <w:b/>
          <w:color w:val="auto"/>
          <w:sz w:val="24"/>
          <w:szCs w:val="24"/>
          <w:highlight w:val="none"/>
          <w:lang w:val="zh-CN"/>
        </w:rPr>
        <w:t>6</w:t>
      </w:r>
      <w:r>
        <w:rPr>
          <w:rFonts w:ascii="宋体" w:hAnsi="宋体" w:cs="宋体"/>
          <w:b/>
          <w:color w:val="auto"/>
          <w:sz w:val="24"/>
          <w:szCs w:val="24"/>
          <w:highlight w:val="none"/>
          <w:lang w:val="zh-CN"/>
        </w:rPr>
        <w:t>.</w:t>
      </w:r>
      <w:r>
        <w:rPr>
          <w:rFonts w:hint="eastAsia" w:ascii="宋体" w:hAnsi="宋体" w:cs="宋体"/>
          <w:b/>
          <w:color w:val="auto"/>
          <w:sz w:val="24"/>
          <w:szCs w:val="24"/>
          <w:highlight w:val="none"/>
          <w:lang w:val="zh-CN"/>
        </w:rPr>
        <w:t xml:space="preserve">7 </w:t>
      </w:r>
      <w:r>
        <w:rPr>
          <w:rFonts w:hint="eastAsia" w:ascii="宋体" w:hAnsi="宋体" w:cs="宋体"/>
          <w:color w:val="auto"/>
          <w:sz w:val="24"/>
          <w:szCs w:val="24"/>
          <w:highlight w:val="none"/>
          <w:lang w:val="zh-CN"/>
        </w:rPr>
        <w:t>评标委员会将允许修正投标文件中不构成重大偏离的细微偏离，但这些修正应不会对实质上响应采购文件要求的投标人的竞争地位（相互排序）产生不公正的影响。</w:t>
      </w:r>
    </w:p>
    <w:p w14:paraId="0EC08978">
      <w:pPr>
        <w:ind w:firstLine="480"/>
        <w:rPr>
          <w:rFonts w:hint="eastAsia" w:ascii="宋体" w:hAnsi="宋体" w:cs="宋体"/>
          <w:bCs/>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6</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8</w:t>
      </w: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评标委员会对投标文件的判定，只依据投标文件内容本身，不依据任何外来证明。</w:t>
      </w:r>
    </w:p>
    <w:p w14:paraId="170D2F38">
      <w:pPr>
        <w:ind w:firstLine="480"/>
        <w:rPr>
          <w:rFonts w:ascii="宋体" w:cs="宋体"/>
          <w:b/>
          <w:bCs/>
          <w:color w:val="auto"/>
          <w:sz w:val="24"/>
          <w:szCs w:val="24"/>
          <w:highlight w:val="none"/>
          <w:lang w:val="zh-CN"/>
        </w:rPr>
      </w:pPr>
      <w:r>
        <w:rPr>
          <w:rFonts w:hint="eastAsia" w:ascii="宋体" w:cs="宋体"/>
          <w:b/>
          <w:color w:val="auto"/>
          <w:sz w:val="24"/>
          <w:szCs w:val="24"/>
          <w:highlight w:val="none"/>
          <w:lang w:val="zh-CN"/>
        </w:rPr>
        <w:t xml:space="preserve">16.9 </w:t>
      </w:r>
      <w:r>
        <w:rPr>
          <w:rFonts w:hint="eastAsia" w:ascii="宋体" w:cs="宋体"/>
          <w:color w:val="auto"/>
          <w:sz w:val="24"/>
          <w:szCs w:val="24"/>
          <w:highlight w:val="none"/>
          <w:lang w:val="zh-CN"/>
        </w:rPr>
        <w:t>提供相同品牌产品且通过资格审查、符合性审查的不同投标人参加同一合同项下投标的，按一家投标人计算，评审后得分最高的同品牌投标人获得中标人推荐资格</w:t>
      </w:r>
      <w:r>
        <w:rPr>
          <w:rFonts w:hint="eastAsia" w:ascii="宋体" w:cs="宋体"/>
          <w:b/>
          <w:bCs/>
          <w:color w:val="auto"/>
          <w:sz w:val="24"/>
          <w:szCs w:val="24"/>
          <w:highlight w:val="none"/>
          <w:lang w:val="zh-CN"/>
        </w:rPr>
        <w:t>。</w:t>
      </w:r>
    </w:p>
    <w:p w14:paraId="348FC983">
      <w:pPr>
        <w:ind w:firstLine="480"/>
        <w:rPr>
          <w:rFonts w:ascii="宋体" w:hAnsi="宋体"/>
          <w:bCs/>
          <w:color w:val="auto"/>
          <w:sz w:val="24"/>
          <w:szCs w:val="24"/>
          <w:highlight w:val="none"/>
          <w:lang w:val="zh-CN"/>
        </w:rPr>
      </w:pPr>
      <w:r>
        <w:rPr>
          <w:rFonts w:hint="eastAsia" w:ascii="宋体" w:cs="宋体"/>
          <w:b/>
          <w:bCs/>
          <w:color w:val="auto"/>
          <w:sz w:val="24"/>
          <w:szCs w:val="24"/>
          <w:highlight w:val="none"/>
          <w:lang w:val="zh-CN"/>
        </w:rPr>
        <w:t>非单一产品采购项目，采购人应合理确定核心产品并在采购文件中载明。多家投标人提供的核心产品品牌相同的，按前款规定处理。</w:t>
      </w:r>
    </w:p>
    <w:p w14:paraId="275DEDA0">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6</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10</w:t>
      </w:r>
      <w:r>
        <w:rPr>
          <w:rFonts w:ascii="宋体" w:hAnsi="宋体" w:cs="宋体"/>
          <w:bCs/>
          <w:color w:val="auto"/>
          <w:sz w:val="24"/>
          <w:szCs w:val="24"/>
          <w:highlight w:val="none"/>
          <w:lang w:val="zh-CN"/>
        </w:rPr>
        <w:t xml:space="preserve"> </w:t>
      </w:r>
      <w:r>
        <w:rPr>
          <w:rFonts w:hint="eastAsia" w:ascii="宋体" w:hAnsi="宋体" w:cs="宋体"/>
          <w:b/>
          <w:bCs/>
          <w:color w:val="auto"/>
          <w:sz w:val="24"/>
          <w:szCs w:val="24"/>
          <w:highlight w:val="none"/>
          <w:lang w:val="zh-CN"/>
        </w:rPr>
        <w:t>投标报价的审查：</w:t>
      </w:r>
      <w:r>
        <w:rPr>
          <w:rFonts w:hint="eastAsia" w:ascii="宋体" w:hAnsi="宋体" w:cs="宋体"/>
          <w:color w:val="auto"/>
          <w:sz w:val="24"/>
          <w:szCs w:val="24"/>
          <w:highlight w:val="none"/>
          <w:lang w:val="zh-CN"/>
        </w:rPr>
        <w:t>评标委员会将对商务审查、技术审查合格的投标文件的报价进行审核，看其是否有计算和累加上的错误。修正错误的原则如下：投标报价以《开标一览表》的报价为准。</w:t>
      </w:r>
    </w:p>
    <w:p w14:paraId="20D4CAEF">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6</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11</w:t>
      </w:r>
      <w:r>
        <w:rPr>
          <w:rFonts w:ascii="宋体" w:hAnsi="宋体" w:cs="宋体"/>
          <w:b/>
          <w:bCs/>
          <w:color w:val="auto"/>
          <w:sz w:val="24"/>
          <w:szCs w:val="24"/>
          <w:highlight w:val="none"/>
          <w:lang w:val="zh-CN"/>
        </w:rPr>
        <w:t xml:space="preserve"> </w:t>
      </w:r>
      <w:r>
        <w:rPr>
          <w:rFonts w:hint="eastAsia" w:ascii="宋体" w:hAnsi="宋体" w:cs="宋体"/>
          <w:b/>
          <w:bCs/>
          <w:color w:val="auto"/>
          <w:sz w:val="24"/>
          <w:szCs w:val="24"/>
          <w:highlight w:val="none"/>
          <w:lang w:val="zh-CN"/>
        </w:rPr>
        <w:t>澄清：</w:t>
      </w:r>
      <w:r>
        <w:rPr>
          <w:rFonts w:hint="eastAsia" w:ascii="宋体" w:hAnsi="宋体" w:cs="宋体"/>
          <w:color w:val="auto"/>
          <w:sz w:val="24"/>
          <w:szCs w:val="24"/>
          <w:highlight w:val="none"/>
          <w:lang w:val="zh-CN"/>
        </w:rPr>
        <w:t>评标委员会对于投标文件实质性响应了采购文件要求，但在个别地方提供了不完整的技术信息和数据，以及同类问题表述不一致或者有明显文字和计算错误等细微偏离问题，将以书面形式（澄清细微偏离由评标委员会依据采购文件集体决定并由评标委员会专家签字）要求投标人在规定的时限内（在评标结束前）作出必要的澄清、说明或者补正。投标人的澄清、说明或者补正应当采用书面形式，</w:t>
      </w:r>
      <w:r>
        <w:rPr>
          <w:rFonts w:hint="eastAsia" w:ascii="宋体" w:hAnsi="宋体" w:cs="黑体"/>
          <w:bCs/>
          <w:color w:val="auto"/>
          <w:sz w:val="24"/>
          <w:szCs w:val="24"/>
          <w:highlight w:val="none"/>
          <w:lang w:val="zh-CN"/>
        </w:rPr>
        <w:t>由投标人法定代表人或其授权代理人签字（须提交签字人身份证件并与投标文件签字人一致），</w:t>
      </w:r>
      <w:r>
        <w:rPr>
          <w:rFonts w:hint="eastAsia" w:ascii="宋体" w:hAnsi="宋体" w:cs="宋体"/>
          <w:color w:val="auto"/>
          <w:sz w:val="24"/>
          <w:szCs w:val="24"/>
          <w:highlight w:val="none"/>
          <w:lang w:val="zh-CN"/>
        </w:rPr>
        <w:t>并不得超出投标文件的范围或者改变投标文件的实质性内容。投标人拒不进行澄清、说明、补正的，或者不能在规定时间内作出书面澄清、说明、补正的，评标委员会将拒绝其投标。</w:t>
      </w:r>
    </w:p>
    <w:p w14:paraId="26F3EF46">
      <w:pPr>
        <w:ind w:firstLine="482"/>
        <w:rPr>
          <w:rFonts w:ascii="宋体" w:hAnsi="宋体"/>
          <w:b/>
          <w:color w:val="auto"/>
          <w:sz w:val="24"/>
          <w:highlight w:val="none"/>
        </w:rPr>
      </w:pPr>
      <w:r>
        <w:rPr>
          <w:rFonts w:hint="eastAsia" w:ascii="宋体" w:hAnsi="宋体"/>
          <w:b/>
          <w:color w:val="auto"/>
          <w:sz w:val="24"/>
          <w:highlight w:val="none"/>
        </w:rPr>
        <w:t>*接受细微偏离有利于采购成功，不应因细微偏离而废标。</w:t>
      </w:r>
    </w:p>
    <w:p w14:paraId="5BCEF1AB">
      <w:pPr>
        <w:tabs>
          <w:tab w:val="left" w:pos="3675"/>
        </w:tabs>
        <w:ind w:firstLine="482"/>
        <w:rPr>
          <w:rFonts w:ascii="宋体" w:hAnsi="宋体" w:cs="宋体"/>
          <w:b/>
          <w:bCs/>
          <w:color w:val="auto"/>
          <w:sz w:val="24"/>
          <w:szCs w:val="24"/>
          <w:highlight w:val="none"/>
          <w:lang w:val="zh-CN"/>
        </w:rPr>
      </w:pPr>
    </w:p>
    <w:p w14:paraId="59D0FC88">
      <w:pPr>
        <w:tabs>
          <w:tab w:val="left" w:pos="3675"/>
        </w:tabs>
        <w:ind w:firstLine="482"/>
        <w:outlineLvl w:val="1"/>
        <w:rPr>
          <w:rFonts w:ascii="宋体" w:hAnsi="宋体"/>
          <w:b/>
          <w:bCs/>
          <w:color w:val="auto"/>
          <w:sz w:val="24"/>
          <w:szCs w:val="24"/>
          <w:highlight w:val="none"/>
          <w:lang w:val="zh-CN"/>
        </w:rPr>
      </w:pPr>
      <w:bookmarkStart w:id="38" w:name="_Toc25372"/>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7</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政府采购进口产品的规定</w:t>
      </w:r>
      <w:bookmarkEnd w:id="38"/>
    </w:p>
    <w:p w14:paraId="5D20B7DA">
      <w:pPr>
        <w:ind w:firstLine="480"/>
        <w:rPr>
          <w:rFonts w:ascii="宋体" w:hAnsi="宋体"/>
          <w:color w:val="auto"/>
          <w:sz w:val="24"/>
          <w:szCs w:val="24"/>
          <w:highlight w:val="none"/>
        </w:rPr>
      </w:pPr>
      <w:r>
        <w:rPr>
          <w:rFonts w:hint="eastAsia" w:ascii="宋体" w:hAnsi="宋体" w:cs="宋体"/>
          <w:color w:val="auto"/>
          <w:sz w:val="24"/>
          <w:szCs w:val="24"/>
          <w:highlight w:val="none"/>
          <w:lang w:val="zh-CN"/>
        </w:rPr>
        <w:t>按照财政部《政府采购进口产品管理办法》第一章第四条关于</w:t>
      </w:r>
      <w:r>
        <w:rPr>
          <w:rFonts w:ascii="宋体" w:hAnsi="宋体"/>
          <w:color w:val="auto"/>
          <w:sz w:val="24"/>
          <w:szCs w:val="24"/>
          <w:highlight w:val="none"/>
          <w:lang w:val="zh-CN"/>
        </w:rPr>
        <w:t>“</w:t>
      </w:r>
      <w:r>
        <w:rPr>
          <w:rFonts w:hint="eastAsia" w:ascii="宋体" w:hAnsi="宋体" w:cs="宋体"/>
          <w:color w:val="auto"/>
          <w:sz w:val="24"/>
          <w:szCs w:val="24"/>
          <w:highlight w:val="none"/>
          <w:lang w:val="zh-CN"/>
        </w:rPr>
        <w:t>政府采购应当采购本国产品，确需采购进口产品（指通过中国海关报关验放进入中国境内且产自关境外的产品）的，实行审核管理</w:t>
      </w:r>
      <w:r>
        <w:rPr>
          <w:rFonts w:ascii="宋体" w:hAnsi="宋体"/>
          <w:color w:val="auto"/>
          <w:sz w:val="24"/>
          <w:szCs w:val="24"/>
          <w:highlight w:val="none"/>
          <w:lang w:val="zh-CN"/>
        </w:rPr>
        <w:t>”</w:t>
      </w:r>
      <w:r>
        <w:rPr>
          <w:rFonts w:hint="eastAsia" w:ascii="宋体" w:hAnsi="宋体" w:cs="宋体"/>
          <w:color w:val="auto"/>
          <w:sz w:val="24"/>
          <w:szCs w:val="24"/>
          <w:highlight w:val="none"/>
          <w:lang w:val="zh-CN"/>
        </w:rPr>
        <w:t>的规定，采购文件中凡未明确标明采购进口产品的，均为采购本国产品，投标人必须投标本国产品，投标进口产品的为无效投标。</w:t>
      </w:r>
    </w:p>
    <w:p w14:paraId="1910F360">
      <w:pPr>
        <w:tabs>
          <w:tab w:val="left" w:pos="3120"/>
        </w:tabs>
        <w:ind w:firstLine="482"/>
        <w:rPr>
          <w:rFonts w:ascii="宋体" w:hAnsi="宋体"/>
          <w:b/>
          <w:bCs/>
          <w:color w:val="auto"/>
          <w:sz w:val="24"/>
          <w:szCs w:val="24"/>
          <w:highlight w:val="none"/>
          <w:lang w:val="zh-CN"/>
        </w:rPr>
      </w:pPr>
      <w:r>
        <w:rPr>
          <w:rFonts w:hint="eastAsia" w:ascii="宋体" w:hAnsi="宋体" w:cs="宋体"/>
          <w:b/>
          <w:bCs/>
          <w:color w:val="auto"/>
          <w:sz w:val="24"/>
          <w:szCs w:val="24"/>
          <w:highlight w:val="none"/>
          <w:lang w:val="zh-CN"/>
        </w:rPr>
        <w:t>在中国境内生产或组装的外国品牌产品须标明该产品在中国国内制造厂商名称。否则，按进口产品对待。</w:t>
      </w:r>
    </w:p>
    <w:p w14:paraId="21D95471">
      <w:pPr>
        <w:tabs>
          <w:tab w:val="left" w:pos="3120"/>
        </w:tabs>
        <w:ind w:firstLine="482"/>
        <w:rPr>
          <w:rFonts w:ascii="宋体" w:hAnsi="宋体"/>
          <w:b/>
          <w:bCs/>
          <w:color w:val="auto"/>
          <w:sz w:val="24"/>
          <w:szCs w:val="24"/>
          <w:highlight w:val="none"/>
          <w:lang w:val="zh-CN"/>
        </w:rPr>
      </w:pPr>
    </w:p>
    <w:p w14:paraId="5FC20B67">
      <w:pPr>
        <w:ind w:firstLine="482"/>
        <w:outlineLvl w:val="1"/>
        <w:rPr>
          <w:rFonts w:ascii="宋体" w:hAnsi="宋体"/>
          <w:b/>
          <w:bCs/>
          <w:color w:val="auto"/>
          <w:sz w:val="24"/>
          <w:szCs w:val="24"/>
          <w:highlight w:val="none"/>
        </w:rPr>
      </w:pPr>
      <w:bookmarkStart w:id="39" w:name="_Toc21834"/>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8</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政府采购强制采购节能产品的规定</w:t>
      </w:r>
      <w:bookmarkEnd w:id="39"/>
    </w:p>
    <w:p w14:paraId="6C2F3859">
      <w:pPr>
        <w:ind w:firstLine="480"/>
        <w:rPr>
          <w:rFonts w:ascii="宋体" w:hAnsi="宋体" w:cs="宋体"/>
          <w:color w:val="auto"/>
          <w:sz w:val="24"/>
          <w:szCs w:val="24"/>
          <w:highlight w:val="none"/>
          <w:lang w:val="zh-CN"/>
        </w:rPr>
      </w:pP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8</w:t>
      </w: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 xml:space="preserve"> 按照财政部、发展改革委联合最新发布执行的《节能产品政府采购品目清单》的规定，《货物需求及技术规格要求》中凡明示包含强制采购节能产品的，投标人</w:t>
      </w:r>
      <w:r>
        <w:rPr>
          <w:rFonts w:hint="eastAsia" w:ascii="宋体" w:cs="宋体"/>
          <w:color w:val="auto"/>
          <w:sz w:val="24"/>
          <w:szCs w:val="24"/>
          <w:highlight w:val="none"/>
          <w:lang w:val="zh-CN"/>
        </w:rPr>
        <w:t>必须提供认证证书</w:t>
      </w:r>
      <w:r>
        <w:rPr>
          <w:rFonts w:hint="eastAsia" w:ascii="宋体" w:hAnsi="宋体" w:cs="宋体"/>
          <w:color w:val="auto"/>
          <w:sz w:val="24"/>
          <w:szCs w:val="24"/>
          <w:highlight w:val="none"/>
          <w:lang w:val="zh-CN"/>
        </w:rPr>
        <w:t>，否则投标无效。</w:t>
      </w:r>
    </w:p>
    <w:p w14:paraId="3911C518">
      <w:pPr>
        <w:ind w:firstLine="482"/>
        <w:rPr>
          <w:rFonts w:hint="eastAsia" w:ascii="宋体" w:hAnsi="宋体" w:cs="宋体"/>
          <w:b/>
          <w:bCs/>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8</w:t>
      </w:r>
      <w:r>
        <w:rPr>
          <w:rFonts w:ascii="宋体" w:hAnsi="宋体" w:cs="宋体"/>
          <w:b/>
          <w:bCs/>
          <w:color w:val="auto"/>
          <w:sz w:val="24"/>
          <w:szCs w:val="24"/>
          <w:highlight w:val="none"/>
          <w:lang w:val="zh-CN"/>
        </w:rPr>
        <w:t>.2</w:t>
      </w:r>
      <w:r>
        <w:rPr>
          <w:rFonts w:hint="eastAsia" w:ascii="宋体" w:hAnsi="宋体" w:cs="宋体"/>
          <w:b/>
          <w:bCs/>
          <w:color w:val="auto"/>
          <w:sz w:val="24"/>
          <w:szCs w:val="24"/>
          <w:highlight w:val="none"/>
          <w:lang w:val="zh-CN"/>
        </w:rPr>
        <w:t xml:space="preserve"> 《货物需求及技术规格要求》中包含计算机设备的，</w:t>
      </w:r>
      <w:r>
        <w:rPr>
          <w:rFonts w:hint="eastAsia" w:ascii="宋体" w:cs="宋体"/>
          <w:b/>
          <w:bCs/>
          <w:color w:val="auto"/>
          <w:sz w:val="24"/>
          <w:szCs w:val="24"/>
          <w:highlight w:val="none"/>
          <w:lang w:val="zh-CN"/>
        </w:rPr>
        <w:t>投标人必须投标</w:t>
      </w:r>
      <w:r>
        <w:rPr>
          <w:rFonts w:hint="eastAsia" w:ascii="宋体" w:cs="宋体"/>
          <w:b/>
          <w:bCs/>
          <w:color w:val="auto"/>
          <w:sz w:val="24"/>
          <w:highlight w:val="none"/>
          <w:lang w:val="zh-CN"/>
        </w:rPr>
        <w:t>预装正版操作系统软件的计算机产品（必须贴有操作系统正版产品密钥标签），否则投标无效</w:t>
      </w:r>
      <w:r>
        <w:rPr>
          <w:rFonts w:hint="eastAsia" w:ascii="宋体" w:hAnsi="宋体" w:cs="宋体"/>
          <w:b/>
          <w:bCs/>
          <w:color w:val="auto"/>
          <w:sz w:val="24"/>
          <w:szCs w:val="24"/>
          <w:highlight w:val="none"/>
          <w:lang w:val="zh-CN"/>
        </w:rPr>
        <w:t>。</w:t>
      </w:r>
    </w:p>
    <w:p w14:paraId="47B7E0EC">
      <w:pPr>
        <w:ind w:firstLine="482"/>
        <w:rPr>
          <w:rFonts w:hint="eastAsia" w:ascii="宋体" w:hAnsi="宋体" w:cs="宋体"/>
          <w:b/>
          <w:bCs/>
          <w:color w:val="auto"/>
          <w:sz w:val="24"/>
          <w:szCs w:val="24"/>
          <w:highlight w:val="none"/>
          <w:lang w:val="zh-CN"/>
        </w:rPr>
      </w:pPr>
    </w:p>
    <w:p w14:paraId="5958B8F2">
      <w:pPr>
        <w:spacing w:line="360" w:lineRule="exact"/>
        <w:ind w:firstLine="480"/>
        <w:outlineLvl w:val="1"/>
        <w:rPr>
          <w:rFonts w:ascii="宋体" w:cs="宋体"/>
          <w:b/>
          <w:bCs/>
          <w:color w:val="auto"/>
          <w:sz w:val="24"/>
          <w:szCs w:val="24"/>
          <w:highlight w:val="none"/>
          <w:lang w:val="zh-CN"/>
        </w:rPr>
      </w:pPr>
      <w:bookmarkStart w:id="40" w:name="_Toc28288"/>
      <w:r>
        <w:rPr>
          <w:rFonts w:hint="eastAsia" w:ascii="宋体" w:cs="宋体"/>
          <w:b/>
          <w:bCs/>
          <w:color w:val="auto"/>
          <w:sz w:val="24"/>
          <w:szCs w:val="24"/>
          <w:highlight w:val="none"/>
          <w:lang w:val="zh-CN"/>
        </w:rPr>
        <w:t>19.信用记录查询</w:t>
      </w:r>
      <w:bookmarkEnd w:id="40"/>
    </w:p>
    <w:p w14:paraId="3431CCAC">
      <w:pPr>
        <w:spacing w:line="360" w:lineRule="exact"/>
        <w:ind w:firstLine="480"/>
        <w:rPr>
          <w:rFonts w:ascii="宋体" w:cs="宋体"/>
          <w:bCs/>
          <w:color w:val="auto"/>
          <w:sz w:val="24"/>
          <w:szCs w:val="24"/>
          <w:highlight w:val="none"/>
          <w:lang w:val="zh-CN"/>
        </w:rPr>
      </w:pPr>
      <w:r>
        <w:rPr>
          <w:rFonts w:hint="eastAsia" w:ascii="宋体" w:cs="宋体"/>
          <w:bCs/>
          <w:color w:val="auto"/>
          <w:sz w:val="24"/>
          <w:szCs w:val="24"/>
          <w:highlight w:val="none"/>
          <w:lang w:val="zh-CN"/>
        </w:rPr>
        <w:t>根据《财政部关于在政府采购活动中查询及使用信用记录有关问题的通知》财库【2016】125号的规定，各投标人应在本项目</w:t>
      </w:r>
      <w:r>
        <w:rPr>
          <w:rFonts w:hint="eastAsia" w:ascii="宋体" w:cs="宋体"/>
          <w:bCs/>
          <w:color w:val="auto"/>
          <w:sz w:val="24"/>
          <w:szCs w:val="24"/>
          <w:highlight w:val="none"/>
          <w:lang w:val="en-US" w:eastAsia="zh-CN"/>
        </w:rPr>
        <w:t>采购</w:t>
      </w:r>
      <w:r>
        <w:rPr>
          <w:rFonts w:hint="eastAsia" w:ascii="宋体" w:cs="宋体"/>
          <w:bCs/>
          <w:color w:val="auto"/>
          <w:sz w:val="24"/>
          <w:szCs w:val="24"/>
          <w:highlight w:val="none"/>
          <w:lang w:val="zh-CN"/>
        </w:rPr>
        <w:t>公告发布之日起到投标截止时间期间，通过“信用中国”网站（www.creditchina.gov.cn）、中国政府采购网（www.ccgp.gov.cn）等渠道查询主体信用记录，并将信用记录信息查询记录作为投标文件的组成部分。</w:t>
      </w:r>
      <w:r>
        <w:rPr>
          <w:rFonts w:hint="eastAsia" w:ascii="宋体" w:hAnsi="宋体"/>
          <w:color w:val="auto"/>
          <w:sz w:val="24"/>
          <w:szCs w:val="24"/>
          <w:highlight w:val="none"/>
        </w:rPr>
        <w:t>对列入失信被执行人、重大税收违法案件当事人名单、政府采购严重违法失信行为记录名单及其他不符合</w:t>
      </w:r>
      <w:r>
        <w:rPr>
          <w:rFonts w:hint="eastAsia" w:ascii="宋体" w:cs="宋体"/>
          <w:color w:val="auto"/>
          <w:sz w:val="24"/>
          <w:highlight w:val="none"/>
          <w:lang w:val="zh-CN"/>
        </w:rPr>
        <w:t>《中华人民共和国政府采购法》第二十二条</w:t>
      </w:r>
      <w:r>
        <w:rPr>
          <w:rFonts w:hint="eastAsia" w:ascii="宋体" w:hAnsi="宋体"/>
          <w:color w:val="auto"/>
          <w:sz w:val="24"/>
          <w:szCs w:val="24"/>
          <w:highlight w:val="none"/>
        </w:rPr>
        <w:t>规定条件的供应商，应当拒绝其参与政府采购活动。</w:t>
      </w:r>
    </w:p>
    <w:p w14:paraId="7304C484">
      <w:pPr>
        <w:ind w:firstLine="482"/>
        <w:rPr>
          <w:rFonts w:ascii="宋体" w:hAnsi="宋体" w:cs="宋体"/>
          <w:b/>
          <w:bCs/>
          <w:color w:val="auto"/>
          <w:sz w:val="24"/>
          <w:szCs w:val="24"/>
          <w:highlight w:val="none"/>
          <w:lang w:val="zh-CN"/>
        </w:rPr>
      </w:pPr>
    </w:p>
    <w:p w14:paraId="2E2C2214">
      <w:pPr>
        <w:ind w:firstLine="480"/>
        <w:outlineLvl w:val="1"/>
        <w:rPr>
          <w:rFonts w:ascii="宋体" w:hAnsi="宋体" w:cs="宋体"/>
          <w:b/>
          <w:bCs/>
          <w:color w:val="auto"/>
          <w:sz w:val="24"/>
          <w:szCs w:val="24"/>
          <w:highlight w:val="none"/>
          <w:lang w:val="zh-CN"/>
        </w:rPr>
      </w:pPr>
      <w:bookmarkStart w:id="41" w:name="_Toc20749"/>
      <w:r>
        <w:rPr>
          <w:rFonts w:hint="eastAsia" w:ascii="宋体" w:hAnsi="宋体" w:cs="宋体"/>
          <w:b/>
          <w:bCs/>
          <w:color w:val="auto"/>
          <w:sz w:val="24"/>
          <w:szCs w:val="24"/>
          <w:highlight w:val="none"/>
          <w:lang w:val="zh-CN"/>
        </w:rPr>
        <w:t>20.签订合同</w:t>
      </w:r>
      <w:bookmarkEnd w:id="41"/>
    </w:p>
    <w:p w14:paraId="3CDDAB35">
      <w:pPr>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20.</w:t>
      </w: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 xml:space="preserve"> 代理机构将在投标有效期期满之前向中标人发出《中标通知书》。中标通知书是合同的组成部分，对采购人和中标人均具有法律约束力。</w:t>
      </w:r>
    </w:p>
    <w:p w14:paraId="47B90CE8">
      <w:pPr>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20</w:t>
      </w:r>
      <w:r>
        <w:rPr>
          <w:rFonts w:ascii="宋体" w:hAnsi="宋体" w:cs="宋体"/>
          <w:color w:val="auto"/>
          <w:sz w:val="24"/>
          <w:szCs w:val="24"/>
          <w:highlight w:val="none"/>
          <w:lang w:val="zh-CN"/>
        </w:rPr>
        <w:t>.2</w:t>
      </w:r>
      <w:r>
        <w:rPr>
          <w:rFonts w:hint="eastAsia" w:ascii="宋体" w:hAnsi="宋体" w:cs="宋体"/>
          <w:color w:val="auto"/>
          <w:sz w:val="24"/>
          <w:szCs w:val="24"/>
          <w:highlight w:val="none"/>
          <w:lang w:val="zh-CN"/>
        </w:rPr>
        <w:t xml:space="preserve"> 中标通知书发出后，采购人改变中标结果的，或者中标人放弃中标项目的，应当依法承担法律责任。</w:t>
      </w:r>
    </w:p>
    <w:p w14:paraId="1CF7C77F">
      <w:pPr>
        <w:ind w:firstLine="480"/>
        <w:rPr>
          <w:rFonts w:ascii="宋体" w:hAnsi="宋体" w:cs="宋体"/>
          <w:bCs/>
          <w:color w:val="auto"/>
          <w:sz w:val="24"/>
          <w:szCs w:val="24"/>
          <w:highlight w:val="none"/>
          <w:lang w:val="zh-CN"/>
        </w:rPr>
      </w:pPr>
      <w:r>
        <w:rPr>
          <w:rFonts w:hint="eastAsia" w:ascii="宋体" w:hAnsi="宋体" w:cs="宋体"/>
          <w:color w:val="auto"/>
          <w:sz w:val="24"/>
          <w:szCs w:val="24"/>
          <w:highlight w:val="none"/>
          <w:lang w:val="zh-CN"/>
        </w:rPr>
        <w:t>20</w:t>
      </w:r>
      <w:r>
        <w:rPr>
          <w:rFonts w:ascii="宋体" w:hAnsi="宋体" w:cs="宋体"/>
          <w:color w:val="auto"/>
          <w:sz w:val="24"/>
          <w:szCs w:val="24"/>
          <w:highlight w:val="none"/>
          <w:lang w:val="zh-CN"/>
        </w:rPr>
        <w:t>.3</w:t>
      </w:r>
      <w:r>
        <w:rPr>
          <w:rFonts w:hint="eastAsia" w:ascii="宋体" w:hAnsi="宋体" w:cs="宋体"/>
          <w:color w:val="auto"/>
          <w:sz w:val="24"/>
          <w:szCs w:val="24"/>
          <w:highlight w:val="none"/>
          <w:lang w:val="zh-CN"/>
        </w:rPr>
        <w:t xml:space="preserve"> 中标人应按中标通知书规定的时间与采购人签订合同。</w:t>
      </w:r>
      <w:r>
        <w:rPr>
          <w:rFonts w:hint="eastAsia" w:ascii="宋体" w:hAnsi="宋体" w:cs="宋体"/>
          <w:bCs/>
          <w:color w:val="auto"/>
          <w:sz w:val="24"/>
          <w:szCs w:val="24"/>
          <w:highlight w:val="none"/>
          <w:lang w:val="zh-CN"/>
        </w:rPr>
        <w:t>如果中标人未在规定的时间内签署合同，视为自动放弃中标资格，其提交的投标保证金不予退还，列入不良行为记录名单，在一至三年内禁止参加政府采购活动并予以公告。投标人在被评标委员会评定为预中标人（中标人）之后、中标通知书发出之前放弃中标的，按本条规定处理。</w:t>
      </w:r>
    </w:p>
    <w:p w14:paraId="04FEB7EC">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20</w:t>
      </w:r>
      <w:r>
        <w:rPr>
          <w:rFonts w:ascii="宋体" w:hAnsi="宋体" w:cs="宋体"/>
          <w:color w:val="auto"/>
          <w:sz w:val="24"/>
          <w:szCs w:val="24"/>
          <w:highlight w:val="none"/>
          <w:lang w:val="zh-CN"/>
        </w:rPr>
        <w:t>.4</w:t>
      </w:r>
      <w:r>
        <w:rPr>
          <w:rFonts w:hint="eastAsia" w:ascii="宋体" w:hAnsi="宋体" w:cs="宋体"/>
          <w:color w:val="auto"/>
          <w:sz w:val="24"/>
          <w:szCs w:val="24"/>
          <w:highlight w:val="none"/>
          <w:lang w:val="zh-CN"/>
        </w:rPr>
        <w:t xml:space="preserve"> 中标结果将在发布</w:t>
      </w:r>
      <w:r>
        <w:rPr>
          <w:rFonts w:hint="eastAsia" w:ascii="宋体" w:hAnsi="宋体" w:cs="宋体"/>
          <w:color w:val="auto"/>
          <w:sz w:val="24"/>
          <w:szCs w:val="24"/>
          <w:highlight w:val="none"/>
          <w:lang w:val="en-US" w:eastAsia="zh-CN"/>
        </w:rPr>
        <w:t>采购</w:t>
      </w:r>
      <w:r>
        <w:rPr>
          <w:rFonts w:hint="eastAsia" w:ascii="宋体" w:hAnsi="宋体" w:cs="宋体"/>
          <w:color w:val="auto"/>
          <w:sz w:val="24"/>
          <w:szCs w:val="24"/>
          <w:highlight w:val="none"/>
          <w:lang w:val="zh-CN"/>
        </w:rPr>
        <w:t>公告的媒体上公告。</w:t>
      </w:r>
    </w:p>
    <w:p w14:paraId="73653ED7">
      <w:pPr>
        <w:ind w:firstLine="482"/>
        <w:rPr>
          <w:rFonts w:ascii="宋体" w:hAnsi="宋体"/>
          <w:b/>
          <w:bCs/>
          <w:color w:val="auto"/>
          <w:sz w:val="24"/>
          <w:szCs w:val="24"/>
          <w:highlight w:val="none"/>
          <w:lang w:val="zh-CN"/>
        </w:rPr>
      </w:pPr>
    </w:p>
    <w:p w14:paraId="03F81A6D">
      <w:pPr>
        <w:tabs>
          <w:tab w:val="left" w:pos="709"/>
          <w:tab w:val="left" w:pos="927"/>
        </w:tabs>
        <w:ind w:firstLine="472"/>
        <w:outlineLvl w:val="1"/>
        <w:rPr>
          <w:rFonts w:ascii="宋体" w:hAnsi="宋体"/>
          <w:b/>
          <w:bCs/>
          <w:color w:val="auto"/>
          <w:sz w:val="24"/>
          <w:szCs w:val="24"/>
          <w:highlight w:val="none"/>
          <w:lang w:val="zh-CN"/>
        </w:rPr>
      </w:pPr>
      <w:bookmarkStart w:id="42" w:name="_Toc26250"/>
      <w:r>
        <w:rPr>
          <w:rFonts w:hint="eastAsia" w:ascii="宋体" w:hAnsi="宋体" w:cs="宋体"/>
          <w:b/>
          <w:bCs/>
          <w:color w:val="auto"/>
          <w:sz w:val="24"/>
          <w:szCs w:val="24"/>
          <w:highlight w:val="none"/>
          <w:lang w:val="zh-CN"/>
        </w:rPr>
        <w:t>21</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保密和披露</w:t>
      </w:r>
      <w:bookmarkEnd w:id="42"/>
    </w:p>
    <w:p w14:paraId="2638CACE">
      <w:pPr>
        <w:tabs>
          <w:tab w:val="left" w:pos="709"/>
        </w:tabs>
        <w:ind w:firstLine="482"/>
        <w:rPr>
          <w:rFonts w:ascii="宋体" w:hAnsi="宋体"/>
          <w:color w:val="auto"/>
          <w:sz w:val="24"/>
          <w:szCs w:val="24"/>
          <w:highlight w:val="none"/>
          <w:lang w:val="zh-CN"/>
        </w:rPr>
      </w:pPr>
      <w:r>
        <w:rPr>
          <w:rFonts w:hint="eastAsia" w:ascii="宋体" w:hAnsi="宋体" w:cs="宋体"/>
          <w:bCs/>
          <w:color w:val="auto"/>
          <w:sz w:val="24"/>
          <w:szCs w:val="24"/>
          <w:highlight w:val="none"/>
          <w:lang w:val="zh-CN"/>
        </w:rPr>
        <w:t>21</w:t>
      </w:r>
      <w:r>
        <w:rPr>
          <w:rFonts w:ascii="宋体" w:hAnsi="宋体" w:cs="宋体"/>
          <w:bCs/>
          <w:color w:val="auto"/>
          <w:sz w:val="24"/>
          <w:szCs w:val="24"/>
          <w:highlight w:val="none"/>
          <w:lang w:val="zh-CN"/>
        </w:rPr>
        <w:t>.1</w:t>
      </w:r>
      <w:r>
        <w:rPr>
          <w:rFonts w:hint="eastAsia" w:ascii="宋体" w:hAnsi="宋体" w:cs="宋体"/>
          <w:bCs/>
          <w:color w:val="auto"/>
          <w:sz w:val="24"/>
          <w:szCs w:val="24"/>
          <w:highlight w:val="none"/>
          <w:lang w:val="zh-CN"/>
        </w:rPr>
        <w:t xml:space="preserve"> 投标人自下载采购文件之日起，</w:t>
      </w:r>
      <w:r>
        <w:rPr>
          <w:rFonts w:hint="eastAsia" w:ascii="宋体" w:hAnsi="宋体" w:cs="宋体"/>
          <w:color w:val="auto"/>
          <w:sz w:val="24"/>
          <w:szCs w:val="24"/>
          <w:highlight w:val="none"/>
          <w:lang w:val="zh-CN"/>
        </w:rPr>
        <w:t>须承诺承担本</w:t>
      </w:r>
      <w:r>
        <w:rPr>
          <w:rFonts w:hint="eastAsia" w:ascii="宋体" w:hAnsi="宋体" w:cs="宋体"/>
          <w:color w:val="auto"/>
          <w:sz w:val="24"/>
          <w:szCs w:val="24"/>
          <w:highlight w:val="none"/>
          <w:lang w:val="en-US" w:eastAsia="zh-CN"/>
        </w:rPr>
        <w:t>采购</w:t>
      </w:r>
      <w:r>
        <w:rPr>
          <w:rFonts w:hint="eastAsia" w:ascii="宋体" w:hAnsi="宋体" w:cs="宋体"/>
          <w:color w:val="auto"/>
          <w:sz w:val="24"/>
          <w:szCs w:val="24"/>
          <w:highlight w:val="none"/>
          <w:lang w:val="zh-CN"/>
        </w:rPr>
        <w:t>项目下的保密义务，不得将因本次</w:t>
      </w:r>
      <w:r>
        <w:rPr>
          <w:rFonts w:hint="eastAsia" w:ascii="宋体" w:hAnsi="宋体" w:cs="宋体"/>
          <w:color w:val="auto"/>
          <w:sz w:val="24"/>
          <w:szCs w:val="24"/>
          <w:highlight w:val="none"/>
          <w:lang w:val="en-US" w:eastAsia="zh-CN"/>
        </w:rPr>
        <w:t>采购项目</w:t>
      </w:r>
      <w:r>
        <w:rPr>
          <w:rFonts w:hint="eastAsia" w:ascii="宋体" w:hAnsi="宋体" w:cs="宋体"/>
          <w:color w:val="auto"/>
          <w:sz w:val="24"/>
          <w:szCs w:val="24"/>
          <w:highlight w:val="none"/>
          <w:lang w:val="zh-CN"/>
        </w:rPr>
        <w:t>获得的信息向第三人外传。</w:t>
      </w:r>
    </w:p>
    <w:p w14:paraId="0D4DC1CF">
      <w:pPr>
        <w:ind w:firstLine="478"/>
        <w:rPr>
          <w:rFonts w:ascii="宋体" w:hAnsi="宋体"/>
          <w:color w:val="auto"/>
          <w:sz w:val="24"/>
          <w:szCs w:val="24"/>
          <w:highlight w:val="none"/>
          <w:lang w:val="zh-CN"/>
        </w:rPr>
      </w:pPr>
      <w:r>
        <w:rPr>
          <w:rFonts w:hint="eastAsia" w:ascii="宋体" w:hAnsi="宋体" w:cs="宋体"/>
          <w:color w:val="auto"/>
          <w:sz w:val="24"/>
          <w:szCs w:val="24"/>
          <w:highlight w:val="none"/>
          <w:lang w:val="zh-CN"/>
        </w:rPr>
        <w:t>21</w:t>
      </w:r>
      <w:r>
        <w:rPr>
          <w:rFonts w:ascii="宋体" w:hAnsi="宋体" w:cs="宋体"/>
          <w:color w:val="auto"/>
          <w:sz w:val="24"/>
          <w:szCs w:val="24"/>
          <w:highlight w:val="none"/>
          <w:lang w:val="zh-CN"/>
        </w:rPr>
        <w:t>.2</w:t>
      </w:r>
      <w:r>
        <w:rPr>
          <w:rFonts w:hint="eastAsia" w:ascii="宋体" w:hAnsi="宋体" w:cs="宋体"/>
          <w:color w:val="auto"/>
          <w:sz w:val="24"/>
          <w:szCs w:val="24"/>
          <w:highlight w:val="none"/>
          <w:lang w:val="zh-CN"/>
        </w:rPr>
        <w:t xml:space="preserve"> 代理机构有权将投标人提供的所有资料向其他政府部门或有关的非政府机构负责评审标书的人员或与评标有关的人员披露。</w:t>
      </w:r>
    </w:p>
    <w:p w14:paraId="79FF9B19">
      <w:pPr>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21</w:t>
      </w:r>
      <w:r>
        <w:rPr>
          <w:rFonts w:ascii="宋体" w:hAnsi="宋体" w:cs="宋体"/>
          <w:color w:val="auto"/>
          <w:sz w:val="24"/>
          <w:szCs w:val="24"/>
          <w:highlight w:val="none"/>
          <w:lang w:val="zh-CN"/>
        </w:rPr>
        <w:t>.3</w:t>
      </w:r>
      <w:r>
        <w:rPr>
          <w:rFonts w:hint="eastAsia" w:ascii="宋体" w:hAnsi="宋体" w:cs="宋体"/>
          <w:color w:val="auto"/>
          <w:sz w:val="24"/>
          <w:szCs w:val="24"/>
          <w:highlight w:val="none"/>
          <w:lang w:val="zh-CN"/>
        </w:rPr>
        <w:t xml:space="preserve"> 在下列情形下：当发布中标公告和其它公告时，当国家机关调查、审查、审计时，以及在其他符合法律规定的情形下，代理机构无须事先征求投标人</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zh-CN"/>
        </w:rPr>
        <w:t>中标人同意而可以披露关于采购过程、投标文件、合同文本、合同签署情况的资料、投标人</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zh-CN"/>
        </w:rPr>
        <w:t>中标人的名称及地址、采购内容的有关信息以及补充条款等，并且对任何已经公布过的内容或与之内容相同的资料无须再承担保密责任。</w:t>
      </w:r>
    </w:p>
    <w:p w14:paraId="53F0E417">
      <w:pPr>
        <w:ind w:firstLine="480"/>
        <w:rPr>
          <w:rFonts w:ascii="宋体" w:hAnsi="宋体" w:cs="宋体"/>
          <w:b/>
          <w:color w:val="auto"/>
          <w:sz w:val="24"/>
          <w:szCs w:val="24"/>
          <w:highlight w:val="none"/>
          <w:lang w:val="zh-CN"/>
        </w:rPr>
      </w:pPr>
    </w:p>
    <w:p w14:paraId="442BA617">
      <w:pPr>
        <w:spacing w:line="360" w:lineRule="auto"/>
        <w:ind w:firstLine="482"/>
        <w:outlineLvl w:val="1"/>
        <w:rPr>
          <w:rFonts w:ascii="宋体" w:hAnsi="宋体"/>
          <w:b/>
          <w:color w:val="auto"/>
          <w:sz w:val="24"/>
          <w:szCs w:val="24"/>
          <w:highlight w:val="none"/>
          <w:lang w:val="zh-CN"/>
        </w:rPr>
      </w:pPr>
      <w:bookmarkStart w:id="43" w:name="_Toc22420"/>
      <w:r>
        <w:rPr>
          <w:rFonts w:hint="eastAsia" w:ascii="宋体" w:hAnsi="宋体" w:cs="宋体"/>
          <w:b/>
          <w:color w:val="auto"/>
          <w:sz w:val="24"/>
          <w:szCs w:val="24"/>
          <w:highlight w:val="none"/>
          <w:lang w:val="zh-CN"/>
        </w:rPr>
        <w:t>22.质疑和投诉</w:t>
      </w:r>
      <w:bookmarkEnd w:id="43"/>
    </w:p>
    <w:p w14:paraId="7A323CE4">
      <w:pPr>
        <w:pStyle w:val="7"/>
        <w:snapToGrid w:val="0"/>
        <w:spacing w:line="360" w:lineRule="auto"/>
        <w:ind w:left="1" w:firstLine="482"/>
        <w:rPr>
          <w:rFonts w:hAnsi="宋体"/>
          <w:bCs/>
          <w:color w:val="auto"/>
          <w:sz w:val="24"/>
          <w:szCs w:val="24"/>
          <w:highlight w:val="none"/>
        </w:rPr>
      </w:pPr>
      <w:r>
        <w:rPr>
          <w:rFonts w:hint="eastAsia" w:hAnsi="宋体"/>
          <w:bCs/>
          <w:color w:val="auto"/>
          <w:sz w:val="24"/>
          <w:szCs w:val="24"/>
          <w:highlight w:val="none"/>
        </w:rPr>
        <w:t xml:space="preserve">22.1 </w:t>
      </w:r>
      <w:r>
        <w:rPr>
          <w:rFonts w:hAnsi="宋体" w:cs="Arial"/>
          <w:color w:val="auto"/>
          <w:sz w:val="24"/>
          <w:szCs w:val="24"/>
          <w:highlight w:val="none"/>
        </w:rPr>
        <w:t>供应商认为采购文件、采购过程、中标或者成交结果使自己的权益受到损害的，可以在知道或者应知其权益受到损害之日起7个工作日内，以书面形式向</w:t>
      </w:r>
      <w:r>
        <w:rPr>
          <w:rFonts w:hint="eastAsia" w:hAnsi="宋体" w:cs="Arial"/>
          <w:color w:val="auto"/>
          <w:sz w:val="24"/>
          <w:szCs w:val="24"/>
          <w:highlight w:val="none"/>
          <w:lang w:eastAsia="zh-CN"/>
        </w:rPr>
        <w:t>代理机构</w:t>
      </w:r>
      <w:r>
        <w:rPr>
          <w:rFonts w:hAnsi="宋体" w:cs="Arial"/>
          <w:color w:val="auto"/>
          <w:sz w:val="24"/>
          <w:szCs w:val="24"/>
          <w:highlight w:val="none"/>
        </w:rPr>
        <w:t>提出质疑。</w:t>
      </w:r>
    </w:p>
    <w:p w14:paraId="34AB0F45">
      <w:pPr>
        <w:pStyle w:val="7"/>
        <w:snapToGrid w:val="0"/>
        <w:spacing w:line="360" w:lineRule="auto"/>
        <w:ind w:left="1" w:firstLine="482"/>
        <w:rPr>
          <w:rFonts w:hint="eastAsia" w:hAnsi="宋体" w:cs="Arial"/>
          <w:color w:val="auto"/>
          <w:sz w:val="24"/>
          <w:szCs w:val="24"/>
          <w:highlight w:val="none"/>
        </w:rPr>
      </w:pPr>
      <w:r>
        <w:rPr>
          <w:rFonts w:hint="eastAsia" w:hAnsi="宋体"/>
          <w:bCs/>
          <w:color w:val="auto"/>
          <w:sz w:val="24"/>
          <w:szCs w:val="24"/>
          <w:highlight w:val="none"/>
        </w:rPr>
        <w:t xml:space="preserve">22.2 </w:t>
      </w:r>
      <w:r>
        <w:rPr>
          <w:rFonts w:hAnsi="宋体" w:cs="Arial"/>
          <w:color w:val="auto"/>
          <w:sz w:val="24"/>
          <w:szCs w:val="24"/>
          <w:highlight w:val="none"/>
        </w:rPr>
        <w:t>供应商在法定质疑期内一次性提出针对同一采购程序环节的质疑。</w:t>
      </w:r>
    </w:p>
    <w:p w14:paraId="595DAC3D">
      <w:pPr>
        <w:pStyle w:val="7"/>
        <w:snapToGrid w:val="0"/>
        <w:spacing w:line="360" w:lineRule="auto"/>
        <w:ind w:left="1" w:firstLine="482"/>
        <w:rPr>
          <w:rFonts w:hAnsi="宋体" w:cs="Arial"/>
          <w:color w:val="auto"/>
          <w:sz w:val="24"/>
          <w:szCs w:val="24"/>
          <w:highlight w:val="none"/>
        </w:rPr>
      </w:pPr>
      <w:r>
        <w:rPr>
          <w:rFonts w:hint="eastAsia" w:hAnsi="宋体"/>
          <w:bCs/>
          <w:color w:val="auto"/>
          <w:sz w:val="24"/>
          <w:szCs w:val="24"/>
          <w:highlight w:val="none"/>
        </w:rPr>
        <w:t>22.</w:t>
      </w:r>
      <w:r>
        <w:rPr>
          <w:rFonts w:hint="eastAsia" w:hAnsi="宋体"/>
          <w:bCs/>
          <w:color w:val="auto"/>
          <w:sz w:val="24"/>
          <w:szCs w:val="24"/>
          <w:highlight w:val="none"/>
          <w:lang w:val="en-US" w:eastAsia="zh-CN"/>
        </w:rPr>
        <w:t>3</w:t>
      </w:r>
      <w:r>
        <w:rPr>
          <w:rFonts w:hAnsi="宋体" w:cs="Arial"/>
          <w:color w:val="auto"/>
          <w:sz w:val="24"/>
          <w:szCs w:val="24"/>
          <w:highlight w:val="none"/>
        </w:rPr>
        <w:t>质疑供应商对</w:t>
      </w:r>
      <w:r>
        <w:rPr>
          <w:rFonts w:hint="eastAsia" w:hAnsi="宋体" w:cs="Arial"/>
          <w:color w:val="auto"/>
          <w:sz w:val="24"/>
          <w:szCs w:val="24"/>
          <w:highlight w:val="none"/>
          <w:lang w:eastAsia="zh-CN"/>
        </w:rPr>
        <w:t>代理机构</w:t>
      </w:r>
      <w:r>
        <w:rPr>
          <w:rFonts w:hAnsi="宋体" w:cs="Arial"/>
          <w:color w:val="auto"/>
          <w:sz w:val="24"/>
          <w:szCs w:val="24"/>
          <w:highlight w:val="none"/>
        </w:rPr>
        <w:t>的答复不满意，或者</w:t>
      </w:r>
      <w:r>
        <w:rPr>
          <w:rFonts w:hint="eastAsia" w:hAnsi="宋体" w:cs="Arial"/>
          <w:color w:val="auto"/>
          <w:sz w:val="24"/>
          <w:szCs w:val="24"/>
          <w:highlight w:val="none"/>
          <w:lang w:eastAsia="zh-CN"/>
        </w:rPr>
        <w:t>代理机构</w:t>
      </w:r>
      <w:r>
        <w:rPr>
          <w:rFonts w:hAnsi="宋体" w:cs="Arial"/>
          <w:color w:val="auto"/>
          <w:sz w:val="24"/>
          <w:szCs w:val="24"/>
          <w:highlight w:val="none"/>
        </w:rPr>
        <w:t>未在规定时间内作出答复的，可以在答复期满后15个工作日内向</w:t>
      </w:r>
      <w:r>
        <w:rPr>
          <w:rFonts w:hint="eastAsia" w:hAnsi="宋体" w:cs="Arial"/>
          <w:color w:val="auto"/>
          <w:sz w:val="24"/>
          <w:szCs w:val="24"/>
          <w:highlight w:val="none"/>
          <w:lang w:val="en-US" w:eastAsia="zh-CN"/>
        </w:rPr>
        <w:t>财政相应部门</w:t>
      </w:r>
      <w:r>
        <w:rPr>
          <w:rFonts w:hAnsi="宋体" w:cs="Arial"/>
          <w:color w:val="auto"/>
          <w:sz w:val="24"/>
          <w:szCs w:val="24"/>
          <w:highlight w:val="none"/>
        </w:rPr>
        <w:t>提起投诉</w:t>
      </w:r>
      <w:r>
        <w:rPr>
          <w:rFonts w:hint="eastAsia" w:hAnsi="宋体" w:cs="Arial"/>
          <w:color w:val="auto"/>
          <w:sz w:val="24"/>
          <w:szCs w:val="24"/>
          <w:highlight w:val="none"/>
        </w:rPr>
        <w:t>。</w:t>
      </w:r>
    </w:p>
    <w:p w14:paraId="001B90BB">
      <w:pPr>
        <w:pStyle w:val="7"/>
        <w:snapToGrid w:val="0"/>
        <w:ind w:firstLine="480" w:firstLineChars="200"/>
        <w:rPr>
          <w:rFonts w:hAnsi="宋体"/>
          <w:bCs/>
          <w:color w:val="auto"/>
          <w:sz w:val="24"/>
          <w:szCs w:val="24"/>
          <w:highlight w:val="none"/>
        </w:rPr>
      </w:pPr>
    </w:p>
    <w:p w14:paraId="1E8A16A6">
      <w:pPr>
        <w:jc w:val="center"/>
        <w:outlineLvl w:val="0"/>
        <w:rPr>
          <w:rFonts w:ascii="黑体" w:eastAsia="黑体"/>
          <w:b/>
          <w:bCs/>
          <w:color w:val="auto"/>
          <w:sz w:val="32"/>
          <w:szCs w:val="32"/>
          <w:highlight w:val="none"/>
          <w:lang w:val="zh-CN"/>
        </w:rPr>
      </w:pPr>
      <w:bookmarkStart w:id="44" w:name="_Toc29990"/>
      <w:bookmarkStart w:id="45" w:name="_Toc12087"/>
      <w:bookmarkStart w:id="46" w:name="_Toc6160"/>
      <w:r>
        <w:rPr>
          <w:rFonts w:hint="eastAsia" w:ascii="黑体" w:eastAsia="黑体" w:cs="黑体"/>
          <w:b/>
          <w:bCs/>
          <w:color w:val="auto"/>
          <w:sz w:val="32"/>
          <w:szCs w:val="32"/>
          <w:highlight w:val="none"/>
          <w:lang w:val="zh-CN"/>
        </w:rPr>
        <w:t>第二章</w:t>
      </w:r>
      <w:r>
        <w:rPr>
          <w:rFonts w:ascii="黑体" w:eastAsia="黑体" w:cs="黑体"/>
          <w:b/>
          <w:bCs/>
          <w:color w:val="auto"/>
          <w:sz w:val="32"/>
          <w:szCs w:val="32"/>
          <w:highlight w:val="none"/>
          <w:lang w:val="zh-CN"/>
        </w:rPr>
        <w:t xml:space="preserve"> </w:t>
      </w:r>
      <w:r>
        <w:rPr>
          <w:rFonts w:hint="eastAsia" w:ascii="黑体" w:eastAsia="黑体" w:cs="黑体"/>
          <w:b/>
          <w:bCs/>
          <w:color w:val="auto"/>
          <w:sz w:val="32"/>
          <w:szCs w:val="32"/>
          <w:highlight w:val="none"/>
          <w:lang w:val="zh-CN"/>
        </w:rPr>
        <w:t>合同条款</w:t>
      </w:r>
      <w:bookmarkEnd w:id="44"/>
      <w:bookmarkEnd w:id="45"/>
      <w:bookmarkEnd w:id="46"/>
    </w:p>
    <w:p w14:paraId="0D81807B">
      <w:pPr>
        <w:ind w:firstLine="482"/>
        <w:rPr>
          <w:rFonts w:ascii="宋体"/>
          <w:b/>
          <w:bCs/>
          <w:color w:val="auto"/>
          <w:sz w:val="24"/>
          <w:szCs w:val="24"/>
          <w:highlight w:val="none"/>
          <w:lang w:val="zh-CN"/>
        </w:rPr>
      </w:pPr>
    </w:p>
    <w:p w14:paraId="273E261E">
      <w:pPr>
        <w:ind w:firstLine="482"/>
        <w:outlineLvl w:val="1"/>
        <w:rPr>
          <w:rFonts w:ascii="宋体" w:hAnsi="宋体"/>
          <w:b/>
          <w:bCs/>
          <w:color w:val="auto"/>
          <w:sz w:val="24"/>
          <w:szCs w:val="24"/>
          <w:highlight w:val="none"/>
          <w:lang w:val="zh-CN"/>
        </w:rPr>
      </w:pPr>
      <w:bookmarkStart w:id="47" w:name="_Toc31436"/>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.定义：</w:t>
      </w:r>
      <w:r>
        <w:rPr>
          <w:rFonts w:hint="eastAsia" w:ascii="宋体" w:hAnsi="宋体" w:cs="宋体"/>
          <w:color w:val="auto"/>
          <w:sz w:val="24"/>
          <w:szCs w:val="24"/>
          <w:highlight w:val="none"/>
          <w:lang w:val="zh-CN"/>
        </w:rPr>
        <w:t>除非另有约定，在本合同下列术语按如下定义进行解释：</w:t>
      </w:r>
      <w:bookmarkEnd w:id="47"/>
    </w:p>
    <w:p w14:paraId="61FF7AEF">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w:t>
      </w:r>
      <w:r>
        <w:rPr>
          <w:rFonts w:ascii="宋体" w:hAnsi="宋体"/>
          <w:color w:val="auto"/>
          <w:sz w:val="24"/>
          <w:szCs w:val="24"/>
          <w:highlight w:val="none"/>
        </w:rPr>
        <w:t>“</w:t>
      </w:r>
      <w:r>
        <w:rPr>
          <w:rFonts w:hint="eastAsia" w:ascii="宋体" w:hAnsi="宋体" w:cs="宋体"/>
          <w:color w:val="auto"/>
          <w:sz w:val="24"/>
          <w:szCs w:val="24"/>
          <w:highlight w:val="none"/>
          <w:lang w:val="zh-CN"/>
        </w:rPr>
        <w:t>合同</w:t>
      </w:r>
      <w:r>
        <w:rPr>
          <w:rFonts w:ascii="宋体" w:hAnsi="宋体"/>
          <w:color w:val="auto"/>
          <w:sz w:val="24"/>
          <w:szCs w:val="24"/>
          <w:highlight w:val="none"/>
        </w:rPr>
        <w:t>”</w:t>
      </w:r>
      <w:r>
        <w:rPr>
          <w:rFonts w:hint="eastAsia" w:ascii="宋体" w:hAnsi="宋体" w:cs="宋体"/>
          <w:color w:val="auto"/>
          <w:sz w:val="24"/>
          <w:szCs w:val="24"/>
          <w:highlight w:val="none"/>
          <w:lang w:val="zh-CN"/>
        </w:rPr>
        <w:t>指供需双方签署的、在合同中载明的合同各方所达成的协议，包括构成合同的所有附件、附录和其他文件。</w:t>
      </w:r>
    </w:p>
    <w:p w14:paraId="571117EB">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2</w:t>
      </w:r>
      <w:r>
        <w:rPr>
          <w:rFonts w:hint="eastAsia" w:ascii="宋体" w:hAnsi="宋体" w:cs="宋体"/>
          <w:color w:val="auto"/>
          <w:sz w:val="24"/>
          <w:szCs w:val="24"/>
          <w:highlight w:val="none"/>
          <w:lang w:val="zh-CN"/>
        </w:rPr>
        <w:t>）</w:t>
      </w:r>
      <w:r>
        <w:rPr>
          <w:rFonts w:ascii="宋体" w:hAnsi="宋体"/>
          <w:color w:val="auto"/>
          <w:sz w:val="24"/>
          <w:szCs w:val="24"/>
          <w:highlight w:val="none"/>
        </w:rPr>
        <w:t>“</w:t>
      </w:r>
      <w:r>
        <w:rPr>
          <w:rFonts w:hint="eastAsia" w:ascii="宋体" w:hAnsi="宋体" w:cs="宋体"/>
          <w:color w:val="auto"/>
          <w:sz w:val="24"/>
          <w:szCs w:val="24"/>
          <w:highlight w:val="none"/>
          <w:lang w:val="zh-CN"/>
        </w:rPr>
        <w:t>附件、附录</w:t>
      </w:r>
      <w:r>
        <w:rPr>
          <w:rFonts w:ascii="宋体" w:hAnsi="宋体"/>
          <w:color w:val="auto"/>
          <w:sz w:val="24"/>
          <w:szCs w:val="24"/>
          <w:highlight w:val="none"/>
        </w:rPr>
        <w:t>”</w:t>
      </w:r>
      <w:r>
        <w:rPr>
          <w:rFonts w:hint="eastAsia" w:ascii="宋体" w:hAnsi="宋体" w:cs="宋体"/>
          <w:color w:val="auto"/>
          <w:sz w:val="24"/>
          <w:szCs w:val="24"/>
          <w:highlight w:val="none"/>
          <w:lang w:val="zh-CN"/>
        </w:rPr>
        <w:t>指与本合同的订立、履行有关的，经供需双方认可的，对本合同约定内容进行细化、补充、修改、变更等的文件资料。</w:t>
      </w:r>
    </w:p>
    <w:p w14:paraId="1FE5FE35">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3</w:t>
      </w:r>
      <w:r>
        <w:rPr>
          <w:rFonts w:hint="eastAsia" w:ascii="宋体" w:hAnsi="宋体" w:cs="宋体"/>
          <w:color w:val="auto"/>
          <w:sz w:val="24"/>
          <w:szCs w:val="24"/>
          <w:highlight w:val="none"/>
          <w:lang w:val="zh-CN"/>
        </w:rPr>
        <w:t>）</w:t>
      </w:r>
      <w:r>
        <w:rPr>
          <w:rFonts w:ascii="宋体" w:hAnsi="宋体"/>
          <w:color w:val="auto"/>
          <w:sz w:val="24"/>
          <w:szCs w:val="24"/>
          <w:highlight w:val="none"/>
        </w:rPr>
        <w:t>“</w:t>
      </w:r>
      <w:r>
        <w:rPr>
          <w:rFonts w:hint="eastAsia" w:ascii="宋体" w:hAnsi="宋体" w:cs="宋体"/>
          <w:color w:val="auto"/>
          <w:sz w:val="24"/>
          <w:szCs w:val="24"/>
          <w:highlight w:val="none"/>
          <w:lang w:val="zh-CN"/>
        </w:rPr>
        <w:t>合同价格</w:t>
      </w:r>
      <w:r>
        <w:rPr>
          <w:rFonts w:ascii="宋体" w:hAnsi="宋体"/>
          <w:color w:val="auto"/>
          <w:sz w:val="24"/>
          <w:szCs w:val="24"/>
          <w:highlight w:val="none"/>
        </w:rPr>
        <w:t>”</w:t>
      </w:r>
      <w:r>
        <w:rPr>
          <w:rFonts w:hint="eastAsia" w:ascii="宋体" w:hAnsi="宋体" w:cs="宋体"/>
          <w:color w:val="auto"/>
          <w:sz w:val="24"/>
          <w:szCs w:val="24"/>
          <w:highlight w:val="none"/>
          <w:lang w:val="zh-CN"/>
        </w:rPr>
        <w:t>指根据合同规定供方正确地完全履行合同义务后需方应支付给供方的价格。</w:t>
      </w:r>
    </w:p>
    <w:p w14:paraId="64CE2844">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4</w:t>
      </w:r>
      <w:r>
        <w:rPr>
          <w:rFonts w:hint="eastAsia" w:ascii="宋体" w:hAnsi="宋体" w:cs="宋体"/>
          <w:color w:val="auto"/>
          <w:sz w:val="24"/>
          <w:szCs w:val="24"/>
          <w:highlight w:val="none"/>
          <w:lang w:val="zh-CN"/>
        </w:rPr>
        <w:t>）</w:t>
      </w:r>
      <w:r>
        <w:rPr>
          <w:rFonts w:ascii="宋体" w:hAnsi="宋体"/>
          <w:color w:val="auto"/>
          <w:sz w:val="24"/>
          <w:szCs w:val="24"/>
          <w:highlight w:val="none"/>
        </w:rPr>
        <w:t>“</w:t>
      </w:r>
      <w:r>
        <w:rPr>
          <w:rFonts w:hint="eastAsia" w:ascii="宋体" w:hAnsi="宋体" w:cs="宋体"/>
          <w:color w:val="auto"/>
          <w:sz w:val="24"/>
          <w:szCs w:val="24"/>
          <w:highlight w:val="none"/>
          <w:lang w:val="zh-CN"/>
        </w:rPr>
        <w:t>货物</w:t>
      </w:r>
      <w:r>
        <w:rPr>
          <w:rFonts w:ascii="宋体" w:hAnsi="宋体"/>
          <w:color w:val="auto"/>
          <w:sz w:val="24"/>
          <w:szCs w:val="24"/>
          <w:highlight w:val="none"/>
        </w:rPr>
        <w:t>”</w:t>
      </w:r>
      <w:r>
        <w:rPr>
          <w:rFonts w:hint="eastAsia" w:ascii="宋体" w:hAnsi="宋体" w:cs="宋体"/>
          <w:color w:val="auto"/>
          <w:sz w:val="24"/>
          <w:szCs w:val="24"/>
          <w:highlight w:val="none"/>
          <w:lang w:val="zh-CN"/>
        </w:rPr>
        <w:t>指根据合同规定供方须向需方提供的一切材料、设备、机械、仪表、备件、工具和</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zh-CN"/>
        </w:rPr>
        <w:t>或其它材料。</w:t>
      </w:r>
    </w:p>
    <w:p w14:paraId="5398546C">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5</w:t>
      </w:r>
      <w:r>
        <w:rPr>
          <w:rFonts w:hint="eastAsia" w:ascii="宋体" w:hAnsi="宋体" w:cs="宋体"/>
          <w:color w:val="auto"/>
          <w:sz w:val="24"/>
          <w:szCs w:val="24"/>
          <w:highlight w:val="none"/>
          <w:lang w:val="zh-CN"/>
        </w:rPr>
        <w:t>）</w:t>
      </w:r>
      <w:r>
        <w:rPr>
          <w:rFonts w:ascii="宋体" w:hAnsi="宋体"/>
          <w:color w:val="auto"/>
          <w:sz w:val="24"/>
          <w:szCs w:val="24"/>
          <w:highlight w:val="none"/>
        </w:rPr>
        <w:t>“</w:t>
      </w:r>
      <w:r>
        <w:rPr>
          <w:rFonts w:hint="eastAsia" w:ascii="宋体" w:hAnsi="宋体" w:cs="宋体"/>
          <w:color w:val="auto"/>
          <w:sz w:val="24"/>
          <w:szCs w:val="24"/>
          <w:highlight w:val="none"/>
          <w:lang w:val="zh-CN"/>
        </w:rPr>
        <w:t>服务</w:t>
      </w:r>
      <w:r>
        <w:rPr>
          <w:rFonts w:ascii="宋体" w:hAnsi="宋体"/>
          <w:color w:val="auto"/>
          <w:sz w:val="24"/>
          <w:szCs w:val="24"/>
          <w:highlight w:val="none"/>
        </w:rPr>
        <w:t>”</w:t>
      </w:r>
      <w:r>
        <w:rPr>
          <w:rFonts w:hint="eastAsia" w:ascii="宋体" w:hAnsi="宋体" w:cs="宋体"/>
          <w:color w:val="auto"/>
          <w:sz w:val="24"/>
          <w:szCs w:val="24"/>
          <w:highlight w:val="none"/>
          <w:lang w:val="zh-CN"/>
        </w:rPr>
        <w:t>指根据合同规定供方承担的与供货和履行合同有关的辅助服务。</w:t>
      </w:r>
    </w:p>
    <w:p w14:paraId="3F6DBDB9">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6</w:t>
      </w:r>
      <w:r>
        <w:rPr>
          <w:rFonts w:hint="eastAsia" w:ascii="宋体" w:hAnsi="宋体" w:cs="宋体"/>
          <w:color w:val="auto"/>
          <w:sz w:val="24"/>
          <w:szCs w:val="24"/>
          <w:highlight w:val="none"/>
          <w:lang w:val="zh-CN"/>
        </w:rPr>
        <w:t>）</w:t>
      </w:r>
      <w:r>
        <w:rPr>
          <w:rFonts w:ascii="宋体" w:hAnsi="宋体"/>
          <w:color w:val="auto"/>
          <w:sz w:val="24"/>
          <w:szCs w:val="24"/>
          <w:highlight w:val="none"/>
        </w:rPr>
        <w:t>“</w:t>
      </w:r>
      <w:r>
        <w:rPr>
          <w:rFonts w:hint="eastAsia" w:ascii="宋体" w:hAnsi="宋体" w:cs="宋体"/>
          <w:color w:val="auto"/>
          <w:sz w:val="24"/>
          <w:szCs w:val="24"/>
          <w:highlight w:val="none"/>
          <w:lang w:val="zh-CN"/>
        </w:rPr>
        <w:t>需方</w:t>
      </w:r>
      <w:r>
        <w:rPr>
          <w:rFonts w:ascii="宋体" w:hAnsi="宋体"/>
          <w:color w:val="auto"/>
          <w:sz w:val="24"/>
          <w:szCs w:val="24"/>
          <w:highlight w:val="none"/>
        </w:rPr>
        <w:t>”</w:t>
      </w:r>
      <w:r>
        <w:rPr>
          <w:rFonts w:hint="eastAsia" w:ascii="宋体" w:hAnsi="宋体" w:cs="宋体"/>
          <w:color w:val="auto"/>
          <w:sz w:val="24"/>
          <w:szCs w:val="24"/>
          <w:highlight w:val="none"/>
          <w:lang w:val="zh-CN"/>
        </w:rPr>
        <w:t>指政府采购货物和服务的使用单位。</w:t>
      </w:r>
    </w:p>
    <w:p w14:paraId="434AED1F">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7</w:t>
      </w:r>
      <w:r>
        <w:rPr>
          <w:rFonts w:hint="eastAsia" w:ascii="宋体" w:hAnsi="宋体" w:cs="宋体"/>
          <w:color w:val="auto"/>
          <w:sz w:val="24"/>
          <w:szCs w:val="24"/>
          <w:highlight w:val="none"/>
          <w:lang w:val="zh-CN"/>
        </w:rPr>
        <w:t>）</w:t>
      </w:r>
      <w:r>
        <w:rPr>
          <w:rFonts w:ascii="宋体" w:hAnsi="宋体"/>
          <w:color w:val="auto"/>
          <w:sz w:val="24"/>
          <w:szCs w:val="24"/>
          <w:highlight w:val="none"/>
        </w:rPr>
        <w:t>“</w:t>
      </w:r>
      <w:r>
        <w:rPr>
          <w:rFonts w:hint="eastAsia" w:ascii="宋体" w:hAnsi="宋体" w:cs="宋体"/>
          <w:color w:val="auto"/>
          <w:sz w:val="24"/>
          <w:szCs w:val="24"/>
          <w:highlight w:val="none"/>
          <w:lang w:val="zh-CN"/>
        </w:rPr>
        <w:t>供方</w:t>
      </w:r>
      <w:r>
        <w:rPr>
          <w:rFonts w:ascii="宋体" w:hAnsi="宋体"/>
          <w:color w:val="auto"/>
          <w:sz w:val="24"/>
          <w:szCs w:val="24"/>
          <w:highlight w:val="none"/>
        </w:rPr>
        <w:t>”</w:t>
      </w:r>
      <w:r>
        <w:rPr>
          <w:rFonts w:hint="eastAsia" w:ascii="宋体" w:hAnsi="宋体" w:cs="宋体"/>
          <w:color w:val="auto"/>
          <w:sz w:val="24"/>
          <w:szCs w:val="24"/>
          <w:highlight w:val="none"/>
          <w:lang w:val="zh-CN"/>
        </w:rPr>
        <w:t>指按照合同规定向需方提供货物和服务的公司或实体。</w:t>
      </w:r>
    </w:p>
    <w:p w14:paraId="2CD7FDA8">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8</w:t>
      </w:r>
      <w:r>
        <w:rPr>
          <w:rFonts w:hint="eastAsia" w:ascii="宋体" w:hAnsi="宋体" w:cs="宋体"/>
          <w:color w:val="auto"/>
          <w:sz w:val="24"/>
          <w:szCs w:val="24"/>
          <w:highlight w:val="none"/>
          <w:lang w:val="zh-CN"/>
        </w:rPr>
        <w:t>）</w:t>
      </w:r>
      <w:r>
        <w:rPr>
          <w:rFonts w:ascii="宋体" w:hAnsi="宋体"/>
          <w:color w:val="auto"/>
          <w:sz w:val="24"/>
          <w:szCs w:val="24"/>
          <w:highlight w:val="none"/>
        </w:rPr>
        <w:t>“</w:t>
      </w:r>
      <w:r>
        <w:rPr>
          <w:rFonts w:hint="eastAsia" w:ascii="宋体" w:hAnsi="宋体" w:cs="宋体"/>
          <w:color w:val="auto"/>
          <w:sz w:val="24"/>
          <w:szCs w:val="24"/>
          <w:highlight w:val="none"/>
          <w:lang w:val="zh-CN"/>
        </w:rPr>
        <w:t>第三方</w:t>
      </w:r>
      <w:r>
        <w:rPr>
          <w:rFonts w:ascii="宋体" w:hAnsi="宋体"/>
          <w:color w:val="auto"/>
          <w:sz w:val="24"/>
          <w:szCs w:val="24"/>
          <w:highlight w:val="none"/>
        </w:rPr>
        <w:t>”</w:t>
      </w:r>
      <w:r>
        <w:rPr>
          <w:rFonts w:hint="eastAsia" w:ascii="宋体" w:hAnsi="宋体" w:cs="宋体"/>
          <w:color w:val="auto"/>
          <w:sz w:val="24"/>
          <w:szCs w:val="24"/>
          <w:highlight w:val="none"/>
          <w:lang w:val="zh-CN"/>
        </w:rPr>
        <w:t>指本合同以外的任何中国境内、境外的法人、自然人或其他组织。</w:t>
      </w:r>
    </w:p>
    <w:p w14:paraId="7FC0AA8B">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9</w:t>
      </w:r>
      <w:r>
        <w:rPr>
          <w:rFonts w:hint="eastAsia" w:ascii="宋体" w:hAnsi="宋体" w:cs="宋体"/>
          <w:color w:val="auto"/>
          <w:sz w:val="24"/>
          <w:szCs w:val="24"/>
          <w:highlight w:val="none"/>
          <w:lang w:val="zh-CN"/>
        </w:rPr>
        <w:t>）</w:t>
      </w:r>
      <w:r>
        <w:rPr>
          <w:rFonts w:ascii="宋体" w:hAnsi="宋体"/>
          <w:color w:val="auto"/>
          <w:sz w:val="24"/>
          <w:szCs w:val="24"/>
          <w:highlight w:val="none"/>
        </w:rPr>
        <w:t>“</w:t>
      </w:r>
      <w:r>
        <w:rPr>
          <w:rFonts w:hint="eastAsia" w:ascii="宋体" w:hAnsi="宋体" w:cs="宋体"/>
          <w:color w:val="auto"/>
          <w:sz w:val="24"/>
          <w:szCs w:val="24"/>
          <w:highlight w:val="none"/>
          <w:lang w:val="zh-CN"/>
        </w:rPr>
        <w:t>日、天</w:t>
      </w:r>
      <w:r>
        <w:rPr>
          <w:rFonts w:ascii="宋体" w:hAnsi="宋体"/>
          <w:color w:val="auto"/>
          <w:sz w:val="24"/>
          <w:szCs w:val="24"/>
          <w:highlight w:val="none"/>
        </w:rPr>
        <w:t>”</w:t>
      </w:r>
      <w:r>
        <w:rPr>
          <w:rFonts w:hint="eastAsia" w:ascii="宋体" w:hAnsi="宋体" w:cs="宋体"/>
          <w:color w:val="auto"/>
          <w:sz w:val="24"/>
          <w:szCs w:val="24"/>
          <w:highlight w:val="none"/>
          <w:lang w:val="zh-CN"/>
        </w:rPr>
        <w:t>均指日历天数。</w:t>
      </w:r>
    </w:p>
    <w:p w14:paraId="74D6F948">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10</w:t>
      </w:r>
      <w:r>
        <w:rPr>
          <w:rFonts w:hint="eastAsia" w:ascii="宋体" w:hAnsi="宋体" w:cs="宋体"/>
          <w:color w:val="auto"/>
          <w:sz w:val="24"/>
          <w:szCs w:val="24"/>
          <w:highlight w:val="none"/>
          <w:lang w:val="zh-CN"/>
        </w:rPr>
        <w:t>）</w:t>
      </w:r>
      <w:r>
        <w:rPr>
          <w:rFonts w:ascii="宋体" w:hAnsi="宋体"/>
          <w:color w:val="auto"/>
          <w:sz w:val="24"/>
          <w:szCs w:val="24"/>
          <w:highlight w:val="none"/>
        </w:rPr>
        <w:t>“</w:t>
      </w:r>
      <w:r>
        <w:rPr>
          <w:rFonts w:hint="eastAsia" w:ascii="宋体" w:hAnsi="宋体" w:cs="宋体"/>
          <w:color w:val="auto"/>
          <w:sz w:val="24"/>
          <w:szCs w:val="24"/>
          <w:highlight w:val="none"/>
          <w:lang w:val="zh-CN"/>
        </w:rPr>
        <w:t>工作日</w:t>
      </w:r>
      <w:r>
        <w:rPr>
          <w:rFonts w:ascii="宋体" w:hAnsi="宋体"/>
          <w:color w:val="auto"/>
          <w:sz w:val="24"/>
          <w:szCs w:val="24"/>
          <w:highlight w:val="none"/>
        </w:rPr>
        <w:t>”</w:t>
      </w:r>
      <w:r>
        <w:rPr>
          <w:rFonts w:hint="eastAsia" w:ascii="宋体" w:hAnsi="宋体" w:cs="宋体"/>
          <w:color w:val="auto"/>
          <w:sz w:val="24"/>
          <w:szCs w:val="24"/>
          <w:highlight w:val="none"/>
          <w:lang w:val="zh-CN"/>
        </w:rPr>
        <w:t>指扣除公休日和国家法定节假日以外的日历日。</w:t>
      </w:r>
    </w:p>
    <w:p w14:paraId="68294048">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11</w:t>
      </w:r>
      <w:r>
        <w:rPr>
          <w:rFonts w:hint="eastAsia" w:ascii="宋体" w:hAnsi="宋体" w:cs="宋体"/>
          <w:color w:val="auto"/>
          <w:sz w:val="24"/>
          <w:szCs w:val="24"/>
          <w:highlight w:val="none"/>
          <w:lang w:val="zh-CN"/>
        </w:rPr>
        <w:t>）</w:t>
      </w:r>
      <w:r>
        <w:rPr>
          <w:rFonts w:ascii="宋体" w:hAnsi="宋体"/>
          <w:color w:val="auto"/>
          <w:sz w:val="24"/>
          <w:szCs w:val="24"/>
          <w:highlight w:val="none"/>
        </w:rPr>
        <w:t>“</w:t>
      </w:r>
      <w:r>
        <w:rPr>
          <w:rFonts w:hint="eastAsia" w:ascii="宋体" w:hAnsi="宋体" w:cs="宋体"/>
          <w:color w:val="auto"/>
          <w:sz w:val="24"/>
          <w:szCs w:val="24"/>
          <w:highlight w:val="none"/>
          <w:lang w:val="zh-CN"/>
        </w:rPr>
        <w:t>采购文件</w:t>
      </w:r>
      <w:r>
        <w:rPr>
          <w:rFonts w:ascii="宋体" w:hAnsi="宋体"/>
          <w:color w:val="auto"/>
          <w:sz w:val="24"/>
          <w:szCs w:val="24"/>
          <w:highlight w:val="none"/>
        </w:rPr>
        <w:t>”</w:t>
      </w:r>
      <w:r>
        <w:rPr>
          <w:rFonts w:hint="eastAsia" w:ascii="宋体" w:hAnsi="宋体" w:cs="宋体"/>
          <w:color w:val="auto"/>
          <w:sz w:val="24"/>
          <w:szCs w:val="24"/>
          <w:highlight w:val="none"/>
          <w:lang w:val="zh-CN"/>
        </w:rPr>
        <w:t>指《</w:t>
      </w:r>
      <w:r>
        <w:rPr>
          <w:rFonts w:hint="eastAsia" w:ascii="宋体" w:hAnsi="宋体" w:cs="宋体"/>
          <w:color w:val="auto"/>
          <w:sz w:val="24"/>
          <w:szCs w:val="24"/>
          <w:highlight w:val="none"/>
          <w:lang w:val="zh-CN" w:eastAsia="zh-CN"/>
        </w:rPr>
        <w:t>教学楼消防报警设备升级改造项目</w:t>
      </w:r>
      <w:r>
        <w:rPr>
          <w:rFonts w:hint="eastAsia" w:ascii="宋体" w:hAnsi="宋体" w:cs="宋体"/>
          <w:color w:val="auto"/>
          <w:sz w:val="24"/>
          <w:szCs w:val="24"/>
          <w:highlight w:val="none"/>
          <w:lang w:val="en-US" w:eastAsia="zh-CN"/>
        </w:rPr>
        <w:t>采购文件</w:t>
      </w:r>
      <w:r>
        <w:rPr>
          <w:rFonts w:hint="eastAsia" w:ascii="宋体" w:hAnsi="宋体" w:cs="宋体"/>
          <w:color w:val="auto"/>
          <w:sz w:val="24"/>
          <w:szCs w:val="24"/>
          <w:highlight w:val="none"/>
          <w:lang w:val="zh-CN"/>
        </w:rPr>
        <w:t>》。</w:t>
      </w:r>
    </w:p>
    <w:p w14:paraId="72B05160">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2</w:t>
      </w:r>
      <w:r>
        <w:rPr>
          <w:rFonts w:hint="eastAsia" w:ascii="宋体" w:hAnsi="宋体" w:cs="宋体"/>
          <w:b/>
          <w:bCs/>
          <w:color w:val="auto"/>
          <w:sz w:val="24"/>
          <w:szCs w:val="24"/>
          <w:highlight w:val="none"/>
          <w:lang w:val="zh-CN"/>
        </w:rPr>
        <w:t>.适用范围：</w:t>
      </w:r>
      <w:r>
        <w:rPr>
          <w:rFonts w:hint="eastAsia" w:ascii="宋体" w:hAnsi="宋体" w:cs="宋体"/>
          <w:color w:val="auto"/>
          <w:sz w:val="24"/>
          <w:szCs w:val="24"/>
          <w:highlight w:val="none"/>
          <w:lang w:val="zh-CN"/>
        </w:rPr>
        <w:t>本合同条款仅适用于</w:t>
      </w:r>
      <w:r>
        <w:rPr>
          <w:rFonts w:hint="eastAsia" w:ascii="宋体" w:hAnsi="宋体" w:cs="宋体"/>
          <w:color w:val="auto"/>
          <w:sz w:val="24"/>
          <w:szCs w:val="24"/>
          <w:highlight w:val="none"/>
          <w:lang w:val="zh-CN" w:eastAsia="zh-CN"/>
        </w:rPr>
        <w:t>教学楼消防报警设备升级改造项目</w:t>
      </w:r>
      <w:r>
        <w:rPr>
          <w:rFonts w:hint="eastAsia" w:ascii="宋体" w:hAnsi="宋体" w:cs="宋体"/>
          <w:color w:val="auto"/>
          <w:sz w:val="24"/>
          <w:szCs w:val="24"/>
          <w:highlight w:val="none"/>
          <w:lang w:val="zh-CN"/>
        </w:rPr>
        <w:t>。</w:t>
      </w:r>
    </w:p>
    <w:p w14:paraId="57A089F2">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3</w:t>
      </w:r>
      <w:r>
        <w:rPr>
          <w:rFonts w:hint="eastAsia" w:ascii="宋体" w:hAnsi="宋体" w:cs="宋体"/>
          <w:b/>
          <w:bCs/>
          <w:color w:val="auto"/>
          <w:sz w:val="24"/>
          <w:szCs w:val="24"/>
          <w:highlight w:val="none"/>
          <w:lang w:val="zh-CN"/>
        </w:rPr>
        <w:t>.合同内容：</w:t>
      </w:r>
      <w:r>
        <w:rPr>
          <w:rFonts w:hint="eastAsia" w:ascii="宋体" w:hAnsi="宋体" w:cs="宋体"/>
          <w:color w:val="auto"/>
          <w:sz w:val="24"/>
          <w:szCs w:val="24"/>
          <w:highlight w:val="none"/>
          <w:lang w:val="zh-CN"/>
        </w:rPr>
        <w:t>详见采购文件</w:t>
      </w:r>
      <w:r>
        <w:rPr>
          <w:rFonts w:ascii="宋体" w:hAnsi="宋体"/>
          <w:color w:val="auto"/>
          <w:sz w:val="24"/>
          <w:szCs w:val="24"/>
          <w:highlight w:val="none"/>
        </w:rPr>
        <w:t>“</w:t>
      </w:r>
      <w:r>
        <w:rPr>
          <w:rFonts w:hint="eastAsia" w:ascii="宋体" w:hAnsi="宋体" w:cs="宋体"/>
          <w:color w:val="auto"/>
          <w:sz w:val="24"/>
          <w:szCs w:val="24"/>
          <w:highlight w:val="none"/>
          <w:lang w:val="zh-CN"/>
        </w:rPr>
        <w:t>货物需求及要求</w:t>
      </w:r>
      <w:r>
        <w:rPr>
          <w:rFonts w:ascii="宋体" w:hAnsi="宋体"/>
          <w:color w:val="auto"/>
          <w:sz w:val="24"/>
          <w:szCs w:val="24"/>
          <w:highlight w:val="none"/>
        </w:rPr>
        <w:t>”</w:t>
      </w:r>
      <w:r>
        <w:rPr>
          <w:rFonts w:hint="eastAsia" w:ascii="宋体" w:hAnsi="宋体" w:cs="宋体"/>
          <w:color w:val="auto"/>
          <w:sz w:val="24"/>
          <w:szCs w:val="24"/>
          <w:highlight w:val="none"/>
          <w:lang w:val="zh-CN"/>
        </w:rPr>
        <w:t>及供方的投标文件。未尽事宜在</w:t>
      </w:r>
      <w:r>
        <w:rPr>
          <w:rFonts w:ascii="宋体" w:hAnsi="宋体"/>
          <w:color w:val="auto"/>
          <w:sz w:val="24"/>
          <w:szCs w:val="24"/>
          <w:highlight w:val="none"/>
        </w:rPr>
        <w:t>“</w:t>
      </w:r>
      <w:r>
        <w:rPr>
          <w:rFonts w:hint="eastAsia" w:ascii="宋体" w:hAnsi="宋体" w:cs="宋体"/>
          <w:color w:val="auto"/>
          <w:sz w:val="24"/>
          <w:szCs w:val="24"/>
          <w:highlight w:val="none"/>
          <w:lang w:val="zh-CN"/>
        </w:rPr>
        <w:t>政府采购合同书中</w:t>
      </w:r>
      <w:r>
        <w:rPr>
          <w:rFonts w:ascii="宋体" w:hAnsi="宋体"/>
          <w:color w:val="auto"/>
          <w:sz w:val="24"/>
          <w:szCs w:val="24"/>
          <w:highlight w:val="none"/>
        </w:rPr>
        <w:t>”</w:t>
      </w:r>
      <w:r>
        <w:rPr>
          <w:rFonts w:hint="eastAsia" w:ascii="宋体" w:hAnsi="宋体" w:cs="宋体"/>
          <w:color w:val="auto"/>
          <w:sz w:val="24"/>
          <w:szCs w:val="24"/>
          <w:highlight w:val="none"/>
          <w:lang w:val="zh-CN"/>
        </w:rPr>
        <w:t>约定。</w:t>
      </w:r>
    </w:p>
    <w:p w14:paraId="0A370B9A">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4</w:t>
      </w:r>
      <w:r>
        <w:rPr>
          <w:rFonts w:hint="eastAsia" w:ascii="宋体" w:hAnsi="宋体" w:cs="宋体"/>
          <w:b/>
          <w:bCs/>
          <w:color w:val="auto"/>
          <w:sz w:val="24"/>
          <w:szCs w:val="24"/>
          <w:highlight w:val="none"/>
          <w:lang w:val="zh-CN"/>
        </w:rPr>
        <w:t>.合同价格、交货时间及地点、交货方式、付款方式及条件：</w:t>
      </w:r>
      <w:r>
        <w:rPr>
          <w:rFonts w:hint="eastAsia" w:ascii="宋体" w:hAnsi="宋体" w:cs="宋体"/>
          <w:color w:val="auto"/>
          <w:sz w:val="24"/>
          <w:szCs w:val="24"/>
          <w:highlight w:val="none"/>
          <w:lang w:val="zh-CN"/>
        </w:rPr>
        <w:t>在</w:t>
      </w:r>
      <w:r>
        <w:rPr>
          <w:rFonts w:ascii="宋体" w:hAnsi="宋体"/>
          <w:color w:val="auto"/>
          <w:sz w:val="24"/>
          <w:szCs w:val="24"/>
          <w:highlight w:val="none"/>
        </w:rPr>
        <w:t>“</w:t>
      </w:r>
      <w:r>
        <w:rPr>
          <w:rFonts w:hint="eastAsia" w:ascii="宋体" w:hAnsi="宋体" w:cs="宋体"/>
          <w:color w:val="auto"/>
          <w:sz w:val="24"/>
          <w:szCs w:val="24"/>
          <w:highlight w:val="none"/>
          <w:lang w:val="zh-CN"/>
        </w:rPr>
        <w:t>政府采购合同书</w:t>
      </w:r>
      <w:r>
        <w:rPr>
          <w:rFonts w:ascii="宋体" w:hAnsi="宋体"/>
          <w:color w:val="auto"/>
          <w:sz w:val="24"/>
          <w:szCs w:val="24"/>
          <w:highlight w:val="none"/>
        </w:rPr>
        <w:t>”</w:t>
      </w:r>
      <w:r>
        <w:rPr>
          <w:rFonts w:hint="eastAsia" w:ascii="宋体" w:hAnsi="宋体" w:cs="宋体"/>
          <w:color w:val="auto"/>
          <w:sz w:val="24"/>
          <w:szCs w:val="24"/>
          <w:highlight w:val="none"/>
          <w:lang w:val="zh-CN"/>
        </w:rPr>
        <w:t>中约定。</w:t>
      </w:r>
    </w:p>
    <w:p w14:paraId="31F484CC">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5</w:t>
      </w:r>
      <w:r>
        <w:rPr>
          <w:rFonts w:hint="eastAsia" w:ascii="宋体" w:hAnsi="宋体" w:cs="宋体"/>
          <w:b/>
          <w:bCs/>
          <w:color w:val="auto"/>
          <w:sz w:val="24"/>
          <w:szCs w:val="24"/>
          <w:highlight w:val="none"/>
          <w:lang w:val="zh-CN"/>
        </w:rPr>
        <w:t>.知识产权及有关规定：</w:t>
      </w:r>
      <w:r>
        <w:rPr>
          <w:rFonts w:hint="eastAsia" w:ascii="宋体" w:hAnsi="宋体" w:cs="宋体"/>
          <w:color w:val="auto"/>
          <w:sz w:val="24"/>
          <w:szCs w:val="24"/>
          <w:highlight w:val="none"/>
          <w:lang w:val="zh-CN"/>
        </w:rPr>
        <w:t>供方应保证需方在使用本合同项下的货物或其任何一部分时免受第三方提出侵犯其知识产权、商标权或工业设计权的起诉。如果发生此类问题，供方应负责交涉并承担一切费用和责任。</w:t>
      </w:r>
    </w:p>
    <w:p w14:paraId="0A6F5AFB">
      <w:pPr>
        <w:ind w:firstLine="482"/>
        <w:outlineLvl w:val="1"/>
        <w:rPr>
          <w:rFonts w:ascii="宋体" w:hAnsi="宋体"/>
          <w:b/>
          <w:bCs/>
          <w:color w:val="auto"/>
          <w:sz w:val="24"/>
          <w:szCs w:val="24"/>
          <w:highlight w:val="none"/>
          <w:lang w:val="zh-CN"/>
        </w:rPr>
      </w:pPr>
      <w:bookmarkStart w:id="48" w:name="_Toc32120"/>
      <w:r>
        <w:rPr>
          <w:rFonts w:ascii="宋体" w:hAnsi="宋体" w:cs="宋体"/>
          <w:b/>
          <w:bCs/>
          <w:color w:val="auto"/>
          <w:sz w:val="24"/>
          <w:szCs w:val="24"/>
          <w:highlight w:val="none"/>
          <w:lang w:val="zh-CN"/>
        </w:rPr>
        <w:t>6</w:t>
      </w:r>
      <w:r>
        <w:rPr>
          <w:rFonts w:hint="eastAsia" w:ascii="宋体" w:hAnsi="宋体" w:cs="宋体"/>
          <w:b/>
          <w:bCs/>
          <w:color w:val="auto"/>
          <w:sz w:val="24"/>
          <w:szCs w:val="24"/>
          <w:highlight w:val="none"/>
          <w:lang w:val="zh-CN"/>
        </w:rPr>
        <w:t>.保密条款</w:t>
      </w:r>
      <w:bookmarkEnd w:id="48"/>
    </w:p>
    <w:p w14:paraId="78988F3C">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6.1</w:t>
      </w:r>
      <w:r>
        <w:rPr>
          <w:rFonts w:hint="eastAsia" w:ascii="宋体" w:hAnsi="宋体" w:cs="宋体"/>
          <w:color w:val="auto"/>
          <w:sz w:val="24"/>
          <w:szCs w:val="24"/>
          <w:highlight w:val="none"/>
          <w:lang w:val="zh-CN"/>
        </w:rPr>
        <w:t xml:space="preserve"> 任何一方对其获知的本合同涉及的所有有形、无形的信息及资料（包括但不限于供需双方的往来书面文字文件、电子邮件等）中另一方的商业秘密或国家秘密负有保密义务。</w:t>
      </w:r>
    </w:p>
    <w:p w14:paraId="79C61609">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6.2</w:t>
      </w:r>
      <w:r>
        <w:rPr>
          <w:rFonts w:hint="eastAsia" w:ascii="宋体" w:hAnsi="宋体" w:cs="宋体"/>
          <w:color w:val="auto"/>
          <w:sz w:val="24"/>
          <w:szCs w:val="24"/>
          <w:highlight w:val="none"/>
          <w:lang w:val="zh-CN"/>
        </w:rPr>
        <w:t xml:space="preserve"> 除非法律、法规另有规定或得到本合同之另一方的书面许可，任何一方不得向第三方泄露前款规定的商业秘密或国家秘密。保密期限自任何一方获知该商业秘密或国家秘密之日起至本条规定的秘密成为公众信息之日止。</w:t>
      </w:r>
    </w:p>
    <w:p w14:paraId="49CC9C67">
      <w:pPr>
        <w:ind w:firstLine="482"/>
        <w:outlineLvl w:val="1"/>
        <w:rPr>
          <w:rFonts w:ascii="宋体" w:hAnsi="宋体"/>
          <w:b/>
          <w:bCs/>
          <w:color w:val="auto"/>
          <w:sz w:val="24"/>
          <w:szCs w:val="24"/>
          <w:highlight w:val="none"/>
          <w:lang w:val="zh-CN"/>
        </w:rPr>
      </w:pPr>
      <w:bookmarkStart w:id="49" w:name="_Toc28303"/>
      <w:r>
        <w:rPr>
          <w:rFonts w:ascii="宋体" w:hAnsi="宋体" w:cs="宋体"/>
          <w:b/>
          <w:bCs/>
          <w:color w:val="auto"/>
          <w:sz w:val="24"/>
          <w:szCs w:val="24"/>
          <w:highlight w:val="none"/>
          <w:lang w:val="zh-CN"/>
        </w:rPr>
        <w:t>7</w:t>
      </w:r>
      <w:r>
        <w:rPr>
          <w:rFonts w:hint="eastAsia" w:ascii="宋体" w:hAnsi="宋体" w:cs="宋体"/>
          <w:b/>
          <w:bCs/>
          <w:color w:val="auto"/>
          <w:sz w:val="24"/>
          <w:szCs w:val="24"/>
          <w:highlight w:val="none"/>
          <w:lang w:val="zh-CN"/>
        </w:rPr>
        <w:t>.合同的解释</w:t>
      </w:r>
      <w:bookmarkEnd w:id="49"/>
    </w:p>
    <w:p w14:paraId="0B08238D">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7.1</w:t>
      </w:r>
      <w:r>
        <w:rPr>
          <w:rFonts w:hint="eastAsia" w:ascii="宋体" w:hAnsi="宋体" w:cs="宋体"/>
          <w:color w:val="auto"/>
          <w:sz w:val="24"/>
          <w:szCs w:val="24"/>
          <w:highlight w:val="none"/>
          <w:lang w:val="zh-CN"/>
        </w:rPr>
        <w:t xml:space="preserve"> 任何一方对本合同及其附件的解释均应遵循诚实信用原则，依照本合同签订时有效的中华人民共和国的法律、法规以及人们通常的理解进行。</w:t>
      </w:r>
    </w:p>
    <w:p w14:paraId="78F80E9A">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7.2</w:t>
      </w:r>
      <w:r>
        <w:rPr>
          <w:rFonts w:hint="eastAsia" w:ascii="宋体" w:hAnsi="宋体" w:cs="宋体"/>
          <w:color w:val="auto"/>
          <w:sz w:val="24"/>
          <w:szCs w:val="24"/>
          <w:highlight w:val="none"/>
          <w:lang w:val="zh-CN"/>
        </w:rPr>
        <w:t xml:space="preserve"> 本合同中以日（天）表述的时间期限均指公历日。</w:t>
      </w:r>
    </w:p>
    <w:p w14:paraId="5304EC5E">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7.3</w:t>
      </w:r>
      <w:r>
        <w:rPr>
          <w:rFonts w:hint="eastAsia" w:ascii="宋体" w:hAnsi="宋体" w:cs="宋体"/>
          <w:color w:val="auto"/>
          <w:sz w:val="24"/>
          <w:szCs w:val="24"/>
          <w:highlight w:val="none"/>
          <w:lang w:val="zh-CN"/>
        </w:rPr>
        <w:t xml:space="preserve"> 对本合同的任何解释均应以书面做出。</w:t>
      </w:r>
    </w:p>
    <w:p w14:paraId="3E12DF0B">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8</w:t>
      </w:r>
      <w:r>
        <w:rPr>
          <w:rFonts w:hint="eastAsia" w:ascii="宋体" w:hAnsi="宋体" w:cs="宋体"/>
          <w:b/>
          <w:bCs/>
          <w:color w:val="auto"/>
          <w:sz w:val="24"/>
          <w:szCs w:val="24"/>
          <w:highlight w:val="none"/>
          <w:lang w:val="zh-CN"/>
        </w:rPr>
        <w:t>.包装要求：</w:t>
      </w:r>
      <w:r>
        <w:rPr>
          <w:rFonts w:hint="eastAsia" w:ascii="宋体" w:hAnsi="宋体" w:cs="宋体"/>
          <w:color w:val="auto"/>
          <w:sz w:val="24"/>
          <w:szCs w:val="24"/>
          <w:highlight w:val="none"/>
          <w:lang w:val="zh-CN"/>
        </w:rPr>
        <w:t>除合同另有规定外，供方提供的全部货物均应按国家或行业标准进行包装。因包装出现问题导致货物毁损的</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zh-CN"/>
        </w:rPr>
        <w:t>由供方向需方直接承担责任。每一个包装箱内应附一份详细的装箱单和质量合格证书。</w:t>
      </w:r>
    </w:p>
    <w:p w14:paraId="050958E4">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9</w:t>
      </w:r>
      <w:r>
        <w:rPr>
          <w:rFonts w:hint="eastAsia" w:ascii="宋体" w:hAnsi="宋体" w:cs="宋体"/>
          <w:b/>
          <w:bCs/>
          <w:color w:val="auto"/>
          <w:sz w:val="24"/>
          <w:szCs w:val="24"/>
          <w:highlight w:val="none"/>
          <w:lang w:val="zh-CN"/>
        </w:rPr>
        <w:t>.包装标志：</w:t>
      </w:r>
      <w:r>
        <w:rPr>
          <w:rFonts w:hint="eastAsia" w:ascii="宋体" w:hAnsi="宋体" w:cs="宋体"/>
          <w:color w:val="auto"/>
          <w:sz w:val="24"/>
          <w:szCs w:val="24"/>
          <w:highlight w:val="none"/>
          <w:lang w:val="zh-CN"/>
        </w:rPr>
        <w:t>每一包装箱应用不褪色的油漆以醒目的中文字样做出相关标记。</w:t>
      </w:r>
    </w:p>
    <w:p w14:paraId="13AE240A">
      <w:pPr>
        <w:ind w:firstLine="482"/>
        <w:outlineLvl w:val="1"/>
        <w:rPr>
          <w:rFonts w:ascii="宋体" w:hAnsi="宋体"/>
          <w:b/>
          <w:bCs/>
          <w:color w:val="auto"/>
          <w:sz w:val="24"/>
          <w:szCs w:val="24"/>
          <w:highlight w:val="none"/>
          <w:lang w:val="zh-CN"/>
        </w:rPr>
      </w:pPr>
      <w:bookmarkStart w:id="50" w:name="_Toc21544"/>
      <w:r>
        <w:rPr>
          <w:rFonts w:ascii="宋体" w:hAnsi="宋体" w:cs="宋体"/>
          <w:b/>
          <w:bCs/>
          <w:color w:val="auto"/>
          <w:sz w:val="24"/>
          <w:szCs w:val="24"/>
          <w:highlight w:val="none"/>
          <w:lang w:val="zh-CN"/>
        </w:rPr>
        <w:t>10</w:t>
      </w:r>
      <w:r>
        <w:rPr>
          <w:rFonts w:hint="eastAsia" w:ascii="宋体" w:hAnsi="宋体" w:cs="宋体"/>
          <w:b/>
          <w:bCs/>
          <w:color w:val="auto"/>
          <w:sz w:val="24"/>
          <w:szCs w:val="24"/>
          <w:highlight w:val="none"/>
          <w:lang w:val="zh-CN"/>
        </w:rPr>
        <w:t>.伴随服务</w:t>
      </w:r>
      <w:bookmarkEnd w:id="50"/>
    </w:p>
    <w:p w14:paraId="709FF095">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10.1</w:t>
      </w:r>
      <w:r>
        <w:rPr>
          <w:rFonts w:hint="eastAsia" w:ascii="宋体" w:hAnsi="宋体" w:cs="宋体"/>
          <w:color w:val="auto"/>
          <w:sz w:val="24"/>
          <w:szCs w:val="24"/>
          <w:highlight w:val="none"/>
          <w:lang w:val="zh-CN"/>
        </w:rPr>
        <w:t xml:space="preserve"> 供方应提供所交付货物的全套技术文件资料，包括产品目录、图纸、操作手册、使用说明、维护手册和服务指南等。</w:t>
      </w:r>
    </w:p>
    <w:p w14:paraId="72FBE22A">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10.2</w:t>
      </w:r>
      <w:r>
        <w:rPr>
          <w:rFonts w:hint="eastAsia" w:ascii="宋体" w:hAnsi="宋体" w:cs="宋体"/>
          <w:color w:val="auto"/>
          <w:sz w:val="24"/>
          <w:szCs w:val="24"/>
          <w:highlight w:val="none"/>
          <w:lang w:val="zh-CN"/>
        </w:rPr>
        <w:t xml:space="preserve"> 供方还应提供下列服务：货物的现场安装、启动和试运行；提供货物组装和维修所需的工具；在质量保证期内对所交付货物提供运行监督、维修、保养等；在制造厂家和</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zh-CN"/>
        </w:rPr>
        <w:t>或在项目现场就货物的安装、启动、运行、维护等对需方人员进行培训。</w:t>
      </w:r>
    </w:p>
    <w:p w14:paraId="114364CB">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10.3</w:t>
      </w:r>
      <w:r>
        <w:rPr>
          <w:rFonts w:hint="eastAsia" w:ascii="宋体" w:hAnsi="宋体" w:cs="宋体"/>
          <w:color w:val="auto"/>
          <w:sz w:val="24"/>
          <w:szCs w:val="24"/>
          <w:highlight w:val="none"/>
          <w:lang w:val="zh-CN"/>
        </w:rPr>
        <w:t xml:space="preserve"> 上述伴随服务的费用应包含在合同总价中，不单独进行支付。</w:t>
      </w:r>
    </w:p>
    <w:p w14:paraId="6AC72316">
      <w:pPr>
        <w:ind w:firstLine="482"/>
        <w:outlineLvl w:val="1"/>
        <w:rPr>
          <w:rFonts w:ascii="宋体" w:hAnsi="宋体"/>
          <w:b/>
          <w:bCs/>
          <w:color w:val="auto"/>
          <w:sz w:val="24"/>
          <w:szCs w:val="24"/>
          <w:highlight w:val="none"/>
          <w:lang w:val="zh-CN"/>
        </w:rPr>
      </w:pPr>
      <w:bookmarkStart w:id="51" w:name="_Toc19507"/>
      <w:r>
        <w:rPr>
          <w:rFonts w:ascii="宋体" w:hAnsi="宋体" w:cs="宋体"/>
          <w:b/>
          <w:bCs/>
          <w:color w:val="auto"/>
          <w:sz w:val="24"/>
          <w:szCs w:val="24"/>
          <w:highlight w:val="none"/>
          <w:lang w:val="zh-CN"/>
        </w:rPr>
        <w:t>11</w:t>
      </w:r>
      <w:r>
        <w:rPr>
          <w:rFonts w:hint="eastAsia" w:ascii="宋体" w:hAnsi="宋体" w:cs="宋体"/>
          <w:b/>
          <w:bCs/>
          <w:color w:val="auto"/>
          <w:sz w:val="24"/>
          <w:szCs w:val="24"/>
          <w:highlight w:val="none"/>
          <w:lang w:val="zh-CN"/>
        </w:rPr>
        <w:t>.质量保证期及售后服务</w:t>
      </w:r>
      <w:bookmarkEnd w:id="51"/>
    </w:p>
    <w:p w14:paraId="74B8EDC7">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11.1</w:t>
      </w:r>
      <w:r>
        <w:rPr>
          <w:rFonts w:hint="eastAsia" w:ascii="宋体" w:hAnsi="宋体" w:cs="宋体"/>
          <w:color w:val="auto"/>
          <w:sz w:val="24"/>
          <w:szCs w:val="24"/>
          <w:highlight w:val="none"/>
          <w:lang w:val="zh-CN"/>
        </w:rPr>
        <w:t xml:space="preserve"> 质量保证期及售后服务：详见采购文件的要求，供方提交的售后服务承诺书和制造厂商的有关文件，如果上述文件有不一致之处，以对需方有利的为准。</w:t>
      </w:r>
    </w:p>
    <w:p w14:paraId="090681A8">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11.2</w:t>
      </w:r>
      <w:r>
        <w:rPr>
          <w:rFonts w:hint="eastAsia" w:ascii="宋体" w:hAnsi="宋体" w:cs="宋体"/>
          <w:color w:val="auto"/>
          <w:sz w:val="24"/>
          <w:szCs w:val="24"/>
          <w:highlight w:val="none"/>
          <w:lang w:val="zh-CN"/>
        </w:rPr>
        <w:t xml:space="preserve"> 如果上述第</w:t>
      </w:r>
      <w:r>
        <w:rPr>
          <w:rFonts w:ascii="宋体" w:hAnsi="宋体" w:cs="宋体"/>
          <w:color w:val="auto"/>
          <w:sz w:val="24"/>
          <w:szCs w:val="24"/>
          <w:highlight w:val="none"/>
          <w:lang w:val="zh-CN"/>
        </w:rPr>
        <w:t>11.1</w:t>
      </w:r>
      <w:r>
        <w:rPr>
          <w:rFonts w:hint="eastAsia" w:ascii="宋体" w:hAnsi="宋体" w:cs="宋体"/>
          <w:color w:val="auto"/>
          <w:sz w:val="24"/>
          <w:szCs w:val="24"/>
          <w:highlight w:val="none"/>
          <w:lang w:val="zh-CN"/>
        </w:rPr>
        <w:t>款无特别约定，本合同项下货物的质量保证期为从需方验收合格并交付给需方之日起1年。</w:t>
      </w:r>
    </w:p>
    <w:p w14:paraId="038E36B7">
      <w:pPr>
        <w:ind w:firstLine="482"/>
        <w:outlineLvl w:val="1"/>
        <w:rPr>
          <w:rFonts w:ascii="宋体" w:hAnsi="宋体"/>
          <w:b/>
          <w:bCs/>
          <w:color w:val="auto"/>
          <w:sz w:val="24"/>
          <w:szCs w:val="24"/>
          <w:highlight w:val="none"/>
          <w:lang w:val="zh-CN"/>
        </w:rPr>
      </w:pPr>
      <w:bookmarkStart w:id="52" w:name="_Toc12098"/>
      <w:r>
        <w:rPr>
          <w:rFonts w:ascii="宋体" w:hAnsi="宋体" w:cs="宋体"/>
          <w:b/>
          <w:bCs/>
          <w:color w:val="auto"/>
          <w:sz w:val="24"/>
          <w:szCs w:val="24"/>
          <w:highlight w:val="none"/>
          <w:lang w:val="zh-CN"/>
        </w:rPr>
        <w:t>12</w:t>
      </w:r>
      <w:r>
        <w:rPr>
          <w:rFonts w:hint="eastAsia" w:ascii="宋体" w:hAnsi="宋体" w:cs="宋体"/>
          <w:b/>
          <w:bCs/>
          <w:color w:val="auto"/>
          <w:sz w:val="24"/>
          <w:szCs w:val="24"/>
          <w:highlight w:val="none"/>
          <w:lang w:val="zh-CN"/>
        </w:rPr>
        <w:t>.质量保证</w:t>
      </w:r>
      <w:bookmarkEnd w:id="52"/>
    </w:p>
    <w:p w14:paraId="1E7BEB16">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12.1 </w:t>
      </w:r>
      <w:r>
        <w:rPr>
          <w:rFonts w:hint="eastAsia" w:ascii="宋体" w:hAnsi="宋体" w:cs="宋体"/>
          <w:color w:val="auto"/>
          <w:sz w:val="24"/>
          <w:szCs w:val="24"/>
          <w:highlight w:val="none"/>
          <w:lang w:val="zh-CN"/>
        </w:rPr>
        <w:t>供方应保证所提供的货物是原制造厂商制造的、经过合法销售渠道取得的、全新的、未使用过的，并完全符合合同规定的品牌、规格型号、技术性能、配置、质量、数量等要求。供方应保证其所提供的货物在正确安装、正常使用和保养条件下，在其使用寿命期内具有满意的性能。在货物最终验收合格交付后不少于本合同条款第</w:t>
      </w:r>
      <w:r>
        <w:rPr>
          <w:rFonts w:ascii="宋体" w:hAnsi="宋体" w:cs="宋体"/>
          <w:color w:val="auto"/>
          <w:sz w:val="24"/>
          <w:szCs w:val="24"/>
          <w:highlight w:val="none"/>
          <w:lang w:val="zh-CN"/>
        </w:rPr>
        <w:t>11</w:t>
      </w:r>
      <w:r>
        <w:rPr>
          <w:rFonts w:hint="eastAsia" w:ascii="宋体" w:hAnsi="宋体" w:cs="宋体"/>
          <w:color w:val="auto"/>
          <w:sz w:val="24"/>
          <w:szCs w:val="24"/>
          <w:highlight w:val="none"/>
          <w:lang w:val="zh-CN"/>
        </w:rPr>
        <w:t>条规定的质量保证期内，供方应对其交付的货物由于设计、工艺或材料的缺陷而产生的故障负责。</w:t>
      </w:r>
    </w:p>
    <w:p w14:paraId="3210CBBF">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12.2 </w:t>
      </w:r>
      <w:r>
        <w:rPr>
          <w:rFonts w:hint="eastAsia" w:ascii="宋体" w:hAnsi="宋体" w:cs="宋体"/>
          <w:color w:val="auto"/>
          <w:sz w:val="24"/>
          <w:szCs w:val="24"/>
          <w:highlight w:val="none"/>
          <w:lang w:val="zh-CN"/>
        </w:rPr>
        <w:t>在质量保证期内，如果货物的规格型号、配置、技术性能、原产地及制造厂商以及其他技术质量指标与合同约定不符，或证实货物是有缺陷的，包括潜在的缺陷或使用不符合要求的材料等，需方应尽快以书面形式向供方提出索赔。</w:t>
      </w:r>
    </w:p>
    <w:p w14:paraId="5ECCDA29">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12.3</w:t>
      </w:r>
      <w:r>
        <w:rPr>
          <w:rFonts w:hint="eastAsia" w:ascii="宋体" w:hAnsi="宋体" w:cs="宋体"/>
          <w:color w:val="auto"/>
          <w:sz w:val="24"/>
          <w:szCs w:val="24"/>
          <w:highlight w:val="none"/>
          <w:lang w:val="zh-CN"/>
        </w:rPr>
        <w:t xml:space="preserve"> 在质量保证期内，供方在接到需方的通知后，应在本合同条款第</w:t>
      </w:r>
      <w:r>
        <w:rPr>
          <w:rFonts w:ascii="宋体" w:hAnsi="宋体" w:cs="宋体"/>
          <w:color w:val="auto"/>
          <w:sz w:val="24"/>
          <w:szCs w:val="24"/>
          <w:highlight w:val="none"/>
          <w:lang w:val="zh-CN"/>
        </w:rPr>
        <w:t>11</w:t>
      </w:r>
      <w:r>
        <w:rPr>
          <w:rFonts w:hint="eastAsia" w:ascii="宋体" w:hAnsi="宋体" w:cs="宋体"/>
          <w:color w:val="auto"/>
          <w:sz w:val="24"/>
          <w:szCs w:val="24"/>
          <w:highlight w:val="none"/>
          <w:lang w:val="zh-CN"/>
        </w:rPr>
        <w:t>条约定的响应时间内</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zh-CN"/>
        </w:rPr>
        <w:t>免费维修和</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zh-CN"/>
        </w:rPr>
        <w:t>或更换有缺陷的货物或部件。</w:t>
      </w:r>
    </w:p>
    <w:p w14:paraId="05B1699D">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12.4 </w:t>
      </w:r>
      <w:r>
        <w:rPr>
          <w:rFonts w:hint="eastAsia" w:ascii="宋体" w:hAnsi="宋体" w:cs="宋体"/>
          <w:color w:val="auto"/>
          <w:sz w:val="24"/>
          <w:szCs w:val="24"/>
          <w:highlight w:val="none"/>
          <w:lang w:val="zh-CN"/>
        </w:rPr>
        <w:t>如果供方在接到需方通知后，在本合同条款第</w:t>
      </w:r>
      <w:r>
        <w:rPr>
          <w:rFonts w:ascii="宋体" w:hAnsi="宋体" w:cs="宋体"/>
          <w:color w:val="auto"/>
          <w:sz w:val="24"/>
          <w:szCs w:val="24"/>
          <w:highlight w:val="none"/>
          <w:lang w:val="zh-CN"/>
        </w:rPr>
        <w:t>11</w:t>
      </w:r>
      <w:r>
        <w:rPr>
          <w:rFonts w:hint="eastAsia" w:ascii="宋体" w:hAnsi="宋体" w:cs="宋体"/>
          <w:color w:val="auto"/>
          <w:sz w:val="24"/>
          <w:szCs w:val="24"/>
          <w:highlight w:val="none"/>
          <w:lang w:val="zh-CN"/>
        </w:rPr>
        <w:t>条约定的响应时间内没有弥补缺陷，需方可采取必要的补救措施，但其风险和费用将由供方负担，并且需方根据合同规定对供方行使的其他权利不受影响。</w:t>
      </w:r>
    </w:p>
    <w:p w14:paraId="0B804245">
      <w:pPr>
        <w:ind w:firstLine="482"/>
        <w:outlineLvl w:val="1"/>
        <w:rPr>
          <w:rFonts w:ascii="宋体" w:hAnsi="宋体"/>
          <w:b/>
          <w:bCs/>
          <w:color w:val="auto"/>
          <w:sz w:val="24"/>
          <w:szCs w:val="24"/>
          <w:highlight w:val="none"/>
          <w:lang w:val="zh-CN"/>
        </w:rPr>
      </w:pPr>
      <w:bookmarkStart w:id="53" w:name="_Toc4984"/>
      <w:r>
        <w:rPr>
          <w:rFonts w:ascii="宋体" w:hAnsi="宋体" w:cs="宋体"/>
          <w:b/>
          <w:bCs/>
          <w:color w:val="auto"/>
          <w:sz w:val="24"/>
          <w:szCs w:val="24"/>
          <w:highlight w:val="none"/>
          <w:lang w:val="zh-CN"/>
        </w:rPr>
        <w:t>13</w:t>
      </w:r>
      <w:r>
        <w:rPr>
          <w:rFonts w:hint="eastAsia" w:ascii="宋体" w:hAnsi="宋体" w:cs="宋体"/>
          <w:b/>
          <w:bCs/>
          <w:color w:val="auto"/>
          <w:sz w:val="24"/>
          <w:szCs w:val="24"/>
          <w:highlight w:val="none"/>
          <w:lang w:val="zh-CN"/>
        </w:rPr>
        <w:t>.验收</w:t>
      </w:r>
      <w:bookmarkEnd w:id="53"/>
    </w:p>
    <w:p w14:paraId="6FCE9862">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13.1</w:t>
      </w:r>
      <w:r>
        <w:rPr>
          <w:rFonts w:hint="eastAsia" w:ascii="宋体" w:hAnsi="宋体" w:cs="宋体"/>
          <w:b/>
          <w:bCs/>
          <w:color w:val="auto"/>
          <w:sz w:val="24"/>
          <w:szCs w:val="24"/>
          <w:highlight w:val="none"/>
          <w:lang w:val="zh-CN"/>
        </w:rPr>
        <w:t xml:space="preserve"> </w:t>
      </w:r>
      <w:r>
        <w:rPr>
          <w:rFonts w:hint="eastAsia" w:ascii="宋体" w:hAnsi="宋体" w:cs="宋体"/>
          <w:color w:val="auto"/>
          <w:sz w:val="24"/>
          <w:szCs w:val="24"/>
          <w:highlight w:val="none"/>
          <w:lang w:val="zh-CN"/>
        </w:rPr>
        <w:t>供方提交的货物由需方负责检验验收，或由需方聘请当地质检（商检）部门或有关部门对货物的品种、规格、性能、质量、数量、外观以及配件等进行检验，并出具检验证书。检验费用由供需双方协商确定。需方对货物的规格技术指标如有异议，应于七天内按照合同规定的方式提出。验收通过后，需方与供方共同在验收书上签字和加盖单位公章，作为验收合格、同意付款的依据。</w:t>
      </w:r>
    </w:p>
    <w:p w14:paraId="3D26D655">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13.2</w:t>
      </w:r>
      <w:r>
        <w:rPr>
          <w:rFonts w:hint="eastAsia" w:ascii="宋体" w:hAnsi="宋体" w:cs="宋体"/>
          <w:b/>
          <w:bCs/>
          <w:color w:val="auto"/>
          <w:sz w:val="24"/>
          <w:szCs w:val="24"/>
          <w:highlight w:val="none"/>
          <w:lang w:val="zh-CN"/>
        </w:rPr>
        <w:t xml:space="preserve"> 验收过程中，如果供需双方对合同标的质量发生争议，应当聘请当地质检（商检）部门或有关部门对有争议的货物质量进行鉴定，检验费用由责任方承担。</w:t>
      </w:r>
    </w:p>
    <w:p w14:paraId="1911F29F">
      <w:pPr>
        <w:ind w:firstLine="482"/>
        <w:rPr>
          <w:rFonts w:ascii="宋体" w:hAnsi="宋体"/>
          <w:b/>
          <w:bCs/>
          <w:color w:val="auto"/>
          <w:sz w:val="24"/>
          <w:szCs w:val="24"/>
          <w:highlight w:val="none"/>
        </w:rPr>
      </w:pPr>
      <w:r>
        <w:rPr>
          <w:rFonts w:ascii="宋体" w:hAnsi="宋体" w:cs="宋体"/>
          <w:b/>
          <w:bCs/>
          <w:color w:val="auto"/>
          <w:sz w:val="24"/>
          <w:szCs w:val="24"/>
          <w:highlight w:val="none"/>
          <w:lang w:val="zh-CN"/>
        </w:rPr>
        <w:t>13.3</w:t>
      </w:r>
      <w:r>
        <w:rPr>
          <w:rFonts w:hint="eastAsia" w:ascii="宋体" w:hAnsi="宋体" w:cs="宋体"/>
          <w:b/>
          <w:bCs/>
          <w:color w:val="auto"/>
          <w:sz w:val="24"/>
          <w:szCs w:val="24"/>
          <w:highlight w:val="none"/>
          <w:lang w:val="zh-CN"/>
        </w:rPr>
        <w:t xml:space="preserve"> 按照规定必须由国家有关部门或者机构检验合格才允许使用的货物，由供方负责（需方配合）向有关部门或者机构申请检验并取得检验合格的报告（证书）或者使用许可证，费用包含在供方的投标总价中。</w:t>
      </w:r>
    </w:p>
    <w:p w14:paraId="026EB9B3">
      <w:pPr>
        <w:ind w:firstLine="482"/>
        <w:outlineLvl w:val="1"/>
        <w:rPr>
          <w:rFonts w:ascii="宋体" w:hAnsi="宋体"/>
          <w:b/>
          <w:bCs/>
          <w:color w:val="auto"/>
          <w:sz w:val="24"/>
          <w:szCs w:val="24"/>
          <w:highlight w:val="none"/>
          <w:lang w:val="zh-CN"/>
        </w:rPr>
      </w:pPr>
      <w:bookmarkStart w:id="54" w:name="_Toc12764"/>
      <w:r>
        <w:rPr>
          <w:rFonts w:ascii="宋体" w:hAnsi="宋体" w:cs="宋体"/>
          <w:b/>
          <w:bCs/>
          <w:color w:val="auto"/>
          <w:sz w:val="24"/>
          <w:szCs w:val="24"/>
          <w:highlight w:val="none"/>
          <w:lang w:val="zh-CN"/>
        </w:rPr>
        <w:t>14</w:t>
      </w:r>
      <w:r>
        <w:rPr>
          <w:rFonts w:hint="eastAsia" w:ascii="宋体" w:hAnsi="宋体" w:cs="宋体"/>
          <w:b/>
          <w:bCs/>
          <w:color w:val="auto"/>
          <w:sz w:val="24"/>
          <w:szCs w:val="24"/>
          <w:highlight w:val="none"/>
          <w:lang w:val="zh-CN"/>
        </w:rPr>
        <w:t>.索赔</w:t>
      </w:r>
      <w:bookmarkEnd w:id="54"/>
    </w:p>
    <w:p w14:paraId="353D3888">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14.1</w:t>
      </w:r>
      <w:r>
        <w:rPr>
          <w:rFonts w:hint="eastAsia" w:ascii="宋体" w:hAnsi="宋体" w:cs="宋体"/>
          <w:color w:val="auto"/>
          <w:sz w:val="24"/>
          <w:szCs w:val="24"/>
          <w:highlight w:val="none"/>
          <w:lang w:val="zh-CN"/>
        </w:rPr>
        <w:t xml:space="preserve"> 需方有权根据国家技术监督局、进出口商品检验局或其他具有法定资格的质检机构出具的检验证书向供方提出索赔。</w:t>
      </w:r>
    </w:p>
    <w:p w14:paraId="4EB07A7B">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14.2</w:t>
      </w:r>
      <w:r>
        <w:rPr>
          <w:rFonts w:hint="eastAsia" w:ascii="宋体" w:hAnsi="宋体" w:cs="宋体"/>
          <w:color w:val="auto"/>
          <w:sz w:val="24"/>
          <w:szCs w:val="24"/>
          <w:highlight w:val="none"/>
          <w:lang w:val="zh-CN"/>
        </w:rPr>
        <w:t xml:space="preserve"> 如果供方对缺陷负有责任而需方提出索赔，供方应按照需方同意的下列一种或多种方式解决索赔事宜：</w:t>
      </w:r>
    </w:p>
    <w:p w14:paraId="515DCCD6">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）供方同意退货并用合同规定的货币将货款退还给需方，并承担由此发生的一切损失和费用，包括利息、银行手续费、运费、保险费、检验费、仓储费、装卸费以及为保护退回货物所需的其他必要费用。</w:t>
      </w:r>
    </w:p>
    <w:p w14:paraId="2969CB0B">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2</w:t>
      </w:r>
      <w:r>
        <w:rPr>
          <w:rFonts w:hint="eastAsia" w:ascii="宋体" w:hAnsi="宋体" w:cs="宋体"/>
          <w:color w:val="auto"/>
          <w:sz w:val="24"/>
          <w:szCs w:val="24"/>
          <w:highlight w:val="none"/>
          <w:lang w:val="zh-CN"/>
        </w:rPr>
        <w:t>）根据货物低劣、损坏程度以及需方所遭受损失的金额，经双方商定降低货物的价格。</w:t>
      </w:r>
    </w:p>
    <w:p w14:paraId="4A9CE83D">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3</w:t>
      </w:r>
      <w:r>
        <w:rPr>
          <w:rFonts w:hint="eastAsia" w:ascii="宋体" w:hAnsi="宋体" w:cs="宋体"/>
          <w:color w:val="auto"/>
          <w:sz w:val="24"/>
          <w:szCs w:val="24"/>
          <w:highlight w:val="none"/>
          <w:lang w:val="zh-CN"/>
        </w:rPr>
        <w:t>）用符合合同规定的规格、质量和性能要求的新零件、部件和／或设备来更换有缺陷的部分和／或修补缺陷部分，供方应承担一切费用和风险，并负担需方蒙受的全部直接损失。供方应相应延长修补和／或更换件的质量保证期。</w:t>
      </w:r>
    </w:p>
    <w:p w14:paraId="1D0ECE1E">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14.3</w:t>
      </w:r>
      <w:r>
        <w:rPr>
          <w:rFonts w:hint="eastAsia" w:ascii="宋体" w:hAnsi="宋体" w:cs="宋体"/>
          <w:color w:val="auto"/>
          <w:sz w:val="24"/>
          <w:szCs w:val="24"/>
          <w:highlight w:val="none"/>
          <w:lang w:val="zh-CN"/>
        </w:rPr>
        <w:t xml:space="preserve"> 如果在需方发出索赔通知后十天内供方未作答复，上述索赔应视为已被供方接受。如供方未能在接到需方索赔通知后十天内或需方同意的延长期限内，按照上述第</w:t>
      </w:r>
      <w:r>
        <w:rPr>
          <w:rFonts w:ascii="宋体" w:hAnsi="宋体" w:cs="宋体"/>
          <w:color w:val="auto"/>
          <w:sz w:val="24"/>
          <w:szCs w:val="24"/>
          <w:highlight w:val="none"/>
          <w:lang w:val="zh-CN"/>
        </w:rPr>
        <w:t>14.2</w:t>
      </w:r>
      <w:r>
        <w:rPr>
          <w:rFonts w:hint="eastAsia" w:ascii="宋体" w:hAnsi="宋体" w:cs="宋体"/>
          <w:color w:val="auto"/>
          <w:sz w:val="24"/>
          <w:szCs w:val="24"/>
          <w:highlight w:val="none"/>
          <w:lang w:val="zh-CN"/>
        </w:rPr>
        <w:t>款规定的任何一种或多种方式解决索赔事宜并征得需方同意，需方有权从应付货款或从供方提交的履约保证金中扣回索赔金额，并拥有对赔偿不足部分进一步索赔的权利。</w:t>
      </w:r>
    </w:p>
    <w:p w14:paraId="09F81BAB">
      <w:pPr>
        <w:ind w:firstLine="482"/>
        <w:outlineLvl w:val="1"/>
        <w:rPr>
          <w:rFonts w:ascii="宋体" w:hAnsi="宋体"/>
          <w:b/>
          <w:bCs/>
          <w:color w:val="auto"/>
          <w:sz w:val="24"/>
          <w:szCs w:val="24"/>
          <w:highlight w:val="none"/>
          <w:lang w:val="zh-CN"/>
        </w:rPr>
      </w:pPr>
      <w:bookmarkStart w:id="55" w:name="_Toc23561"/>
      <w:r>
        <w:rPr>
          <w:rFonts w:ascii="宋体" w:hAnsi="宋体" w:cs="宋体"/>
          <w:b/>
          <w:bCs/>
          <w:color w:val="auto"/>
          <w:sz w:val="24"/>
          <w:szCs w:val="24"/>
          <w:highlight w:val="none"/>
          <w:lang w:val="zh-CN"/>
        </w:rPr>
        <w:t>15</w:t>
      </w:r>
      <w:r>
        <w:rPr>
          <w:rFonts w:hint="eastAsia" w:ascii="宋体" w:hAnsi="宋体" w:cs="宋体"/>
          <w:b/>
          <w:bCs/>
          <w:color w:val="auto"/>
          <w:sz w:val="24"/>
          <w:szCs w:val="24"/>
          <w:highlight w:val="none"/>
          <w:lang w:val="zh-CN"/>
        </w:rPr>
        <w:t>.履约延误</w:t>
      </w:r>
      <w:bookmarkEnd w:id="55"/>
    </w:p>
    <w:p w14:paraId="6018CF3B">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15.1 </w:t>
      </w:r>
      <w:r>
        <w:rPr>
          <w:rFonts w:hint="eastAsia" w:ascii="宋体" w:hAnsi="宋体" w:cs="宋体"/>
          <w:color w:val="auto"/>
          <w:sz w:val="24"/>
          <w:szCs w:val="24"/>
          <w:highlight w:val="none"/>
          <w:lang w:val="zh-CN"/>
        </w:rPr>
        <w:t>供方应按照合同规定的时间、地点交货和提供服务；需方应按照合同规定的时间、地点接收货物和接受服务。</w:t>
      </w:r>
    </w:p>
    <w:p w14:paraId="1F13751D">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15.2 </w:t>
      </w:r>
      <w:r>
        <w:rPr>
          <w:rFonts w:hint="eastAsia" w:ascii="宋体" w:hAnsi="宋体" w:cs="宋体"/>
          <w:color w:val="auto"/>
          <w:sz w:val="24"/>
          <w:szCs w:val="24"/>
          <w:highlight w:val="none"/>
          <w:lang w:val="zh-CN"/>
        </w:rPr>
        <w:t>如果供方无正当理由拖延交货，将受到以下制裁：没收履约保证金、加收误期赔偿和／或违约终止合同；如果需方无正当理由拖延接收货物和接受服务，应承担相应的违约责任。</w:t>
      </w:r>
    </w:p>
    <w:p w14:paraId="023A3DD2">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15.3 </w:t>
      </w:r>
      <w:r>
        <w:rPr>
          <w:rFonts w:hint="eastAsia" w:ascii="宋体" w:hAnsi="宋体" w:cs="宋体"/>
          <w:color w:val="auto"/>
          <w:sz w:val="24"/>
          <w:szCs w:val="24"/>
          <w:highlight w:val="none"/>
          <w:lang w:val="zh-CN"/>
        </w:rPr>
        <w:t>在履行合同过程中，如果供方遇到可能妨碍其按时交货和提供服务的情况，或者需方遇到可能妨碍其按时接收货物和接受服务的情况，</w:t>
      </w:r>
      <w:r>
        <w:rPr>
          <w:rFonts w:ascii="宋体" w:hAnsi="宋体" w:cs="宋体"/>
          <w:color w:val="auto"/>
          <w:sz w:val="24"/>
          <w:szCs w:val="24"/>
          <w:highlight w:val="none"/>
          <w:lang w:val="zh-CN"/>
        </w:rPr>
        <w:t xml:space="preserve"> </w:t>
      </w:r>
      <w:r>
        <w:rPr>
          <w:rFonts w:hint="eastAsia" w:ascii="宋体" w:hAnsi="宋体" w:cs="宋体"/>
          <w:color w:val="auto"/>
          <w:sz w:val="24"/>
          <w:szCs w:val="24"/>
          <w:highlight w:val="none"/>
          <w:lang w:val="zh-CN"/>
        </w:rPr>
        <w:t>应及时以书面形式将拖延的事实，可能拖延的期限和理由通知对方。需方（或供方）在收到供方（或需方）通知后，应尽快对情况进行评估，并确定是否通过修改合同，酌情延长交货时间和</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zh-CN"/>
        </w:rPr>
        <w:t>或延期提供服务，或者终止合同。</w:t>
      </w:r>
    </w:p>
    <w:p w14:paraId="417E69B9">
      <w:pPr>
        <w:ind w:firstLine="482"/>
        <w:outlineLvl w:val="1"/>
        <w:rPr>
          <w:rFonts w:ascii="宋体" w:hAnsi="宋体"/>
          <w:b/>
          <w:bCs/>
          <w:color w:val="auto"/>
          <w:sz w:val="24"/>
          <w:szCs w:val="24"/>
          <w:highlight w:val="none"/>
          <w:lang w:val="zh-CN"/>
        </w:rPr>
      </w:pPr>
      <w:bookmarkStart w:id="56" w:name="_Toc23073"/>
      <w:r>
        <w:rPr>
          <w:rFonts w:ascii="宋体" w:hAnsi="宋体" w:cs="宋体"/>
          <w:b/>
          <w:bCs/>
          <w:color w:val="auto"/>
          <w:sz w:val="24"/>
          <w:szCs w:val="24"/>
          <w:highlight w:val="none"/>
          <w:lang w:val="zh-CN"/>
        </w:rPr>
        <w:t>16</w:t>
      </w:r>
      <w:r>
        <w:rPr>
          <w:rFonts w:hint="eastAsia" w:ascii="宋体" w:hAnsi="宋体" w:cs="宋体"/>
          <w:b/>
          <w:bCs/>
          <w:color w:val="auto"/>
          <w:sz w:val="24"/>
          <w:szCs w:val="24"/>
          <w:highlight w:val="none"/>
          <w:lang w:val="zh-CN"/>
        </w:rPr>
        <w:t>.误期赔偿</w:t>
      </w:r>
      <w:bookmarkEnd w:id="56"/>
    </w:p>
    <w:p w14:paraId="6CC4122D">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16.1</w:t>
      </w:r>
      <w:r>
        <w:rPr>
          <w:rFonts w:hint="eastAsia" w:ascii="宋体" w:hAnsi="宋体" w:cs="宋体"/>
          <w:color w:val="auto"/>
          <w:sz w:val="24"/>
          <w:szCs w:val="24"/>
          <w:highlight w:val="none"/>
          <w:lang w:val="zh-CN"/>
        </w:rPr>
        <w:t xml:space="preserve"> 除本合同条款</w:t>
      </w:r>
      <w:r>
        <w:rPr>
          <w:rFonts w:hint="eastAsia" w:ascii="宋体" w:hAnsi="宋体" w:cs="宋体"/>
          <w:b/>
          <w:bCs/>
          <w:color w:val="auto"/>
          <w:sz w:val="24"/>
          <w:szCs w:val="24"/>
          <w:highlight w:val="none"/>
          <w:lang w:val="zh-CN"/>
        </w:rPr>
        <w:t>第</w:t>
      </w:r>
      <w:r>
        <w:rPr>
          <w:rFonts w:ascii="宋体" w:hAnsi="宋体" w:cs="宋体"/>
          <w:b/>
          <w:bCs/>
          <w:color w:val="auto"/>
          <w:sz w:val="24"/>
          <w:szCs w:val="24"/>
          <w:highlight w:val="none"/>
          <w:lang w:val="zh-CN"/>
        </w:rPr>
        <w:t>18</w:t>
      </w:r>
      <w:r>
        <w:rPr>
          <w:rFonts w:hint="eastAsia" w:ascii="宋体" w:hAnsi="宋体" w:cs="宋体"/>
          <w:b/>
          <w:bCs/>
          <w:color w:val="auto"/>
          <w:sz w:val="24"/>
          <w:szCs w:val="24"/>
          <w:highlight w:val="none"/>
          <w:lang w:val="zh-CN"/>
        </w:rPr>
        <w:t>条</w:t>
      </w:r>
      <w:r>
        <w:rPr>
          <w:rFonts w:hint="eastAsia" w:ascii="宋体" w:hAnsi="宋体" w:cs="宋体"/>
          <w:color w:val="auto"/>
          <w:sz w:val="24"/>
          <w:szCs w:val="24"/>
          <w:highlight w:val="none"/>
          <w:lang w:val="zh-CN"/>
        </w:rPr>
        <w:t>规定的情形外，如果供方没有按照合同规定的时间交货和提供服务，供方应向需方支付误期赔偿费。误期赔偿费每周按迟交货物的交货价或延期服务的服务费用的百分之一（</w:t>
      </w: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）计收，直至交货或提供服务为止。一周按七天计算，不足七天按一周计算。但误期赔偿费的最高限额不超过合同价的百分之五（</w:t>
      </w:r>
      <w:r>
        <w:rPr>
          <w:rFonts w:ascii="宋体" w:hAnsi="宋体" w:cs="宋体"/>
          <w:color w:val="auto"/>
          <w:sz w:val="24"/>
          <w:szCs w:val="24"/>
          <w:highlight w:val="none"/>
          <w:lang w:val="zh-CN"/>
        </w:rPr>
        <w:t>5%</w:t>
      </w:r>
      <w:r>
        <w:rPr>
          <w:rFonts w:hint="eastAsia" w:ascii="宋体" w:hAnsi="宋体" w:cs="宋体"/>
          <w:color w:val="auto"/>
          <w:sz w:val="24"/>
          <w:szCs w:val="24"/>
          <w:highlight w:val="none"/>
          <w:lang w:val="zh-CN"/>
        </w:rPr>
        <w:t>）。</w:t>
      </w:r>
    </w:p>
    <w:p w14:paraId="0FAD08D4">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16.2</w:t>
      </w:r>
      <w:r>
        <w:rPr>
          <w:rFonts w:hint="eastAsia" w:ascii="宋体" w:hAnsi="宋体" w:cs="宋体"/>
          <w:color w:val="auto"/>
          <w:sz w:val="24"/>
          <w:szCs w:val="24"/>
          <w:highlight w:val="none"/>
          <w:lang w:val="zh-CN"/>
        </w:rPr>
        <w:t xml:space="preserve"> 误期赔偿费可从应付货款和</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zh-CN"/>
        </w:rPr>
        <w:t>或履约保证金中扣除。</w:t>
      </w:r>
    </w:p>
    <w:p w14:paraId="1FC2E6E5">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16.3</w:t>
      </w:r>
      <w:r>
        <w:rPr>
          <w:rFonts w:hint="eastAsia" w:ascii="宋体" w:hAnsi="宋体" w:cs="宋体"/>
          <w:color w:val="auto"/>
          <w:sz w:val="24"/>
          <w:szCs w:val="24"/>
          <w:highlight w:val="none"/>
          <w:lang w:val="zh-CN"/>
        </w:rPr>
        <w:t xml:space="preserve"> 收取误期赔偿费不影响需方采取合同规定的其他补救措施的权利。</w:t>
      </w:r>
    </w:p>
    <w:p w14:paraId="3E7E8CF8">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16.4</w:t>
      </w:r>
      <w:r>
        <w:rPr>
          <w:rFonts w:hint="eastAsia" w:ascii="宋体" w:hAnsi="宋体" w:cs="宋体"/>
          <w:color w:val="auto"/>
          <w:sz w:val="24"/>
          <w:szCs w:val="24"/>
          <w:highlight w:val="none"/>
          <w:lang w:val="zh-CN"/>
        </w:rPr>
        <w:t xml:space="preserve"> 在收取误期赔偿费期间，需方有权决定是否终止合同。</w:t>
      </w:r>
    </w:p>
    <w:p w14:paraId="26F661ED">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16.5</w:t>
      </w:r>
      <w:r>
        <w:rPr>
          <w:rFonts w:hint="eastAsia" w:ascii="宋体" w:hAnsi="宋体" w:cs="宋体"/>
          <w:color w:val="auto"/>
          <w:sz w:val="24"/>
          <w:szCs w:val="24"/>
          <w:highlight w:val="none"/>
          <w:lang w:val="zh-CN"/>
        </w:rPr>
        <w:t xml:space="preserve"> 如果需方违约，应承担相应的违约责任。</w:t>
      </w:r>
    </w:p>
    <w:p w14:paraId="11151EB3">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17</w:t>
      </w:r>
      <w:r>
        <w:rPr>
          <w:rFonts w:hint="eastAsia" w:ascii="宋体" w:hAnsi="宋体" w:cs="宋体"/>
          <w:b/>
          <w:bCs/>
          <w:color w:val="auto"/>
          <w:sz w:val="24"/>
          <w:szCs w:val="24"/>
          <w:highlight w:val="none"/>
          <w:lang w:val="zh-CN"/>
        </w:rPr>
        <w:t>.履约保证金：在政府采购合同书中约定。</w:t>
      </w:r>
    </w:p>
    <w:p w14:paraId="10EAAEB8">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18</w:t>
      </w:r>
      <w:r>
        <w:rPr>
          <w:rFonts w:hint="eastAsia" w:ascii="宋体" w:hAnsi="宋体" w:cs="宋体"/>
          <w:b/>
          <w:bCs/>
          <w:color w:val="auto"/>
          <w:sz w:val="24"/>
          <w:szCs w:val="24"/>
          <w:highlight w:val="none"/>
          <w:lang w:val="zh-CN"/>
        </w:rPr>
        <w:t>.不可抗力</w:t>
      </w:r>
    </w:p>
    <w:p w14:paraId="58DC6652">
      <w:pPr>
        <w:rPr>
          <w:rFonts w:ascii="宋体" w:hAnsi="宋体"/>
          <w:color w:val="auto"/>
          <w:sz w:val="24"/>
          <w:szCs w:val="24"/>
          <w:highlight w:val="none"/>
          <w:lang w:val="zh-CN"/>
        </w:rPr>
      </w:pPr>
      <w:r>
        <w:rPr>
          <w:rFonts w:ascii="宋体" w:hAnsi="宋体" w:cs="宋体"/>
          <w:color w:val="auto"/>
          <w:sz w:val="24"/>
          <w:szCs w:val="24"/>
          <w:highlight w:val="none"/>
          <w:lang w:val="zh-CN"/>
        </w:rPr>
        <w:t xml:space="preserve">    18.1 </w:t>
      </w:r>
      <w:r>
        <w:rPr>
          <w:rFonts w:hint="eastAsia" w:ascii="宋体" w:hAnsi="宋体" w:cs="宋体"/>
          <w:color w:val="auto"/>
          <w:sz w:val="24"/>
          <w:szCs w:val="24"/>
          <w:highlight w:val="none"/>
          <w:lang w:val="zh-CN"/>
        </w:rPr>
        <w:t>如果供方和需方因不可抗力导致合同实施延误或不能履行合同义务，不应该承担误期赔偿或不能履行合同义务的责任。但因供方或需方先延误或不能履行合同而后遇不可抗力的情形除外。</w:t>
      </w:r>
    </w:p>
    <w:p w14:paraId="63EABCB1">
      <w:pPr>
        <w:rPr>
          <w:rFonts w:ascii="宋体" w:hAnsi="宋体"/>
          <w:color w:val="auto"/>
          <w:sz w:val="24"/>
          <w:szCs w:val="24"/>
          <w:highlight w:val="none"/>
          <w:lang w:val="zh-CN"/>
        </w:rPr>
      </w:pPr>
      <w:r>
        <w:rPr>
          <w:rFonts w:ascii="宋体" w:hAnsi="宋体" w:cs="宋体"/>
          <w:color w:val="auto"/>
          <w:sz w:val="24"/>
          <w:szCs w:val="24"/>
          <w:highlight w:val="none"/>
          <w:lang w:val="zh-CN"/>
        </w:rPr>
        <w:t xml:space="preserve">    18.2 </w:t>
      </w:r>
      <w:r>
        <w:rPr>
          <w:rFonts w:hint="eastAsia" w:ascii="宋体" w:hAnsi="宋体" w:cs="宋体"/>
          <w:color w:val="auto"/>
          <w:sz w:val="24"/>
          <w:szCs w:val="24"/>
          <w:highlight w:val="none"/>
          <w:lang w:val="zh-CN"/>
        </w:rPr>
        <w:t>本条所述的</w:t>
      </w:r>
      <w:r>
        <w:rPr>
          <w:rFonts w:ascii="宋体" w:hAnsi="宋体"/>
          <w:color w:val="auto"/>
          <w:sz w:val="24"/>
          <w:szCs w:val="24"/>
          <w:highlight w:val="none"/>
        </w:rPr>
        <w:t>“</w:t>
      </w:r>
      <w:r>
        <w:rPr>
          <w:rFonts w:hint="eastAsia" w:ascii="宋体" w:hAnsi="宋体" w:cs="宋体"/>
          <w:color w:val="auto"/>
          <w:sz w:val="24"/>
          <w:szCs w:val="24"/>
          <w:highlight w:val="none"/>
          <w:lang w:val="zh-CN"/>
        </w:rPr>
        <w:t>不可抗力</w:t>
      </w:r>
      <w:r>
        <w:rPr>
          <w:rFonts w:ascii="宋体" w:hAnsi="宋体"/>
          <w:color w:val="auto"/>
          <w:sz w:val="24"/>
          <w:szCs w:val="24"/>
          <w:highlight w:val="none"/>
        </w:rPr>
        <w:t>”</w:t>
      </w:r>
      <w:r>
        <w:rPr>
          <w:rFonts w:hint="eastAsia" w:ascii="宋体" w:hAnsi="宋体" w:cs="宋体"/>
          <w:color w:val="auto"/>
          <w:sz w:val="24"/>
          <w:szCs w:val="24"/>
          <w:highlight w:val="none"/>
          <w:lang w:val="zh-CN"/>
        </w:rPr>
        <w:t>系指那些双方无法控制，不可预见的事件，但不包括双方的违约或疏忽。这些事件包括但不限于：战争、严重火灾、洪水、台风、地震以及其它双方商定的事件。</w:t>
      </w:r>
    </w:p>
    <w:p w14:paraId="637512E2">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18.3 </w:t>
      </w:r>
      <w:r>
        <w:rPr>
          <w:rFonts w:hint="eastAsia" w:ascii="宋体" w:hAnsi="宋体" w:cs="宋体"/>
          <w:color w:val="auto"/>
          <w:sz w:val="24"/>
          <w:szCs w:val="24"/>
          <w:highlight w:val="none"/>
          <w:lang w:val="zh-CN"/>
        </w:rPr>
        <w:t>在不可抗力事件发生后，当事方应尽快以书面形式将不可抗力的情况和原因通知对方。双方应尽实际可能继续履行合同义务，并积极寻求采取合理的方案履行不受不可抗力影响的其他事项。双方应通过友好协商在合理的时间内达成进一步履行合同的协议。</w:t>
      </w:r>
    </w:p>
    <w:p w14:paraId="45289D54">
      <w:pPr>
        <w:ind w:firstLine="482"/>
        <w:outlineLvl w:val="1"/>
        <w:rPr>
          <w:rFonts w:ascii="宋体" w:hAnsi="宋体"/>
          <w:b/>
          <w:bCs/>
          <w:color w:val="auto"/>
          <w:sz w:val="24"/>
          <w:szCs w:val="24"/>
          <w:highlight w:val="none"/>
          <w:lang w:val="zh-CN"/>
        </w:rPr>
      </w:pPr>
      <w:bookmarkStart w:id="57" w:name="_Toc1009"/>
      <w:r>
        <w:rPr>
          <w:rFonts w:ascii="宋体" w:hAnsi="宋体" w:cs="宋体"/>
          <w:b/>
          <w:bCs/>
          <w:color w:val="auto"/>
          <w:sz w:val="24"/>
          <w:szCs w:val="24"/>
          <w:highlight w:val="none"/>
          <w:lang w:val="zh-CN"/>
        </w:rPr>
        <w:t>19</w:t>
      </w:r>
      <w:r>
        <w:rPr>
          <w:rFonts w:hint="eastAsia" w:ascii="宋体" w:hAnsi="宋体" w:cs="宋体"/>
          <w:b/>
          <w:bCs/>
          <w:color w:val="auto"/>
          <w:sz w:val="24"/>
          <w:szCs w:val="24"/>
          <w:highlight w:val="none"/>
          <w:lang w:val="zh-CN"/>
        </w:rPr>
        <w:t>.税费</w:t>
      </w:r>
      <w:bookmarkEnd w:id="57"/>
    </w:p>
    <w:p w14:paraId="3E289728">
      <w:pPr>
        <w:rPr>
          <w:rFonts w:ascii="宋体" w:hAnsi="宋体"/>
          <w:color w:val="auto"/>
          <w:sz w:val="24"/>
          <w:szCs w:val="24"/>
          <w:highlight w:val="none"/>
          <w:lang w:val="zh-CN"/>
        </w:rPr>
      </w:pPr>
      <w:r>
        <w:rPr>
          <w:rFonts w:ascii="宋体" w:hAnsi="宋体" w:cs="宋体"/>
          <w:color w:val="auto"/>
          <w:sz w:val="24"/>
          <w:szCs w:val="24"/>
          <w:highlight w:val="none"/>
          <w:lang w:val="zh-CN"/>
        </w:rPr>
        <w:t xml:space="preserve">    19.1 </w:t>
      </w:r>
      <w:r>
        <w:rPr>
          <w:rFonts w:hint="eastAsia" w:ascii="宋体" w:hAnsi="宋体" w:cs="宋体"/>
          <w:color w:val="auto"/>
          <w:sz w:val="24"/>
          <w:szCs w:val="24"/>
          <w:highlight w:val="none"/>
          <w:lang w:val="zh-CN"/>
        </w:rPr>
        <w:t>根据现行法律规定对需方征收的与本合同有关的一切税费均由需方负担。</w:t>
      </w:r>
    </w:p>
    <w:p w14:paraId="4197BB6C">
      <w:pPr>
        <w:rPr>
          <w:rFonts w:ascii="宋体" w:hAnsi="宋体"/>
          <w:color w:val="auto"/>
          <w:sz w:val="24"/>
          <w:szCs w:val="24"/>
          <w:highlight w:val="none"/>
          <w:lang w:val="zh-CN"/>
        </w:rPr>
      </w:pPr>
      <w:r>
        <w:rPr>
          <w:rFonts w:ascii="宋体" w:hAnsi="宋体" w:cs="宋体"/>
          <w:color w:val="auto"/>
          <w:sz w:val="24"/>
          <w:szCs w:val="24"/>
          <w:highlight w:val="none"/>
          <w:lang w:val="zh-CN"/>
        </w:rPr>
        <w:t xml:space="preserve">    19.2 </w:t>
      </w:r>
      <w:r>
        <w:rPr>
          <w:rFonts w:hint="eastAsia" w:ascii="宋体" w:hAnsi="宋体" w:cs="宋体"/>
          <w:color w:val="auto"/>
          <w:sz w:val="24"/>
          <w:szCs w:val="24"/>
          <w:highlight w:val="none"/>
          <w:lang w:val="zh-CN"/>
        </w:rPr>
        <w:t>根据现行法律规定对供方征收的与本合同有关的一切税费均由供方负担。</w:t>
      </w:r>
    </w:p>
    <w:p w14:paraId="7ACE03BB">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19.3 </w:t>
      </w:r>
      <w:r>
        <w:rPr>
          <w:rFonts w:hint="eastAsia" w:ascii="宋体" w:hAnsi="宋体" w:cs="宋体"/>
          <w:color w:val="auto"/>
          <w:sz w:val="24"/>
          <w:szCs w:val="24"/>
          <w:highlight w:val="none"/>
          <w:lang w:val="zh-CN"/>
        </w:rPr>
        <w:t>在中国境外发生的与执行本合同有关的一切税费均由供方负担。</w:t>
      </w:r>
    </w:p>
    <w:p w14:paraId="54061A83">
      <w:pPr>
        <w:ind w:firstLine="482"/>
        <w:outlineLvl w:val="1"/>
        <w:rPr>
          <w:rFonts w:ascii="宋体" w:hAnsi="宋体"/>
          <w:b/>
          <w:bCs/>
          <w:color w:val="auto"/>
          <w:sz w:val="24"/>
          <w:szCs w:val="24"/>
          <w:highlight w:val="none"/>
          <w:lang w:val="zh-CN"/>
        </w:rPr>
      </w:pPr>
      <w:bookmarkStart w:id="58" w:name="_Toc3180"/>
      <w:r>
        <w:rPr>
          <w:rFonts w:ascii="宋体" w:hAnsi="宋体" w:cs="宋体"/>
          <w:b/>
          <w:bCs/>
          <w:color w:val="auto"/>
          <w:sz w:val="24"/>
          <w:szCs w:val="24"/>
          <w:highlight w:val="none"/>
          <w:lang w:val="zh-CN"/>
        </w:rPr>
        <w:t>20</w:t>
      </w:r>
      <w:r>
        <w:rPr>
          <w:rFonts w:hint="eastAsia" w:ascii="宋体" w:hAnsi="宋体" w:cs="宋体"/>
          <w:b/>
          <w:bCs/>
          <w:color w:val="auto"/>
          <w:sz w:val="24"/>
          <w:szCs w:val="24"/>
          <w:highlight w:val="none"/>
          <w:lang w:val="zh-CN"/>
        </w:rPr>
        <w:t>.争议解决方式</w:t>
      </w:r>
      <w:bookmarkEnd w:id="58"/>
    </w:p>
    <w:p w14:paraId="778FC75A">
      <w:pPr>
        <w:ind w:firstLine="482"/>
        <w:rPr>
          <w:rFonts w:ascii="宋体" w:hAnsi="宋体"/>
          <w:b/>
          <w:bCs/>
          <w:color w:val="auto"/>
          <w:sz w:val="24"/>
          <w:szCs w:val="24"/>
          <w:highlight w:val="none"/>
          <w:lang w:val="zh-CN"/>
        </w:rPr>
      </w:pPr>
      <w:r>
        <w:rPr>
          <w:rFonts w:ascii="宋体" w:hAnsi="宋体" w:cs="宋体"/>
          <w:color w:val="auto"/>
          <w:sz w:val="24"/>
          <w:szCs w:val="24"/>
          <w:highlight w:val="none"/>
          <w:lang w:val="zh-CN"/>
        </w:rPr>
        <w:t>20.1</w:t>
      </w:r>
      <w:r>
        <w:rPr>
          <w:rFonts w:hint="eastAsia" w:ascii="宋体" w:hAnsi="宋体" w:cs="宋体"/>
          <w:color w:val="auto"/>
          <w:sz w:val="24"/>
          <w:szCs w:val="24"/>
          <w:highlight w:val="none"/>
          <w:lang w:val="zh-CN"/>
        </w:rPr>
        <w:t xml:space="preserve"> 供需双方应通过友好协商，解决在执行本合同过程中所发生的或与本合同有关的争议。如果不能协商解决，可以向国家有关部门申请调解。如果调解不成，双方可以在</w:t>
      </w:r>
      <w:r>
        <w:rPr>
          <w:rFonts w:hint="eastAsia" w:ascii="宋体" w:hAnsi="宋体" w:cs="宋体"/>
          <w:b/>
          <w:bCs/>
          <w:color w:val="auto"/>
          <w:sz w:val="24"/>
          <w:szCs w:val="24"/>
          <w:highlight w:val="none"/>
          <w:lang w:val="zh-CN"/>
        </w:rPr>
        <w:t>政府采购合同书</w:t>
      </w:r>
      <w:r>
        <w:rPr>
          <w:rFonts w:hint="eastAsia" w:ascii="宋体" w:hAnsi="宋体" w:cs="宋体"/>
          <w:color w:val="auto"/>
          <w:sz w:val="24"/>
          <w:szCs w:val="24"/>
          <w:highlight w:val="none"/>
          <w:lang w:val="zh-CN"/>
        </w:rPr>
        <w:t>内约定以下一种方式解决争议：</w:t>
      </w:r>
    </w:p>
    <w:p w14:paraId="7EC5ECD9">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第一种方式：双方达成仲裁协议，向约定的仲裁机构申请仲裁；</w:t>
      </w:r>
    </w:p>
    <w:p w14:paraId="16618A28">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第二种方式：向有管辖权的人民法院提起诉讼。</w:t>
      </w:r>
    </w:p>
    <w:p w14:paraId="21FEEF8D">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20.2 </w:t>
      </w:r>
      <w:r>
        <w:rPr>
          <w:rFonts w:hint="eastAsia" w:ascii="宋体" w:hAnsi="宋体" w:cs="宋体"/>
          <w:color w:val="auto"/>
          <w:sz w:val="24"/>
          <w:szCs w:val="24"/>
          <w:highlight w:val="none"/>
          <w:lang w:val="zh-CN"/>
        </w:rPr>
        <w:t>因合同部分履行引发仲裁（诉讼）的，在仲裁（诉讼）期间，除正在进行仲裁（诉讼）的部分外，本合同的其它部分应继续执行。</w:t>
      </w:r>
    </w:p>
    <w:p w14:paraId="26333133">
      <w:pPr>
        <w:ind w:firstLine="482"/>
        <w:outlineLvl w:val="1"/>
        <w:rPr>
          <w:rFonts w:ascii="宋体" w:hAnsi="宋体"/>
          <w:b/>
          <w:bCs/>
          <w:color w:val="auto"/>
          <w:sz w:val="24"/>
          <w:szCs w:val="24"/>
          <w:highlight w:val="none"/>
          <w:lang w:val="zh-CN"/>
        </w:rPr>
      </w:pPr>
      <w:bookmarkStart w:id="59" w:name="_Toc19110"/>
      <w:r>
        <w:rPr>
          <w:rFonts w:ascii="宋体" w:hAnsi="宋体" w:cs="宋体"/>
          <w:b/>
          <w:bCs/>
          <w:color w:val="auto"/>
          <w:sz w:val="24"/>
          <w:szCs w:val="24"/>
          <w:highlight w:val="none"/>
          <w:lang w:val="zh-CN"/>
        </w:rPr>
        <w:t>21</w:t>
      </w:r>
      <w:r>
        <w:rPr>
          <w:rFonts w:hint="eastAsia" w:ascii="宋体" w:hAnsi="宋体" w:cs="宋体"/>
          <w:b/>
          <w:bCs/>
          <w:color w:val="auto"/>
          <w:sz w:val="24"/>
          <w:szCs w:val="24"/>
          <w:highlight w:val="none"/>
          <w:lang w:val="zh-CN"/>
        </w:rPr>
        <w:t>．违约终止合同</w:t>
      </w:r>
      <w:bookmarkEnd w:id="59"/>
    </w:p>
    <w:p w14:paraId="1C231E11">
      <w:pPr>
        <w:rPr>
          <w:rFonts w:ascii="宋体" w:hAnsi="宋体"/>
          <w:color w:val="auto"/>
          <w:sz w:val="24"/>
          <w:szCs w:val="24"/>
          <w:highlight w:val="none"/>
          <w:lang w:val="zh-CN"/>
        </w:rPr>
      </w:pPr>
      <w:r>
        <w:rPr>
          <w:rFonts w:ascii="宋体" w:hAnsi="宋体" w:cs="宋体"/>
          <w:color w:val="auto"/>
          <w:sz w:val="24"/>
          <w:szCs w:val="24"/>
          <w:highlight w:val="none"/>
          <w:lang w:val="zh-CN"/>
        </w:rPr>
        <w:t xml:space="preserve">    21.1 </w:t>
      </w:r>
      <w:r>
        <w:rPr>
          <w:rFonts w:hint="eastAsia" w:ascii="宋体" w:hAnsi="宋体" w:cs="宋体"/>
          <w:color w:val="auto"/>
          <w:sz w:val="24"/>
          <w:szCs w:val="24"/>
          <w:highlight w:val="none"/>
          <w:lang w:val="zh-CN"/>
        </w:rPr>
        <w:t>在需方因供方违约而按合同约定采取的任何补救措施不受影响的情况下，需方可在下列情况下向供方发出书面通知，提出终止部分或全部合同。</w:t>
      </w:r>
    </w:p>
    <w:p w14:paraId="6E3D87C3">
      <w:pPr>
        <w:rPr>
          <w:rFonts w:ascii="宋体" w:hAnsi="宋体"/>
          <w:color w:val="auto"/>
          <w:sz w:val="24"/>
          <w:szCs w:val="24"/>
          <w:highlight w:val="none"/>
          <w:lang w:val="zh-CN"/>
        </w:rPr>
      </w:pPr>
      <w:r>
        <w:rPr>
          <w:rFonts w:ascii="宋体" w:hAnsi="宋体" w:cs="宋体"/>
          <w:color w:val="auto"/>
          <w:sz w:val="24"/>
          <w:szCs w:val="24"/>
          <w:highlight w:val="none"/>
          <w:lang w:val="zh-CN"/>
        </w:rPr>
        <w:t xml:space="preserve">   </w:t>
      </w: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）如果供方未能在合同规定的限期或需方同意延长的限期内提供部分或全部货物和服务。</w:t>
      </w:r>
    </w:p>
    <w:p w14:paraId="155646E1">
      <w:pPr>
        <w:rPr>
          <w:rFonts w:ascii="宋体" w:hAnsi="宋体"/>
          <w:color w:val="auto"/>
          <w:sz w:val="24"/>
          <w:szCs w:val="24"/>
          <w:highlight w:val="none"/>
          <w:lang w:val="zh-CN"/>
        </w:rPr>
      </w:pPr>
      <w:r>
        <w:rPr>
          <w:rFonts w:ascii="宋体" w:hAnsi="宋体" w:cs="宋体"/>
          <w:color w:val="auto"/>
          <w:sz w:val="24"/>
          <w:szCs w:val="24"/>
          <w:highlight w:val="none"/>
          <w:lang w:val="zh-CN"/>
        </w:rPr>
        <w:t xml:space="preserve">   </w:t>
      </w: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2</w:t>
      </w:r>
      <w:r>
        <w:rPr>
          <w:rFonts w:hint="eastAsia" w:ascii="宋体" w:hAnsi="宋体" w:cs="宋体"/>
          <w:color w:val="auto"/>
          <w:sz w:val="24"/>
          <w:szCs w:val="24"/>
          <w:highlight w:val="none"/>
          <w:lang w:val="zh-CN"/>
        </w:rPr>
        <w:t>）如果供方未能履行合同规定的其它任何义务。</w:t>
      </w:r>
    </w:p>
    <w:p w14:paraId="41C09C6B">
      <w:pPr>
        <w:rPr>
          <w:rFonts w:ascii="宋体" w:hAnsi="宋体"/>
          <w:color w:val="auto"/>
          <w:sz w:val="24"/>
          <w:szCs w:val="24"/>
          <w:highlight w:val="none"/>
          <w:lang w:val="zh-CN"/>
        </w:rPr>
      </w:pPr>
      <w:r>
        <w:rPr>
          <w:rFonts w:ascii="宋体" w:hAnsi="宋体" w:cs="宋体"/>
          <w:color w:val="auto"/>
          <w:sz w:val="24"/>
          <w:szCs w:val="24"/>
          <w:highlight w:val="none"/>
          <w:lang w:val="zh-CN"/>
        </w:rPr>
        <w:t xml:space="preserve">   </w:t>
      </w: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3</w:t>
      </w:r>
      <w:r>
        <w:rPr>
          <w:rFonts w:hint="eastAsia" w:ascii="宋体" w:hAnsi="宋体" w:cs="宋体"/>
          <w:color w:val="auto"/>
          <w:sz w:val="24"/>
          <w:szCs w:val="24"/>
          <w:highlight w:val="none"/>
          <w:lang w:val="zh-CN"/>
        </w:rPr>
        <w:t>）如果供方在本合同订立和履行过程中采取了任何</w:t>
      </w:r>
      <w:r>
        <w:rPr>
          <w:rFonts w:ascii="宋体" w:hAnsi="宋体"/>
          <w:color w:val="auto"/>
          <w:sz w:val="24"/>
          <w:szCs w:val="24"/>
          <w:highlight w:val="none"/>
        </w:rPr>
        <w:t>“</w:t>
      </w:r>
      <w:r>
        <w:rPr>
          <w:rFonts w:hint="eastAsia" w:ascii="宋体" w:hAnsi="宋体" w:cs="宋体"/>
          <w:color w:val="auto"/>
          <w:sz w:val="24"/>
          <w:szCs w:val="24"/>
          <w:highlight w:val="none"/>
          <w:lang w:val="zh-CN"/>
        </w:rPr>
        <w:t>不正当竞争行为</w:t>
      </w:r>
      <w:r>
        <w:rPr>
          <w:rFonts w:ascii="宋体" w:hAnsi="宋体"/>
          <w:color w:val="auto"/>
          <w:sz w:val="24"/>
          <w:szCs w:val="24"/>
          <w:highlight w:val="none"/>
        </w:rPr>
        <w:t>”</w:t>
      </w:r>
      <w:r>
        <w:rPr>
          <w:rFonts w:hint="eastAsia" w:ascii="宋体" w:hAnsi="宋体" w:cs="宋体"/>
          <w:color w:val="auto"/>
          <w:sz w:val="24"/>
          <w:szCs w:val="24"/>
          <w:highlight w:val="none"/>
          <w:lang w:val="zh-CN"/>
        </w:rPr>
        <w:t>，危害到国家利益、社会公共利益和需方的合法权益。</w:t>
      </w:r>
    </w:p>
    <w:p w14:paraId="654C41F4">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21.2 </w:t>
      </w:r>
      <w:r>
        <w:rPr>
          <w:rFonts w:hint="eastAsia" w:ascii="宋体" w:hAnsi="宋体" w:cs="宋体"/>
          <w:color w:val="auto"/>
          <w:sz w:val="24"/>
          <w:szCs w:val="24"/>
          <w:highlight w:val="none"/>
          <w:lang w:val="zh-CN"/>
        </w:rPr>
        <w:t>如果需方根据上述第</w:t>
      </w:r>
      <w:r>
        <w:rPr>
          <w:rFonts w:ascii="宋体" w:hAnsi="宋体" w:cs="宋体"/>
          <w:color w:val="auto"/>
          <w:sz w:val="24"/>
          <w:szCs w:val="24"/>
          <w:highlight w:val="none"/>
          <w:lang w:val="zh-CN"/>
        </w:rPr>
        <w:t>21.1</w:t>
      </w:r>
      <w:r>
        <w:rPr>
          <w:rFonts w:hint="eastAsia" w:ascii="宋体" w:hAnsi="宋体" w:cs="宋体"/>
          <w:color w:val="auto"/>
          <w:sz w:val="24"/>
          <w:szCs w:val="24"/>
          <w:highlight w:val="none"/>
          <w:lang w:val="zh-CN"/>
        </w:rPr>
        <w:t>款的规定，终止了全部或部分合同，需方可以依其认为适当的条件和方法购买与未交货物类似的货物，供方应对购买类似货物所超出的那部分费用负责。供方提交的履约保证金将被作为需方采取上述补救措施的购买资金的一部分。并且，供方应继续履行合同中未终止的部分。</w:t>
      </w:r>
    </w:p>
    <w:p w14:paraId="14AB1422">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21.3</w:t>
      </w:r>
      <w:r>
        <w:rPr>
          <w:rFonts w:hint="eastAsia" w:ascii="宋体" w:hAnsi="宋体" w:cs="宋体"/>
          <w:color w:val="auto"/>
          <w:sz w:val="24"/>
          <w:szCs w:val="24"/>
          <w:highlight w:val="none"/>
          <w:lang w:val="zh-CN"/>
        </w:rPr>
        <w:t xml:space="preserve"> 如果需方违约，应承担相应的违约责任。</w:t>
      </w:r>
    </w:p>
    <w:p w14:paraId="16EB0C82">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22</w:t>
      </w:r>
      <w:r>
        <w:rPr>
          <w:rFonts w:hint="eastAsia" w:ascii="宋体" w:hAnsi="宋体" w:cs="宋体"/>
          <w:b/>
          <w:bCs/>
          <w:color w:val="auto"/>
          <w:sz w:val="24"/>
          <w:szCs w:val="24"/>
          <w:highlight w:val="none"/>
          <w:lang w:val="zh-CN"/>
        </w:rPr>
        <w:t>.破产终止合同：</w:t>
      </w:r>
      <w:r>
        <w:rPr>
          <w:rFonts w:hint="eastAsia" w:ascii="宋体" w:hAnsi="宋体" w:cs="宋体"/>
          <w:color w:val="auto"/>
          <w:sz w:val="24"/>
          <w:szCs w:val="24"/>
          <w:highlight w:val="none"/>
          <w:lang w:val="zh-CN"/>
        </w:rPr>
        <w:t>如果供方破产或丧失清偿能力，需方可在任何时候以书面形式通知供方终止合同而不给供方补偿。该终止合同将不损害或影响需方已经采取或将要采取任何补救措施的权力。</w:t>
      </w:r>
    </w:p>
    <w:p w14:paraId="47F7C88C">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23</w:t>
      </w:r>
      <w:r>
        <w:rPr>
          <w:rFonts w:hint="eastAsia" w:ascii="宋体" w:hAnsi="宋体" w:cs="宋体"/>
          <w:b/>
          <w:bCs/>
          <w:color w:val="auto"/>
          <w:sz w:val="24"/>
          <w:szCs w:val="24"/>
          <w:highlight w:val="none"/>
          <w:lang w:val="zh-CN"/>
        </w:rPr>
        <w:t>.合同转让和分包：</w:t>
      </w:r>
      <w:r>
        <w:rPr>
          <w:rFonts w:hint="eastAsia" w:ascii="宋体" w:hAnsi="宋体" w:cs="宋体"/>
          <w:color w:val="auto"/>
          <w:sz w:val="24"/>
          <w:szCs w:val="24"/>
          <w:highlight w:val="none"/>
          <w:lang w:val="zh-CN"/>
        </w:rPr>
        <w:t>本合同不得转让或分包。</w:t>
      </w:r>
    </w:p>
    <w:p w14:paraId="381FD280">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24</w:t>
      </w:r>
      <w:r>
        <w:rPr>
          <w:rFonts w:hint="eastAsia" w:ascii="宋体" w:hAnsi="宋体" w:cs="宋体"/>
          <w:b/>
          <w:bCs/>
          <w:color w:val="auto"/>
          <w:sz w:val="24"/>
          <w:szCs w:val="24"/>
          <w:highlight w:val="none"/>
          <w:lang w:val="zh-CN"/>
        </w:rPr>
        <w:t>.需要补充的合同条款：</w:t>
      </w:r>
      <w:r>
        <w:rPr>
          <w:rFonts w:hint="eastAsia" w:ascii="宋体" w:hAnsi="宋体" w:cs="宋体"/>
          <w:color w:val="auto"/>
          <w:sz w:val="24"/>
          <w:szCs w:val="24"/>
          <w:highlight w:val="none"/>
          <w:lang w:val="zh-CN"/>
        </w:rPr>
        <w:t>在政府采购合同书中约定。</w:t>
      </w:r>
    </w:p>
    <w:p w14:paraId="6CB494DD">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25</w:t>
      </w:r>
      <w:r>
        <w:rPr>
          <w:rFonts w:hint="eastAsia" w:ascii="宋体" w:hAnsi="宋体" w:cs="宋体"/>
          <w:b/>
          <w:bCs/>
          <w:color w:val="auto"/>
          <w:sz w:val="24"/>
          <w:szCs w:val="24"/>
          <w:highlight w:val="none"/>
          <w:lang w:val="zh-CN"/>
        </w:rPr>
        <w:t>.适用法律：</w:t>
      </w:r>
      <w:r>
        <w:rPr>
          <w:rFonts w:hint="eastAsia" w:ascii="宋体" w:hAnsi="宋体" w:cs="宋体"/>
          <w:color w:val="auto"/>
          <w:sz w:val="24"/>
          <w:szCs w:val="24"/>
          <w:highlight w:val="none"/>
          <w:lang w:val="zh-CN"/>
        </w:rPr>
        <w:t>本合同及附件的订立、效力、解释、履行、争议的解决等适用本合同签订时有效的中华人民共和国法律、法规的有关规定。</w:t>
      </w:r>
    </w:p>
    <w:p w14:paraId="0A2D151E">
      <w:pPr>
        <w:ind w:firstLine="482"/>
        <w:outlineLvl w:val="1"/>
        <w:rPr>
          <w:rFonts w:ascii="宋体" w:hAnsi="宋体"/>
          <w:b/>
          <w:bCs/>
          <w:color w:val="auto"/>
          <w:sz w:val="24"/>
          <w:szCs w:val="24"/>
          <w:highlight w:val="none"/>
          <w:lang w:val="zh-CN"/>
        </w:rPr>
      </w:pPr>
      <w:bookmarkStart w:id="60" w:name="_Toc3234"/>
      <w:r>
        <w:rPr>
          <w:rFonts w:ascii="宋体" w:hAnsi="宋体" w:cs="宋体"/>
          <w:b/>
          <w:bCs/>
          <w:color w:val="auto"/>
          <w:sz w:val="24"/>
          <w:szCs w:val="24"/>
          <w:highlight w:val="none"/>
          <w:lang w:val="zh-CN"/>
        </w:rPr>
        <w:t>26</w:t>
      </w:r>
      <w:r>
        <w:rPr>
          <w:rFonts w:hint="eastAsia" w:ascii="宋体" w:hAnsi="宋体" w:cs="宋体"/>
          <w:b/>
          <w:bCs/>
          <w:color w:val="auto"/>
          <w:sz w:val="24"/>
          <w:szCs w:val="24"/>
          <w:highlight w:val="none"/>
          <w:lang w:val="zh-CN"/>
        </w:rPr>
        <w:t>.主导语言与计量单位</w:t>
      </w:r>
      <w:bookmarkEnd w:id="60"/>
    </w:p>
    <w:p w14:paraId="0E55A96D">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26.1</w:t>
      </w:r>
      <w:r>
        <w:rPr>
          <w:rFonts w:hint="eastAsia" w:ascii="宋体" w:hAnsi="宋体" w:cs="宋体"/>
          <w:color w:val="auto"/>
          <w:sz w:val="24"/>
          <w:szCs w:val="24"/>
          <w:highlight w:val="none"/>
          <w:lang w:val="zh-CN"/>
        </w:rPr>
        <w:t xml:space="preserve"> 合同应用中文书写。供需双方所有来往信函，以及合同有关的文件均应以中文书写。</w:t>
      </w:r>
    </w:p>
    <w:p w14:paraId="164CDCAC">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26.2</w:t>
      </w:r>
      <w:r>
        <w:rPr>
          <w:rFonts w:hint="eastAsia" w:ascii="宋体" w:hAnsi="宋体" w:cs="宋体"/>
          <w:color w:val="auto"/>
          <w:sz w:val="24"/>
          <w:szCs w:val="24"/>
          <w:highlight w:val="none"/>
          <w:lang w:val="zh-CN"/>
        </w:rPr>
        <w:t xml:space="preserve"> 除合同另有规定外，计量单位均使用中华人民共和国法定计量单位。</w:t>
      </w:r>
    </w:p>
    <w:p w14:paraId="419202E7">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27</w:t>
      </w:r>
      <w:r>
        <w:rPr>
          <w:rFonts w:hint="eastAsia" w:ascii="宋体" w:hAnsi="宋体" w:cs="宋体"/>
          <w:b/>
          <w:bCs/>
          <w:color w:val="auto"/>
          <w:sz w:val="24"/>
          <w:szCs w:val="24"/>
          <w:highlight w:val="none"/>
          <w:lang w:val="zh-CN"/>
        </w:rPr>
        <w:t>.政府采购法对政府采购合同变更、终止的规定：</w:t>
      </w:r>
      <w:r>
        <w:rPr>
          <w:rFonts w:ascii="宋体" w:hAnsi="宋体"/>
          <w:color w:val="auto"/>
          <w:sz w:val="24"/>
          <w:szCs w:val="24"/>
          <w:highlight w:val="none"/>
        </w:rPr>
        <w:t>“</w:t>
      </w:r>
      <w:r>
        <w:rPr>
          <w:rFonts w:hint="eastAsia" w:ascii="宋体" w:hAnsi="宋体" w:cs="宋体"/>
          <w:color w:val="auto"/>
          <w:sz w:val="24"/>
          <w:szCs w:val="24"/>
          <w:highlight w:val="none"/>
          <w:lang w:val="zh-CN"/>
        </w:rPr>
        <w:t>政府采购合同的双方当事人（指供需双方）不得擅自变更、中止或者终止合同。政府采购合同继续履行将损害国家利益和社会公共利益的，双方当事人应当变更、中止或者终止合同。有过错的一方应当承担赔偿责任，双方都有过错的，各自承担相应的责任。</w:t>
      </w:r>
      <w:r>
        <w:rPr>
          <w:rFonts w:ascii="宋体" w:hAnsi="宋体"/>
          <w:color w:val="auto"/>
          <w:sz w:val="24"/>
          <w:szCs w:val="24"/>
          <w:highlight w:val="none"/>
        </w:rPr>
        <w:t>”</w:t>
      </w:r>
    </w:p>
    <w:p w14:paraId="337CF1E2">
      <w:pPr>
        <w:ind w:firstLine="480"/>
        <w:rPr>
          <w:rFonts w:ascii="宋体" w:hAnsi="宋体"/>
          <w:color w:val="auto"/>
          <w:sz w:val="24"/>
          <w:szCs w:val="24"/>
          <w:highlight w:val="none"/>
          <w:lang w:val="zh-CN"/>
        </w:rPr>
      </w:pPr>
    </w:p>
    <w:p w14:paraId="612667B1">
      <w:pPr>
        <w:jc w:val="center"/>
        <w:outlineLvl w:val="0"/>
        <w:rPr>
          <w:rFonts w:ascii="黑体" w:eastAsia="黑体"/>
          <w:color w:val="auto"/>
          <w:sz w:val="32"/>
          <w:szCs w:val="32"/>
          <w:highlight w:val="none"/>
          <w:lang w:val="zh-CN"/>
        </w:rPr>
      </w:pPr>
      <w:bookmarkStart w:id="61" w:name="_Toc1446"/>
      <w:bookmarkStart w:id="62" w:name="_Toc5218"/>
      <w:bookmarkStart w:id="63" w:name="_Toc26038"/>
      <w:r>
        <w:rPr>
          <w:rFonts w:hint="eastAsia" w:ascii="黑体" w:eastAsia="黑体" w:cs="黑体"/>
          <w:b/>
          <w:bCs/>
          <w:color w:val="auto"/>
          <w:sz w:val="32"/>
          <w:szCs w:val="32"/>
          <w:highlight w:val="none"/>
          <w:lang w:val="zh-CN"/>
        </w:rPr>
        <w:t>第三章</w:t>
      </w:r>
      <w:r>
        <w:rPr>
          <w:rFonts w:ascii="黑体" w:eastAsia="黑体" w:cs="黑体"/>
          <w:b/>
          <w:bCs/>
          <w:color w:val="auto"/>
          <w:sz w:val="32"/>
          <w:szCs w:val="32"/>
          <w:highlight w:val="none"/>
          <w:lang w:val="zh-CN"/>
        </w:rPr>
        <w:t xml:space="preserve"> </w:t>
      </w:r>
      <w:r>
        <w:rPr>
          <w:rFonts w:hint="eastAsia" w:ascii="黑体" w:eastAsia="黑体" w:cs="黑体"/>
          <w:b/>
          <w:bCs/>
          <w:color w:val="auto"/>
          <w:sz w:val="32"/>
          <w:szCs w:val="32"/>
          <w:highlight w:val="none"/>
          <w:lang w:val="zh-CN"/>
        </w:rPr>
        <w:t>政府采购合同书格式</w:t>
      </w:r>
      <w:bookmarkEnd w:id="61"/>
      <w:bookmarkEnd w:id="62"/>
      <w:bookmarkEnd w:id="63"/>
    </w:p>
    <w:p w14:paraId="209307E0">
      <w:pPr>
        <w:jc w:val="center"/>
        <w:rPr>
          <w:rFonts w:ascii="宋体" w:cs="宋体"/>
          <w:color w:val="auto"/>
          <w:sz w:val="24"/>
          <w:szCs w:val="24"/>
          <w:highlight w:val="none"/>
          <w:lang w:val="zh-CN"/>
        </w:rPr>
      </w:pPr>
      <w:r>
        <w:rPr>
          <w:rFonts w:hint="eastAsia" w:ascii="宋体" w:cs="宋体"/>
          <w:color w:val="auto"/>
          <w:sz w:val="24"/>
          <w:szCs w:val="24"/>
          <w:highlight w:val="none"/>
          <w:lang w:val="zh-CN"/>
        </w:rPr>
        <w:t>合同格式仅限参考，具体以实际签订为准。</w:t>
      </w:r>
    </w:p>
    <w:tbl>
      <w:tblPr>
        <w:tblStyle w:val="14"/>
        <w:tblW w:w="861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33"/>
        <w:gridCol w:w="6786"/>
      </w:tblGrid>
      <w:tr w14:paraId="5C23DB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9" w:hRule="atLeast"/>
        </w:trPr>
        <w:tc>
          <w:tcPr>
            <w:tcW w:w="1833" w:type="dxa"/>
            <w:tcBorders>
              <w:top w:val="single" w:color="auto" w:sz="12" w:space="0"/>
              <w:left w:val="single" w:color="auto" w:sz="4" w:space="0"/>
              <w:bottom w:val="single" w:color="auto" w:sz="12" w:space="0"/>
              <w:right w:val="single" w:color="auto" w:sz="6" w:space="0"/>
            </w:tcBorders>
            <w:noWrap w:val="0"/>
            <w:vAlign w:val="center"/>
          </w:tcPr>
          <w:p w14:paraId="5000BB5D">
            <w:pPr>
              <w:jc w:val="center"/>
              <w:outlineLvl w:val="9"/>
              <w:rPr>
                <w:rFonts w:hint="eastAsia" w:ascii="宋体" w:hAnsi="宋体" w:eastAsia="宋体" w:cs="宋体"/>
                <w:color w:val="auto"/>
                <w:kern w:val="2"/>
                <w:sz w:val="24"/>
                <w:szCs w:val="24"/>
                <w:highlight w:val="none"/>
              </w:rPr>
            </w:pPr>
            <w:r>
              <w:rPr>
                <w:rFonts w:hint="eastAsia" w:ascii="宋体" w:hAnsi="宋体" w:eastAsia="宋体" w:cs="宋体"/>
                <w:color w:val="auto"/>
                <w:sz w:val="24"/>
                <w:highlight w:val="none"/>
              </w:rPr>
              <w:t>合同签订联系方式</w:t>
            </w:r>
          </w:p>
        </w:tc>
        <w:tc>
          <w:tcPr>
            <w:tcW w:w="6786" w:type="dxa"/>
            <w:tcBorders>
              <w:top w:val="single" w:color="auto" w:sz="12" w:space="0"/>
              <w:left w:val="single" w:color="auto" w:sz="6" w:space="0"/>
              <w:bottom w:val="single" w:color="auto" w:sz="12" w:space="0"/>
              <w:right w:val="single" w:color="auto" w:sz="12" w:space="0"/>
            </w:tcBorders>
            <w:noWrap w:val="0"/>
            <w:vAlign w:val="center"/>
          </w:tcPr>
          <w:p w14:paraId="5FE1EB99">
            <w:pPr>
              <w:jc w:val="both"/>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sz w:val="24"/>
                <w:highlight w:val="none"/>
                <w:lang w:val="en-US" w:eastAsia="zh-CN"/>
              </w:rPr>
              <w:t>中标人</w:t>
            </w:r>
            <w:r>
              <w:rPr>
                <w:rFonts w:hint="eastAsia" w:ascii="宋体" w:hAnsi="宋体" w:eastAsia="宋体" w:cs="宋体"/>
                <w:color w:val="auto"/>
                <w:sz w:val="24"/>
                <w:highlight w:val="none"/>
              </w:rPr>
              <w:t>签订合同</w:t>
            </w:r>
            <w:r>
              <w:rPr>
                <w:rFonts w:hint="eastAsia" w:ascii="宋体" w:hAnsi="宋体" w:eastAsia="宋体" w:cs="宋体"/>
                <w:color w:val="auto"/>
                <w:sz w:val="24"/>
                <w:highlight w:val="none"/>
                <w:lang w:val="en-US" w:eastAsia="zh-CN"/>
              </w:rPr>
              <w:t>后两日内</w:t>
            </w:r>
            <w:r>
              <w:rPr>
                <w:rFonts w:hint="eastAsia" w:ascii="宋体" w:hAnsi="宋体" w:eastAsia="宋体" w:cs="宋体"/>
                <w:color w:val="auto"/>
                <w:sz w:val="24"/>
                <w:highlight w:val="none"/>
              </w:rPr>
              <w:t>提供给</w:t>
            </w:r>
            <w:r>
              <w:rPr>
                <w:rFonts w:hint="eastAsia" w:ascii="宋体" w:hAnsi="宋体" w:cs="宋体"/>
                <w:color w:val="auto"/>
                <w:sz w:val="24"/>
                <w:szCs w:val="24"/>
                <w:highlight w:val="none"/>
                <w:lang w:val="en-US" w:eastAsia="zh-CN"/>
              </w:rPr>
              <w:t>吉林省智广工程项目管理有限公司</w:t>
            </w:r>
            <w:r>
              <w:rPr>
                <w:rFonts w:hint="eastAsia" w:ascii="宋体" w:hAnsi="宋体" w:eastAsia="宋体" w:cs="宋体"/>
                <w:color w:val="auto"/>
                <w:sz w:val="24"/>
                <w:highlight w:val="none"/>
              </w:rPr>
              <w:t>(方式是发送到邮箱</w:t>
            </w:r>
            <w:r>
              <w:rPr>
                <w:rFonts w:hint="eastAsia" w:ascii="宋体" w:hAnsi="宋体" w:eastAsia="宋体" w:cs="宋体"/>
                <w:b/>
                <w:bCs/>
                <w:color w:val="auto"/>
                <w:sz w:val="24"/>
                <w:szCs w:val="24"/>
                <w:highlight w:val="none"/>
                <w:lang w:val="zh-CN" w:eastAsia="zh-CN"/>
              </w:rPr>
              <w:t>jl</w:t>
            </w:r>
            <w:r>
              <w:rPr>
                <w:rFonts w:hint="eastAsia" w:ascii="宋体" w:hAnsi="宋体" w:cs="宋体"/>
                <w:b/>
                <w:bCs/>
                <w:color w:val="auto"/>
                <w:sz w:val="24"/>
                <w:szCs w:val="24"/>
                <w:highlight w:val="none"/>
                <w:lang w:val="en-US" w:eastAsia="zh-CN"/>
              </w:rPr>
              <w:t>szgzb</w:t>
            </w:r>
            <w:r>
              <w:rPr>
                <w:rFonts w:hint="eastAsia" w:ascii="宋体" w:hAnsi="宋体" w:eastAsia="宋体" w:cs="宋体"/>
                <w:b/>
                <w:bCs/>
                <w:color w:val="auto"/>
                <w:sz w:val="24"/>
                <w:szCs w:val="24"/>
                <w:highlight w:val="none"/>
                <w:lang w:val="zh-CN" w:eastAsia="zh-CN"/>
              </w:rPr>
              <w:t>@163.com</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并电话通知代理机构，若不按上述要求操作由此产生的后果由中标人承担。</w:t>
            </w:r>
          </w:p>
        </w:tc>
      </w:tr>
    </w:tbl>
    <w:p w14:paraId="719B3D68">
      <w:pPr>
        <w:rPr>
          <w:rFonts w:ascii="宋体" w:cs="Arial"/>
          <w:b/>
          <w:bCs/>
          <w:color w:val="auto"/>
          <w:sz w:val="24"/>
          <w:szCs w:val="24"/>
          <w:highlight w:val="none"/>
        </w:rPr>
      </w:pPr>
    </w:p>
    <w:p w14:paraId="53EB0C31">
      <w:pPr>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政府采购合同书格式(参考)</w:t>
      </w:r>
    </w:p>
    <w:p w14:paraId="74465862">
      <w:pP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合同编号：</w:t>
      </w:r>
    </w:p>
    <w:p w14:paraId="10F86FBA">
      <w:pP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签订地点：</w:t>
      </w:r>
    </w:p>
    <w:p w14:paraId="0C86964E">
      <w:pP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 xml:space="preserve">签订日期： 年  月  日 </w:t>
      </w:r>
    </w:p>
    <w:p w14:paraId="6FB99C66">
      <w:pP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采购任务通知书编号：</w:t>
      </w:r>
    </w:p>
    <w:p w14:paraId="4120B284">
      <w:pPr>
        <w:rPr>
          <w:rFonts w:hint="eastAsia" w:ascii="宋体" w:hAnsi="宋体" w:cs="宋体"/>
          <w:color w:val="auto"/>
          <w:sz w:val="24"/>
          <w:szCs w:val="24"/>
          <w:highlight w:val="none"/>
          <w:lang w:val="zh-CN"/>
        </w:rPr>
      </w:pPr>
    </w:p>
    <w:p w14:paraId="4C5E5585">
      <w:pP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 xml:space="preserve">     </w:t>
      </w:r>
      <w:r>
        <w:rPr>
          <w:rFonts w:hint="eastAsia"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zh-CN"/>
        </w:rPr>
        <w:t xml:space="preserve"> (需方)</w:t>
      </w:r>
      <w:r>
        <w:rPr>
          <w:rFonts w:hint="eastAsia" w:ascii="宋体" w:hAnsi="宋体" w:cs="宋体"/>
          <w:color w:val="auto"/>
          <w:sz w:val="24"/>
          <w:szCs w:val="24"/>
          <w:highlight w:val="none"/>
          <w:lang w:val="zh-CN"/>
        </w:rPr>
        <w:t>需求的</w:t>
      </w:r>
      <w:r>
        <w:rPr>
          <w:rFonts w:hint="eastAsia"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zh-CN"/>
        </w:rPr>
        <w:t xml:space="preserve"> (货物名称</w:t>
      </w:r>
      <w:r>
        <w:rPr>
          <w:rFonts w:hint="eastAsia" w:ascii="宋体" w:hAnsi="宋体" w:cs="宋体"/>
          <w:color w:val="auto"/>
          <w:sz w:val="24"/>
          <w:szCs w:val="24"/>
          <w:highlight w:val="none"/>
          <w:lang w:val="zh-CN"/>
        </w:rPr>
        <w:t>)经</w:t>
      </w:r>
      <w:r>
        <w:rPr>
          <w:rFonts w:hint="eastAsia" w:ascii="宋体" w:hAnsi="宋体" w:cs="宋体"/>
          <w:color w:val="auto"/>
          <w:sz w:val="24"/>
          <w:szCs w:val="24"/>
          <w:highlight w:val="none"/>
          <w:u w:val="single"/>
        </w:rPr>
        <w:t xml:space="preserve">   (采购代理机构名称)   </w:t>
      </w:r>
      <w:r>
        <w:rPr>
          <w:rFonts w:hint="eastAsia" w:ascii="宋体" w:hAnsi="宋体" w:cs="宋体"/>
          <w:color w:val="auto"/>
          <w:sz w:val="24"/>
          <w:szCs w:val="24"/>
          <w:highlight w:val="none"/>
          <w:lang w:val="zh-CN"/>
        </w:rPr>
        <w:t>以编号为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lang w:val="zh-CN"/>
        </w:rPr>
        <w:t>的采购文件在国内公开招标，评标委员会评定(供方)为中标供应商。供需双方按照《中华人民共和国民法典》和有关法律法规，遵循平等、自愿、公平和诚实信用原则，同意按照下面的条款和条件订立本合同，共同信守。</w:t>
      </w:r>
    </w:p>
    <w:p w14:paraId="69018CA6">
      <w:pPr>
        <w:ind w:firstLine="482"/>
        <w:rPr>
          <w:rFonts w:hint="eastAsia" w:ascii="宋体" w:hAnsi="宋体" w:cs="宋体"/>
          <w:color w:val="auto"/>
          <w:sz w:val="24"/>
          <w:szCs w:val="24"/>
          <w:highlight w:val="none"/>
          <w:lang w:val="zh-CN"/>
        </w:rPr>
      </w:pPr>
      <w:r>
        <w:rPr>
          <w:rFonts w:hint="eastAsia" w:ascii="宋体" w:hAnsi="宋体" w:cs="宋体"/>
          <w:b/>
          <w:bCs/>
          <w:color w:val="auto"/>
          <w:sz w:val="24"/>
          <w:szCs w:val="24"/>
          <w:highlight w:val="none"/>
          <w:lang w:val="zh-CN"/>
        </w:rPr>
        <w:t>1.合同标的</w:t>
      </w:r>
      <w:r>
        <w:rPr>
          <w:rFonts w:hint="eastAsia" w:ascii="宋体" w:hAnsi="宋体" w:cs="宋体"/>
          <w:color w:val="auto"/>
          <w:sz w:val="24"/>
          <w:szCs w:val="24"/>
          <w:highlight w:val="none"/>
          <w:lang w:val="zh-CN"/>
        </w:rPr>
        <w:t xml:space="preserve">： </w:t>
      </w:r>
    </w:p>
    <w:tbl>
      <w:tblPr>
        <w:tblStyle w:val="14"/>
        <w:tblW w:w="0" w:type="auto"/>
        <w:jc w:val="center"/>
        <w:tblLayout w:type="fixed"/>
        <w:tblCellMar>
          <w:top w:w="0" w:type="dxa"/>
          <w:left w:w="10" w:type="dxa"/>
          <w:bottom w:w="0" w:type="dxa"/>
          <w:right w:w="10" w:type="dxa"/>
        </w:tblCellMar>
      </w:tblPr>
      <w:tblGrid>
        <w:gridCol w:w="1152"/>
        <w:gridCol w:w="1197"/>
        <w:gridCol w:w="3318"/>
        <w:gridCol w:w="715"/>
        <w:gridCol w:w="1269"/>
        <w:gridCol w:w="1668"/>
      </w:tblGrid>
      <w:tr w14:paraId="5634793E">
        <w:tblPrEx>
          <w:tblCellMar>
            <w:top w:w="0" w:type="dxa"/>
            <w:left w:w="10" w:type="dxa"/>
            <w:bottom w:w="0" w:type="dxa"/>
            <w:right w:w="10" w:type="dxa"/>
          </w:tblCellMar>
        </w:tblPrEx>
        <w:trPr>
          <w:trHeight w:val="531" w:hRule="atLeast"/>
          <w:jc w:val="center"/>
        </w:trPr>
        <w:tc>
          <w:tcPr>
            <w:tcW w:w="1152" w:type="dxa"/>
            <w:tcBorders>
              <w:top w:val="single" w:color="000000" w:sz="6" w:space="0"/>
              <w:left w:val="single" w:color="000000" w:sz="6" w:space="0"/>
              <w:bottom w:val="single" w:color="000000" w:sz="6" w:space="0"/>
              <w:right w:val="single" w:color="000000" w:sz="6" w:space="0"/>
            </w:tcBorders>
            <w:noWrap w:val="0"/>
            <w:vAlign w:val="center"/>
          </w:tcPr>
          <w:p w14:paraId="59FDA292">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货物名称</w:t>
            </w:r>
          </w:p>
        </w:tc>
        <w:tc>
          <w:tcPr>
            <w:tcW w:w="1197" w:type="dxa"/>
            <w:tcBorders>
              <w:top w:val="single" w:color="000000" w:sz="6" w:space="0"/>
              <w:left w:val="single" w:color="000000" w:sz="6" w:space="0"/>
              <w:bottom w:val="single" w:color="000000" w:sz="6" w:space="0"/>
              <w:right w:val="single" w:color="000000" w:sz="6" w:space="0"/>
            </w:tcBorders>
            <w:noWrap w:val="0"/>
            <w:vAlign w:val="center"/>
          </w:tcPr>
          <w:p w14:paraId="03BCA848">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品牌型号</w:t>
            </w:r>
          </w:p>
        </w:tc>
        <w:tc>
          <w:tcPr>
            <w:tcW w:w="3318" w:type="dxa"/>
            <w:tcBorders>
              <w:top w:val="single" w:color="000000" w:sz="6" w:space="0"/>
              <w:left w:val="single" w:color="000000" w:sz="6" w:space="0"/>
              <w:bottom w:val="single" w:color="000000" w:sz="6" w:space="0"/>
              <w:right w:val="single" w:color="000000" w:sz="6" w:space="0"/>
            </w:tcBorders>
            <w:noWrap w:val="0"/>
            <w:vAlign w:val="center"/>
          </w:tcPr>
          <w:p w14:paraId="2E919915">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详细配置及主要技术参数</w:t>
            </w:r>
          </w:p>
        </w:tc>
        <w:tc>
          <w:tcPr>
            <w:tcW w:w="715" w:type="dxa"/>
            <w:tcBorders>
              <w:top w:val="single" w:color="000000" w:sz="6" w:space="0"/>
              <w:left w:val="single" w:color="000000" w:sz="6" w:space="0"/>
              <w:bottom w:val="single" w:color="000000" w:sz="6" w:space="0"/>
              <w:right w:val="single" w:color="000000" w:sz="6" w:space="0"/>
            </w:tcBorders>
            <w:noWrap w:val="0"/>
            <w:vAlign w:val="center"/>
          </w:tcPr>
          <w:p w14:paraId="17F92A9A">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数量</w:t>
            </w:r>
          </w:p>
        </w:tc>
        <w:tc>
          <w:tcPr>
            <w:tcW w:w="1269" w:type="dxa"/>
            <w:tcBorders>
              <w:top w:val="single" w:color="000000" w:sz="6" w:space="0"/>
              <w:left w:val="single" w:color="000000" w:sz="6" w:space="0"/>
              <w:bottom w:val="single" w:color="000000" w:sz="6" w:space="0"/>
              <w:right w:val="single" w:color="000000" w:sz="6" w:space="0"/>
            </w:tcBorders>
            <w:noWrap w:val="0"/>
            <w:vAlign w:val="center"/>
          </w:tcPr>
          <w:p w14:paraId="2614D455">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单价</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元</w:t>
            </w:r>
            <w:r>
              <w:rPr>
                <w:rFonts w:hint="eastAsia" w:ascii="宋体" w:hAnsi="宋体" w:cs="宋体"/>
                <w:color w:val="auto"/>
                <w:sz w:val="24"/>
                <w:szCs w:val="24"/>
                <w:highlight w:val="none"/>
              </w:rPr>
              <w:t>)</w:t>
            </w:r>
          </w:p>
        </w:tc>
        <w:tc>
          <w:tcPr>
            <w:tcW w:w="1668" w:type="dxa"/>
            <w:tcBorders>
              <w:top w:val="single" w:color="000000" w:sz="6" w:space="0"/>
              <w:left w:val="single" w:color="000000" w:sz="6" w:space="0"/>
              <w:bottom w:val="single" w:color="000000" w:sz="6" w:space="0"/>
              <w:right w:val="single" w:color="000000" w:sz="6" w:space="0"/>
            </w:tcBorders>
            <w:noWrap w:val="0"/>
            <w:vAlign w:val="center"/>
          </w:tcPr>
          <w:p w14:paraId="1E88AEDE">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小计金额</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元</w:t>
            </w:r>
            <w:r>
              <w:rPr>
                <w:rFonts w:hint="eastAsia" w:ascii="宋体" w:hAnsi="宋体" w:cs="宋体"/>
                <w:color w:val="auto"/>
                <w:sz w:val="24"/>
                <w:szCs w:val="24"/>
                <w:highlight w:val="none"/>
              </w:rPr>
              <w:t>)</w:t>
            </w:r>
          </w:p>
        </w:tc>
      </w:tr>
      <w:tr w14:paraId="7A3003FD">
        <w:tblPrEx>
          <w:tblCellMar>
            <w:top w:w="0" w:type="dxa"/>
            <w:left w:w="10" w:type="dxa"/>
            <w:bottom w:w="0" w:type="dxa"/>
            <w:right w:w="10" w:type="dxa"/>
          </w:tblCellMar>
        </w:tblPrEx>
        <w:trPr>
          <w:trHeight w:val="531" w:hRule="atLeast"/>
          <w:jc w:val="center"/>
        </w:trPr>
        <w:tc>
          <w:tcPr>
            <w:tcW w:w="1152" w:type="dxa"/>
            <w:tcBorders>
              <w:top w:val="single" w:color="000000" w:sz="6" w:space="0"/>
              <w:left w:val="single" w:color="000000" w:sz="6" w:space="0"/>
              <w:bottom w:val="single" w:color="000000" w:sz="6" w:space="0"/>
              <w:right w:val="single" w:color="000000" w:sz="6" w:space="0"/>
            </w:tcBorders>
            <w:noWrap w:val="0"/>
            <w:vAlign w:val="center"/>
          </w:tcPr>
          <w:p w14:paraId="523B4604">
            <w:pPr>
              <w:jc w:val="center"/>
              <w:rPr>
                <w:rFonts w:hint="eastAsia" w:ascii="宋体" w:hAnsi="宋体" w:cs="宋体"/>
                <w:color w:val="auto"/>
                <w:sz w:val="24"/>
                <w:szCs w:val="24"/>
                <w:highlight w:val="none"/>
                <w:lang w:val="zh-CN"/>
              </w:rPr>
            </w:pPr>
          </w:p>
        </w:tc>
        <w:tc>
          <w:tcPr>
            <w:tcW w:w="1197" w:type="dxa"/>
            <w:tcBorders>
              <w:top w:val="single" w:color="000000" w:sz="6" w:space="0"/>
              <w:left w:val="single" w:color="000000" w:sz="6" w:space="0"/>
              <w:bottom w:val="single" w:color="000000" w:sz="6" w:space="0"/>
              <w:right w:val="single" w:color="000000" w:sz="6" w:space="0"/>
            </w:tcBorders>
            <w:noWrap w:val="0"/>
            <w:vAlign w:val="center"/>
          </w:tcPr>
          <w:p w14:paraId="6144B494">
            <w:pPr>
              <w:jc w:val="center"/>
              <w:rPr>
                <w:rFonts w:hint="eastAsia" w:ascii="宋体" w:hAnsi="宋体" w:cs="宋体"/>
                <w:color w:val="auto"/>
                <w:sz w:val="24"/>
                <w:szCs w:val="24"/>
                <w:highlight w:val="none"/>
                <w:lang w:val="zh-CN"/>
              </w:rPr>
            </w:pPr>
          </w:p>
        </w:tc>
        <w:tc>
          <w:tcPr>
            <w:tcW w:w="3318" w:type="dxa"/>
            <w:tcBorders>
              <w:top w:val="single" w:color="000000" w:sz="6" w:space="0"/>
              <w:left w:val="single" w:color="000000" w:sz="6" w:space="0"/>
              <w:bottom w:val="single" w:color="000000" w:sz="6" w:space="0"/>
              <w:right w:val="single" w:color="000000" w:sz="6" w:space="0"/>
            </w:tcBorders>
            <w:noWrap w:val="0"/>
            <w:vAlign w:val="center"/>
          </w:tcPr>
          <w:p w14:paraId="3B9C0B44">
            <w:pPr>
              <w:jc w:val="center"/>
              <w:rPr>
                <w:rFonts w:hint="eastAsia" w:ascii="宋体" w:hAnsi="宋体" w:cs="宋体"/>
                <w:color w:val="auto"/>
                <w:sz w:val="24"/>
                <w:szCs w:val="24"/>
                <w:highlight w:val="none"/>
                <w:lang w:val="zh-CN"/>
              </w:rPr>
            </w:pPr>
          </w:p>
        </w:tc>
        <w:tc>
          <w:tcPr>
            <w:tcW w:w="715" w:type="dxa"/>
            <w:tcBorders>
              <w:top w:val="single" w:color="000000" w:sz="6" w:space="0"/>
              <w:left w:val="single" w:color="000000" w:sz="6" w:space="0"/>
              <w:bottom w:val="single" w:color="000000" w:sz="6" w:space="0"/>
              <w:right w:val="single" w:color="000000" w:sz="6" w:space="0"/>
            </w:tcBorders>
            <w:noWrap w:val="0"/>
            <w:vAlign w:val="center"/>
          </w:tcPr>
          <w:p w14:paraId="297ECBF4">
            <w:pPr>
              <w:jc w:val="center"/>
              <w:rPr>
                <w:rFonts w:hint="eastAsia" w:ascii="宋体" w:hAnsi="宋体" w:cs="宋体"/>
                <w:color w:val="auto"/>
                <w:sz w:val="24"/>
                <w:szCs w:val="24"/>
                <w:highlight w:val="none"/>
                <w:lang w:val="zh-CN"/>
              </w:rPr>
            </w:pPr>
          </w:p>
        </w:tc>
        <w:tc>
          <w:tcPr>
            <w:tcW w:w="1269" w:type="dxa"/>
            <w:tcBorders>
              <w:top w:val="single" w:color="000000" w:sz="6" w:space="0"/>
              <w:left w:val="single" w:color="000000" w:sz="6" w:space="0"/>
              <w:bottom w:val="single" w:color="000000" w:sz="6" w:space="0"/>
              <w:right w:val="single" w:color="000000" w:sz="6" w:space="0"/>
            </w:tcBorders>
            <w:noWrap w:val="0"/>
            <w:vAlign w:val="center"/>
          </w:tcPr>
          <w:p w14:paraId="3CA3DF8B">
            <w:pPr>
              <w:jc w:val="center"/>
              <w:rPr>
                <w:rFonts w:hint="eastAsia" w:ascii="宋体" w:hAnsi="宋体" w:cs="宋体"/>
                <w:color w:val="auto"/>
                <w:sz w:val="24"/>
                <w:szCs w:val="24"/>
                <w:highlight w:val="none"/>
                <w:lang w:val="zh-CN"/>
              </w:rPr>
            </w:pPr>
          </w:p>
        </w:tc>
        <w:tc>
          <w:tcPr>
            <w:tcW w:w="1668" w:type="dxa"/>
            <w:tcBorders>
              <w:top w:val="single" w:color="000000" w:sz="6" w:space="0"/>
              <w:left w:val="single" w:color="000000" w:sz="6" w:space="0"/>
              <w:bottom w:val="single" w:color="000000" w:sz="6" w:space="0"/>
              <w:right w:val="single" w:color="000000" w:sz="6" w:space="0"/>
            </w:tcBorders>
            <w:noWrap w:val="0"/>
            <w:vAlign w:val="center"/>
          </w:tcPr>
          <w:p w14:paraId="627C914E">
            <w:pPr>
              <w:jc w:val="center"/>
              <w:rPr>
                <w:rFonts w:hint="eastAsia" w:ascii="宋体" w:hAnsi="宋体" w:cs="宋体"/>
                <w:color w:val="auto"/>
                <w:sz w:val="24"/>
                <w:szCs w:val="24"/>
                <w:highlight w:val="none"/>
                <w:lang w:val="zh-CN"/>
              </w:rPr>
            </w:pPr>
          </w:p>
        </w:tc>
      </w:tr>
      <w:tr w14:paraId="4ECD09F9">
        <w:tblPrEx>
          <w:tblCellMar>
            <w:top w:w="0" w:type="dxa"/>
            <w:left w:w="10" w:type="dxa"/>
            <w:bottom w:w="0" w:type="dxa"/>
            <w:right w:w="10" w:type="dxa"/>
          </w:tblCellMar>
        </w:tblPrEx>
        <w:trPr>
          <w:trHeight w:val="531" w:hRule="atLeast"/>
          <w:jc w:val="center"/>
        </w:trPr>
        <w:tc>
          <w:tcPr>
            <w:tcW w:w="1152" w:type="dxa"/>
            <w:tcBorders>
              <w:top w:val="single" w:color="000000" w:sz="6" w:space="0"/>
              <w:left w:val="single" w:color="000000" w:sz="6" w:space="0"/>
              <w:bottom w:val="single" w:color="000000" w:sz="6" w:space="0"/>
              <w:right w:val="single" w:color="000000" w:sz="6" w:space="0"/>
            </w:tcBorders>
            <w:noWrap w:val="0"/>
            <w:vAlign w:val="center"/>
          </w:tcPr>
          <w:p w14:paraId="00C4502E">
            <w:pPr>
              <w:jc w:val="center"/>
              <w:rPr>
                <w:rFonts w:hint="eastAsia" w:ascii="宋体" w:hAnsi="宋体" w:cs="宋体"/>
                <w:color w:val="auto"/>
                <w:sz w:val="24"/>
                <w:szCs w:val="24"/>
                <w:highlight w:val="none"/>
              </w:rPr>
            </w:pPr>
          </w:p>
        </w:tc>
        <w:tc>
          <w:tcPr>
            <w:tcW w:w="1197" w:type="dxa"/>
            <w:tcBorders>
              <w:top w:val="single" w:color="000000" w:sz="6" w:space="0"/>
              <w:left w:val="single" w:color="000000" w:sz="6" w:space="0"/>
              <w:bottom w:val="single" w:color="000000" w:sz="6" w:space="0"/>
              <w:right w:val="single" w:color="000000" w:sz="6" w:space="0"/>
            </w:tcBorders>
            <w:noWrap w:val="0"/>
            <w:vAlign w:val="center"/>
          </w:tcPr>
          <w:p w14:paraId="2830E160">
            <w:pPr>
              <w:jc w:val="center"/>
              <w:rPr>
                <w:rFonts w:hint="eastAsia" w:ascii="宋体" w:hAnsi="宋体" w:cs="宋体"/>
                <w:color w:val="auto"/>
                <w:sz w:val="24"/>
                <w:szCs w:val="24"/>
                <w:highlight w:val="none"/>
              </w:rPr>
            </w:pPr>
          </w:p>
        </w:tc>
        <w:tc>
          <w:tcPr>
            <w:tcW w:w="3318" w:type="dxa"/>
            <w:tcBorders>
              <w:top w:val="single" w:color="000000" w:sz="6" w:space="0"/>
              <w:left w:val="single" w:color="000000" w:sz="6" w:space="0"/>
              <w:bottom w:val="single" w:color="000000" w:sz="6" w:space="0"/>
              <w:right w:val="single" w:color="000000" w:sz="6" w:space="0"/>
            </w:tcBorders>
            <w:noWrap w:val="0"/>
            <w:vAlign w:val="center"/>
          </w:tcPr>
          <w:p w14:paraId="6CDBBBA4">
            <w:pPr>
              <w:jc w:val="center"/>
              <w:rPr>
                <w:rFonts w:hint="eastAsia" w:ascii="宋体" w:hAnsi="宋体" w:cs="宋体"/>
                <w:color w:val="auto"/>
                <w:sz w:val="24"/>
                <w:szCs w:val="24"/>
                <w:highlight w:val="none"/>
              </w:rPr>
            </w:pPr>
          </w:p>
        </w:tc>
        <w:tc>
          <w:tcPr>
            <w:tcW w:w="715" w:type="dxa"/>
            <w:tcBorders>
              <w:top w:val="single" w:color="000000" w:sz="6" w:space="0"/>
              <w:left w:val="single" w:color="000000" w:sz="6" w:space="0"/>
              <w:bottom w:val="single" w:color="000000" w:sz="6" w:space="0"/>
              <w:right w:val="single" w:color="000000" w:sz="6" w:space="0"/>
            </w:tcBorders>
            <w:noWrap w:val="0"/>
            <w:vAlign w:val="center"/>
          </w:tcPr>
          <w:p w14:paraId="07E8CA13">
            <w:pPr>
              <w:jc w:val="center"/>
              <w:rPr>
                <w:rFonts w:hint="eastAsia" w:ascii="宋体" w:hAnsi="宋体" w:cs="宋体"/>
                <w:color w:val="auto"/>
                <w:sz w:val="24"/>
                <w:szCs w:val="24"/>
                <w:highlight w:val="none"/>
              </w:rPr>
            </w:pPr>
          </w:p>
        </w:tc>
        <w:tc>
          <w:tcPr>
            <w:tcW w:w="1269" w:type="dxa"/>
            <w:tcBorders>
              <w:top w:val="single" w:color="000000" w:sz="6" w:space="0"/>
              <w:left w:val="single" w:color="000000" w:sz="6" w:space="0"/>
              <w:bottom w:val="single" w:color="000000" w:sz="6" w:space="0"/>
              <w:right w:val="single" w:color="000000" w:sz="6" w:space="0"/>
            </w:tcBorders>
            <w:noWrap w:val="0"/>
            <w:vAlign w:val="center"/>
          </w:tcPr>
          <w:p w14:paraId="1012A855">
            <w:pPr>
              <w:jc w:val="center"/>
              <w:rPr>
                <w:rFonts w:hint="eastAsia" w:ascii="宋体" w:hAnsi="宋体" w:cs="宋体"/>
                <w:color w:val="auto"/>
                <w:sz w:val="24"/>
                <w:szCs w:val="24"/>
                <w:highlight w:val="none"/>
              </w:rPr>
            </w:pPr>
          </w:p>
        </w:tc>
        <w:tc>
          <w:tcPr>
            <w:tcW w:w="1668" w:type="dxa"/>
            <w:tcBorders>
              <w:top w:val="single" w:color="000000" w:sz="6" w:space="0"/>
              <w:left w:val="single" w:color="000000" w:sz="6" w:space="0"/>
              <w:bottom w:val="single" w:color="000000" w:sz="6" w:space="0"/>
              <w:right w:val="single" w:color="000000" w:sz="6" w:space="0"/>
            </w:tcBorders>
            <w:noWrap w:val="0"/>
            <w:vAlign w:val="center"/>
          </w:tcPr>
          <w:p w14:paraId="6F3A9E6A">
            <w:pPr>
              <w:jc w:val="center"/>
              <w:rPr>
                <w:rFonts w:hint="eastAsia" w:ascii="宋体" w:hAnsi="宋体" w:cs="宋体"/>
                <w:color w:val="auto"/>
                <w:sz w:val="24"/>
                <w:szCs w:val="24"/>
                <w:highlight w:val="none"/>
              </w:rPr>
            </w:pPr>
          </w:p>
        </w:tc>
      </w:tr>
    </w:tbl>
    <w:p w14:paraId="4658553B">
      <w:pPr>
        <w:ind w:firstLine="482" w:firstLineChars="200"/>
        <w:rPr>
          <w:rFonts w:hint="eastAsia" w:ascii="宋体" w:hAnsi="宋体" w:cs="宋体"/>
          <w:color w:val="auto"/>
          <w:sz w:val="24"/>
          <w:szCs w:val="24"/>
          <w:highlight w:val="none"/>
          <w:lang w:val="zh-CN"/>
        </w:rPr>
      </w:pPr>
      <w:r>
        <w:rPr>
          <w:rFonts w:hint="eastAsia" w:ascii="宋体" w:hAnsi="宋体" w:cs="宋体"/>
          <w:b/>
          <w:bCs/>
          <w:color w:val="auto"/>
          <w:sz w:val="24"/>
          <w:szCs w:val="24"/>
          <w:highlight w:val="none"/>
          <w:lang w:val="zh-CN"/>
        </w:rPr>
        <w:t>2. 合同价格：</w:t>
      </w:r>
      <w:r>
        <w:rPr>
          <w:rFonts w:hint="eastAsia" w:ascii="宋体" w:hAnsi="宋体" w:cs="宋体"/>
          <w:color w:val="auto"/>
          <w:sz w:val="24"/>
          <w:szCs w:val="24"/>
          <w:highlight w:val="none"/>
          <w:lang w:val="zh-CN"/>
        </w:rPr>
        <w:t>人民币（大写）</w:t>
      </w:r>
      <w:r>
        <w:rPr>
          <w:rFonts w:hint="eastAsia"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lang w:val="zh-CN"/>
        </w:rPr>
        <w:t>元，（小写）</w:t>
      </w:r>
      <w:r>
        <w:rPr>
          <w:rFonts w:hint="eastAsia"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lang w:val="zh-CN"/>
        </w:rPr>
        <w:t>元。</w:t>
      </w:r>
    </w:p>
    <w:p w14:paraId="561253AB">
      <w:pPr>
        <w:ind w:firstLine="482" w:firstLineChars="200"/>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3. 交货时间、地点、方式</w:t>
      </w:r>
    </w:p>
    <w:p w14:paraId="0D934715">
      <w:pPr>
        <w:ind w:firstLine="480" w:firstLineChars="200"/>
        <w:rPr>
          <w:rFonts w:hint="eastAsia" w:ascii="宋体" w:hAnsi="宋体" w:cs="宋体"/>
          <w:b/>
          <w:bCs/>
          <w:color w:val="auto"/>
          <w:sz w:val="24"/>
          <w:szCs w:val="24"/>
          <w:highlight w:val="none"/>
        </w:rPr>
      </w:pPr>
      <w:r>
        <w:rPr>
          <w:rFonts w:hint="eastAsia" w:ascii="宋体" w:hAnsi="宋体" w:cs="宋体"/>
          <w:color w:val="auto"/>
          <w:sz w:val="24"/>
          <w:szCs w:val="24"/>
          <w:highlight w:val="none"/>
          <w:lang w:val="zh-CN"/>
        </w:rPr>
        <w:t>3.1交货时间：</w:t>
      </w:r>
      <w:r>
        <w:rPr>
          <w:rFonts w:hint="eastAsia" w:ascii="宋体" w:hAnsi="宋体" w:cs="宋体"/>
          <w:bCs/>
          <w:color w:val="auto"/>
          <w:sz w:val="24"/>
          <w:szCs w:val="24"/>
          <w:highlight w:val="none"/>
        </w:rPr>
        <w:t xml:space="preserve"> </w:t>
      </w:r>
    </w:p>
    <w:p w14:paraId="6E6F2CF7">
      <w:pPr>
        <w:ind w:firstLine="480" w:firstLineChars="200"/>
        <w:rPr>
          <w:rFonts w:hint="eastAsia" w:ascii="宋体" w:hAnsi="宋体" w:cs="宋体"/>
          <w:bCs/>
          <w:color w:val="auto"/>
          <w:sz w:val="24"/>
          <w:szCs w:val="24"/>
          <w:highlight w:val="none"/>
        </w:rPr>
      </w:pPr>
      <w:r>
        <w:rPr>
          <w:rFonts w:hint="eastAsia" w:ascii="宋体" w:hAnsi="宋体" w:cs="宋体"/>
          <w:color w:val="auto"/>
          <w:sz w:val="24"/>
          <w:szCs w:val="24"/>
          <w:highlight w:val="none"/>
          <w:lang w:val="zh-CN"/>
        </w:rPr>
        <w:t>3.2交货地点：</w:t>
      </w:r>
      <w:r>
        <w:rPr>
          <w:rFonts w:hint="eastAsia" w:ascii="宋体" w:hAnsi="宋体" w:cs="宋体"/>
          <w:bCs/>
          <w:color w:val="auto"/>
          <w:sz w:val="24"/>
          <w:szCs w:val="24"/>
          <w:highlight w:val="none"/>
        </w:rPr>
        <w:t>采购人指定</w:t>
      </w:r>
    </w:p>
    <w:p w14:paraId="43D063F3">
      <w:pPr>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3.3交货方式：</w:t>
      </w:r>
      <w:r>
        <w:rPr>
          <w:rFonts w:hint="eastAsia" w:ascii="宋体" w:hAnsi="宋体" w:cs="宋体"/>
          <w:color w:val="auto"/>
          <w:sz w:val="24"/>
          <w:szCs w:val="24"/>
          <w:highlight w:val="none"/>
        </w:rPr>
        <w:t xml:space="preserve"> </w:t>
      </w:r>
    </w:p>
    <w:p w14:paraId="65119A0C">
      <w:pPr>
        <w:ind w:firstLine="482" w:firstLineChars="200"/>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 xml:space="preserve">4. 付款方式 </w:t>
      </w:r>
    </w:p>
    <w:p w14:paraId="36E73038">
      <w:pPr>
        <w:ind w:firstLine="482" w:firstLineChars="200"/>
        <w:rPr>
          <w:rFonts w:hint="eastAsia" w:ascii="宋体" w:hAnsi="宋体" w:cs="宋体"/>
          <w:color w:val="auto"/>
          <w:sz w:val="24"/>
          <w:szCs w:val="24"/>
          <w:highlight w:val="none"/>
          <w:lang w:val="zh-CN"/>
        </w:rPr>
      </w:pPr>
      <w:r>
        <w:rPr>
          <w:rFonts w:hint="eastAsia" w:ascii="宋体" w:hAnsi="宋体" w:cs="宋体"/>
          <w:b/>
          <w:bCs/>
          <w:color w:val="auto"/>
          <w:sz w:val="24"/>
          <w:szCs w:val="24"/>
          <w:highlight w:val="none"/>
        </w:rPr>
        <w:t>验收合格后一个月内支付全款</w:t>
      </w:r>
      <w:r>
        <w:rPr>
          <w:rFonts w:hint="eastAsia" w:ascii="宋体" w:hAnsi="宋体" w:cs="宋体"/>
          <w:color w:val="auto"/>
          <w:sz w:val="24"/>
          <w:szCs w:val="24"/>
          <w:highlight w:val="none"/>
        </w:rPr>
        <w:t>，如果需方届时不能支付或者不能全额支付，由需方承担违约责任，供方承担全部收款责任，与</w:t>
      </w:r>
      <w:r>
        <w:rPr>
          <w:rFonts w:hint="eastAsia" w:ascii="宋体" w:hAnsi="宋体" w:cs="宋体"/>
          <w:color w:val="auto"/>
          <w:sz w:val="24"/>
          <w:szCs w:val="24"/>
          <w:highlight w:val="none"/>
          <w:lang w:val="en-US" w:eastAsia="zh-CN"/>
        </w:rPr>
        <w:t>采购</w:t>
      </w:r>
      <w:r>
        <w:rPr>
          <w:rFonts w:hint="eastAsia" w:ascii="宋体" w:hAnsi="宋体" w:cs="宋体"/>
          <w:color w:val="auto"/>
          <w:sz w:val="24"/>
          <w:szCs w:val="24"/>
          <w:highlight w:val="none"/>
        </w:rPr>
        <w:t>机构无关。</w:t>
      </w:r>
    </w:p>
    <w:p w14:paraId="3E2658AF">
      <w:pPr>
        <w:ind w:firstLine="482" w:firstLineChars="200"/>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5．履约保证金</w:t>
      </w:r>
    </w:p>
    <w:p w14:paraId="56BE2A27">
      <w:pPr>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5.1 在签署本合同之前，供方应向</w:t>
      </w:r>
      <w:r>
        <w:rPr>
          <w:rFonts w:hint="eastAsia" w:ascii="宋体" w:hAnsi="宋体" w:cs="宋体"/>
          <w:bCs/>
          <w:color w:val="auto"/>
          <w:sz w:val="24"/>
          <w:szCs w:val="24"/>
          <w:highlight w:val="none"/>
          <w:lang w:val="zh-CN"/>
        </w:rPr>
        <w:t>需方</w:t>
      </w:r>
      <w:r>
        <w:rPr>
          <w:rFonts w:hint="eastAsia" w:ascii="宋体" w:hAnsi="宋体" w:cs="宋体"/>
          <w:color w:val="auto"/>
          <w:sz w:val="24"/>
          <w:szCs w:val="24"/>
          <w:highlight w:val="none"/>
          <w:lang w:val="zh-CN"/>
        </w:rPr>
        <w:t>提交合同总价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lang w:val="zh-CN"/>
        </w:rPr>
        <w:t>%的履约保证金（人民币，取整数位到百元）。履约保证金可以采用银行转帐。</w:t>
      </w:r>
    </w:p>
    <w:p w14:paraId="3EA0D0E5">
      <w:pPr>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5.2 履约保证金的有效期到供方提交的货物经需方验收合格</w:t>
      </w:r>
      <w:r>
        <w:rPr>
          <w:rFonts w:hint="eastAsia" w:ascii="宋体" w:hAnsi="宋体" w:cs="宋体"/>
          <w:color w:val="auto"/>
          <w:sz w:val="24"/>
          <w:szCs w:val="24"/>
          <w:highlight w:val="none"/>
        </w:rPr>
        <w:t>一年</w:t>
      </w:r>
      <w:r>
        <w:rPr>
          <w:rFonts w:hint="eastAsia" w:ascii="宋体" w:hAnsi="宋体" w:cs="宋体"/>
          <w:color w:val="auto"/>
          <w:sz w:val="24"/>
          <w:szCs w:val="24"/>
          <w:highlight w:val="none"/>
          <w:lang w:val="zh-CN"/>
        </w:rPr>
        <w:t>，以银行转帐方式返还，不计利息。</w:t>
      </w:r>
    </w:p>
    <w:p w14:paraId="26E91B37">
      <w:pPr>
        <w:ind w:firstLine="482" w:firstLineChars="200"/>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6.质量保证金</w:t>
      </w:r>
    </w:p>
    <w:p w14:paraId="78804024">
      <w:pPr>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6.1质量保证金为合同总价款的</w:t>
      </w:r>
      <w:r>
        <w:rPr>
          <w:rFonts w:hint="eastAsia"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lang w:val="zh-CN"/>
        </w:rPr>
        <w:t>%。</w:t>
      </w:r>
    </w:p>
    <w:p w14:paraId="5E97A158">
      <w:pPr>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6.2质量保证金的有效期到合同规定的质量保证期期满之日止，扣除供方承担质量保证责任的费用后不计利息。</w:t>
      </w:r>
    </w:p>
    <w:p w14:paraId="588E84D6">
      <w:pPr>
        <w:ind w:firstLine="482" w:firstLineChars="200"/>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7.合同补充条款：</w:t>
      </w:r>
    </w:p>
    <w:p w14:paraId="5EBD3290">
      <w:pPr>
        <w:ind w:firstLine="482" w:firstLineChars="200"/>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8.争议解决方式：</w:t>
      </w:r>
      <w:r>
        <w:rPr>
          <w:rFonts w:hint="eastAsia" w:ascii="宋体" w:hAnsi="宋体" w:cs="宋体"/>
          <w:color w:val="auto"/>
          <w:sz w:val="24"/>
          <w:szCs w:val="24"/>
          <w:highlight w:val="none"/>
          <w:lang w:val="zh-CN"/>
        </w:rPr>
        <w:t>供需双方达成仲裁协议，向有管辖权的仲裁委员会申请仲裁（向合同签定地人民法院提起诉讼）。</w:t>
      </w:r>
    </w:p>
    <w:p w14:paraId="5BD68E1A">
      <w:pPr>
        <w:ind w:firstLine="482" w:firstLineChars="200"/>
        <w:rPr>
          <w:rFonts w:hint="eastAsia" w:ascii="宋体" w:hAnsi="宋体" w:cs="宋体"/>
          <w:color w:val="auto"/>
          <w:sz w:val="24"/>
          <w:szCs w:val="24"/>
          <w:highlight w:val="none"/>
          <w:lang w:val="zh-CN"/>
        </w:rPr>
      </w:pPr>
      <w:r>
        <w:rPr>
          <w:rFonts w:hint="eastAsia" w:ascii="宋体" w:hAnsi="宋体" w:cs="宋体"/>
          <w:b/>
          <w:bCs/>
          <w:color w:val="auto"/>
          <w:sz w:val="24"/>
          <w:szCs w:val="24"/>
          <w:highlight w:val="none"/>
          <w:lang w:val="zh-CN"/>
        </w:rPr>
        <w:t>9．合同构成：</w:t>
      </w:r>
      <w:r>
        <w:rPr>
          <w:rFonts w:hint="eastAsia" w:ascii="宋体" w:hAnsi="宋体" w:cs="宋体"/>
          <w:color w:val="auto"/>
          <w:sz w:val="24"/>
          <w:szCs w:val="24"/>
          <w:highlight w:val="none"/>
          <w:lang w:val="zh-CN"/>
        </w:rPr>
        <w:t>下列文件构成本合同不可分割的组成部分，与本合同具有同等法律效力：</w:t>
      </w:r>
    </w:p>
    <w:p w14:paraId="0AA8B572">
      <w:pPr>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9.1</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zh-CN"/>
        </w:rPr>
        <w:t>本合同书；</w:t>
      </w:r>
    </w:p>
    <w:p w14:paraId="2A7F5C45">
      <w:pPr>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9.2</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zh-CN"/>
        </w:rPr>
        <w:t>中标通知书；</w:t>
      </w:r>
    </w:p>
    <w:p w14:paraId="4B9348DC">
      <w:pPr>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9.3</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zh-CN"/>
        </w:rPr>
        <w:t>采购文件及澄清、修改、补遗文件；</w:t>
      </w:r>
    </w:p>
    <w:p w14:paraId="36CA883C">
      <w:pPr>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9.4</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zh-CN"/>
        </w:rPr>
        <w:t>供方的投标文件及书面澄清、说明、补正文件；</w:t>
      </w:r>
    </w:p>
    <w:p w14:paraId="190208FD">
      <w:pPr>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9.5</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zh-CN"/>
        </w:rPr>
        <w:t>产品样本、样品（样机）、说明书、图纸等有关资料；</w:t>
      </w:r>
    </w:p>
    <w:p w14:paraId="2EF75E24">
      <w:pPr>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9.6</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zh-CN"/>
        </w:rPr>
        <w:t>政府采购验收报告单；</w:t>
      </w:r>
    </w:p>
    <w:p w14:paraId="1DD7F577">
      <w:pPr>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9.7</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zh-CN"/>
        </w:rPr>
        <w:t>合同的其它附件。</w:t>
      </w:r>
    </w:p>
    <w:p w14:paraId="6F89885E">
      <w:pPr>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上述组成合同的文件如有不一致之处，以日期在后的为准。</w:t>
      </w:r>
    </w:p>
    <w:p w14:paraId="53202BCF">
      <w:pPr>
        <w:ind w:firstLine="482" w:firstLineChars="200"/>
        <w:rPr>
          <w:rFonts w:hint="eastAsia" w:ascii="宋体" w:hAnsi="宋体" w:cs="宋体"/>
          <w:color w:val="auto"/>
          <w:sz w:val="24"/>
          <w:szCs w:val="24"/>
          <w:highlight w:val="none"/>
          <w:lang w:val="zh-CN"/>
        </w:rPr>
      </w:pPr>
      <w:r>
        <w:rPr>
          <w:rFonts w:hint="eastAsia" w:ascii="宋体" w:hAnsi="宋体" w:cs="宋体"/>
          <w:b/>
          <w:bCs/>
          <w:color w:val="auto"/>
          <w:sz w:val="24"/>
          <w:szCs w:val="24"/>
          <w:highlight w:val="none"/>
          <w:lang w:val="zh-CN"/>
        </w:rPr>
        <w:t>10.合同份数：</w:t>
      </w:r>
      <w:r>
        <w:rPr>
          <w:rFonts w:hint="eastAsia" w:ascii="宋体" w:hAnsi="宋体" w:cs="宋体"/>
          <w:color w:val="auto"/>
          <w:sz w:val="24"/>
          <w:szCs w:val="24"/>
          <w:highlight w:val="none"/>
          <w:lang w:val="zh-CN"/>
        </w:rPr>
        <w:t xml:space="preserve">本合同一式三份，供需双方各执一份，另一份作为需方向主管预算单位提请付款的凭证。 </w:t>
      </w:r>
    </w:p>
    <w:p w14:paraId="1111AB66">
      <w:pPr>
        <w:ind w:firstLine="482" w:firstLineChars="200"/>
        <w:rPr>
          <w:rFonts w:hint="eastAsia" w:ascii="宋体" w:hAnsi="宋体" w:cs="宋体"/>
          <w:color w:val="auto"/>
          <w:sz w:val="24"/>
          <w:szCs w:val="24"/>
          <w:highlight w:val="none"/>
          <w:lang w:val="zh-CN"/>
        </w:rPr>
      </w:pPr>
      <w:r>
        <w:rPr>
          <w:rFonts w:hint="eastAsia" w:ascii="宋体" w:hAnsi="宋体" w:cs="宋体"/>
          <w:b/>
          <w:bCs/>
          <w:color w:val="auto"/>
          <w:sz w:val="24"/>
          <w:szCs w:val="24"/>
          <w:highlight w:val="none"/>
          <w:lang w:val="zh-CN"/>
        </w:rPr>
        <w:t>11.合同生效：</w:t>
      </w:r>
      <w:r>
        <w:rPr>
          <w:rFonts w:hint="eastAsia" w:ascii="宋体" w:hAnsi="宋体" w:cs="宋体"/>
          <w:bCs/>
          <w:color w:val="auto"/>
          <w:sz w:val="24"/>
          <w:szCs w:val="24"/>
          <w:highlight w:val="none"/>
          <w:lang w:val="zh-CN"/>
        </w:rPr>
        <w:t>本合同在供需双方法定代表人或其授权代理人签字、加盖双方公章或者合同专用章，并且需方收到供方提交的履约保证金后生效。</w:t>
      </w:r>
    </w:p>
    <w:p w14:paraId="2BE17581">
      <w:pPr>
        <w:ind w:firstLine="482" w:firstLineChars="200"/>
        <w:rPr>
          <w:rFonts w:hint="eastAsia" w:ascii="宋体" w:hAnsi="宋体" w:cs="宋体"/>
          <w:color w:val="auto"/>
          <w:sz w:val="24"/>
          <w:szCs w:val="24"/>
          <w:highlight w:val="none"/>
          <w:lang w:val="zh-CN"/>
        </w:rPr>
      </w:pPr>
      <w:r>
        <w:rPr>
          <w:rFonts w:hint="eastAsia" w:ascii="宋体" w:hAnsi="宋体" w:cs="宋体"/>
          <w:b/>
          <w:bCs/>
          <w:color w:val="auto"/>
          <w:sz w:val="24"/>
          <w:szCs w:val="24"/>
          <w:highlight w:val="none"/>
          <w:lang w:val="zh-CN"/>
        </w:rPr>
        <w:t>12.合同修改：</w:t>
      </w:r>
      <w:r>
        <w:rPr>
          <w:rFonts w:hint="eastAsia" w:ascii="宋体" w:hAnsi="宋体" w:cs="宋体"/>
          <w:color w:val="auto"/>
          <w:sz w:val="24"/>
          <w:szCs w:val="24"/>
          <w:highlight w:val="none"/>
          <w:lang w:val="zh-CN"/>
        </w:rPr>
        <w:t>除供需双方签署书面修改、补充协议外，本合同条件不得有任何变化或修改。</w:t>
      </w:r>
    </w:p>
    <w:p w14:paraId="1A63C074">
      <w:pPr>
        <w:ind w:firstLine="960" w:firstLineChars="40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 xml:space="preserve">需方：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zh-CN"/>
        </w:rPr>
        <w:t xml:space="preserve">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zh-CN"/>
        </w:rPr>
        <w:t xml:space="preserve"> 供方：</w:t>
      </w:r>
    </w:p>
    <w:p w14:paraId="0E3AADCE">
      <w:pPr>
        <w:ind w:firstLine="840" w:firstLineChars="35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 xml:space="preserve">(加盖公章或合同专用章)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zh-CN"/>
        </w:rPr>
        <w:t>(加盖公章或合同专用章)</w:t>
      </w:r>
    </w:p>
    <w:p w14:paraId="7EA9229A">
      <w:pPr>
        <w:ind w:firstLine="960" w:firstLineChars="40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 xml:space="preserve">地址：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zh-CN"/>
        </w:rPr>
        <w:t xml:space="preserve">   地址：</w:t>
      </w:r>
    </w:p>
    <w:p w14:paraId="3ADF52C1">
      <w:pP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 xml:space="preserve">        法定代表人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zh-CN"/>
        </w:rPr>
        <w:t xml:space="preserve">   法定代表人               </w:t>
      </w:r>
    </w:p>
    <w:p w14:paraId="6684C70D">
      <w:pP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 xml:space="preserve">        或授权代理人签字：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zh-CN"/>
        </w:rPr>
        <w:t>或授权代理人签字：</w:t>
      </w:r>
    </w:p>
    <w:p w14:paraId="396FC2AE">
      <w:pPr>
        <w:ind w:firstLine="960" w:firstLineChars="40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 xml:space="preserve">签字日期：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zh-CN"/>
        </w:rPr>
        <w:t>签字日期：</w:t>
      </w:r>
    </w:p>
    <w:p w14:paraId="67B85706">
      <w:pPr>
        <w:ind w:firstLine="960" w:firstLineChars="40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 xml:space="preserve">邮政编码：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zh-CN"/>
        </w:rPr>
        <w:t>邮政编码：</w:t>
      </w:r>
    </w:p>
    <w:p w14:paraId="667E57E7">
      <w:pPr>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 xml:space="preserve">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zh-CN"/>
        </w:rPr>
        <w:t>电</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zh-CN"/>
        </w:rPr>
        <w:t>话：</w:t>
      </w:r>
    </w:p>
    <w:p w14:paraId="22CF1179">
      <w:pPr>
        <w:ind w:firstLine="3960" w:firstLineChars="165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zh-CN"/>
        </w:rPr>
        <w:t>传</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zh-CN"/>
        </w:rPr>
        <w:t>真：</w:t>
      </w:r>
    </w:p>
    <w:p w14:paraId="4085D4C0">
      <w:pP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 xml:space="preserve">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zh-CN"/>
        </w:rPr>
        <w:t>联</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zh-CN"/>
        </w:rPr>
        <w:t>系</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zh-CN"/>
        </w:rPr>
        <w:t>人：</w:t>
      </w:r>
    </w:p>
    <w:p w14:paraId="1EB0BC36">
      <w:pP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 xml:space="preserve">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zh-CN"/>
        </w:rPr>
        <w:t>开户银行：</w:t>
      </w:r>
    </w:p>
    <w:p w14:paraId="3220F505">
      <w:pPr>
        <w:bidi w:val="0"/>
        <w:rPr>
          <w:color w:val="auto"/>
          <w:highlight w:val="none"/>
        </w:rPr>
      </w:pPr>
      <w:r>
        <w:rPr>
          <w:rFonts w:hint="eastAsia" w:ascii="宋体" w:hAnsi="宋体" w:cs="宋体"/>
          <w:color w:val="auto"/>
          <w:sz w:val="24"/>
          <w:szCs w:val="24"/>
          <w:highlight w:val="none"/>
          <w:lang w:val="zh-CN"/>
        </w:rPr>
        <w:t xml:space="preserve">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zh-CN"/>
        </w:rPr>
        <w:t xml:space="preserve">帐户名称：       </w:t>
      </w:r>
    </w:p>
    <w:p w14:paraId="19794358">
      <w:pPr>
        <w:spacing w:line="440" w:lineRule="exact"/>
        <w:jc w:val="center"/>
        <w:outlineLvl w:val="1"/>
        <w:rPr>
          <w:rFonts w:hint="eastAsia" w:ascii="宋体" w:hAnsi="宋体" w:eastAsia="宋体" w:cs="宋体"/>
          <w:b/>
          <w:bCs/>
          <w:color w:val="auto"/>
          <w:sz w:val="36"/>
          <w:szCs w:val="36"/>
          <w:highlight w:val="none"/>
          <w:lang w:val="zh-CN"/>
        </w:rPr>
      </w:pPr>
      <w:r>
        <w:rPr>
          <w:rFonts w:hint="eastAsia" w:ascii="黑体" w:eastAsia="黑体" w:cs="黑体"/>
          <w:b/>
          <w:bCs/>
          <w:color w:val="auto"/>
          <w:sz w:val="36"/>
          <w:szCs w:val="36"/>
          <w:highlight w:val="none"/>
          <w:lang w:val="zh-CN"/>
        </w:rPr>
        <w:br w:type="page"/>
      </w:r>
      <w:r>
        <w:rPr>
          <w:rFonts w:hint="eastAsia" w:ascii="宋体" w:hAnsi="宋体" w:eastAsia="宋体" w:cs="宋体"/>
          <w:b/>
          <w:bCs/>
          <w:color w:val="auto"/>
          <w:sz w:val="36"/>
          <w:szCs w:val="36"/>
          <w:highlight w:val="none"/>
          <w:lang w:val="zh-CN"/>
        </w:rPr>
        <w:t>教学楼消防报警设备升级改造项目采</w:t>
      </w:r>
      <w:r>
        <w:rPr>
          <w:rFonts w:hint="eastAsia" w:ascii="宋体" w:hAnsi="宋体" w:cs="宋体"/>
          <w:b/>
          <w:bCs/>
          <w:color w:val="auto"/>
          <w:sz w:val="36"/>
          <w:szCs w:val="36"/>
          <w:highlight w:val="none"/>
          <w:lang w:val="zh-CN"/>
        </w:rPr>
        <w:t>购文件</w:t>
      </w:r>
    </w:p>
    <w:p w14:paraId="5DDA89CF">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outlineLvl w:val="0"/>
        <w:rPr>
          <w:rFonts w:hint="eastAsia" w:ascii="宋体" w:hAnsi="宋体" w:eastAsia="宋体" w:cs="宋体"/>
          <w:b/>
          <w:bCs/>
          <w:color w:val="auto"/>
          <w:sz w:val="30"/>
          <w:szCs w:val="30"/>
          <w:highlight w:val="none"/>
          <w:lang w:val="zh-CN"/>
        </w:rPr>
      </w:pPr>
      <w:bookmarkStart w:id="64" w:name="_Toc17076"/>
      <w:r>
        <w:rPr>
          <w:rFonts w:hint="eastAsia" w:ascii="宋体" w:hAnsi="宋体" w:eastAsia="宋体" w:cs="宋体"/>
          <w:b/>
          <w:bCs/>
          <w:color w:val="auto"/>
          <w:sz w:val="30"/>
          <w:szCs w:val="30"/>
          <w:highlight w:val="none"/>
          <w:lang w:val="zh-CN"/>
        </w:rPr>
        <w:t>（需求部分）</w:t>
      </w:r>
      <w:bookmarkEnd w:id="64"/>
    </w:p>
    <w:p w14:paraId="3BC6ED25">
      <w:pPr>
        <w:spacing w:line="440" w:lineRule="exact"/>
        <w:ind w:firstLine="472" w:firstLineChars="196"/>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为了进一步贯彻落实我国环境保护与节能等有关政策的要求，请投标人在制作投标文件时注意厉行节约，请勿将与评标无关的因素编辑到投标文件中。</w:t>
      </w:r>
    </w:p>
    <w:p w14:paraId="39D88DCE">
      <w:pPr>
        <w:ind w:firstLine="835" w:firstLineChars="297"/>
        <w:outlineLvl w:val="9"/>
        <w:rPr>
          <w:rFonts w:hint="eastAsia" w:ascii="宋体" w:hAnsi="宋体" w:eastAsia="宋体" w:cs="宋体"/>
          <w:b/>
          <w:bCs/>
          <w:color w:val="auto"/>
          <w:highlight w:val="none"/>
          <w:lang w:val="zh-CN"/>
        </w:rPr>
      </w:pPr>
    </w:p>
    <w:p w14:paraId="03558A7D">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eastAsia" w:ascii="宋体" w:hAnsi="宋体" w:eastAsia="宋体" w:cs="宋体"/>
          <w:b/>
          <w:bCs/>
          <w:color w:val="auto"/>
          <w:sz w:val="32"/>
          <w:szCs w:val="32"/>
          <w:highlight w:val="none"/>
          <w:lang w:val="zh-CN"/>
        </w:rPr>
      </w:pPr>
      <w:bookmarkStart w:id="65" w:name="_Toc4950"/>
      <w:r>
        <w:rPr>
          <w:rFonts w:hint="eastAsia" w:ascii="宋体" w:hAnsi="宋体" w:eastAsia="宋体" w:cs="宋体"/>
          <w:b/>
          <w:bCs/>
          <w:color w:val="auto"/>
          <w:sz w:val="32"/>
          <w:szCs w:val="32"/>
          <w:highlight w:val="none"/>
          <w:lang w:val="zh-CN"/>
        </w:rPr>
        <w:t xml:space="preserve">第一章 </w:t>
      </w:r>
      <w:r>
        <w:rPr>
          <w:rFonts w:hint="eastAsia" w:ascii="宋体" w:hAnsi="宋体" w:cs="宋体"/>
          <w:b/>
          <w:bCs/>
          <w:color w:val="auto"/>
          <w:sz w:val="32"/>
          <w:szCs w:val="32"/>
          <w:highlight w:val="none"/>
          <w:lang w:val="en-US" w:eastAsia="zh-CN"/>
        </w:rPr>
        <w:t>采购</w:t>
      </w:r>
      <w:r>
        <w:rPr>
          <w:rFonts w:hint="eastAsia" w:ascii="宋体" w:hAnsi="宋体" w:eastAsia="宋体" w:cs="宋体"/>
          <w:b/>
          <w:bCs/>
          <w:color w:val="auto"/>
          <w:sz w:val="32"/>
          <w:szCs w:val="32"/>
          <w:highlight w:val="none"/>
          <w:lang w:val="zh-CN"/>
        </w:rPr>
        <w:t>公告</w:t>
      </w:r>
      <w:bookmarkEnd w:id="65"/>
    </w:p>
    <w:p w14:paraId="6385709A">
      <w:pPr>
        <w:pStyle w:val="3"/>
        <w:jc w:val="center"/>
        <w:outlineLvl w:val="9"/>
        <w:rPr>
          <w:rFonts w:hint="eastAsia" w:ascii="宋体" w:hAnsi="宋体" w:eastAsia="宋体" w:cs="宋体"/>
          <w:color w:val="auto"/>
          <w:sz w:val="24"/>
          <w:highlight w:val="none"/>
        </w:rPr>
      </w:pPr>
    </w:p>
    <w:p w14:paraId="082CB13D">
      <w:pPr>
        <w:ind w:firstLine="480"/>
        <w:outlineLvl w:val="9"/>
        <w:rPr>
          <w:rFonts w:hint="eastAsia" w:ascii="宋体" w:hAnsi="宋体" w:eastAsia="宋体" w:cs="宋体"/>
          <w:b/>
          <w:color w:val="auto"/>
          <w:sz w:val="24"/>
          <w:szCs w:val="24"/>
          <w:highlight w:val="none"/>
          <w:lang w:val="zh-CN"/>
        </w:rPr>
      </w:pPr>
      <w:bookmarkStart w:id="66" w:name="_Toc35393813"/>
      <w:r>
        <w:rPr>
          <w:rFonts w:hint="eastAsia" w:ascii="宋体" w:hAnsi="宋体" w:cs="宋体"/>
          <w:color w:val="auto"/>
          <w:sz w:val="24"/>
          <w:szCs w:val="24"/>
          <w:highlight w:val="none"/>
          <w:lang w:val="en-US" w:eastAsia="zh-CN"/>
        </w:rPr>
        <w:t>吉林省智广工程项目管理有限公司</w:t>
      </w:r>
      <w:r>
        <w:rPr>
          <w:rFonts w:hint="eastAsia" w:ascii="宋体" w:hAnsi="宋体" w:eastAsia="宋体" w:cs="宋体"/>
          <w:color w:val="auto"/>
          <w:sz w:val="24"/>
          <w:szCs w:val="24"/>
          <w:highlight w:val="none"/>
          <w:lang w:val="zh-CN"/>
        </w:rPr>
        <w:t>就</w:t>
      </w:r>
      <w:r>
        <w:rPr>
          <w:rFonts w:hint="eastAsia" w:ascii="宋体" w:hAnsi="宋体" w:cs="宋体"/>
          <w:b/>
          <w:bCs/>
          <w:color w:val="auto"/>
          <w:sz w:val="24"/>
          <w:szCs w:val="24"/>
          <w:highlight w:val="none"/>
          <w:u w:val="single"/>
          <w:lang w:val="en-US" w:eastAsia="zh-CN"/>
        </w:rPr>
        <w:t xml:space="preserve"> </w:t>
      </w:r>
      <w:r>
        <w:rPr>
          <w:rFonts w:hint="eastAsia" w:ascii="宋体" w:hAnsi="宋体" w:cs="宋体"/>
          <w:b w:val="0"/>
          <w:bCs w:val="0"/>
          <w:color w:val="auto"/>
          <w:sz w:val="24"/>
          <w:szCs w:val="24"/>
          <w:highlight w:val="none"/>
          <w:u w:val="single"/>
          <w:lang w:val="en-US" w:eastAsia="zh-CN"/>
        </w:rPr>
        <w:t>教学楼消防报警设备升级改造项目</w:t>
      </w:r>
      <w:r>
        <w:rPr>
          <w:rFonts w:hint="eastAsia" w:ascii="宋体" w:hAnsi="宋体" w:eastAsia="宋体" w:cs="宋体"/>
          <w:color w:val="auto"/>
          <w:sz w:val="24"/>
          <w:szCs w:val="24"/>
          <w:highlight w:val="none"/>
          <w:lang w:val="zh-CN"/>
        </w:rPr>
        <w:t>进行国内（指关境内）公开</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lang w:val="zh-CN"/>
        </w:rPr>
        <w:t>，现邀请合格的投标人提交密封投标。</w:t>
      </w:r>
    </w:p>
    <w:p w14:paraId="4560B6F1">
      <w:pPr>
        <w:pBdr>
          <w:top w:val="single" w:color="auto" w:sz="4" w:space="1"/>
          <w:left w:val="single" w:color="auto" w:sz="4" w:space="4"/>
          <w:bottom w:val="single" w:color="auto" w:sz="4" w:space="1"/>
          <w:right w:val="single" w:color="auto" w:sz="4" w:space="4"/>
        </w:pBdr>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64348B18">
      <w:pPr>
        <w:pBdr>
          <w:top w:val="single" w:color="auto" w:sz="4" w:space="1"/>
          <w:left w:val="single" w:color="auto" w:sz="4" w:space="4"/>
          <w:bottom w:val="single" w:color="auto" w:sz="4" w:space="1"/>
          <w:right w:val="single" w:color="auto" w:sz="4" w:space="4"/>
        </w:pBdr>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教学楼消防报警设备升级改造项目</w:t>
      </w:r>
      <w:r>
        <w:rPr>
          <w:rFonts w:hint="eastAsia" w:ascii="宋体" w:hAnsi="宋体" w:eastAsia="宋体" w:cs="宋体"/>
          <w:color w:val="auto"/>
          <w:sz w:val="24"/>
          <w:szCs w:val="24"/>
          <w:highlight w:val="none"/>
        </w:rPr>
        <w:t>的潜在投标人应在</w:t>
      </w:r>
      <w:r>
        <w:rPr>
          <w:rFonts w:hint="eastAsia" w:ascii="宋体" w:hAnsi="宋体" w:eastAsia="宋体" w:cs="宋体"/>
          <w:color w:val="auto"/>
          <w:sz w:val="24"/>
          <w:szCs w:val="24"/>
          <w:highlight w:val="none"/>
          <w:u w:val="single"/>
          <w:lang w:val="en-US" w:eastAsia="zh-CN"/>
        </w:rPr>
        <w:t>“政采云”平台（http：//www.zcygov.cn）</w:t>
      </w:r>
      <w:r>
        <w:rPr>
          <w:rFonts w:hint="eastAsia" w:ascii="宋体" w:hAnsi="宋体" w:eastAsia="宋体" w:cs="宋体"/>
          <w:color w:val="auto"/>
          <w:sz w:val="24"/>
          <w:szCs w:val="24"/>
          <w:highlight w:val="none"/>
        </w:rPr>
        <w:t>获取</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，并于</w:t>
      </w:r>
      <w:r>
        <w:rPr>
          <w:rFonts w:hint="eastAsia" w:ascii="宋体" w:hAnsi="宋体" w:eastAsia="宋体" w:cs="宋体"/>
          <w:color w:val="auto"/>
          <w:sz w:val="24"/>
          <w:szCs w:val="24"/>
          <w:highlight w:val="none"/>
          <w:u w:val="single"/>
        </w:rPr>
        <w:t xml:space="preserve"> </w:t>
      </w:r>
      <w:r>
        <w:rPr>
          <w:rFonts w:hint="eastAsia" w:ascii="宋体" w:hAnsi="宋体" w:eastAsia="宋体" w:cs="宋体"/>
          <w:b/>
          <w:bCs/>
          <w:color w:val="auto"/>
          <w:sz w:val="24"/>
          <w:szCs w:val="24"/>
          <w:highlight w:val="none"/>
          <w:u w:val="single"/>
        </w:rPr>
        <w:t>2025年</w:t>
      </w:r>
      <w:r>
        <w:rPr>
          <w:rFonts w:hint="eastAsia" w:ascii="宋体" w:hAnsi="宋体" w:cs="宋体"/>
          <w:b/>
          <w:bCs/>
          <w:color w:val="auto"/>
          <w:sz w:val="24"/>
          <w:szCs w:val="24"/>
          <w:highlight w:val="none"/>
          <w:u w:val="single"/>
          <w:lang w:val="en-US" w:eastAsia="zh-CN"/>
        </w:rPr>
        <w:t>8</w:t>
      </w:r>
      <w:r>
        <w:rPr>
          <w:rFonts w:hint="eastAsia" w:ascii="宋体" w:hAnsi="宋体" w:eastAsia="宋体" w:cs="宋体"/>
          <w:b/>
          <w:bCs/>
          <w:color w:val="auto"/>
          <w:sz w:val="24"/>
          <w:szCs w:val="24"/>
          <w:highlight w:val="none"/>
          <w:u w:val="single"/>
        </w:rPr>
        <w:t>月</w:t>
      </w:r>
      <w:r>
        <w:rPr>
          <w:rFonts w:hint="eastAsia" w:ascii="宋体" w:hAnsi="宋体" w:cs="宋体"/>
          <w:b/>
          <w:bCs/>
          <w:color w:val="auto"/>
          <w:sz w:val="24"/>
          <w:szCs w:val="24"/>
          <w:highlight w:val="none"/>
          <w:u w:val="single"/>
          <w:lang w:val="en-US" w:eastAsia="zh-CN"/>
        </w:rPr>
        <w:t>4</w:t>
      </w:r>
      <w:r>
        <w:rPr>
          <w:rFonts w:hint="eastAsia" w:ascii="宋体" w:hAnsi="宋体" w:eastAsia="宋体" w:cs="宋体"/>
          <w:b/>
          <w:bCs/>
          <w:color w:val="auto"/>
          <w:sz w:val="24"/>
          <w:szCs w:val="24"/>
          <w:highlight w:val="none"/>
          <w:u w:val="single"/>
        </w:rPr>
        <w:t>日</w:t>
      </w:r>
      <w:r>
        <w:rPr>
          <w:rFonts w:hint="eastAsia" w:ascii="宋体" w:hAnsi="宋体" w:cs="宋体"/>
          <w:b/>
          <w:bCs/>
          <w:color w:val="auto"/>
          <w:sz w:val="24"/>
          <w:szCs w:val="24"/>
          <w:highlight w:val="none"/>
          <w:u w:val="single"/>
          <w:lang w:val="en-US" w:eastAsia="zh-CN"/>
        </w:rPr>
        <w:t>13</w:t>
      </w:r>
      <w:r>
        <w:rPr>
          <w:rFonts w:hint="eastAsia" w:ascii="宋体" w:hAnsi="宋体" w:eastAsia="宋体" w:cs="宋体"/>
          <w:b/>
          <w:bCs/>
          <w:color w:val="auto"/>
          <w:sz w:val="24"/>
          <w:szCs w:val="24"/>
          <w:highlight w:val="none"/>
          <w:u w:val="single"/>
          <w:lang w:val="en-US" w:eastAsia="zh-CN"/>
        </w:rPr>
        <w:t>：00时</w:t>
      </w:r>
      <w:r>
        <w:rPr>
          <w:rFonts w:hint="eastAsia" w:ascii="宋体" w:hAnsi="宋体" w:eastAsia="宋体" w:cs="宋体"/>
          <w:bCs/>
          <w:color w:val="auto"/>
          <w:sz w:val="24"/>
          <w:szCs w:val="24"/>
          <w:highlight w:val="none"/>
          <w:u w:val="single"/>
        </w:rPr>
        <w:t>（</w:t>
      </w:r>
      <w:r>
        <w:rPr>
          <w:rFonts w:hint="eastAsia" w:ascii="宋体" w:hAnsi="宋体" w:eastAsia="宋体" w:cs="宋体"/>
          <w:bCs/>
          <w:color w:val="auto"/>
          <w:sz w:val="24"/>
          <w:szCs w:val="24"/>
          <w:highlight w:val="none"/>
        </w:rPr>
        <w:t>北京时间）前递交投标文件</w:t>
      </w:r>
      <w:r>
        <w:rPr>
          <w:rFonts w:hint="eastAsia" w:ascii="宋体" w:hAnsi="宋体" w:eastAsia="宋体" w:cs="宋体"/>
          <w:color w:val="auto"/>
          <w:sz w:val="24"/>
          <w:szCs w:val="24"/>
          <w:highlight w:val="none"/>
        </w:rPr>
        <w:t>。</w:t>
      </w:r>
    </w:p>
    <w:p w14:paraId="6E59CBAA">
      <w:pPr>
        <w:tabs>
          <w:tab w:val="left" w:pos="709"/>
        </w:tabs>
        <w:ind w:firstLine="480"/>
        <w:outlineLvl w:val="1"/>
        <w:rPr>
          <w:rFonts w:hint="eastAsia" w:ascii="宋体" w:hAnsi="宋体" w:eastAsia="宋体" w:cs="宋体"/>
          <w:b/>
          <w:bCs/>
          <w:color w:val="auto"/>
          <w:sz w:val="24"/>
          <w:szCs w:val="24"/>
          <w:highlight w:val="none"/>
          <w:lang w:val="zh-CN"/>
        </w:rPr>
      </w:pPr>
      <w:bookmarkStart w:id="67" w:name="_Toc28359079"/>
      <w:bookmarkStart w:id="68" w:name="_Toc28359002"/>
      <w:bookmarkStart w:id="69" w:name="_Toc35393621"/>
      <w:bookmarkStart w:id="70" w:name="_Toc35393790"/>
      <w:bookmarkStart w:id="71" w:name="_Toc3377"/>
      <w:bookmarkStart w:id="72" w:name="_Hlk24379207"/>
      <w:r>
        <w:rPr>
          <w:rFonts w:hint="eastAsia" w:ascii="宋体" w:hAnsi="宋体" w:eastAsia="宋体" w:cs="宋体"/>
          <w:b/>
          <w:bCs/>
          <w:color w:val="auto"/>
          <w:sz w:val="24"/>
          <w:szCs w:val="24"/>
          <w:highlight w:val="none"/>
          <w:lang w:val="zh-CN"/>
        </w:rPr>
        <w:t>一、项目基本情况</w:t>
      </w:r>
      <w:bookmarkEnd w:id="67"/>
      <w:bookmarkEnd w:id="68"/>
      <w:bookmarkEnd w:id="69"/>
      <w:bookmarkEnd w:id="70"/>
      <w:r>
        <w:rPr>
          <w:rFonts w:hint="eastAsia" w:ascii="宋体" w:hAnsi="宋体" w:eastAsia="宋体" w:cs="宋体"/>
          <w:b/>
          <w:bCs/>
          <w:color w:val="auto"/>
          <w:sz w:val="24"/>
          <w:szCs w:val="24"/>
          <w:highlight w:val="none"/>
          <w:lang w:val="zh-CN"/>
        </w:rPr>
        <w:t>：</w:t>
      </w:r>
      <w:bookmarkEnd w:id="71"/>
    </w:p>
    <w:p w14:paraId="1AE4CB39">
      <w:pPr>
        <w:ind w:firstLine="480" w:firstLineChars="200"/>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项目编号：采购计划-[2025]-03212号-JLZG-2025</w:t>
      </w:r>
      <w:r>
        <w:rPr>
          <w:rFonts w:hint="eastAsia" w:ascii="宋体" w:hAnsi="宋体" w:cs="宋体"/>
          <w:color w:val="auto"/>
          <w:sz w:val="24"/>
          <w:szCs w:val="24"/>
          <w:highlight w:val="none"/>
          <w:lang w:val="en-US" w:eastAsia="zh-CN"/>
        </w:rPr>
        <w:t>0711</w:t>
      </w:r>
    </w:p>
    <w:p w14:paraId="5082BC41">
      <w:pPr>
        <w:ind w:firstLine="480" w:firstLineChars="200"/>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val="en-US" w:eastAsia="zh-CN"/>
        </w:rPr>
        <w:t>教学楼消防报警设备升级改造项目</w:t>
      </w:r>
    </w:p>
    <w:bookmarkEnd w:id="72"/>
    <w:p w14:paraId="52110F44">
      <w:pPr>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w:t>
      </w:r>
      <w:r>
        <w:rPr>
          <w:rFonts w:hint="eastAsia" w:ascii="宋体" w:hAnsi="宋体" w:cs="宋体"/>
          <w:color w:val="auto"/>
          <w:sz w:val="24"/>
          <w:szCs w:val="24"/>
          <w:highlight w:val="none"/>
          <w:lang w:val="en-US" w:eastAsia="zh-CN"/>
        </w:rPr>
        <w:t>221</w:t>
      </w:r>
      <w:r>
        <w:rPr>
          <w:rFonts w:hint="eastAsia" w:ascii="宋体" w:hAnsi="宋体" w:eastAsia="宋体" w:cs="宋体"/>
          <w:color w:val="auto"/>
          <w:sz w:val="24"/>
          <w:szCs w:val="24"/>
          <w:highlight w:val="none"/>
          <w:lang w:val="en-US" w:eastAsia="zh-CN"/>
        </w:rPr>
        <w:t>万元。</w:t>
      </w:r>
    </w:p>
    <w:p w14:paraId="2E581145">
      <w:pPr>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w:t>
      </w:r>
      <w:r>
        <w:rPr>
          <w:rFonts w:hint="eastAsia" w:ascii="宋体" w:hAnsi="宋体" w:cs="宋体"/>
          <w:color w:val="auto"/>
          <w:sz w:val="24"/>
          <w:szCs w:val="24"/>
          <w:highlight w:val="none"/>
          <w:u w:val="none"/>
          <w:lang w:val="en-US" w:eastAsia="zh-CN"/>
        </w:rPr>
        <w:t xml:space="preserve">教学楼消防报警设备升级改造 </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详见“</w:t>
      </w:r>
      <w:r>
        <w:rPr>
          <w:rFonts w:hint="eastAsia" w:ascii="宋体" w:hAnsi="宋体" w:eastAsia="宋体" w:cs="宋体"/>
          <w:color w:val="auto"/>
          <w:sz w:val="24"/>
          <w:szCs w:val="24"/>
          <w:highlight w:val="none"/>
          <w:lang w:val="zh-CN"/>
        </w:rPr>
        <w:t>货物需求及技术规格要求一览表</w:t>
      </w:r>
      <w:r>
        <w:rPr>
          <w:rFonts w:hint="eastAsia" w:ascii="宋体" w:hAnsi="宋体" w:eastAsia="宋体" w:cs="宋体"/>
          <w:bCs/>
          <w:color w:val="auto"/>
          <w:sz w:val="24"/>
          <w:szCs w:val="24"/>
          <w:highlight w:val="none"/>
          <w:lang w:val="zh-CN"/>
        </w:rPr>
        <w:t>”)</w:t>
      </w:r>
    </w:p>
    <w:p w14:paraId="35FB16B9">
      <w:pPr>
        <w:ind w:firstLine="480" w:firstLineChars="200"/>
        <w:outlineLvl w:val="9"/>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zh-CN"/>
        </w:rPr>
        <w:t>交货时间</w:t>
      </w:r>
      <w:r>
        <w:rPr>
          <w:rFonts w:hint="eastAsia" w:ascii="宋体" w:hAnsi="宋体" w:eastAsia="宋体" w:cs="宋体"/>
          <w:color w:val="auto"/>
          <w:sz w:val="24"/>
          <w:szCs w:val="24"/>
          <w:highlight w:val="none"/>
          <w:lang w:val="zh-CN"/>
        </w:rPr>
        <w:t>：合同订立后</w:t>
      </w:r>
      <w:r>
        <w:rPr>
          <w:rFonts w:hint="eastAsia" w:ascii="宋体" w:hAnsi="宋体" w:eastAsia="宋体" w:cs="宋体"/>
          <w:color w:val="auto"/>
          <w:sz w:val="24"/>
          <w:szCs w:val="24"/>
          <w:highlight w:val="none"/>
          <w:lang w:val="en-US" w:eastAsia="zh-CN"/>
        </w:rPr>
        <w:t>40</w:t>
      </w:r>
      <w:r>
        <w:rPr>
          <w:rFonts w:hint="eastAsia" w:ascii="宋体" w:hAnsi="宋体" w:eastAsia="宋体" w:cs="宋体"/>
          <w:color w:val="auto"/>
          <w:sz w:val="24"/>
          <w:szCs w:val="24"/>
          <w:highlight w:val="none"/>
          <w:lang w:val="zh-CN"/>
        </w:rPr>
        <w:t>天</w:t>
      </w:r>
      <w:r>
        <w:rPr>
          <w:rFonts w:hint="eastAsia" w:ascii="宋体" w:hAnsi="宋体" w:cs="宋体"/>
          <w:color w:val="auto"/>
          <w:sz w:val="24"/>
          <w:szCs w:val="24"/>
          <w:highlight w:val="none"/>
          <w:lang w:val="zh-CN"/>
        </w:rPr>
        <w:t>。</w:t>
      </w:r>
    </w:p>
    <w:p w14:paraId="5AF05F5B">
      <w:pPr>
        <w:ind w:firstLine="480" w:firstLineChars="20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交货地点：长春师范大学指定地点。</w:t>
      </w:r>
    </w:p>
    <w:p w14:paraId="5C47FE63">
      <w:pPr>
        <w:ind w:firstLine="480" w:firstLineChars="20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交货方式：中标人负责将货物安全完好运抵交货地点、安装调试并保证验收合格。</w:t>
      </w:r>
    </w:p>
    <w:p w14:paraId="381004EB">
      <w:pPr>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本项目不接受联合体投标。</w:t>
      </w:r>
    </w:p>
    <w:p w14:paraId="5FB93F0D">
      <w:pPr>
        <w:tabs>
          <w:tab w:val="left" w:pos="709"/>
        </w:tabs>
        <w:ind w:firstLine="480"/>
        <w:outlineLvl w:val="1"/>
        <w:rPr>
          <w:rFonts w:hint="eastAsia" w:ascii="宋体" w:hAnsi="宋体" w:eastAsia="宋体" w:cs="宋体"/>
          <w:b/>
          <w:bCs/>
          <w:color w:val="auto"/>
          <w:sz w:val="24"/>
          <w:szCs w:val="24"/>
          <w:highlight w:val="none"/>
          <w:lang w:val="zh-CN"/>
        </w:rPr>
      </w:pPr>
      <w:bookmarkStart w:id="73" w:name="_Toc28359080"/>
      <w:bookmarkStart w:id="74" w:name="_Toc35393791"/>
      <w:bookmarkStart w:id="75" w:name="_Toc35393622"/>
      <w:bookmarkStart w:id="76" w:name="_Toc28359003"/>
      <w:bookmarkStart w:id="77" w:name="_Toc23690"/>
      <w:r>
        <w:rPr>
          <w:rFonts w:hint="eastAsia" w:ascii="宋体" w:hAnsi="宋体" w:eastAsia="宋体" w:cs="宋体"/>
          <w:b/>
          <w:bCs/>
          <w:color w:val="auto"/>
          <w:sz w:val="24"/>
          <w:szCs w:val="24"/>
          <w:highlight w:val="none"/>
          <w:lang w:val="zh-CN"/>
        </w:rPr>
        <w:t>二、申请人的资格要求：</w:t>
      </w:r>
      <w:bookmarkEnd w:id="73"/>
      <w:bookmarkEnd w:id="74"/>
      <w:bookmarkEnd w:id="75"/>
      <w:bookmarkEnd w:id="76"/>
      <w:bookmarkEnd w:id="77"/>
    </w:p>
    <w:p w14:paraId="149367CB">
      <w:pPr>
        <w:ind w:firstLine="470" w:firstLineChars="196"/>
        <w:jc w:val="both"/>
        <w:outlineLvl w:val="1"/>
        <w:rPr>
          <w:rFonts w:hint="eastAsia" w:ascii="宋体" w:hAnsi="宋体" w:eastAsia="宋体" w:cs="宋体"/>
          <w:b w:val="0"/>
          <w:bCs w:val="0"/>
          <w:color w:val="auto"/>
          <w:sz w:val="24"/>
          <w:szCs w:val="24"/>
          <w:highlight w:val="none"/>
          <w:lang w:val="zh-CN"/>
        </w:rPr>
      </w:pPr>
      <w:bookmarkStart w:id="78" w:name="_Toc28359091"/>
      <w:bookmarkStart w:id="79" w:name="_Toc28359014"/>
      <w:bookmarkStart w:id="80" w:name="_Toc28359081"/>
      <w:bookmarkStart w:id="81" w:name="_Toc35393623"/>
      <w:bookmarkStart w:id="82" w:name="_Toc35393792"/>
      <w:bookmarkStart w:id="83" w:name="_Toc28359004"/>
      <w:bookmarkStart w:id="84" w:name="_Toc30515"/>
      <w:r>
        <w:rPr>
          <w:rFonts w:hint="eastAsia" w:ascii="宋体" w:hAnsi="宋体" w:eastAsia="宋体" w:cs="宋体"/>
          <w:b w:val="0"/>
          <w:bCs w:val="0"/>
          <w:color w:val="auto"/>
          <w:sz w:val="24"/>
          <w:szCs w:val="24"/>
          <w:highlight w:val="none"/>
          <w:lang w:val="zh-CN"/>
        </w:rPr>
        <w:t>1.满足《中华人民共和国政府采购法》第二十二条规定；</w:t>
      </w:r>
    </w:p>
    <w:p w14:paraId="2F691205">
      <w:pPr>
        <w:ind w:firstLine="470" w:firstLineChars="196"/>
        <w:jc w:val="both"/>
        <w:outlineLvl w:val="1"/>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2.落实政府采购政策需满足的资格要求：本项目非专门面向中小企业；</w:t>
      </w:r>
    </w:p>
    <w:p w14:paraId="6E53A6E3">
      <w:pPr>
        <w:ind w:firstLine="470" w:firstLineChars="196"/>
        <w:jc w:val="both"/>
        <w:outlineLvl w:val="1"/>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需要落实的政府采购政策：《政府采购促进中小企业发展管理办法》(财库[2020]46号) 、《关于进一步加大政府采购支持中小企业力度的通知》（财库[2022]19号）、《关于政府采购支持监狱企业发展有关问题的通知》(财库〔2014〕68 号)、《关于促进残疾人就业政府采购政策的通知》（财库〔2017〕141 号)、《关于调整优化节能产品、环境标志产品政府采购执行机制的通知》（财库〔2019〕9号）等。专门面向中小企业采购的项目或者采购包，不再执行价格评审优惠的扶持政策。</w:t>
      </w:r>
    </w:p>
    <w:p w14:paraId="1EBBF435">
      <w:pPr>
        <w:ind w:firstLine="470" w:firstLineChars="196"/>
        <w:jc w:val="both"/>
        <w:outlineLvl w:val="1"/>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eastAsia="zh-CN"/>
        </w:rPr>
        <w:t>3</w:t>
      </w:r>
      <w:r>
        <w:rPr>
          <w:rFonts w:hint="eastAsia" w:ascii="宋体" w:hAnsi="宋体" w:eastAsia="宋体" w:cs="宋体"/>
          <w:b w:val="0"/>
          <w:bCs w:val="0"/>
          <w:color w:val="auto"/>
          <w:sz w:val="24"/>
          <w:szCs w:val="24"/>
          <w:highlight w:val="none"/>
          <w:lang w:val="zh-CN"/>
        </w:rPr>
        <w:t>.本项目的特定资格要求：</w:t>
      </w:r>
    </w:p>
    <w:p w14:paraId="3758F487">
      <w:pPr>
        <w:ind w:firstLine="470" w:firstLineChars="196"/>
        <w:jc w:val="both"/>
        <w:outlineLvl w:val="1"/>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3.1投标人须是在中国境内注册具有独立承担民事责任能力的独立法人</w:t>
      </w:r>
      <w:r>
        <w:rPr>
          <w:rFonts w:hint="eastAsia" w:ascii="宋体" w:hAnsi="宋体" w:cs="宋体"/>
          <w:b w:val="0"/>
          <w:bCs w:val="0"/>
          <w:color w:val="auto"/>
          <w:sz w:val="24"/>
          <w:szCs w:val="24"/>
          <w:highlight w:val="none"/>
          <w:lang w:val="zh-CN" w:eastAsia="zh-CN"/>
        </w:rPr>
        <w:t>、</w:t>
      </w:r>
      <w:r>
        <w:rPr>
          <w:rFonts w:hint="eastAsia" w:ascii="宋体" w:hAnsi="宋体" w:eastAsia="宋体" w:cs="宋体"/>
          <w:b w:val="0"/>
          <w:bCs w:val="0"/>
          <w:color w:val="auto"/>
          <w:sz w:val="24"/>
          <w:szCs w:val="24"/>
          <w:highlight w:val="none"/>
          <w:lang w:val="zh-CN" w:eastAsia="zh-CN"/>
        </w:rPr>
        <w:t>其他组织形式</w:t>
      </w:r>
      <w:r>
        <w:rPr>
          <w:rFonts w:hint="eastAsia" w:ascii="宋体" w:hAnsi="宋体" w:cs="宋体"/>
          <w:b w:val="0"/>
          <w:bCs w:val="0"/>
          <w:color w:val="auto"/>
          <w:sz w:val="24"/>
          <w:szCs w:val="24"/>
          <w:highlight w:val="none"/>
          <w:lang w:val="en-US" w:eastAsia="zh-CN"/>
        </w:rPr>
        <w:t>或自然人</w:t>
      </w:r>
      <w:r>
        <w:rPr>
          <w:rFonts w:hint="eastAsia" w:ascii="宋体" w:hAnsi="宋体" w:eastAsia="宋体" w:cs="宋体"/>
          <w:b w:val="0"/>
          <w:bCs w:val="0"/>
          <w:color w:val="auto"/>
          <w:sz w:val="24"/>
          <w:szCs w:val="24"/>
          <w:highlight w:val="none"/>
          <w:lang w:val="zh-CN" w:eastAsia="zh-CN"/>
        </w:rPr>
        <w:t>，具备有效的营业执照，具有履行合同</w:t>
      </w:r>
      <w:r>
        <w:rPr>
          <w:rFonts w:hint="eastAsia" w:ascii="宋体" w:hAnsi="宋体" w:cs="宋体"/>
          <w:b w:val="0"/>
          <w:bCs w:val="0"/>
          <w:color w:val="auto"/>
          <w:sz w:val="24"/>
          <w:szCs w:val="24"/>
          <w:highlight w:val="none"/>
          <w:lang w:val="en-US" w:eastAsia="zh-CN"/>
        </w:rPr>
        <w:t>所</w:t>
      </w:r>
      <w:r>
        <w:rPr>
          <w:rFonts w:hint="eastAsia" w:ascii="宋体" w:hAnsi="宋体" w:cs="宋体"/>
          <w:color w:val="auto"/>
          <w:sz w:val="24"/>
          <w:szCs w:val="24"/>
          <w:highlight w:val="none"/>
        </w:rPr>
        <w:t>必需的</w:t>
      </w:r>
      <w:r>
        <w:rPr>
          <w:rFonts w:hint="eastAsia" w:ascii="宋体" w:hAnsi="宋体" w:eastAsia="宋体" w:cs="宋体"/>
          <w:b w:val="0"/>
          <w:bCs w:val="0"/>
          <w:color w:val="auto"/>
          <w:sz w:val="24"/>
          <w:szCs w:val="24"/>
          <w:highlight w:val="none"/>
          <w:lang w:val="zh-CN" w:eastAsia="zh-CN"/>
        </w:rPr>
        <w:t>设备和专业技术能力。</w:t>
      </w:r>
    </w:p>
    <w:p w14:paraId="2D52A1D3">
      <w:pPr>
        <w:ind w:firstLine="470" w:firstLineChars="196"/>
        <w:jc w:val="both"/>
        <w:outlineLvl w:val="1"/>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eastAsia="zh-CN"/>
        </w:rPr>
        <w:t>3.</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zh-CN"/>
        </w:rPr>
        <w:t>财务要求：近年</w:t>
      </w:r>
      <w:r>
        <w:rPr>
          <w:rFonts w:hint="eastAsia" w:ascii="宋体" w:hAnsi="宋体" w:eastAsia="宋体" w:cs="宋体"/>
          <w:b w:val="0"/>
          <w:bCs w:val="0"/>
          <w:color w:val="auto"/>
          <w:sz w:val="24"/>
          <w:szCs w:val="24"/>
          <w:highlight w:val="none"/>
          <w:lang w:val="zh-CN" w:eastAsia="zh-CN"/>
        </w:rPr>
        <w:t>（2023</w:t>
      </w:r>
      <w:r>
        <w:rPr>
          <w:rFonts w:hint="eastAsia" w:ascii="宋体" w:hAnsi="宋体" w:eastAsia="宋体" w:cs="宋体"/>
          <w:b w:val="0"/>
          <w:bCs w:val="0"/>
          <w:color w:val="auto"/>
          <w:sz w:val="24"/>
          <w:szCs w:val="24"/>
          <w:highlight w:val="none"/>
          <w:lang w:val="zh-CN"/>
        </w:rPr>
        <w:t>年）经会计师事务所</w:t>
      </w:r>
      <w:r>
        <w:rPr>
          <w:rFonts w:hint="eastAsia" w:ascii="宋体" w:hAnsi="宋体" w:eastAsia="宋体" w:cs="宋体"/>
          <w:b w:val="0"/>
          <w:bCs w:val="0"/>
          <w:color w:val="auto"/>
          <w:sz w:val="24"/>
          <w:szCs w:val="24"/>
          <w:highlight w:val="none"/>
          <w:lang w:val="zh-CN" w:eastAsia="zh-CN"/>
        </w:rPr>
        <w:t>出具</w:t>
      </w:r>
      <w:r>
        <w:rPr>
          <w:rFonts w:hint="eastAsia" w:ascii="宋体" w:hAnsi="宋体" w:eastAsia="宋体" w:cs="宋体"/>
          <w:b w:val="0"/>
          <w:bCs w:val="0"/>
          <w:color w:val="auto"/>
          <w:sz w:val="24"/>
          <w:szCs w:val="24"/>
          <w:highlight w:val="none"/>
          <w:lang w:val="zh-CN"/>
        </w:rPr>
        <w:t>的财务审计报告（若投标人为</w:t>
      </w:r>
      <w:r>
        <w:rPr>
          <w:rFonts w:hint="eastAsia" w:ascii="宋体" w:hAnsi="宋体" w:eastAsia="宋体" w:cs="宋体"/>
          <w:b w:val="0"/>
          <w:bCs w:val="0"/>
          <w:color w:val="auto"/>
          <w:sz w:val="24"/>
          <w:szCs w:val="24"/>
          <w:highlight w:val="none"/>
          <w:lang w:val="zh-CN" w:eastAsia="zh-CN"/>
        </w:rPr>
        <w:t>2023</w:t>
      </w:r>
      <w:r>
        <w:rPr>
          <w:rFonts w:hint="eastAsia" w:ascii="宋体" w:hAnsi="宋体" w:eastAsia="宋体" w:cs="宋体"/>
          <w:b w:val="0"/>
          <w:bCs w:val="0"/>
          <w:color w:val="auto"/>
          <w:sz w:val="24"/>
          <w:szCs w:val="24"/>
          <w:highlight w:val="none"/>
          <w:lang w:val="zh-CN"/>
        </w:rPr>
        <w:t>年以后注册成立的公司，仅需提供银行出具的资信证明即可）；</w:t>
      </w:r>
    </w:p>
    <w:p w14:paraId="4BAD1299">
      <w:pPr>
        <w:ind w:firstLine="470" w:firstLineChars="196"/>
        <w:jc w:val="both"/>
        <w:outlineLvl w:val="1"/>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3.</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zh-CN"/>
        </w:rPr>
        <w:t>近半年内</w:t>
      </w:r>
      <w:r>
        <w:rPr>
          <w:rFonts w:hint="eastAsia" w:ascii="宋体" w:hAnsi="宋体" w:eastAsia="宋体" w:cs="宋体"/>
          <w:b w:val="0"/>
          <w:bCs w:val="0"/>
          <w:color w:val="auto"/>
          <w:sz w:val="24"/>
          <w:szCs w:val="24"/>
          <w:highlight w:val="none"/>
          <w:lang w:val="zh-CN" w:eastAsia="zh-CN"/>
        </w:rPr>
        <w:t>任意一个月</w:t>
      </w:r>
      <w:r>
        <w:rPr>
          <w:rFonts w:hint="eastAsia" w:ascii="宋体" w:hAnsi="宋体" w:eastAsia="宋体" w:cs="宋体"/>
          <w:b w:val="0"/>
          <w:bCs w:val="0"/>
          <w:color w:val="auto"/>
          <w:sz w:val="24"/>
          <w:szCs w:val="24"/>
          <w:highlight w:val="none"/>
          <w:lang w:val="zh-CN"/>
        </w:rPr>
        <w:t>依法缴纳税收和社会保障资金的良好记录证明</w:t>
      </w:r>
      <w:r>
        <w:rPr>
          <w:rFonts w:hint="eastAsia" w:ascii="宋体" w:hAnsi="宋体" w:eastAsia="宋体" w:cs="宋体"/>
          <w:b w:val="0"/>
          <w:bCs w:val="0"/>
          <w:color w:val="auto"/>
          <w:sz w:val="24"/>
          <w:szCs w:val="24"/>
          <w:highlight w:val="none"/>
          <w:lang w:val="zh-CN" w:eastAsia="zh-CN"/>
        </w:rPr>
        <w:t>，依法免税的提供免税证明材料；</w:t>
      </w:r>
    </w:p>
    <w:p w14:paraId="462C951F">
      <w:pPr>
        <w:ind w:firstLine="470" w:firstLineChars="196"/>
        <w:jc w:val="both"/>
        <w:outlineLvl w:val="1"/>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3.</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zh-CN" w:eastAsia="zh-CN"/>
        </w:rPr>
        <w:t>拒绝列入政府取消投标资格记录期间的企业或个人投标；投标人没有被责令停业、破产或被农业农村部通报质量不合格的企业。</w:t>
      </w:r>
    </w:p>
    <w:p w14:paraId="1654E306">
      <w:pPr>
        <w:ind w:firstLine="470" w:firstLineChars="196"/>
        <w:jc w:val="both"/>
        <w:outlineLvl w:val="1"/>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3.</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zh-CN" w:eastAsia="zh-CN"/>
        </w:rPr>
        <w:t>投标人不得为“信用中国”网站（www.creditchina.gov.cn）中列入失信被执行人和重大税收违法失信主体供应商；不得为中国政府采购网（www.ccpg.gov.cn）政府采购严重违法失信行为记录名单中被财政部门禁止参加政府采购活动的供应商（在处罚决定规定的时间和地域范围内）（详见财库[2016]125号）；在2022年至今供应商和其法定代表人在“中国裁判文书网”(wenshu.court.gov.cn)上无行贿犯罪行为；</w:t>
      </w:r>
    </w:p>
    <w:p w14:paraId="48F7AB06">
      <w:pPr>
        <w:ind w:firstLine="470" w:firstLineChars="196"/>
        <w:jc w:val="both"/>
        <w:outlineLvl w:val="1"/>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3.</w:t>
      </w: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lang w:val="zh-CN" w:eastAsia="zh-CN"/>
        </w:rPr>
        <w:t>参加政府采购活动前三年内，在经营活动中没有重大违法记录。</w:t>
      </w:r>
    </w:p>
    <w:p w14:paraId="26B9AF92">
      <w:pPr>
        <w:ind w:firstLine="470" w:firstLineChars="196"/>
        <w:jc w:val="both"/>
        <w:outlineLvl w:val="1"/>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3.</w:t>
      </w:r>
      <w:r>
        <w:rPr>
          <w:rFonts w:hint="eastAsia" w:ascii="宋体" w:hAnsi="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lang w:val="zh-CN" w:eastAsia="zh-CN"/>
        </w:rPr>
        <w:t>与采购人存在利害关系可能影响招标公正性的法人、其他组织或者个人，不得参加本项目投标；单位负责人为同一人或者存在直接控股、管理关系的不同供应商，不得参加同一合同项下的政府采购活动。一般须具备法人资格，分公司或者分支机构须取得总公司授权。</w:t>
      </w:r>
    </w:p>
    <w:p w14:paraId="194ED82D">
      <w:pPr>
        <w:ind w:firstLine="470" w:firstLineChars="196"/>
        <w:jc w:val="both"/>
        <w:outlineLvl w:val="1"/>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3.</w:t>
      </w:r>
      <w:r>
        <w:rPr>
          <w:rFonts w:hint="eastAsia" w:ascii="宋体" w:hAnsi="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lang w:val="zh-CN" w:eastAsia="zh-CN"/>
        </w:rPr>
        <w:t>本项目不接受联合体投标。</w:t>
      </w:r>
    </w:p>
    <w:bookmarkEnd w:id="78"/>
    <w:bookmarkEnd w:id="79"/>
    <w:p w14:paraId="2D48195D">
      <w:pPr>
        <w:ind w:firstLine="472" w:firstLineChars="196"/>
        <w:jc w:val="both"/>
        <w:outlineLvl w:val="1"/>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zh-CN"/>
        </w:rPr>
        <w:t>三、</w:t>
      </w:r>
      <w:bookmarkEnd w:id="80"/>
      <w:bookmarkEnd w:id="81"/>
      <w:bookmarkEnd w:id="82"/>
      <w:bookmarkEnd w:id="83"/>
      <w:bookmarkStart w:id="85" w:name="_Toc35393793"/>
      <w:bookmarkStart w:id="86" w:name="_Toc28359005"/>
      <w:bookmarkStart w:id="87" w:name="_Toc35393624"/>
      <w:bookmarkStart w:id="88" w:name="_Toc28359082"/>
      <w:r>
        <w:rPr>
          <w:rFonts w:hint="eastAsia" w:ascii="宋体" w:hAnsi="宋体" w:eastAsia="宋体" w:cs="宋体"/>
          <w:b/>
          <w:bCs/>
          <w:color w:val="auto"/>
          <w:sz w:val="24"/>
          <w:szCs w:val="24"/>
          <w:highlight w:val="none"/>
          <w:lang w:val="en-US" w:eastAsia="zh-CN"/>
        </w:rPr>
        <w:t>采购</w:t>
      </w:r>
      <w:r>
        <w:rPr>
          <w:rFonts w:hint="eastAsia" w:ascii="宋体" w:hAnsi="宋体" w:eastAsia="宋体" w:cs="宋体"/>
          <w:b/>
          <w:bCs/>
          <w:color w:val="auto"/>
          <w:sz w:val="24"/>
          <w:szCs w:val="24"/>
          <w:highlight w:val="none"/>
        </w:rPr>
        <w:t>文件获取</w:t>
      </w:r>
      <w:bookmarkEnd w:id="84"/>
    </w:p>
    <w:p w14:paraId="4891A30A">
      <w:pPr>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1、时间：</w:t>
      </w:r>
      <w:r>
        <w:rPr>
          <w:rFonts w:hint="eastAsia" w:ascii="宋体" w:hAnsi="宋体" w:eastAsia="宋体" w:cs="宋体"/>
          <w:b/>
          <w:bCs/>
          <w:color w:val="auto"/>
          <w:sz w:val="24"/>
          <w:szCs w:val="24"/>
          <w:highlight w:val="none"/>
          <w:lang w:val="zh-CN"/>
        </w:rPr>
        <w:t>202</w:t>
      </w: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val="zh-CN"/>
        </w:rPr>
        <w:t>年</w:t>
      </w:r>
      <w:r>
        <w:rPr>
          <w:rFonts w:hint="eastAsia" w:ascii="宋体"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lang w:val="zh-CN"/>
        </w:rPr>
        <w:t>月</w:t>
      </w:r>
      <w:r>
        <w:rPr>
          <w:rFonts w:hint="eastAsia" w:ascii="宋体" w:hAnsi="宋体" w:cs="宋体"/>
          <w:b/>
          <w:bCs/>
          <w:color w:val="auto"/>
          <w:sz w:val="24"/>
          <w:szCs w:val="24"/>
          <w:highlight w:val="none"/>
          <w:lang w:val="en-US" w:eastAsia="zh-CN"/>
        </w:rPr>
        <w:t>14</w:t>
      </w:r>
      <w:r>
        <w:rPr>
          <w:rFonts w:hint="eastAsia" w:ascii="宋体" w:hAnsi="宋体" w:eastAsia="宋体" w:cs="宋体"/>
          <w:b/>
          <w:bCs/>
          <w:color w:val="auto"/>
          <w:sz w:val="24"/>
          <w:szCs w:val="24"/>
          <w:highlight w:val="none"/>
          <w:lang w:val="zh-CN"/>
        </w:rPr>
        <w:t>日至202</w:t>
      </w: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val="zh-CN"/>
        </w:rPr>
        <w:t>年</w:t>
      </w:r>
      <w:r>
        <w:rPr>
          <w:rFonts w:hint="eastAsia" w:ascii="宋体"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lang w:val="zh-CN"/>
        </w:rPr>
        <w:t>月</w:t>
      </w:r>
      <w:r>
        <w:rPr>
          <w:rFonts w:hint="eastAsia" w:ascii="宋体" w:hAnsi="宋体" w:cs="宋体"/>
          <w:b/>
          <w:bCs/>
          <w:color w:val="auto"/>
          <w:sz w:val="24"/>
          <w:szCs w:val="24"/>
          <w:highlight w:val="none"/>
          <w:lang w:val="en-US" w:eastAsia="zh-CN"/>
        </w:rPr>
        <w:t>21</w:t>
      </w:r>
      <w:r>
        <w:rPr>
          <w:rFonts w:hint="eastAsia" w:ascii="宋体" w:hAnsi="宋体" w:eastAsia="宋体" w:cs="宋体"/>
          <w:b/>
          <w:bCs/>
          <w:color w:val="auto"/>
          <w:sz w:val="24"/>
          <w:szCs w:val="24"/>
          <w:highlight w:val="none"/>
          <w:lang w:val="zh-CN"/>
        </w:rPr>
        <w:t>日</w:t>
      </w:r>
      <w:r>
        <w:rPr>
          <w:rFonts w:hint="eastAsia" w:ascii="宋体" w:hAnsi="宋体" w:eastAsia="宋体" w:cs="宋体"/>
          <w:color w:val="auto"/>
          <w:sz w:val="24"/>
          <w:szCs w:val="24"/>
          <w:highlight w:val="none"/>
          <w:lang w:val="zh-CN"/>
        </w:rPr>
        <w:t xml:space="preserve"> </w:t>
      </w:r>
    </w:p>
    <w:p w14:paraId="48F22F83">
      <w:pPr>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2、地点：“政采云”平台（http：//www.zcygov.cn）</w:t>
      </w:r>
    </w:p>
    <w:p w14:paraId="6A5CE17D">
      <w:pPr>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3、方</w:t>
      </w:r>
      <w:r>
        <w:rPr>
          <w:rFonts w:hint="eastAsia" w:ascii="宋体" w:hAnsi="宋体" w:eastAsia="宋体" w:cs="宋体"/>
          <w:color w:val="auto"/>
          <w:sz w:val="24"/>
          <w:szCs w:val="24"/>
          <w:highlight w:val="none"/>
          <w:lang w:val="en-US" w:eastAsia="zh-CN"/>
        </w:rPr>
        <w:t>式：网上免费获取，潜在供应商自行登录政府采购云平台（网址：http://www.zcygov.cn）网上注册并下载</w:t>
      </w:r>
      <w:r>
        <w:rPr>
          <w:rFonts w:hint="eastAsia" w:ascii="宋体" w:hAnsi="宋体" w:cs="宋体"/>
          <w:color w:val="auto"/>
          <w:sz w:val="24"/>
          <w:szCs w:val="24"/>
          <w:highlight w:val="none"/>
          <w:lang w:val="en-US" w:eastAsia="zh-CN"/>
        </w:rPr>
        <w:t>采购文件</w:t>
      </w:r>
      <w:r>
        <w:rPr>
          <w:rFonts w:hint="eastAsia" w:ascii="宋体" w:hAnsi="宋体" w:eastAsia="宋体" w:cs="宋体"/>
          <w:color w:val="auto"/>
          <w:sz w:val="24"/>
          <w:szCs w:val="24"/>
          <w:highlight w:val="none"/>
          <w:lang w:val="zh-CN"/>
        </w:rPr>
        <w:t>（操作路径：登录“政采云”平台-项目采购-获取</w:t>
      </w:r>
      <w:r>
        <w:rPr>
          <w:rFonts w:hint="eastAsia" w:ascii="宋体" w:hAnsi="宋体" w:cs="宋体"/>
          <w:color w:val="auto"/>
          <w:sz w:val="24"/>
          <w:szCs w:val="24"/>
          <w:highlight w:val="none"/>
          <w:lang w:val="en-US" w:eastAsia="zh-CN"/>
        </w:rPr>
        <w:t>采购文件</w:t>
      </w:r>
      <w:r>
        <w:rPr>
          <w:rFonts w:hint="eastAsia" w:ascii="宋体" w:hAnsi="宋体" w:eastAsia="宋体" w:cs="宋体"/>
          <w:color w:val="auto"/>
          <w:sz w:val="24"/>
          <w:szCs w:val="24"/>
          <w:highlight w:val="none"/>
          <w:lang w:val="zh-CN"/>
        </w:rPr>
        <w:t>-找到本项目-点击“申请获取</w:t>
      </w:r>
      <w:r>
        <w:rPr>
          <w:rFonts w:hint="eastAsia" w:ascii="宋体" w:hAnsi="宋体" w:cs="宋体"/>
          <w:color w:val="auto"/>
          <w:sz w:val="24"/>
          <w:szCs w:val="24"/>
          <w:highlight w:val="none"/>
          <w:lang w:val="en-US" w:eastAsia="zh-CN"/>
        </w:rPr>
        <w:t>采购文件</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，其他途径获取的</w:t>
      </w:r>
      <w:r>
        <w:rPr>
          <w:rFonts w:hint="eastAsia" w:ascii="宋体" w:hAnsi="宋体" w:cs="宋体"/>
          <w:color w:val="auto"/>
          <w:sz w:val="24"/>
          <w:szCs w:val="24"/>
          <w:highlight w:val="none"/>
          <w:lang w:val="en-US" w:eastAsia="zh-CN"/>
        </w:rPr>
        <w:t>采购文件</w:t>
      </w:r>
      <w:r>
        <w:rPr>
          <w:rFonts w:hint="eastAsia" w:ascii="宋体" w:hAnsi="宋体" w:eastAsia="宋体" w:cs="宋体"/>
          <w:color w:val="auto"/>
          <w:sz w:val="24"/>
          <w:szCs w:val="24"/>
          <w:highlight w:val="none"/>
          <w:lang w:val="en-US" w:eastAsia="zh-CN"/>
        </w:rPr>
        <w:t>开标时一律按无效投标处理。</w:t>
      </w:r>
    </w:p>
    <w:p w14:paraId="4CEE8F9F">
      <w:pPr>
        <w:ind w:firstLine="472" w:firstLineChars="196"/>
        <w:jc w:val="both"/>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四、项目答疑会和踏勘现场： 无</w:t>
      </w:r>
    </w:p>
    <w:bookmarkEnd w:id="85"/>
    <w:bookmarkEnd w:id="86"/>
    <w:bookmarkEnd w:id="87"/>
    <w:bookmarkEnd w:id="88"/>
    <w:p w14:paraId="2F5FDC0B">
      <w:pPr>
        <w:ind w:firstLine="472" w:firstLineChars="196"/>
        <w:jc w:val="both"/>
        <w:outlineLvl w:val="9"/>
        <w:rPr>
          <w:rFonts w:hint="eastAsia" w:ascii="宋体" w:hAnsi="宋体" w:eastAsia="宋体" w:cs="宋体"/>
          <w:b/>
          <w:bCs/>
          <w:color w:val="auto"/>
          <w:sz w:val="24"/>
          <w:szCs w:val="24"/>
          <w:highlight w:val="none"/>
          <w:lang w:val="zh-CN"/>
        </w:rPr>
      </w:pPr>
      <w:bookmarkStart w:id="89" w:name="_Toc28359084"/>
      <w:bookmarkStart w:id="90" w:name="_Toc35393625"/>
      <w:bookmarkStart w:id="91" w:name="_Toc28359007"/>
      <w:bookmarkStart w:id="92" w:name="_Toc35393794"/>
      <w:r>
        <w:rPr>
          <w:rFonts w:hint="eastAsia" w:ascii="宋体" w:hAnsi="宋体" w:eastAsia="宋体" w:cs="宋体"/>
          <w:b/>
          <w:color w:val="auto"/>
          <w:sz w:val="24"/>
          <w:szCs w:val="24"/>
          <w:highlight w:val="none"/>
        </w:rPr>
        <w:t>五、</w:t>
      </w:r>
      <w:r>
        <w:rPr>
          <w:rFonts w:hint="eastAsia" w:ascii="宋体" w:hAnsi="宋体" w:eastAsia="宋体" w:cs="宋体"/>
          <w:b/>
          <w:bCs/>
          <w:color w:val="auto"/>
          <w:sz w:val="24"/>
          <w:szCs w:val="24"/>
          <w:highlight w:val="none"/>
          <w:lang w:val="zh-CN"/>
        </w:rPr>
        <w:t>投标文件</w:t>
      </w:r>
      <w:r>
        <w:rPr>
          <w:rFonts w:hint="eastAsia" w:ascii="宋体" w:hAnsi="宋体" w:eastAsia="宋体" w:cs="宋体"/>
          <w:b/>
          <w:bCs/>
          <w:color w:val="auto"/>
          <w:sz w:val="24"/>
          <w:szCs w:val="24"/>
          <w:highlight w:val="none"/>
          <w:lang w:val="en-US" w:eastAsia="zh-CN"/>
        </w:rPr>
        <w:t>递交</w:t>
      </w:r>
      <w:r>
        <w:rPr>
          <w:rFonts w:hint="eastAsia" w:ascii="宋体" w:hAnsi="宋体" w:eastAsia="宋体" w:cs="宋体"/>
          <w:b/>
          <w:bCs/>
          <w:color w:val="auto"/>
          <w:sz w:val="24"/>
          <w:szCs w:val="24"/>
          <w:highlight w:val="none"/>
          <w:lang w:val="zh-CN"/>
        </w:rPr>
        <w:t>方式要求、截止时间和地点：</w:t>
      </w:r>
    </w:p>
    <w:p w14:paraId="3EC12748">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1、投标文件递交的截止时间(投标截止时间)：</w:t>
      </w:r>
      <w:r>
        <w:rPr>
          <w:rFonts w:hint="eastAsia" w:ascii="宋体" w:hAnsi="宋体" w:eastAsia="宋体" w:cs="宋体"/>
          <w:b/>
          <w:bCs/>
          <w:color w:val="auto"/>
          <w:sz w:val="24"/>
          <w:highlight w:val="none"/>
        </w:rPr>
        <w:t>202</w:t>
      </w:r>
      <w:r>
        <w:rPr>
          <w:rFonts w:hint="eastAsia" w:ascii="宋体" w:hAnsi="宋体" w:cs="宋体"/>
          <w:b/>
          <w:bCs/>
          <w:color w:val="auto"/>
          <w:sz w:val="24"/>
          <w:highlight w:val="none"/>
          <w:lang w:val="en-US" w:eastAsia="zh-CN"/>
        </w:rPr>
        <w:t>5</w:t>
      </w:r>
      <w:r>
        <w:rPr>
          <w:rFonts w:hint="eastAsia" w:ascii="宋体" w:hAnsi="宋体" w:eastAsia="宋体" w:cs="宋体"/>
          <w:b/>
          <w:bCs/>
          <w:color w:val="auto"/>
          <w:sz w:val="24"/>
          <w:highlight w:val="none"/>
        </w:rPr>
        <w:t>年</w:t>
      </w:r>
      <w:r>
        <w:rPr>
          <w:rFonts w:hint="eastAsia" w:ascii="宋体" w:hAnsi="宋体" w:cs="宋体"/>
          <w:b/>
          <w:bCs/>
          <w:color w:val="auto"/>
          <w:sz w:val="24"/>
          <w:highlight w:val="none"/>
          <w:lang w:val="en-US" w:eastAsia="zh-CN"/>
        </w:rPr>
        <w:t>8</w:t>
      </w:r>
      <w:r>
        <w:rPr>
          <w:rFonts w:hint="eastAsia" w:ascii="宋体" w:hAnsi="宋体" w:eastAsia="宋体" w:cs="宋体"/>
          <w:b/>
          <w:bCs/>
          <w:color w:val="auto"/>
          <w:sz w:val="24"/>
          <w:highlight w:val="none"/>
          <w:lang w:val="en-US" w:eastAsia="zh-CN"/>
        </w:rPr>
        <w:t>月</w:t>
      </w:r>
      <w:r>
        <w:rPr>
          <w:rFonts w:hint="eastAsia" w:ascii="宋体" w:hAnsi="宋体" w:cs="宋体"/>
          <w:b/>
          <w:bCs/>
          <w:color w:val="auto"/>
          <w:sz w:val="24"/>
          <w:highlight w:val="none"/>
          <w:lang w:val="en-US" w:eastAsia="zh-CN"/>
        </w:rPr>
        <w:t>4</w:t>
      </w:r>
      <w:r>
        <w:rPr>
          <w:rFonts w:hint="eastAsia" w:ascii="宋体" w:hAnsi="宋体" w:eastAsia="宋体" w:cs="宋体"/>
          <w:b/>
          <w:bCs/>
          <w:color w:val="auto"/>
          <w:sz w:val="24"/>
          <w:highlight w:val="none"/>
          <w:lang w:val="en-US" w:eastAsia="zh-CN"/>
        </w:rPr>
        <w:t>日</w:t>
      </w:r>
      <w:r>
        <w:rPr>
          <w:rFonts w:hint="eastAsia" w:ascii="宋体" w:hAnsi="宋体" w:cs="宋体"/>
          <w:b/>
          <w:bCs/>
          <w:color w:val="auto"/>
          <w:sz w:val="24"/>
          <w:highlight w:val="none"/>
          <w:lang w:val="en-US" w:eastAsia="zh-CN"/>
        </w:rPr>
        <w:t>13</w:t>
      </w:r>
      <w:r>
        <w:rPr>
          <w:rFonts w:hint="eastAsia" w:ascii="宋体" w:hAnsi="宋体" w:eastAsia="宋体" w:cs="宋体"/>
          <w:b/>
          <w:bCs/>
          <w:color w:val="auto"/>
          <w:sz w:val="24"/>
          <w:highlight w:val="none"/>
          <w:lang w:val="en-US" w:eastAsia="zh-CN"/>
        </w:rPr>
        <w:t>：00时</w:t>
      </w:r>
      <w:r>
        <w:rPr>
          <w:rFonts w:hint="eastAsia" w:ascii="宋体" w:hAnsi="宋体" w:eastAsia="宋体" w:cs="宋体"/>
          <w:color w:val="auto"/>
          <w:sz w:val="24"/>
          <w:highlight w:val="none"/>
        </w:rPr>
        <w:t>（北京时间）</w:t>
      </w:r>
    </w:p>
    <w:p w14:paraId="6FF8D472">
      <w:pPr>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开标</w:t>
      </w:r>
      <w:r>
        <w:rPr>
          <w:rFonts w:hint="eastAsia" w:ascii="宋体" w:hAnsi="宋体" w:eastAsia="宋体" w:cs="宋体"/>
          <w:color w:val="auto"/>
          <w:sz w:val="24"/>
          <w:highlight w:val="none"/>
        </w:rPr>
        <w:t>地点：长春市二道区洋浦大街6999号凯利中心AB栋第</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开标室。</w:t>
      </w:r>
    </w:p>
    <w:p w14:paraId="54D1D275">
      <w:pPr>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szCs w:val="32"/>
          <w:highlight w:val="none"/>
          <w:lang w:val="zh-CN"/>
        </w:rPr>
        <w:t>本项目为全流程电子化项目，通过“政采云”平台（http：//www.zcygov.cn）实行在线电子投标，供应商应先安装“政采云投标客户端”（请自行前往“政采云”平台进行下载），并按照本项目</w:t>
      </w:r>
      <w:r>
        <w:rPr>
          <w:rFonts w:hint="eastAsia" w:ascii="宋体" w:hAnsi="宋体" w:cs="宋体"/>
          <w:color w:val="auto"/>
          <w:sz w:val="24"/>
          <w:szCs w:val="32"/>
          <w:highlight w:val="none"/>
          <w:lang w:val="zh-CN"/>
        </w:rPr>
        <w:t>采购文件</w:t>
      </w:r>
      <w:r>
        <w:rPr>
          <w:rFonts w:hint="eastAsia" w:ascii="宋体" w:hAnsi="宋体" w:eastAsia="宋体" w:cs="宋体"/>
          <w:color w:val="auto"/>
          <w:sz w:val="24"/>
          <w:szCs w:val="32"/>
          <w:highlight w:val="none"/>
          <w:lang w:val="zh-CN"/>
        </w:rPr>
        <w:t>和“政采云”平台的要求编制、加密后在投标截止时间前通过网络上传至“政采云”平台，供应商在“政采云”平台提交电子版投标文件时，请填写参加开标活动经办人联系方式</w:t>
      </w:r>
      <w:r>
        <w:rPr>
          <w:rFonts w:hint="eastAsia" w:ascii="宋体" w:hAnsi="宋体" w:eastAsia="宋体" w:cs="宋体"/>
          <w:color w:val="auto"/>
          <w:sz w:val="24"/>
          <w:szCs w:val="32"/>
          <w:highlight w:val="none"/>
          <w:lang w:val="en-US" w:eastAsia="zh-CN"/>
        </w:rPr>
        <w:t>。</w:t>
      </w:r>
    </w:p>
    <w:p w14:paraId="2A32398D">
      <w:pPr>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en-US" w:eastAsia="zh-CN"/>
        </w:rPr>
        <w:t>4、</w:t>
      </w:r>
      <w:r>
        <w:rPr>
          <w:rFonts w:hint="eastAsia" w:ascii="宋体" w:hAnsi="宋体" w:eastAsia="宋体" w:cs="宋体"/>
          <w:color w:val="auto"/>
          <w:sz w:val="24"/>
          <w:szCs w:val="32"/>
          <w:highlight w:val="none"/>
          <w:lang w:val="zh-CN"/>
        </w:rPr>
        <w:t>电子投标文件解密期限及方式：开启时间后60分钟内，由供应商持制作该电子投标文件的同一数字证书（CA锁）及电脑进行远程解密（各供应商开标前及网上开评标系统公布供应商名单前，不要提前进行远程解密；具体解密时间在开标直播时采购代理机构工作人员会进行通知）。</w:t>
      </w:r>
    </w:p>
    <w:p w14:paraId="49F2924C">
      <w:pPr>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32"/>
          <w:highlight w:val="none"/>
          <w:lang w:val="zh-CN" w:eastAsia="zh-CN"/>
        </w:rPr>
      </w:pPr>
      <w:r>
        <w:rPr>
          <w:rFonts w:hint="eastAsia" w:ascii="宋体" w:hAnsi="宋体" w:eastAsia="宋体" w:cs="宋体"/>
          <w:color w:val="auto"/>
          <w:sz w:val="24"/>
          <w:szCs w:val="32"/>
          <w:highlight w:val="none"/>
          <w:lang w:val="en-US" w:eastAsia="zh-CN"/>
        </w:rPr>
        <w:t>5、</w:t>
      </w:r>
      <w:r>
        <w:rPr>
          <w:rFonts w:hint="eastAsia" w:ascii="宋体" w:hAnsi="宋体" w:eastAsia="宋体" w:cs="宋体"/>
          <w:color w:val="auto"/>
          <w:sz w:val="24"/>
          <w:szCs w:val="32"/>
          <w:highlight w:val="none"/>
          <w:lang w:val="zh-CN"/>
        </w:rPr>
        <w:t>投标文件</w:t>
      </w:r>
      <w:r>
        <w:rPr>
          <w:rFonts w:hint="eastAsia" w:ascii="宋体" w:hAnsi="宋体" w:eastAsia="宋体" w:cs="宋体"/>
          <w:color w:val="auto"/>
          <w:sz w:val="24"/>
          <w:szCs w:val="32"/>
          <w:highlight w:val="none"/>
          <w:lang w:val="en-US" w:eastAsia="zh-CN"/>
        </w:rPr>
        <w:t>开启</w:t>
      </w:r>
      <w:r>
        <w:rPr>
          <w:rFonts w:hint="eastAsia" w:ascii="宋体" w:hAnsi="宋体" w:eastAsia="宋体" w:cs="宋体"/>
          <w:color w:val="auto"/>
          <w:sz w:val="24"/>
          <w:szCs w:val="32"/>
          <w:highlight w:val="none"/>
          <w:lang w:val="zh-CN"/>
        </w:rPr>
        <w:t>方式：投标文件解密截止时间后，“政采云”平台手动公布投标报价信息，供应商持企业数字证书登录“政采云”平台在线查询投标报价信息。</w:t>
      </w:r>
    </w:p>
    <w:p w14:paraId="4616E695">
      <w:pPr>
        <w:ind w:firstLine="472" w:firstLineChars="196"/>
        <w:jc w:val="both"/>
        <w:outlineLvl w:val="1"/>
        <w:rPr>
          <w:rFonts w:hint="eastAsia" w:ascii="宋体" w:hAnsi="宋体" w:eastAsia="宋体" w:cs="宋体"/>
          <w:b/>
          <w:color w:val="auto"/>
          <w:sz w:val="24"/>
          <w:szCs w:val="24"/>
          <w:highlight w:val="none"/>
        </w:rPr>
      </w:pPr>
      <w:bookmarkStart w:id="93" w:name="_Toc3787"/>
      <w:r>
        <w:rPr>
          <w:rFonts w:hint="eastAsia" w:ascii="宋体" w:hAnsi="宋体" w:eastAsia="宋体" w:cs="宋体"/>
          <w:b/>
          <w:bCs/>
          <w:color w:val="auto"/>
          <w:sz w:val="24"/>
          <w:szCs w:val="24"/>
          <w:highlight w:val="none"/>
          <w:lang w:val="zh-CN"/>
        </w:rPr>
        <w:t>六、开标时间及地点</w:t>
      </w:r>
      <w:r>
        <w:rPr>
          <w:rFonts w:hint="eastAsia" w:ascii="宋体" w:hAnsi="宋体" w:eastAsia="宋体" w:cs="宋体"/>
          <w:b/>
          <w:bCs/>
          <w:color w:val="auto"/>
          <w:sz w:val="24"/>
          <w:szCs w:val="24"/>
          <w:highlight w:val="none"/>
        </w:rPr>
        <w:t>:</w:t>
      </w:r>
      <w:bookmarkEnd w:id="93"/>
    </w:p>
    <w:p w14:paraId="2C38BB51">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b/>
          <w:bCs/>
          <w:color w:val="auto"/>
          <w:sz w:val="24"/>
          <w:highlight w:val="none"/>
        </w:rPr>
        <w:t>202</w:t>
      </w:r>
      <w:r>
        <w:rPr>
          <w:rFonts w:hint="eastAsia" w:ascii="宋体" w:hAnsi="宋体" w:cs="宋体"/>
          <w:b/>
          <w:bCs/>
          <w:color w:val="auto"/>
          <w:sz w:val="24"/>
          <w:highlight w:val="none"/>
          <w:lang w:val="en-US" w:eastAsia="zh-CN"/>
        </w:rPr>
        <w:t>5</w:t>
      </w:r>
      <w:r>
        <w:rPr>
          <w:rFonts w:hint="eastAsia" w:ascii="宋体" w:hAnsi="宋体" w:eastAsia="宋体" w:cs="宋体"/>
          <w:b/>
          <w:bCs/>
          <w:color w:val="auto"/>
          <w:sz w:val="24"/>
          <w:highlight w:val="none"/>
        </w:rPr>
        <w:t>年</w:t>
      </w:r>
      <w:r>
        <w:rPr>
          <w:rFonts w:hint="eastAsia" w:ascii="宋体" w:hAnsi="宋体" w:cs="宋体"/>
          <w:b/>
          <w:bCs/>
          <w:color w:val="auto"/>
          <w:sz w:val="24"/>
          <w:highlight w:val="none"/>
          <w:lang w:val="en-US" w:eastAsia="zh-CN"/>
        </w:rPr>
        <w:t>8</w:t>
      </w:r>
      <w:r>
        <w:rPr>
          <w:rFonts w:hint="eastAsia" w:ascii="宋体" w:hAnsi="宋体" w:eastAsia="宋体" w:cs="宋体"/>
          <w:b/>
          <w:bCs/>
          <w:color w:val="auto"/>
          <w:sz w:val="24"/>
          <w:highlight w:val="none"/>
          <w:lang w:val="en-US" w:eastAsia="zh-CN"/>
        </w:rPr>
        <w:t>月</w:t>
      </w:r>
      <w:r>
        <w:rPr>
          <w:rFonts w:hint="eastAsia" w:ascii="宋体" w:hAnsi="宋体" w:cs="宋体"/>
          <w:b/>
          <w:bCs/>
          <w:color w:val="auto"/>
          <w:sz w:val="24"/>
          <w:highlight w:val="none"/>
          <w:lang w:val="en-US" w:eastAsia="zh-CN"/>
        </w:rPr>
        <w:t>4</w:t>
      </w:r>
      <w:r>
        <w:rPr>
          <w:rFonts w:hint="eastAsia" w:ascii="宋体" w:hAnsi="宋体" w:eastAsia="宋体" w:cs="宋体"/>
          <w:b/>
          <w:bCs/>
          <w:color w:val="auto"/>
          <w:sz w:val="24"/>
          <w:highlight w:val="none"/>
          <w:lang w:val="en-US" w:eastAsia="zh-CN"/>
        </w:rPr>
        <w:t>日</w:t>
      </w:r>
      <w:r>
        <w:rPr>
          <w:rFonts w:hint="eastAsia" w:ascii="宋体" w:hAnsi="宋体" w:cs="宋体"/>
          <w:b/>
          <w:bCs/>
          <w:color w:val="auto"/>
          <w:sz w:val="24"/>
          <w:highlight w:val="none"/>
          <w:lang w:val="en-US" w:eastAsia="zh-CN"/>
        </w:rPr>
        <w:t>13</w:t>
      </w:r>
      <w:r>
        <w:rPr>
          <w:rFonts w:hint="eastAsia" w:ascii="宋体" w:hAnsi="宋体" w:eastAsia="宋体" w:cs="宋体"/>
          <w:b/>
          <w:bCs/>
          <w:color w:val="auto"/>
          <w:sz w:val="24"/>
          <w:highlight w:val="none"/>
          <w:lang w:val="en-US" w:eastAsia="zh-CN"/>
        </w:rPr>
        <w:t>：00时</w:t>
      </w:r>
      <w:r>
        <w:rPr>
          <w:rFonts w:hint="eastAsia" w:ascii="宋体" w:hAnsi="宋体" w:eastAsia="宋体" w:cs="宋体"/>
          <w:color w:val="auto"/>
          <w:sz w:val="24"/>
          <w:highlight w:val="none"/>
        </w:rPr>
        <w:t>（北京时间）</w:t>
      </w:r>
    </w:p>
    <w:p w14:paraId="3505278F">
      <w:pPr>
        <w:ind w:firstLine="480" w:firstLineChars="20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highlight w:val="none"/>
        </w:rPr>
        <w:t>长春市二道区洋浦大街6999号凯利中心AB栋</w:t>
      </w:r>
    </w:p>
    <w:p w14:paraId="0D3EE7D4">
      <w:pPr>
        <w:spacing w:before="0" w:after="0" w:line="240" w:lineRule="auto"/>
        <w:ind w:firstLine="482" w:firstLineChars="200"/>
        <w:outlineLvl w:val="1"/>
        <w:rPr>
          <w:rFonts w:hint="eastAsia" w:ascii="宋体" w:hAnsi="宋体" w:eastAsia="宋体" w:cs="宋体"/>
          <w:b/>
          <w:bCs/>
          <w:color w:val="auto"/>
          <w:sz w:val="24"/>
          <w:szCs w:val="24"/>
          <w:highlight w:val="none"/>
        </w:rPr>
      </w:pPr>
      <w:bookmarkStart w:id="94" w:name="_Toc19515"/>
      <w:r>
        <w:rPr>
          <w:rFonts w:hint="eastAsia" w:ascii="宋体" w:hAnsi="宋体" w:eastAsia="宋体" w:cs="宋体"/>
          <w:b/>
          <w:bCs/>
          <w:color w:val="auto"/>
          <w:sz w:val="24"/>
          <w:szCs w:val="24"/>
          <w:highlight w:val="none"/>
        </w:rPr>
        <w:t>七、公告期限</w:t>
      </w:r>
      <w:bookmarkEnd w:id="89"/>
      <w:bookmarkEnd w:id="90"/>
      <w:bookmarkEnd w:id="91"/>
      <w:bookmarkEnd w:id="92"/>
      <w:r>
        <w:rPr>
          <w:rFonts w:hint="eastAsia" w:ascii="宋体" w:hAnsi="宋体" w:eastAsia="宋体" w:cs="宋体"/>
          <w:b/>
          <w:bCs/>
          <w:color w:val="auto"/>
          <w:sz w:val="24"/>
          <w:szCs w:val="24"/>
          <w:highlight w:val="none"/>
        </w:rPr>
        <w:t>：</w:t>
      </w:r>
      <w:bookmarkEnd w:id="94"/>
    </w:p>
    <w:p w14:paraId="3243DDA7">
      <w:pPr>
        <w:ind w:firstLine="480" w:firstLineChars="200"/>
        <w:jc w:val="both"/>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自本公告发布之日起5个工作日。</w:t>
      </w:r>
    </w:p>
    <w:p w14:paraId="256CD2BC">
      <w:pPr>
        <w:ind w:firstLine="482" w:firstLineChars="200"/>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zh-CN"/>
        </w:rPr>
        <w:t>八、投标保证金：</w:t>
      </w:r>
      <w:r>
        <w:rPr>
          <w:rFonts w:hint="eastAsia" w:ascii="宋体" w:hAnsi="宋体" w:eastAsia="宋体" w:cs="宋体"/>
          <w:bCs/>
          <w:color w:val="auto"/>
          <w:sz w:val="24"/>
          <w:szCs w:val="24"/>
          <w:highlight w:val="none"/>
        </w:rPr>
        <w:t>人民币</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万元。</w:t>
      </w:r>
      <w:r>
        <w:rPr>
          <w:rFonts w:hint="eastAsia" w:ascii="宋体" w:hAnsi="宋体" w:eastAsia="宋体" w:cs="宋体"/>
          <w:color w:val="auto"/>
          <w:sz w:val="24"/>
          <w:szCs w:val="24"/>
          <w:highlight w:val="none"/>
        </w:rPr>
        <w:t>开标现场</w:t>
      </w:r>
      <w:r>
        <w:rPr>
          <w:rFonts w:hint="eastAsia" w:ascii="宋体" w:hAnsi="宋体" w:eastAsia="宋体" w:cs="宋体"/>
          <w:bCs/>
          <w:color w:val="auto"/>
          <w:sz w:val="24"/>
          <w:szCs w:val="24"/>
          <w:highlight w:val="none"/>
        </w:rPr>
        <w:t>提交</w:t>
      </w:r>
      <w:r>
        <w:rPr>
          <w:rFonts w:hint="eastAsia" w:ascii="宋体" w:hAnsi="宋体" w:eastAsia="宋体" w:cs="宋体"/>
          <w:bCs/>
          <w:color w:val="auto"/>
          <w:sz w:val="24"/>
          <w:szCs w:val="24"/>
          <w:highlight w:val="none"/>
          <w:lang w:val="zh-CN"/>
        </w:rPr>
        <w:t>银行汇票</w:t>
      </w:r>
      <w:r>
        <w:rPr>
          <w:rFonts w:hint="eastAsia" w:ascii="宋体" w:hAnsi="宋体" w:eastAsia="宋体" w:cs="宋体"/>
          <w:color w:val="auto"/>
          <w:sz w:val="24"/>
          <w:szCs w:val="24"/>
          <w:highlight w:val="none"/>
          <w:lang w:val="zh-CN"/>
        </w:rPr>
        <w:t>（必须同时提交第2、3联）</w:t>
      </w:r>
      <w:r>
        <w:rPr>
          <w:rFonts w:hint="eastAsia" w:ascii="宋体" w:hAnsi="宋体" w:eastAsia="宋体" w:cs="宋体"/>
          <w:bCs/>
          <w:color w:val="auto"/>
          <w:sz w:val="24"/>
          <w:szCs w:val="24"/>
          <w:highlight w:val="none"/>
          <w:lang w:val="zh-CN"/>
        </w:rPr>
        <w:t>、银行本票、银行保函或其它保函</w:t>
      </w:r>
      <w:r>
        <w:rPr>
          <w:rFonts w:hint="eastAsia" w:ascii="宋体" w:hAnsi="宋体" w:eastAsia="宋体" w:cs="宋体"/>
          <w:color w:val="auto"/>
          <w:sz w:val="24"/>
          <w:szCs w:val="24"/>
          <w:highlight w:val="none"/>
        </w:rPr>
        <w:t>原件方式缴纳投标保证金，如果因投标人开户行没有银行汇票、银行本票或银行保函业务范围，可以改为投标人开户行转账缴纳，但必须在开标现场提交开户行出具的无业务范围书面证明和转账票据两个原件，否则视为无效投标。</w:t>
      </w:r>
    </w:p>
    <w:p w14:paraId="53454CB1">
      <w:pPr>
        <w:ind w:firstLine="482" w:firstLineChars="200"/>
        <w:outlineLvl w:val="1"/>
        <w:rPr>
          <w:rFonts w:hint="eastAsia" w:ascii="宋体" w:hAnsi="宋体" w:eastAsia="宋体" w:cs="宋体"/>
          <w:b/>
          <w:bCs/>
          <w:color w:val="auto"/>
          <w:sz w:val="24"/>
          <w:szCs w:val="24"/>
          <w:highlight w:val="none"/>
        </w:rPr>
      </w:pPr>
      <w:bookmarkStart w:id="95" w:name="_Toc5742"/>
      <w:bookmarkStart w:id="96" w:name="_Toc35393626"/>
      <w:bookmarkStart w:id="97" w:name="_Toc35393795"/>
      <w:r>
        <w:rPr>
          <w:rFonts w:hint="eastAsia" w:ascii="宋体" w:hAnsi="宋体" w:eastAsia="宋体" w:cs="宋体"/>
          <w:b/>
          <w:bCs/>
          <w:color w:val="auto"/>
          <w:sz w:val="24"/>
          <w:szCs w:val="24"/>
          <w:highlight w:val="none"/>
          <w:lang w:val="zh-CN"/>
        </w:rPr>
        <w:t>九、发布媒体</w:t>
      </w:r>
      <w:r>
        <w:rPr>
          <w:rFonts w:hint="eastAsia" w:ascii="宋体" w:hAnsi="宋体" w:eastAsia="宋体" w:cs="宋体"/>
          <w:b/>
          <w:bCs/>
          <w:color w:val="auto"/>
          <w:sz w:val="24"/>
          <w:szCs w:val="24"/>
          <w:highlight w:val="none"/>
        </w:rPr>
        <w:t>：</w:t>
      </w:r>
      <w:bookmarkEnd w:id="95"/>
    </w:p>
    <w:p w14:paraId="029EE8D7">
      <w:pPr>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bCs/>
          <w:color w:val="auto"/>
          <w:sz w:val="24"/>
          <w:highlight w:val="none"/>
        </w:rPr>
        <w:t>本次</w:t>
      </w:r>
      <w:r>
        <w:rPr>
          <w:rFonts w:hint="eastAsia" w:ascii="宋体" w:hAnsi="宋体" w:cs="宋体"/>
          <w:bCs/>
          <w:color w:val="auto"/>
          <w:sz w:val="24"/>
          <w:highlight w:val="none"/>
          <w:lang w:val="en-US" w:eastAsia="zh-CN"/>
        </w:rPr>
        <w:t>采购</w:t>
      </w:r>
      <w:r>
        <w:rPr>
          <w:rFonts w:hint="eastAsia" w:ascii="宋体" w:hAnsi="宋体" w:eastAsia="宋体" w:cs="宋体"/>
          <w:bCs/>
          <w:color w:val="auto"/>
          <w:sz w:val="24"/>
          <w:highlight w:val="none"/>
        </w:rPr>
        <w:t>公告</w:t>
      </w:r>
      <w:r>
        <w:rPr>
          <w:rFonts w:hint="eastAsia" w:ascii="宋体" w:hAnsi="宋体" w:eastAsia="宋体" w:cs="宋体"/>
          <w:color w:val="auto"/>
          <w:sz w:val="24"/>
          <w:highlight w:val="none"/>
        </w:rPr>
        <w:t>在</w:t>
      </w:r>
      <w:r>
        <w:rPr>
          <w:rFonts w:hint="eastAsia" w:ascii="宋体" w:hAnsi="宋体" w:cs="宋体"/>
          <w:color w:val="auto"/>
          <w:sz w:val="24"/>
          <w:szCs w:val="32"/>
          <w:highlight w:val="none"/>
          <w:lang w:val="zh-CN"/>
        </w:rPr>
        <w:t>政采云”平台（</w:t>
      </w:r>
      <w:r>
        <w:rPr>
          <w:rFonts w:hint="eastAsia" w:ascii="宋体" w:hAnsi="宋体"/>
          <w:color w:val="auto"/>
          <w:sz w:val="24"/>
          <w:szCs w:val="24"/>
          <w:highlight w:val="none"/>
          <w:lang w:val="zh-CN" w:eastAsia="zh-CN"/>
        </w:rPr>
        <w:t>https://www.zcygov.cn/</w:t>
      </w:r>
      <w:r>
        <w:rPr>
          <w:rFonts w:hint="eastAsia" w:ascii="宋体" w:hAnsi="宋体" w:cs="宋体"/>
          <w:color w:val="auto"/>
          <w:sz w:val="24"/>
          <w:szCs w:val="32"/>
          <w:highlight w:val="none"/>
          <w:lang w:val="zh-CN"/>
        </w:rPr>
        <w:t>）</w:t>
      </w:r>
      <w:r>
        <w:rPr>
          <w:rFonts w:hint="eastAsia" w:ascii="宋体" w:hAnsi="宋体"/>
          <w:color w:val="auto"/>
          <w:sz w:val="24"/>
          <w:highlight w:val="none"/>
        </w:rPr>
        <w:t>上发布并同步推送到吉林省政府采购网（http://www.ccgp-jilin.gov.cn/）</w:t>
      </w:r>
      <w:r>
        <w:rPr>
          <w:rFonts w:hint="eastAsia" w:ascii="宋体" w:hAnsi="宋体" w:eastAsia="宋体" w:cs="宋体"/>
          <w:color w:val="auto"/>
          <w:sz w:val="24"/>
          <w:highlight w:val="none"/>
        </w:rPr>
        <w:t>。</w:t>
      </w:r>
    </w:p>
    <w:p w14:paraId="54FA89D1">
      <w:pPr>
        <w:pageBreakBefore w:val="0"/>
        <w:kinsoku/>
        <w:wordWrap/>
        <w:overflowPunct/>
        <w:topLinePunct w:val="0"/>
        <w:autoSpaceDE/>
        <w:autoSpaceDN/>
        <w:bidi w:val="0"/>
        <w:adjustRightInd/>
        <w:snapToGrid/>
        <w:spacing w:line="400" w:lineRule="exact"/>
        <w:ind w:firstLine="482" w:firstLineChars="200"/>
        <w:textAlignment w:val="auto"/>
        <w:outlineLvl w:val="1"/>
        <w:rPr>
          <w:rFonts w:hint="eastAsia" w:ascii="宋体" w:hAnsi="宋体" w:eastAsia="宋体" w:cs="宋体"/>
          <w:b/>
          <w:bCs/>
          <w:color w:val="auto"/>
          <w:sz w:val="24"/>
          <w:highlight w:val="none"/>
        </w:rPr>
      </w:pPr>
      <w:bookmarkStart w:id="98" w:name="_Toc17087"/>
      <w:r>
        <w:rPr>
          <w:rFonts w:hint="eastAsia" w:ascii="宋体" w:hAnsi="宋体" w:eastAsia="宋体" w:cs="宋体"/>
          <w:b/>
          <w:bCs/>
          <w:color w:val="auto"/>
          <w:sz w:val="24"/>
          <w:highlight w:val="none"/>
          <w:lang w:val="en-US" w:eastAsia="zh-CN"/>
        </w:rPr>
        <w:t>十</w:t>
      </w:r>
      <w:r>
        <w:rPr>
          <w:rFonts w:hint="eastAsia" w:ascii="宋体" w:hAnsi="宋体" w:eastAsia="宋体" w:cs="宋体"/>
          <w:b/>
          <w:bCs/>
          <w:color w:val="auto"/>
          <w:sz w:val="24"/>
          <w:highlight w:val="none"/>
        </w:rPr>
        <w:t>、其他补充事宜</w:t>
      </w:r>
      <w:bookmarkEnd w:id="98"/>
    </w:p>
    <w:p w14:paraId="7CA1A737">
      <w:pPr>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highlight w:val="none"/>
          <w:lang w:val="en-US" w:eastAsia="zh-CN"/>
        </w:rPr>
      </w:pPr>
      <w:bookmarkStart w:id="99" w:name="_Toc35393805"/>
      <w:r>
        <w:rPr>
          <w:rFonts w:hint="eastAsia" w:ascii="宋体" w:hAnsi="宋体" w:eastAsia="宋体" w:cs="宋体"/>
          <w:color w:val="auto"/>
          <w:sz w:val="24"/>
          <w:szCs w:val="24"/>
          <w:highlight w:val="none"/>
          <w:lang w:val="en-US" w:eastAsia="zh-CN"/>
        </w:rPr>
        <w:t>1、CA锁办理网址：请供应商自行办理</w:t>
      </w:r>
      <w:bookmarkEnd w:id="99"/>
      <w:r>
        <w:rPr>
          <w:rFonts w:hint="eastAsia" w:ascii="宋体" w:hAnsi="宋体" w:eastAsia="宋体" w:cs="宋体"/>
          <w:color w:val="auto"/>
          <w:sz w:val="24"/>
          <w:szCs w:val="24"/>
          <w:highlight w:val="none"/>
          <w:lang w:val="en-US" w:eastAsia="zh-CN"/>
        </w:rPr>
        <w:t>CA锁，网址链接（http://www.anxinca.com/kehu/zcy/kh-zcy-zsshenqing.html。）</w:t>
      </w:r>
    </w:p>
    <w:p w14:paraId="6FC04525">
      <w:pPr>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2、收到 CA锁以后在“政采云”登陆界面，点击 CA 登录-CA 驱动下载-下载并安装政采云投标客户端和安信CA 驱动，账号绑定 CA 后才能进行投标文件制作。</w:t>
      </w:r>
    </w:p>
    <w:p w14:paraId="4C8F2633">
      <w:pPr>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3、未进行网上注册并办理 CA 认证的投标人将无法参与本次采购活动。数字证书办理时限为3-5个工作日，投标人须自行考虑办理时间，由于投标人自身原因在开标前无法完成办理，后果自负。</w:t>
      </w:r>
    </w:p>
    <w:p w14:paraId="1D372331">
      <w:pPr>
        <w:ind w:firstLine="480" w:firstLineChars="200"/>
        <w:jc w:val="both"/>
        <w:outlineLvl w:val="9"/>
        <w:rPr>
          <w:rFonts w:hint="eastAsia" w:ascii="宋体" w:hAnsi="宋体" w:eastAsia="宋体" w:cs="宋体"/>
          <w:bCs/>
          <w:color w:val="auto"/>
          <w:sz w:val="24"/>
          <w:highlight w:val="none"/>
        </w:rPr>
      </w:pPr>
      <w:r>
        <w:rPr>
          <w:rFonts w:hint="eastAsia" w:ascii="宋体" w:hAnsi="宋体" w:eastAsia="宋体" w:cs="宋体"/>
          <w:color w:val="auto"/>
          <w:sz w:val="24"/>
          <w:szCs w:val="24"/>
          <w:highlight w:val="none"/>
          <w:lang w:val="en-US" w:eastAsia="zh-CN"/>
        </w:rPr>
        <w:t>4、有效递交投标文件的供应商不足三家时，采购人另行组织采购。</w:t>
      </w:r>
    </w:p>
    <w:p w14:paraId="0D1C126A">
      <w:pPr>
        <w:ind w:firstLine="482" w:firstLineChars="200"/>
        <w:outlineLvl w:val="1"/>
        <w:rPr>
          <w:rFonts w:hint="eastAsia" w:ascii="宋体" w:hAnsi="宋体" w:eastAsia="宋体" w:cs="宋体"/>
          <w:b/>
          <w:bCs/>
          <w:color w:val="auto"/>
          <w:sz w:val="24"/>
          <w:szCs w:val="24"/>
          <w:highlight w:val="none"/>
          <w:lang w:val="zh-CN"/>
        </w:rPr>
      </w:pPr>
      <w:bookmarkStart w:id="100" w:name="_Toc9660"/>
      <w:r>
        <w:rPr>
          <w:rFonts w:hint="eastAsia" w:ascii="宋体" w:hAnsi="宋体" w:eastAsia="宋体" w:cs="宋体"/>
          <w:b/>
          <w:bCs/>
          <w:color w:val="auto"/>
          <w:sz w:val="24"/>
          <w:szCs w:val="24"/>
          <w:highlight w:val="none"/>
          <w:lang w:val="zh-CN"/>
        </w:rPr>
        <w:t>十</w:t>
      </w: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val="zh-CN"/>
        </w:rPr>
        <w:t>、</w:t>
      </w:r>
      <w:bookmarkEnd w:id="96"/>
      <w:bookmarkEnd w:id="97"/>
      <w:bookmarkStart w:id="101" w:name="_Toc28359085"/>
      <w:bookmarkStart w:id="102" w:name="_Toc35393796"/>
      <w:bookmarkStart w:id="103" w:name="_Toc28359008"/>
      <w:bookmarkStart w:id="104" w:name="_Toc35393627"/>
      <w:r>
        <w:rPr>
          <w:rFonts w:hint="eastAsia" w:ascii="宋体" w:hAnsi="宋体" w:eastAsia="宋体" w:cs="宋体"/>
          <w:b/>
          <w:bCs/>
          <w:color w:val="auto"/>
          <w:sz w:val="24"/>
          <w:szCs w:val="24"/>
          <w:highlight w:val="none"/>
          <w:lang w:val="zh-CN"/>
        </w:rPr>
        <w:t>对本次</w:t>
      </w:r>
      <w:r>
        <w:rPr>
          <w:rFonts w:hint="eastAsia" w:ascii="宋体" w:hAnsi="宋体" w:cs="宋体"/>
          <w:b/>
          <w:bCs/>
          <w:color w:val="auto"/>
          <w:sz w:val="24"/>
          <w:szCs w:val="24"/>
          <w:highlight w:val="none"/>
          <w:lang w:val="en-US" w:eastAsia="zh-CN"/>
        </w:rPr>
        <w:t>采购</w:t>
      </w:r>
      <w:r>
        <w:rPr>
          <w:rFonts w:hint="eastAsia" w:ascii="宋体" w:hAnsi="宋体" w:eastAsia="宋体" w:cs="宋体"/>
          <w:b/>
          <w:bCs/>
          <w:color w:val="auto"/>
          <w:sz w:val="24"/>
          <w:szCs w:val="24"/>
          <w:highlight w:val="none"/>
          <w:lang w:val="zh-CN"/>
        </w:rPr>
        <w:t>提出询问，请按以下方式联系</w:t>
      </w:r>
      <w:bookmarkEnd w:id="101"/>
      <w:bookmarkEnd w:id="102"/>
      <w:bookmarkEnd w:id="103"/>
      <w:bookmarkEnd w:id="104"/>
      <w:r>
        <w:rPr>
          <w:rFonts w:hint="eastAsia" w:ascii="宋体" w:hAnsi="宋体" w:eastAsia="宋体" w:cs="宋体"/>
          <w:b/>
          <w:bCs/>
          <w:color w:val="auto"/>
          <w:sz w:val="24"/>
          <w:szCs w:val="24"/>
          <w:highlight w:val="none"/>
          <w:lang w:val="zh-CN"/>
        </w:rPr>
        <w:t>：</w:t>
      </w:r>
      <w:bookmarkEnd w:id="100"/>
    </w:p>
    <w:p w14:paraId="3C15952A">
      <w:pPr>
        <w:autoSpaceDE/>
        <w:autoSpaceDN/>
        <w:adjustRightInd/>
        <w:spacing w:line="240" w:lineRule="auto"/>
        <w:ind w:firstLine="480" w:firstLineChars="200"/>
        <w:rPr>
          <w:rFonts w:hint="eastAsia" w:ascii="宋体" w:hAnsi="宋体" w:eastAsia="宋体" w:cs="宋体"/>
          <w:color w:val="auto"/>
          <w:sz w:val="24"/>
          <w:szCs w:val="24"/>
          <w:highlight w:val="none"/>
        </w:rPr>
      </w:pPr>
      <w:bookmarkStart w:id="105" w:name="_Toc28359019"/>
      <w:bookmarkStart w:id="106" w:name="_Toc28359096"/>
      <w:bookmarkStart w:id="107" w:name="_Toc35393637"/>
      <w:bookmarkStart w:id="108" w:name="_Toc35393806"/>
      <w:r>
        <w:rPr>
          <w:rFonts w:hint="eastAsia" w:ascii="宋体" w:hAnsi="宋体" w:eastAsia="宋体" w:cs="宋体"/>
          <w:color w:val="auto"/>
          <w:sz w:val="24"/>
          <w:szCs w:val="24"/>
          <w:highlight w:val="none"/>
        </w:rPr>
        <w:t>1.采购人信息</w:t>
      </w:r>
      <w:bookmarkEnd w:id="105"/>
      <w:bookmarkEnd w:id="106"/>
      <w:bookmarkEnd w:id="107"/>
      <w:bookmarkEnd w:id="108"/>
    </w:p>
    <w:p w14:paraId="06A698B3">
      <w:pPr>
        <w:autoSpaceDE/>
        <w:autoSpaceDN/>
        <w:adjustRightInd/>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名    称：</w:t>
      </w:r>
      <w:r>
        <w:rPr>
          <w:rFonts w:hint="eastAsia" w:ascii="宋体" w:hAnsi="宋体" w:cs="宋体"/>
          <w:color w:val="auto"/>
          <w:sz w:val="24"/>
          <w:szCs w:val="24"/>
          <w:highlight w:val="none"/>
          <w:lang w:eastAsia="zh-CN"/>
        </w:rPr>
        <w:t>长春师范大学</w:t>
      </w:r>
    </w:p>
    <w:p w14:paraId="6FB32A6C">
      <w:pPr>
        <w:autoSpaceDE/>
        <w:autoSpaceDN/>
        <w:adjustRightInd/>
        <w:spacing w:line="24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    址：吉林省长春市长吉北线677号</w:t>
      </w:r>
    </w:p>
    <w:p w14:paraId="01A574CE">
      <w:pPr>
        <w:autoSpaceDE/>
        <w:autoSpaceDN/>
        <w:adjustRightInd/>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联 系 人：胡博</w:t>
      </w:r>
    </w:p>
    <w:p w14:paraId="6FAA8983">
      <w:pPr>
        <w:autoSpaceDE/>
        <w:autoSpaceDN/>
        <w:adjustRightInd/>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联系方式：</w:t>
      </w:r>
      <w:r>
        <w:rPr>
          <w:rFonts w:hint="eastAsia" w:ascii="宋体" w:hAnsi="宋体" w:eastAsia="宋体" w:cs="宋体"/>
          <w:color w:val="auto"/>
          <w:sz w:val="24"/>
          <w:szCs w:val="24"/>
          <w:highlight w:val="none"/>
        </w:rPr>
        <w:t>0431-86168067</w:t>
      </w:r>
    </w:p>
    <w:p w14:paraId="3CD0C880">
      <w:pPr>
        <w:autoSpaceDE/>
        <w:autoSpaceDN/>
        <w:adjustRightInd/>
        <w:spacing w:line="240" w:lineRule="auto"/>
        <w:ind w:firstLine="480" w:firstLineChars="200"/>
        <w:rPr>
          <w:rFonts w:hint="eastAsia" w:ascii="宋体" w:hAnsi="宋体" w:eastAsia="宋体" w:cs="宋体"/>
          <w:color w:val="auto"/>
          <w:sz w:val="24"/>
          <w:szCs w:val="24"/>
          <w:highlight w:val="none"/>
          <w:lang w:val="en-US" w:eastAsia="zh-CN"/>
        </w:rPr>
      </w:pPr>
    </w:p>
    <w:p w14:paraId="12234235">
      <w:pPr>
        <w:autoSpaceDE/>
        <w:autoSpaceDN/>
        <w:adjustRightInd/>
        <w:spacing w:line="240" w:lineRule="auto"/>
        <w:ind w:firstLine="480" w:firstLineChars="200"/>
        <w:rPr>
          <w:rFonts w:hint="eastAsia" w:ascii="宋体" w:hAnsi="宋体" w:eastAsia="宋体" w:cs="宋体"/>
          <w:color w:val="auto"/>
          <w:sz w:val="24"/>
          <w:szCs w:val="24"/>
          <w:highlight w:val="none"/>
          <w:lang w:eastAsia="zh-CN"/>
        </w:rPr>
      </w:pPr>
      <w:bookmarkStart w:id="109" w:name="_Toc28359020"/>
      <w:bookmarkStart w:id="110" w:name="_Toc35393807"/>
      <w:bookmarkStart w:id="111" w:name="_Toc28359097"/>
      <w:bookmarkStart w:id="112" w:name="_Toc35393638"/>
      <w:r>
        <w:rPr>
          <w:rFonts w:hint="eastAsia" w:ascii="宋体" w:hAnsi="宋体" w:eastAsia="宋体" w:cs="宋体"/>
          <w:color w:val="auto"/>
          <w:sz w:val="24"/>
          <w:szCs w:val="24"/>
          <w:highlight w:val="none"/>
          <w:lang w:eastAsia="zh-CN"/>
        </w:rPr>
        <w:t>2.采购代理机构信息</w:t>
      </w:r>
      <w:bookmarkEnd w:id="109"/>
      <w:bookmarkEnd w:id="110"/>
      <w:bookmarkEnd w:id="111"/>
      <w:bookmarkEnd w:id="112"/>
    </w:p>
    <w:p w14:paraId="01662AEE">
      <w:pPr>
        <w:autoSpaceDE/>
        <w:autoSpaceDN/>
        <w:adjustRightInd/>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    称：</w:t>
      </w:r>
      <w:r>
        <w:rPr>
          <w:rFonts w:hint="eastAsia" w:ascii="宋体" w:hAnsi="宋体" w:cs="宋体"/>
          <w:color w:val="auto"/>
          <w:sz w:val="24"/>
          <w:szCs w:val="24"/>
          <w:highlight w:val="none"/>
          <w:lang w:val="en-US" w:eastAsia="zh-CN"/>
        </w:rPr>
        <w:t>吉林省智广工程项目管理有限公司</w:t>
      </w:r>
    </w:p>
    <w:p w14:paraId="0AC5A4A3">
      <w:pPr>
        <w:autoSpaceDE/>
        <w:autoSpaceDN/>
        <w:adjustRightInd/>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    址：</w:t>
      </w:r>
      <w:r>
        <w:rPr>
          <w:rFonts w:hint="eastAsia" w:ascii="宋体" w:hAnsi="宋体" w:eastAsia="宋体" w:cs="宋体"/>
          <w:color w:val="auto"/>
          <w:sz w:val="24"/>
          <w:highlight w:val="none"/>
          <w:lang w:val="en-US" w:eastAsia="zh-CN"/>
        </w:rPr>
        <w:t>长春市朝阳区卫星路7440号远创国际2、3号楼1306室</w:t>
      </w:r>
    </w:p>
    <w:p w14:paraId="19012EAB">
      <w:pPr>
        <w:autoSpaceDE/>
        <w:autoSpaceDN/>
        <w:adjustRightInd/>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 系 人：</w:t>
      </w:r>
      <w:bookmarkStart w:id="113" w:name="_Toc28359098"/>
      <w:bookmarkStart w:id="114" w:name="_Toc35393639"/>
      <w:bookmarkStart w:id="115" w:name="_Toc35393808"/>
      <w:bookmarkStart w:id="116" w:name="_Toc28359021"/>
      <w:r>
        <w:rPr>
          <w:rFonts w:hint="eastAsia" w:ascii="宋体" w:hAnsi="宋体" w:cs="宋体"/>
          <w:color w:val="auto"/>
          <w:sz w:val="24"/>
          <w:szCs w:val="24"/>
          <w:highlight w:val="none"/>
          <w:lang w:val="en-US" w:eastAsia="zh-CN"/>
        </w:rPr>
        <w:t>于淼</w:t>
      </w:r>
    </w:p>
    <w:p w14:paraId="638BBC0C">
      <w:pPr>
        <w:autoSpaceDE/>
        <w:autoSpaceDN/>
        <w:adjustRightInd/>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3.项目联系方式</w:t>
      </w:r>
      <w:bookmarkEnd w:id="113"/>
      <w:bookmarkEnd w:id="114"/>
      <w:bookmarkEnd w:id="115"/>
      <w:bookmarkEnd w:id="116"/>
    </w:p>
    <w:p w14:paraId="595494B7">
      <w:pPr>
        <w:autoSpaceDE/>
        <w:autoSpaceDN/>
        <w:adjustRightInd/>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项目联系人：</w:t>
      </w:r>
      <w:r>
        <w:rPr>
          <w:rFonts w:hint="eastAsia" w:ascii="宋体" w:hAnsi="宋体" w:cs="宋体"/>
          <w:color w:val="auto"/>
          <w:sz w:val="24"/>
          <w:szCs w:val="24"/>
          <w:highlight w:val="none"/>
          <w:lang w:val="en-US" w:eastAsia="zh-CN"/>
        </w:rPr>
        <w:t>于淼</w:t>
      </w:r>
    </w:p>
    <w:p w14:paraId="4D1BEAA6">
      <w:pPr>
        <w:autoSpaceDE/>
        <w:autoSpaceDN/>
        <w:adjustRightInd/>
        <w:spacing w:line="24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联系电话：0431-</w:t>
      </w:r>
      <w:r>
        <w:rPr>
          <w:rFonts w:hint="eastAsia" w:ascii="宋体" w:hAnsi="宋体" w:cs="宋体"/>
          <w:color w:val="auto"/>
          <w:sz w:val="24"/>
          <w:szCs w:val="24"/>
          <w:highlight w:val="none"/>
          <w:lang w:val="en-US" w:eastAsia="zh-CN"/>
        </w:rPr>
        <w:t>88035566</w:t>
      </w:r>
    </w:p>
    <w:bookmarkEnd w:id="66"/>
    <w:p w14:paraId="17C71732">
      <w:pPr>
        <w:autoSpaceDE/>
        <w:autoSpaceDN/>
        <w:adjustRightInd/>
        <w:ind w:firstLine="487" w:firstLineChars="202"/>
        <w:jc w:val="both"/>
        <w:outlineLvl w:val="1"/>
        <w:rPr>
          <w:rFonts w:hint="eastAsia" w:ascii="宋体" w:hAnsi="宋体" w:eastAsia="宋体" w:cs="宋体"/>
          <w:b/>
          <w:color w:val="auto"/>
          <w:kern w:val="2"/>
          <w:sz w:val="24"/>
          <w:szCs w:val="24"/>
          <w:highlight w:val="none"/>
        </w:rPr>
      </w:pPr>
      <w:bookmarkStart w:id="117" w:name="_Toc27364"/>
      <w:r>
        <w:rPr>
          <w:rFonts w:hint="eastAsia" w:ascii="宋体" w:hAnsi="宋体" w:eastAsia="宋体" w:cs="宋体"/>
          <w:b/>
          <w:color w:val="auto"/>
          <w:kern w:val="2"/>
          <w:sz w:val="24"/>
          <w:szCs w:val="24"/>
          <w:highlight w:val="none"/>
        </w:rPr>
        <w:t>十</w:t>
      </w:r>
      <w:r>
        <w:rPr>
          <w:rFonts w:hint="eastAsia" w:ascii="宋体" w:hAnsi="宋体" w:eastAsia="宋体" w:cs="宋体"/>
          <w:b/>
          <w:color w:val="auto"/>
          <w:kern w:val="2"/>
          <w:sz w:val="24"/>
          <w:szCs w:val="24"/>
          <w:highlight w:val="none"/>
          <w:lang w:val="en-US" w:eastAsia="zh-CN"/>
        </w:rPr>
        <w:t>二</w:t>
      </w:r>
      <w:r>
        <w:rPr>
          <w:rFonts w:hint="eastAsia" w:ascii="宋体" w:hAnsi="宋体" w:eastAsia="宋体" w:cs="宋体"/>
          <w:b/>
          <w:color w:val="auto"/>
          <w:kern w:val="2"/>
          <w:sz w:val="24"/>
          <w:szCs w:val="24"/>
          <w:highlight w:val="none"/>
        </w:rPr>
        <w:t>、代理机构账户信息：</w:t>
      </w:r>
      <w:bookmarkEnd w:id="117"/>
      <w:r>
        <w:rPr>
          <w:rFonts w:hint="eastAsia" w:ascii="宋体" w:hAnsi="宋体" w:eastAsia="宋体" w:cs="宋体"/>
          <w:b/>
          <w:color w:val="auto"/>
          <w:kern w:val="2"/>
          <w:sz w:val="24"/>
          <w:szCs w:val="24"/>
          <w:highlight w:val="none"/>
        </w:rPr>
        <w:t xml:space="preserve">           </w:t>
      </w:r>
    </w:p>
    <w:p w14:paraId="57849D99">
      <w:pPr>
        <w:autoSpaceDE/>
        <w:autoSpaceDN/>
        <w:adjustRightInd/>
        <w:spacing w:line="240" w:lineRule="auto"/>
        <w:ind w:firstLine="480" w:firstLineChars="200"/>
        <w:rPr>
          <w:rFonts w:hint="eastAsia" w:ascii="宋体" w:hAnsi="宋体" w:eastAsia="宋体" w:cs="华文宋体"/>
          <w:color w:val="auto"/>
          <w:sz w:val="24"/>
          <w:szCs w:val="24"/>
          <w:highlight w:val="none"/>
          <w:lang w:val="zh-CN" w:eastAsia="zh-CN"/>
        </w:rPr>
      </w:pPr>
      <w:r>
        <w:rPr>
          <w:rFonts w:hint="eastAsia" w:ascii="宋体" w:hAnsi="宋体" w:eastAsia="宋体" w:cs="华文宋体"/>
          <w:color w:val="auto"/>
          <w:sz w:val="24"/>
          <w:szCs w:val="24"/>
          <w:highlight w:val="none"/>
          <w:lang w:val="zh-CN" w:eastAsia="zh-CN"/>
        </w:rPr>
        <w:t xml:space="preserve">开户行:中国建设银行股份有限公司长春汇鑫支行  </w:t>
      </w:r>
    </w:p>
    <w:p w14:paraId="564D8B42">
      <w:pPr>
        <w:autoSpaceDE/>
        <w:autoSpaceDN/>
        <w:adjustRightInd/>
        <w:spacing w:line="240" w:lineRule="auto"/>
        <w:ind w:firstLine="480" w:firstLineChars="200"/>
        <w:rPr>
          <w:rFonts w:hint="eastAsia" w:ascii="宋体" w:hAnsi="宋体" w:eastAsia="宋体" w:cs="华文宋体"/>
          <w:color w:val="auto"/>
          <w:sz w:val="24"/>
          <w:szCs w:val="24"/>
          <w:highlight w:val="none"/>
          <w:lang w:val="zh-CN" w:eastAsia="zh-CN"/>
        </w:rPr>
      </w:pPr>
      <w:r>
        <w:rPr>
          <w:rFonts w:hint="eastAsia" w:ascii="宋体" w:hAnsi="宋体" w:eastAsia="宋体" w:cs="华文宋体"/>
          <w:color w:val="auto"/>
          <w:sz w:val="24"/>
          <w:szCs w:val="24"/>
          <w:highlight w:val="none"/>
          <w:lang w:val="zh-CN" w:eastAsia="zh-CN"/>
        </w:rPr>
        <w:t>账户名称: 吉林省智广工程项目管理有限公司</w:t>
      </w:r>
    </w:p>
    <w:p w14:paraId="3FA11D34">
      <w:pPr>
        <w:autoSpaceDE/>
        <w:autoSpaceDN/>
        <w:adjustRightInd/>
        <w:spacing w:line="240" w:lineRule="auto"/>
        <w:ind w:firstLine="480" w:firstLineChars="200"/>
        <w:rPr>
          <w:rFonts w:hint="eastAsia" w:ascii="宋体" w:hAnsi="宋体" w:eastAsia="宋体" w:cs="华文宋体"/>
          <w:color w:val="auto"/>
          <w:sz w:val="24"/>
          <w:szCs w:val="24"/>
          <w:highlight w:val="none"/>
          <w:lang w:val="zh-CN" w:eastAsia="zh-CN"/>
        </w:rPr>
      </w:pPr>
      <w:r>
        <w:rPr>
          <w:rFonts w:hint="eastAsia" w:ascii="宋体" w:hAnsi="宋体" w:eastAsia="宋体" w:cs="华文宋体"/>
          <w:color w:val="auto"/>
          <w:sz w:val="24"/>
          <w:szCs w:val="24"/>
          <w:highlight w:val="none"/>
          <w:lang w:val="zh-CN" w:eastAsia="zh-CN"/>
        </w:rPr>
        <w:t>账号:22050100430100000583</w:t>
      </w:r>
    </w:p>
    <w:p w14:paraId="3DD815A9">
      <w:pPr>
        <w:autoSpaceDE/>
        <w:autoSpaceDN/>
        <w:adjustRightInd/>
        <w:spacing w:line="240" w:lineRule="auto"/>
        <w:ind w:firstLine="480" w:firstLineChars="200"/>
        <w:rPr>
          <w:rFonts w:hint="eastAsia" w:ascii="宋体" w:hAnsi="宋体" w:eastAsia="宋体" w:cs="华文宋体"/>
          <w:color w:val="auto"/>
          <w:sz w:val="24"/>
          <w:szCs w:val="24"/>
          <w:highlight w:val="none"/>
          <w:lang w:val="zh-CN" w:eastAsia="zh-CN"/>
        </w:rPr>
      </w:pPr>
    </w:p>
    <w:p w14:paraId="28DC8635">
      <w:pPr>
        <w:pStyle w:val="3"/>
        <w:rPr>
          <w:color w:val="auto"/>
          <w:sz w:val="24"/>
          <w:highlight w:val="none"/>
        </w:rPr>
      </w:pPr>
    </w:p>
    <w:p w14:paraId="3E0F7C82">
      <w:pPr>
        <w:jc w:val="center"/>
        <w:rPr>
          <w:rFonts w:ascii="黑体" w:eastAsia="黑体" w:cs="黑体"/>
          <w:b/>
          <w:bCs/>
          <w:color w:val="auto"/>
          <w:sz w:val="24"/>
          <w:szCs w:val="24"/>
          <w:highlight w:val="none"/>
          <w:lang w:val="zh-CN"/>
        </w:rPr>
      </w:pPr>
    </w:p>
    <w:p w14:paraId="123BCAB0">
      <w:pPr>
        <w:numPr>
          <w:ilvl w:val="0"/>
          <w:numId w:val="0"/>
        </w:numPr>
        <w:ind w:leftChars="0"/>
        <w:jc w:val="center"/>
        <w:outlineLvl w:val="0"/>
        <w:rPr>
          <w:rFonts w:ascii="黑体" w:eastAsia="黑体"/>
          <w:b/>
          <w:bCs/>
          <w:color w:val="auto"/>
          <w:sz w:val="32"/>
          <w:szCs w:val="32"/>
          <w:highlight w:val="none"/>
          <w:lang w:val="zh-CN"/>
        </w:rPr>
      </w:pPr>
      <w:r>
        <w:rPr>
          <w:rFonts w:hint="eastAsia" w:ascii="黑体" w:eastAsia="黑体" w:cs="黑体"/>
          <w:b/>
          <w:bCs/>
          <w:color w:val="auto"/>
          <w:sz w:val="32"/>
          <w:szCs w:val="32"/>
          <w:highlight w:val="none"/>
          <w:lang w:val="zh-CN"/>
        </w:rPr>
        <w:br w:type="page"/>
      </w:r>
      <w:bookmarkStart w:id="118" w:name="_Toc14876"/>
      <w:bookmarkStart w:id="119" w:name="_Toc8002"/>
      <w:bookmarkStart w:id="120" w:name="_Toc28671"/>
      <w:r>
        <w:rPr>
          <w:rFonts w:hint="eastAsia" w:ascii="黑体" w:eastAsia="黑体" w:cs="黑体"/>
          <w:b/>
          <w:bCs/>
          <w:color w:val="auto"/>
          <w:sz w:val="32"/>
          <w:szCs w:val="32"/>
          <w:highlight w:val="none"/>
          <w:lang w:val="en-US" w:eastAsia="zh-CN"/>
        </w:rPr>
        <w:t xml:space="preserve">第二章 </w:t>
      </w:r>
      <w:bookmarkEnd w:id="118"/>
      <w:bookmarkEnd w:id="119"/>
      <w:bookmarkEnd w:id="120"/>
      <w:r>
        <w:rPr>
          <w:rFonts w:hint="eastAsia" w:ascii="黑体" w:eastAsia="黑体" w:cs="黑体"/>
          <w:b/>
          <w:bCs/>
          <w:color w:val="auto"/>
          <w:sz w:val="32"/>
          <w:szCs w:val="32"/>
          <w:highlight w:val="none"/>
          <w:lang w:val="zh-CN"/>
        </w:rPr>
        <w:t>货物需求、评标办法和其他要求</w:t>
      </w:r>
    </w:p>
    <w:p w14:paraId="18958303">
      <w:pPr>
        <w:rPr>
          <w:rFonts w:hint="eastAsia" w:ascii="宋体" w:hAnsi="宋体" w:eastAsia="宋体" w:cs="宋体"/>
          <w:b w:val="0"/>
          <w:bCs w:val="0"/>
          <w:color w:val="auto"/>
          <w:sz w:val="24"/>
          <w:szCs w:val="24"/>
          <w:highlight w:val="none"/>
          <w:lang w:val="zh-CN"/>
        </w:rPr>
      </w:pPr>
    </w:p>
    <w:p w14:paraId="2D215A12">
      <w:pPr>
        <w:autoSpaceDE w:val="0"/>
        <w:autoSpaceDN w:val="0"/>
        <w:adjustRightInd w:val="0"/>
        <w:ind w:firstLine="472" w:firstLineChars="196"/>
        <w:jc w:val="left"/>
        <w:rPr>
          <w:rFonts w:hint="default" w:eastAsia="宋体"/>
          <w:b/>
          <w:color w:val="auto"/>
          <w:sz w:val="24"/>
          <w:szCs w:val="24"/>
          <w:highlight w:val="none"/>
          <w:lang w:val="en-US" w:eastAsia="zh-CN"/>
        </w:rPr>
      </w:pPr>
      <w:r>
        <w:rPr>
          <w:rFonts w:hint="eastAsia" w:ascii="宋体" w:cs="宋体"/>
          <w:b/>
          <w:color w:val="auto"/>
          <w:sz w:val="24"/>
          <w:szCs w:val="24"/>
          <w:highlight w:val="none"/>
          <w:lang w:val="en-US" w:eastAsia="zh-CN"/>
        </w:rPr>
        <w:t>1、货物需求</w:t>
      </w:r>
    </w:p>
    <w:tbl>
      <w:tblPr>
        <w:tblStyle w:val="14"/>
        <w:tblW w:w="9385" w:type="dxa"/>
        <w:jc w:val="center"/>
        <w:tblLayout w:type="fixed"/>
        <w:tblCellMar>
          <w:top w:w="0" w:type="dxa"/>
          <w:left w:w="10" w:type="dxa"/>
          <w:bottom w:w="0" w:type="dxa"/>
          <w:right w:w="10" w:type="dxa"/>
        </w:tblCellMar>
      </w:tblPr>
      <w:tblGrid>
        <w:gridCol w:w="708"/>
        <w:gridCol w:w="1308"/>
        <w:gridCol w:w="4469"/>
        <w:gridCol w:w="712"/>
        <w:gridCol w:w="1125"/>
        <w:gridCol w:w="1063"/>
      </w:tblGrid>
      <w:tr w14:paraId="21C6AC30">
        <w:tblPrEx>
          <w:tblCellMar>
            <w:top w:w="0" w:type="dxa"/>
            <w:left w:w="10" w:type="dxa"/>
            <w:bottom w:w="0" w:type="dxa"/>
            <w:right w:w="10" w:type="dxa"/>
          </w:tblCellMar>
        </w:tblPrEx>
        <w:trPr>
          <w:trHeight w:val="495" w:hRule="atLeast"/>
          <w:jc w:val="center"/>
        </w:trPr>
        <w:tc>
          <w:tcPr>
            <w:tcW w:w="708" w:type="dxa"/>
            <w:tcBorders>
              <w:top w:val="single" w:color="auto" w:sz="6" w:space="0"/>
              <w:left w:val="single" w:color="auto" w:sz="6" w:space="0"/>
              <w:bottom w:val="single" w:color="auto" w:sz="6" w:space="0"/>
              <w:right w:val="single" w:color="auto" w:sz="6" w:space="0"/>
            </w:tcBorders>
            <w:vAlign w:val="center"/>
          </w:tcPr>
          <w:p w14:paraId="738A63FE">
            <w:pPr>
              <w:pStyle w:val="21"/>
              <w:rPr>
                <w:color w:val="auto"/>
                <w:sz w:val="24"/>
                <w:szCs w:val="24"/>
                <w:highlight w:val="none"/>
                <w:lang w:val="zh-CN"/>
              </w:rPr>
            </w:pPr>
            <w:r>
              <w:rPr>
                <w:rFonts w:hint="eastAsia"/>
                <w:color w:val="auto"/>
                <w:sz w:val="24"/>
                <w:szCs w:val="24"/>
                <w:highlight w:val="none"/>
                <w:lang w:val="zh-CN"/>
              </w:rPr>
              <w:t>序号</w:t>
            </w:r>
          </w:p>
        </w:tc>
        <w:tc>
          <w:tcPr>
            <w:tcW w:w="1308" w:type="dxa"/>
            <w:tcBorders>
              <w:top w:val="single" w:color="auto" w:sz="6" w:space="0"/>
              <w:left w:val="nil"/>
              <w:bottom w:val="single" w:color="auto" w:sz="6" w:space="0"/>
              <w:right w:val="single" w:color="auto" w:sz="6" w:space="0"/>
            </w:tcBorders>
            <w:vAlign w:val="center"/>
          </w:tcPr>
          <w:p w14:paraId="130AF898">
            <w:pPr>
              <w:pStyle w:val="21"/>
              <w:jc w:val="center"/>
              <w:rPr>
                <w:color w:val="auto"/>
                <w:sz w:val="24"/>
                <w:szCs w:val="24"/>
                <w:highlight w:val="none"/>
                <w:lang w:val="zh-CN"/>
              </w:rPr>
            </w:pPr>
            <w:r>
              <w:rPr>
                <w:rFonts w:hint="eastAsia"/>
                <w:color w:val="auto"/>
                <w:sz w:val="24"/>
                <w:szCs w:val="24"/>
                <w:highlight w:val="none"/>
                <w:lang w:val="zh-CN"/>
              </w:rPr>
              <w:t>货物名称</w:t>
            </w:r>
          </w:p>
        </w:tc>
        <w:tc>
          <w:tcPr>
            <w:tcW w:w="4469" w:type="dxa"/>
            <w:tcBorders>
              <w:top w:val="single" w:color="auto" w:sz="6" w:space="0"/>
              <w:left w:val="nil"/>
              <w:bottom w:val="single" w:color="auto" w:sz="6" w:space="0"/>
              <w:right w:val="single" w:color="auto" w:sz="6" w:space="0"/>
            </w:tcBorders>
            <w:vAlign w:val="center"/>
          </w:tcPr>
          <w:p w14:paraId="088E08A4">
            <w:pPr>
              <w:pStyle w:val="21"/>
              <w:jc w:val="center"/>
              <w:rPr>
                <w:color w:val="auto"/>
                <w:sz w:val="24"/>
                <w:szCs w:val="24"/>
                <w:highlight w:val="none"/>
                <w:lang w:val="zh-CN"/>
              </w:rPr>
            </w:pPr>
            <w:r>
              <w:rPr>
                <w:rFonts w:hint="eastAsia"/>
                <w:color w:val="auto"/>
                <w:sz w:val="24"/>
                <w:szCs w:val="24"/>
                <w:highlight w:val="none"/>
                <w:lang w:val="zh-CN"/>
              </w:rPr>
              <w:t>主要功能配置及技术指标要求</w:t>
            </w:r>
          </w:p>
        </w:tc>
        <w:tc>
          <w:tcPr>
            <w:tcW w:w="712" w:type="dxa"/>
            <w:tcBorders>
              <w:top w:val="single" w:color="auto" w:sz="6" w:space="0"/>
              <w:left w:val="single" w:color="auto" w:sz="6" w:space="0"/>
              <w:bottom w:val="single" w:color="auto" w:sz="6" w:space="0"/>
              <w:right w:val="single" w:color="auto" w:sz="6" w:space="0"/>
            </w:tcBorders>
            <w:vAlign w:val="center"/>
          </w:tcPr>
          <w:p w14:paraId="470A3FBD">
            <w:pPr>
              <w:pStyle w:val="21"/>
              <w:jc w:val="center"/>
              <w:rPr>
                <w:color w:val="auto"/>
                <w:sz w:val="24"/>
                <w:szCs w:val="24"/>
                <w:highlight w:val="none"/>
                <w:lang w:val="zh-CN"/>
              </w:rPr>
            </w:pPr>
            <w:r>
              <w:rPr>
                <w:rFonts w:hint="eastAsia"/>
                <w:color w:val="auto"/>
                <w:sz w:val="24"/>
                <w:szCs w:val="24"/>
                <w:highlight w:val="none"/>
                <w:lang w:val="zh-CN"/>
              </w:rPr>
              <w:t>数量</w:t>
            </w:r>
          </w:p>
        </w:tc>
        <w:tc>
          <w:tcPr>
            <w:tcW w:w="1125" w:type="dxa"/>
            <w:tcBorders>
              <w:top w:val="single" w:color="auto" w:sz="6" w:space="0"/>
              <w:left w:val="nil"/>
              <w:bottom w:val="single" w:color="auto" w:sz="6" w:space="0"/>
              <w:right w:val="single" w:color="auto" w:sz="6" w:space="0"/>
            </w:tcBorders>
            <w:vAlign w:val="center"/>
          </w:tcPr>
          <w:p w14:paraId="40DBA5DF">
            <w:pPr>
              <w:pStyle w:val="21"/>
              <w:jc w:val="center"/>
              <w:rPr>
                <w:color w:val="auto"/>
                <w:sz w:val="24"/>
                <w:szCs w:val="24"/>
                <w:highlight w:val="none"/>
                <w:lang w:val="zh-CN"/>
              </w:rPr>
            </w:pPr>
            <w:r>
              <w:rPr>
                <w:rFonts w:hint="eastAsia"/>
                <w:color w:val="auto"/>
                <w:sz w:val="24"/>
                <w:szCs w:val="24"/>
                <w:highlight w:val="none"/>
                <w:lang w:val="zh-CN"/>
              </w:rPr>
              <w:t>数量单位</w:t>
            </w:r>
          </w:p>
        </w:tc>
        <w:tc>
          <w:tcPr>
            <w:tcW w:w="1063" w:type="dxa"/>
            <w:tcBorders>
              <w:top w:val="single" w:color="auto" w:sz="6" w:space="0"/>
              <w:left w:val="nil"/>
              <w:bottom w:val="single" w:color="auto" w:sz="6" w:space="0"/>
              <w:right w:val="single" w:color="auto" w:sz="6" w:space="0"/>
            </w:tcBorders>
            <w:vAlign w:val="center"/>
          </w:tcPr>
          <w:p w14:paraId="5A2C9819">
            <w:pPr>
              <w:pStyle w:val="21"/>
              <w:tabs>
                <w:tab w:val="left" w:pos="254"/>
              </w:tabs>
              <w:jc w:val="left"/>
              <w:rPr>
                <w:rFonts w:hint="eastAsia" w:eastAsia="宋体"/>
                <w:color w:val="auto"/>
                <w:sz w:val="24"/>
                <w:szCs w:val="24"/>
                <w:highlight w:val="none"/>
                <w:lang w:val="en-US" w:eastAsia="zh-CN"/>
              </w:rPr>
            </w:pPr>
            <w:r>
              <w:rPr>
                <w:rFonts w:hint="eastAsia"/>
                <w:color w:val="auto"/>
                <w:sz w:val="24"/>
                <w:szCs w:val="24"/>
                <w:highlight w:val="none"/>
                <w:lang w:val="en-US" w:eastAsia="zh-CN"/>
              </w:rPr>
              <w:t>所属行业</w:t>
            </w:r>
          </w:p>
        </w:tc>
      </w:tr>
      <w:tr w14:paraId="2E3C2EFE">
        <w:tblPrEx>
          <w:tblCellMar>
            <w:top w:w="0" w:type="dxa"/>
            <w:left w:w="10" w:type="dxa"/>
            <w:bottom w:w="0" w:type="dxa"/>
            <w:right w:w="10" w:type="dxa"/>
          </w:tblCellMar>
        </w:tblPrEx>
        <w:trPr>
          <w:trHeight w:val="476" w:hRule="atLeast"/>
          <w:jc w:val="center"/>
        </w:trPr>
        <w:tc>
          <w:tcPr>
            <w:tcW w:w="708" w:type="dxa"/>
            <w:tcBorders>
              <w:top w:val="nil"/>
              <w:left w:val="single" w:color="auto" w:sz="6" w:space="0"/>
              <w:bottom w:val="single" w:color="auto" w:sz="6" w:space="0"/>
              <w:right w:val="single" w:color="auto" w:sz="6" w:space="0"/>
            </w:tcBorders>
            <w:shd w:val="clear" w:color="auto" w:fill="auto"/>
            <w:vAlign w:val="center"/>
          </w:tcPr>
          <w:p w14:paraId="6EE12EA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1"/>
                <w:sz w:val="24"/>
                <w:szCs w:val="24"/>
                <w:highlight w:val="none"/>
                <w:lang w:val="zh-CN" w:eastAsia="zh-CN" w:bidi="ar-SA"/>
              </w:rPr>
            </w:pPr>
            <w:r>
              <w:rPr>
                <w:rFonts w:hint="eastAsia" w:ascii="宋体" w:hAnsi="宋体" w:eastAsia="宋体" w:cs="宋体"/>
                <w:color w:val="auto"/>
                <w:kern w:val="21"/>
                <w:sz w:val="24"/>
                <w:szCs w:val="24"/>
                <w:highlight w:val="none"/>
              </w:rPr>
              <w:t>1</w:t>
            </w:r>
          </w:p>
        </w:tc>
        <w:tc>
          <w:tcPr>
            <w:tcW w:w="1308" w:type="dxa"/>
            <w:tcBorders>
              <w:top w:val="nil"/>
              <w:left w:val="nil"/>
              <w:bottom w:val="single" w:color="auto" w:sz="6" w:space="0"/>
              <w:right w:val="single" w:color="auto" w:sz="6" w:space="0"/>
            </w:tcBorders>
            <w:shd w:val="clear" w:color="auto" w:fill="auto"/>
            <w:vAlign w:val="center"/>
          </w:tcPr>
          <w:p w14:paraId="7D11F94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1"/>
                <w:sz w:val="24"/>
                <w:szCs w:val="24"/>
                <w:highlight w:val="none"/>
                <w:lang w:val="en-US" w:eastAsia="zh-CN" w:bidi="ar-SA"/>
              </w:rPr>
            </w:pPr>
            <w:bookmarkStart w:id="121" w:name="OLE_LINK1"/>
            <w:r>
              <w:rPr>
                <w:rFonts w:hint="eastAsia" w:ascii="宋体" w:hAnsi="宋体" w:eastAsia="宋体" w:cs="宋体"/>
                <w:color w:val="auto"/>
                <w:kern w:val="21"/>
                <w:sz w:val="24"/>
                <w:szCs w:val="24"/>
                <w:highlight w:val="none"/>
              </w:rPr>
              <w:t>点型光电感烟火灾探测器</w:t>
            </w:r>
            <w:bookmarkEnd w:id="121"/>
          </w:p>
        </w:tc>
        <w:tc>
          <w:tcPr>
            <w:tcW w:w="4469" w:type="dxa"/>
            <w:tcBorders>
              <w:top w:val="nil"/>
              <w:left w:val="nil"/>
              <w:bottom w:val="single" w:color="auto" w:sz="6" w:space="0"/>
              <w:right w:val="single" w:color="auto" w:sz="6" w:space="0"/>
            </w:tcBorders>
            <w:shd w:val="solid" w:color="FFFFFF" w:fill="auto"/>
            <w:vAlign w:val="center"/>
          </w:tcPr>
          <w:p w14:paraId="5FC9FDF4">
            <w:pPr>
              <w:rPr>
                <w:rFonts w:hint="default" w:ascii="宋体" w:hAnsi="宋体" w:eastAsia="宋体" w:cs="宋体"/>
                <w:color w:val="auto"/>
                <w:kern w:val="21"/>
                <w:sz w:val="24"/>
                <w:szCs w:val="24"/>
                <w:highlight w:val="none"/>
                <w:lang w:val="en-US" w:eastAsia="zh-CN" w:bidi="ar-SA"/>
              </w:rPr>
            </w:pPr>
            <w:r>
              <w:rPr>
                <w:rFonts w:hint="eastAsia" w:ascii="宋体" w:hAnsi="宋体" w:eastAsia="宋体" w:cs="宋体"/>
                <w:color w:val="auto"/>
                <w:kern w:val="21"/>
                <w:sz w:val="24"/>
                <w:szCs w:val="24"/>
                <w:highlight w:val="none"/>
              </w:rPr>
              <w:t>智能型感烟火灾探测器应具有在黑烟环境下实时响应黑烟报警功能；具有工业级抗干扰能力，抗电磁干扰强度达到30V/m自学习功能，根据自身的污染程度进行自动补偿，最大程度减少误报。两线制，编址型，通讯距离≥1500m，使用专用电子编码器（含底座。材质：塑料。外观：米白色。内孔径45～60mm，外直径100mm）。含安装调试完成。</w:t>
            </w:r>
          </w:p>
        </w:tc>
        <w:tc>
          <w:tcPr>
            <w:tcW w:w="712" w:type="dxa"/>
            <w:tcBorders>
              <w:top w:val="single" w:color="auto" w:sz="6" w:space="0"/>
              <w:left w:val="single" w:color="auto" w:sz="6" w:space="0"/>
              <w:bottom w:val="single" w:color="auto" w:sz="6" w:space="0"/>
              <w:right w:val="single" w:color="auto" w:sz="6" w:space="0"/>
            </w:tcBorders>
            <w:shd w:val="clear" w:color="auto" w:fill="auto"/>
            <w:vAlign w:val="center"/>
          </w:tcPr>
          <w:p w14:paraId="6119D20C">
            <w:pPr>
              <w:jc w:val="center"/>
              <w:rPr>
                <w:rFonts w:hint="eastAsia" w:ascii="宋体" w:hAnsi="宋体" w:eastAsia="宋体" w:cs="宋体"/>
                <w:color w:val="auto"/>
                <w:kern w:val="21"/>
                <w:sz w:val="24"/>
                <w:szCs w:val="24"/>
                <w:highlight w:val="none"/>
                <w:lang w:val="en-US" w:eastAsia="zh-CN" w:bidi="ar-SA"/>
              </w:rPr>
            </w:pPr>
            <w:r>
              <w:rPr>
                <w:rFonts w:hint="eastAsia" w:ascii="宋体" w:hAnsi="宋体" w:cs="宋体"/>
                <w:color w:val="auto"/>
                <w:kern w:val="21"/>
                <w:sz w:val="24"/>
                <w:szCs w:val="24"/>
                <w:highlight w:val="none"/>
              </w:rPr>
              <w:t>1934</w:t>
            </w:r>
          </w:p>
        </w:tc>
        <w:tc>
          <w:tcPr>
            <w:tcW w:w="1125" w:type="dxa"/>
            <w:tcBorders>
              <w:top w:val="single" w:color="auto" w:sz="6" w:space="0"/>
              <w:left w:val="single" w:color="auto" w:sz="6" w:space="0"/>
              <w:bottom w:val="single" w:color="auto" w:sz="6" w:space="0"/>
              <w:right w:val="single" w:color="auto" w:sz="6" w:space="0"/>
            </w:tcBorders>
            <w:shd w:val="clear" w:color="auto" w:fill="auto"/>
            <w:vAlign w:val="center"/>
          </w:tcPr>
          <w:p w14:paraId="523D2591">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1"/>
                <w:sz w:val="24"/>
                <w:szCs w:val="24"/>
                <w:highlight w:val="none"/>
                <w:lang w:val="en-US" w:eastAsia="zh-CN" w:bidi="ar-SA"/>
              </w:rPr>
            </w:pPr>
            <w:r>
              <w:rPr>
                <w:rFonts w:hint="eastAsia" w:ascii="宋体" w:hAnsi="宋体" w:eastAsia="宋体" w:cs="宋体"/>
                <w:color w:val="auto"/>
                <w:kern w:val="21"/>
                <w:sz w:val="24"/>
                <w:szCs w:val="24"/>
                <w:highlight w:val="none"/>
                <w:lang w:val="en-US" w:eastAsia="zh-CN"/>
              </w:rPr>
              <w:t>套</w:t>
            </w:r>
          </w:p>
        </w:tc>
        <w:tc>
          <w:tcPr>
            <w:tcW w:w="1063" w:type="dxa"/>
            <w:vMerge w:val="restart"/>
            <w:tcBorders>
              <w:top w:val="single" w:color="auto" w:sz="6" w:space="0"/>
              <w:left w:val="single" w:color="auto" w:sz="6" w:space="0"/>
              <w:right w:val="single" w:color="auto" w:sz="6" w:space="0"/>
            </w:tcBorders>
            <w:shd w:val="clear" w:color="auto" w:fill="auto"/>
            <w:vAlign w:val="center"/>
          </w:tcPr>
          <w:p w14:paraId="2661EC08">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kern w:val="21"/>
                <w:sz w:val="24"/>
                <w:szCs w:val="24"/>
                <w:highlight w:val="none"/>
                <w:lang w:val="en-US" w:eastAsia="zh-CN"/>
              </w:rPr>
            </w:pPr>
            <w:r>
              <w:rPr>
                <w:rFonts w:hint="eastAsia" w:ascii="宋体" w:hAnsi="宋体" w:cs="宋体"/>
                <w:color w:val="auto"/>
                <w:kern w:val="21"/>
                <w:sz w:val="24"/>
                <w:szCs w:val="24"/>
                <w:highlight w:val="none"/>
                <w:lang w:val="en-US" w:eastAsia="zh-CN"/>
              </w:rPr>
              <w:t>工业</w:t>
            </w:r>
          </w:p>
        </w:tc>
      </w:tr>
      <w:tr w14:paraId="6340093D">
        <w:tblPrEx>
          <w:tblCellMar>
            <w:top w:w="0" w:type="dxa"/>
            <w:left w:w="10" w:type="dxa"/>
            <w:bottom w:w="0" w:type="dxa"/>
            <w:right w:w="10" w:type="dxa"/>
          </w:tblCellMar>
        </w:tblPrEx>
        <w:trPr>
          <w:trHeight w:val="568" w:hRule="atLeast"/>
          <w:jc w:val="center"/>
        </w:trPr>
        <w:tc>
          <w:tcPr>
            <w:tcW w:w="708" w:type="dxa"/>
            <w:tcBorders>
              <w:top w:val="single" w:color="auto" w:sz="6" w:space="0"/>
              <w:left w:val="single" w:color="auto" w:sz="6" w:space="0"/>
              <w:bottom w:val="single" w:color="auto" w:sz="6" w:space="0"/>
              <w:right w:val="single" w:color="auto" w:sz="6" w:space="0"/>
            </w:tcBorders>
            <w:shd w:val="clear" w:color="auto" w:fill="auto"/>
            <w:vAlign w:val="center"/>
          </w:tcPr>
          <w:p w14:paraId="7EC9A8D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1"/>
                <w:sz w:val="24"/>
                <w:szCs w:val="24"/>
                <w:highlight w:val="none"/>
                <w:lang w:val="zh-CN" w:eastAsia="zh-CN" w:bidi="ar-SA"/>
              </w:rPr>
            </w:pPr>
            <w:r>
              <w:rPr>
                <w:rFonts w:hint="eastAsia" w:ascii="宋体" w:hAnsi="宋体" w:eastAsia="宋体" w:cs="宋体"/>
                <w:color w:val="auto"/>
                <w:kern w:val="21"/>
                <w:sz w:val="24"/>
                <w:szCs w:val="24"/>
                <w:highlight w:val="none"/>
                <w:lang w:val="en-US" w:eastAsia="zh-CN"/>
              </w:rPr>
              <w:t>2</w:t>
            </w:r>
          </w:p>
        </w:tc>
        <w:tc>
          <w:tcPr>
            <w:tcW w:w="1308" w:type="dxa"/>
            <w:tcBorders>
              <w:top w:val="single" w:color="auto" w:sz="6" w:space="0"/>
              <w:left w:val="nil"/>
              <w:bottom w:val="single" w:color="auto" w:sz="6" w:space="0"/>
              <w:right w:val="single" w:color="auto" w:sz="6" w:space="0"/>
            </w:tcBorders>
            <w:shd w:val="clear" w:color="auto" w:fill="auto"/>
            <w:vAlign w:val="center"/>
          </w:tcPr>
          <w:p w14:paraId="0D1E6D8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1"/>
                <w:sz w:val="24"/>
                <w:szCs w:val="24"/>
                <w:highlight w:val="none"/>
                <w:lang w:val="en-US" w:eastAsia="zh-CN" w:bidi="ar-SA"/>
              </w:rPr>
            </w:pPr>
            <w:r>
              <w:rPr>
                <w:rFonts w:hint="eastAsia" w:ascii="宋体" w:hAnsi="宋体" w:eastAsia="宋体" w:cs="宋体"/>
                <w:color w:val="auto"/>
                <w:kern w:val="21"/>
                <w:sz w:val="24"/>
                <w:szCs w:val="24"/>
                <w:highlight w:val="none"/>
              </w:rPr>
              <w:t>消火栓报警按钮</w:t>
            </w:r>
          </w:p>
        </w:tc>
        <w:tc>
          <w:tcPr>
            <w:tcW w:w="4469" w:type="dxa"/>
            <w:tcBorders>
              <w:top w:val="single" w:color="auto" w:sz="6" w:space="0"/>
              <w:left w:val="nil"/>
              <w:bottom w:val="single" w:color="auto" w:sz="6" w:space="0"/>
              <w:right w:val="single" w:color="auto" w:sz="6" w:space="0"/>
            </w:tcBorders>
            <w:shd w:val="solid" w:color="FFFFFF" w:fill="auto"/>
            <w:vAlign w:val="center"/>
          </w:tcPr>
          <w:p w14:paraId="40819AD7">
            <w:pPr>
              <w:rPr>
                <w:rFonts w:hint="eastAsia" w:ascii="宋体" w:hAnsi="宋体" w:eastAsia="宋体" w:cs="宋体"/>
                <w:color w:val="auto"/>
                <w:kern w:val="21"/>
                <w:sz w:val="24"/>
                <w:szCs w:val="24"/>
                <w:highlight w:val="none"/>
                <w:lang w:val="en-US" w:eastAsia="zh-CN" w:bidi="ar-SA"/>
              </w:rPr>
            </w:pPr>
            <w:r>
              <w:rPr>
                <w:rFonts w:hint="eastAsia" w:ascii="宋体" w:hAnsi="宋体" w:cs="宋体"/>
                <w:color w:val="auto"/>
                <w:kern w:val="21"/>
                <w:sz w:val="24"/>
                <w:szCs w:val="24"/>
                <w:highlight w:val="none"/>
              </w:rPr>
              <w:t>火灾报警控制器确认消防水泵正常启动运行后，向本消火栓按钮发出命令点亮按钮回答灯（绿色），可输出一组无源触点信号，触点容量 DC30V/0.1A，用于控制消防水泵。两线制，编址型，通讯距离≥1500m。含安装调试完成。</w:t>
            </w:r>
          </w:p>
        </w:tc>
        <w:tc>
          <w:tcPr>
            <w:tcW w:w="712" w:type="dxa"/>
            <w:tcBorders>
              <w:top w:val="single" w:color="auto" w:sz="6" w:space="0"/>
              <w:left w:val="single" w:color="auto" w:sz="6" w:space="0"/>
              <w:bottom w:val="single" w:color="auto" w:sz="6" w:space="0"/>
              <w:right w:val="single" w:color="auto" w:sz="6" w:space="0"/>
            </w:tcBorders>
            <w:shd w:val="clear" w:color="auto" w:fill="auto"/>
            <w:vAlign w:val="center"/>
          </w:tcPr>
          <w:p w14:paraId="25689441">
            <w:pPr>
              <w:jc w:val="center"/>
              <w:rPr>
                <w:rFonts w:hint="eastAsia" w:ascii="宋体" w:hAnsi="宋体" w:eastAsia="宋体" w:cs="宋体"/>
                <w:color w:val="auto"/>
                <w:kern w:val="21"/>
                <w:sz w:val="24"/>
                <w:szCs w:val="24"/>
                <w:highlight w:val="none"/>
                <w:lang w:val="en-US" w:eastAsia="zh-CN" w:bidi="ar-SA"/>
              </w:rPr>
            </w:pPr>
            <w:r>
              <w:rPr>
                <w:rFonts w:hint="eastAsia" w:ascii="宋体" w:hAnsi="宋体" w:cs="宋体"/>
                <w:color w:val="auto"/>
                <w:kern w:val="21"/>
                <w:sz w:val="24"/>
                <w:szCs w:val="24"/>
                <w:highlight w:val="none"/>
              </w:rPr>
              <w:t>225</w:t>
            </w:r>
          </w:p>
        </w:tc>
        <w:tc>
          <w:tcPr>
            <w:tcW w:w="1125" w:type="dxa"/>
            <w:tcBorders>
              <w:top w:val="single" w:color="auto" w:sz="6" w:space="0"/>
              <w:left w:val="single" w:color="auto" w:sz="6" w:space="0"/>
              <w:bottom w:val="single" w:color="auto" w:sz="6" w:space="0"/>
              <w:right w:val="single" w:color="auto" w:sz="6" w:space="0"/>
            </w:tcBorders>
            <w:shd w:val="clear" w:color="auto" w:fill="auto"/>
            <w:vAlign w:val="center"/>
          </w:tcPr>
          <w:p w14:paraId="08874491">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1"/>
                <w:sz w:val="24"/>
                <w:szCs w:val="24"/>
                <w:highlight w:val="none"/>
                <w:lang w:val="en-US" w:eastAsia="zh-CN" w:bidi="ar-SA"/>
              </w:rPr>
            </w:pPr>
            <w:r>
              <w:rPr>
                <w:rFonts w:hint="eastAsia" w:ascii="宋体" w:hAnsi="宋体" w:eastAsia="宋体" w:cs="宋体"/>
                <w:color w:val="auto"/>
                <w:kern w:val="21"/>
                <w:sz w:val="24"/>
                <w:szCs w:val="24"/>
                <w:highlight w:val="none"/>
              </w:rPr>
              <w:t>个</w:t>
            </w:r>
          </w:p>
        </w:tc>
        <w:tc>
          <w:tcPr>
            <w:tcW w:w="1063" w:type="dxa"/>
            <w:vMerge w:val="continue"/>
            <w:tcBorders>
              <w:left w:val="single" w:color="auto" w:sz="6" w:space="0"/>
              <w:right w:val="single" w:color="auto" w:sz="6" w:space="0"/>
            </w:tcBorders>
            <w:shd w:val="clear" w:color="auto" w:fill="auto"/>
            <w:vAlign w:val="center"/>
          </w:tcPr>
          <w:p w14:paraId="2451E23B">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1"/>
                <w:sz w:val="24"/>
                <w:szCs w:val="24"/>
                <w:highlight w:val="none"/>
              </w:rPr>
            </w:pPr>
          </w:p>
        </w:tc>
      </w:tr>
      <w:tr w14:paraId="36334381">
        <w:tblPrEx>
          <w:tblCellMar>
            <w:top w:w="0" w:type="dxa"/>
            <w:left w:w="10" w:type="dxa"/>
            <w:bottom w:w="0" w:type="dxa"/>
            <w:right w:w="10" w:type="dxa"/>
          </w:tblCellMar>
        </w:tblPrEx>
        <w:trPr>
          <w:trHeight w:val="548" w:hRule="atLeast"/>
          <w:jc w:val="center"/>
        </w:trPr>
        <w:tc>
          <w:tcPr>
            <w:tcW w:w="708" w:type="dxa"/>
            <w:tcBorders>
              <w:top w:val="single" w:color="auto" w:sz="6" w:space="0"/>
              <w:left w:val="single" w:color="auto" w:sz="6" w:space="0"/>
              <w:bottom w:val="single" w:color="auto" w:sz="6" w:space="0"/>
              <w:right w:val="single" w:color="auto" w:sz="6" w:space="0"/>
            </w:tcBorders>
            <w:shd w:val="clear" w:color="auto" w:fill="auto"/>
            <w:vAlign w:val="center"/>
          </w:tcPr>
          <w:p w14:paraId="5CC9B84D">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1"/>
                <w:sz w:val="24"/>
                <w:szCs w:val="24"/>
                <w:highlight w:val="none"/>
                <w:lang w:val="zh-CN" w:eastAsia="zh-CN" w:bidi="ar-SA"/>
              </w:rPr>
            </w:pPr>
            <w:r>
              <w:rPr>
                <w:rFonts w:hint="eastAsia" w:ascii="宋体" w:hAnsi="宋体" w:eastAsia="宋体" w:cs="宋体"/>
                <w:color w:val="auto"/>
                <w:kern w:val="21"/>
                <w:sz w:val="24"/>
                <w:szCs w:val="24"/>
                <w:highlight w:val="none"/>
                <w:lang w:val="en-US" w:eastAsia="zh-CN"/>
              </w:rPr>
              <w:t>3</w:t>
            </w:r>
          </w:p>
        </w:tc>
        <w:tc>
          <w:tcPr>
            <w:tcW w:w="1308" w:type="dxa"/>
            <w:tcBorders>
              <w:top w:val="single" w:color="auto" w:sz="6" w:space="0"/>
              <w:left w:val="nil"/>
              <w:bottom w:val="single" w:color="auto" w:sz="6" w:space="0"/>
              <w:right w:val="single" w:color="auto" w:sz="6" w:space="0"/>
            </w:tcBorders>
            <w:shd w:val="clear" w:color="auto" w:fill="auto"/>
            <w:vAlign w:val="center"/>
          </w:tcPr>
          <w:p w14:paraId="4049AF86">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1"/>
                <w:sz w:val="24"/>
                <w:szCs w:val="24"/>
                <w:highlight w:val="none"/>
                <w:lang w:val="en-US" w:eastAsia="zh-CN" w:bidi="ar-SA"/>
              </w:rPr>
            </w:pPr>
            <w:r>
              <w:rPr>
                <w:rFonts w:hint="eastAsia" w:ascii="宋体" w:hAnsi="宋体" w:eastAsia="宋体" w:cs="宋体"/>
                <w:color w:val="auto"/>
                <w:kern w:val="21"/>
                <w:sz w:val="24"/>
                <w:szCs w:val="24"/>
                <w:highlight w:val="none"/>
              </w:rPr>
              <w:t>火灾声光警报器</w:t>
            </w:r>
          </w:p>
        </w:tc>
        <w:tc>
          <w:tcPr>
            <w:tcW w:w="4469" w:type="dxa"/>
            <w:tcBorders>
              <w:top w:val="single" w:color="auto" w:sz="6" w:space="0"/>
              <w:left w:val="nil"/>
              <w:bottom w:val="single" w:color="auto" w:sz="6" w:space="0"/>
              <w:right w:val="single" w:color="auto" w:sz="6" w:space="0"/>
            </w:tcBorders>
            <w:shd w:val="solid" w:color="FFFFFF" w:fill="auto"/>
            <w:vAlign w:val="center"/>
          </w:tcPr>
          <w:p w14:paraId="650468A1">
            <w:pPr>
              <w:rPr>
                <w:rFonts w:hint="default" w:ascii="宋体" w:hAnsi="宋体" w:eastAsia="宋体" w:cs="宋体"/>
                <w:color w:val="auto"/>
                <w:kern w:val="21"/>
                <w:sz w:val="24"/>
                <w:szCs w:val="24"/>
                <w:highlight w:val="none"/>
                <w:lang w:val="en-US" w:eastAsia="zh-CN" w:bidi="ar-SA"/>
              </w:rPr>
            </w:pPr>
            <w:r>
              <w:rPr>
                <w:rFonts w:hint="eastAsia" w:ascii="宋体" w:hAnsi="宋体" w:cs="宋体"/>
                <w:color w:val="auto"/>
                <w:kern w:val="21"/>
                <w:sz w:val="24"/>
                <w:szCs w:val="24"/>
                <w:highlight w:val="none"/>
              </w:rPr>
              <w:t>低功耗，无极性二线制产品，支持远距离通讯，通讯距离≤1000m；配接与探测器同款安装底座，易于施工、便于维护；可通过编码器设置两种不同音调的警报声或单独声、光等工作模式。声压级75.0dB～115.0dB（DC24V，A计权），闪光频率1.0Hz～1.5Hz（含底座。材质：塑料。外观：米白色。内孔径45～60mm，外直径100mm）。含安装调试完成。</w:t>
            </w:r>
          </w:p>
        </w:tc>
        <w:tc>
          <w:tcPr>
            <w:tcW w:w="712" w:type="dxa"/>
            <w:tcBorders>
              <w:top w:val="single" w:color="auto" w:sz="6" w:space="0"/>
              <w:left w:val="single" w:color="auto" w:sz="6" w:space="0"/>
              <w:bottom w:val="single" w:color="auto" w:sz="6" w:space="0"/>
              <w:right w:val="single" w:color="auto" w:sz="6" w:space="0"/>
            </w:tcBorders>
            <w:shd w:val="clear" w:color="auto" w:fill="auto"/>
            <w:vAlign w:val="center"/>
          </w:tcPr>
          <w:p w14:paraId="3B69F0DD">
            <w:pPr>
              <w:jc w:val="center"/>
              <w:rPr>
                <w:rFonts w:hint="eastAsia" w:ascii="宋体" w:hAnsi="宋体" w:eastAsia="宋体" w:cs="宋体"/>
                <w:color w:val="auto"/>
                <w:kern w:val="21"/>
                <w:sz w:val="24"/>
                <w:szCs w:val="24"/>
                <w:highlight w:val="none"/>
                <w:lang w:val="en-US" w:eastAsia="zh-CN" w:bidi="ar-SA"/>
              </w:rPr>
            </w:pPr>
            <w:r>
              <w:rPr>
                <w:rFonts w:hint="eastAsia" w:ascii="宋体" w:hAnsi="宋体" w:cs="宋体"/>
                <w:color w:val="auto"/>
                <w:kern w:val="21"/>
                <w:sz w:val="24"/>
                <w:szCs w:val="24"/>
                <w:highlight w:val="none"/>
              </w:rPr>
              <w:t>190</w:t>
            </w:r>
          </w:p>
        </w:tc>
        <w:tc>
          <w:tcPr>
            <w:tcW w:w="1125" w:type="dxa"/>
            <w:tcBorders>
              <w:top w:val="single" w:color="auto" w:sz="6" w:space="0"/>
              <w:left w:val="single" w:color="auto" w:sz="6" w:space="0"/>
              <w:bottom w:val="single" w:color="auto" w:sz="6" w:space="0"/>
              <w:right w:val="single" w:color="auto" w:sz="6" w:space="0"/>
            </w:tcBorders>
            <w:shd w:val="clear" w:color="auto" w:fill="auto"/>
            <w:vAlign w:val="center"/>
          </w:tcPr>
          <w:p w14:paraId="6B208865">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1"/>
                <w:sz w:val="24"/>
                <w:szCs w:val="24"/>
                <w:highlight w:val="none"/>
                <w:lang w:val="en-US" w:eastAsia="zh-CN" w:bidi="ar-SA"/>
              </w:rPr>
            </w:pPr>
            <w:r>
              <w:rPr>
                <w:rFonts w:hint="eastAsia" w:ascii="宋体" w:hAnsi="宋体" w:eastAsia="宋体" w:cs="宋体"/>
                <w:color w:val="auto"/>
                <w:kern w:val="21"/>
                <w:sz w:val="24"/>
                <w:szCs w:val="24"/>
                <w:highlight w:val="none"/>
              </w:rPr>
              <w:t>个</w:t>
            </w:r>
          </w:p>
        </w:tc>
        <w:tc>
          <w:tcPr>
            <w:tcW w:w="1063" w:type="dxa"/>
            <w:vMerge w:val="continue"/>
            <w:tcBorders>
              <w:left w:val="single" w:color="auto" w:sz="6" w:space="0"/>
              <w:right w:val="single" w:color="auto" w:sz="6" w:space="0"/>
            </w:tcBorders>
            <w:shd w:val="clear" w:color="auto" w:fill="auto"/>
            <w:vAlign w:val="center"/>
          </w:tcPr>
          <w:p w14:paraId="7B1EE082">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1"/>
                <w:sz w:val="24"/>
                <w:szCs w:val="24"/>
                <w:highlight w:val="none"/>
              </w:rPr>
            </w:pPr>
          </w:p>
        </w:tc>
      </w:tr>
      <w:tr w14:paraId="01A0875C">
        <w:tblPrEx>
          <w:tblCellMar>
            <w:top w:w="0" w:type="dxa"/>
            <w:left w:w="10" w:type="dxa"/>
            <w:bottom w:w="0" w:type="dxa"/>
            <w:right w:w="10" w:type="dxa"/>
          </w:tblCellMar>
        </w:tblPrEx>
        <w:trPr>
          <w:trHeight w:val="683" w:hRule="atLeast"/>
          <w:jc w:val="center"/>
        </w:trPr>
        <w:tc>
          <w:tcPr>
            <w:tcW w:w="708" w:type="dxa"/>
            <w:tcBorders>
              <w:top w:val="single" w:color="auto" w:sz="6" w:space="0"/>
              <w:left w:val="single" w:color="auto" w:sz="6" w:space="0"/>
              <w:bottom w:val="single" w:color="auto" w:sz="6" w:space="0"/>
              <w:right w:val="single" w:color="auto" w:sz="6" w:space="0"/>
            </w:tcBorders>
            <w:shd w:val="clear" w:color="auto" w:fill="auto"/>
            <w:vAlign w:val="center"/>
          </w:tcPr>
          <w:p w14:paraId="6B499EF0">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1"/>
                <w:sz w:val="24"/>
                <w:szCs w:val="24"/>
                <w:highlight w:val="none"/>
                <w:lang w:val="zh-CN" w:eastAsia="zh-CN" w:bidi="ar-SA"/>
              </w:rPr>
            </w:pPr>
            <w:r>
              <w:rPr>
                <w:rFonts w:hint="eastAsia" w:ascii="宋体" w:hAnsi="宋体" w:eastAsia="宋体" w:cs="宋体"/>
                <w:color w:val="auto"/>
                <w:kern w:val="21"/>
                <w:sz w:val="24"/>
                <w:szCs w:val="24"/>
                <w:highlight w:val="none"/>
                <w:lang w:val="en-US" w:eastAsia="zh-CN"/>
              </w:rPr>
              <w:t>4</w:t>
            </w:r>
          </w:p>
        </w:tc>
        <w:tc>
          <w:tcPr>
            <w:tcW w:w="1308" w:type="dxa"/>
            <w:tcBorders>
              <w:top w:val="single" w:color="auto" w:sz="6" w:space="0"/>
              <w:left w:val="nil"/>
              <w:bottom w:val="single" w:color="auto" w:sz="6" w:space="0"/>
              <w:right w:val="single" w:color="auto" w:sz="6" w:space="0"/>
            </w:tcBorders>
            <w:shd w:val="clear" w:color="auto" w:fill="auto"/>
            <w:vAlign w:val="center"/>
          </w:tcPr>
          <w:p w14:paraId="1A781538">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1"/>
                <w:sz w:val="24"/>
                <w:szCs w:val="24"/>
                <w:highlight w:val="none"/>
                <w:lang w:val="en-US" w:eastAsia="zh-CN" w:bidi="ar-SA"/>
              </w:rPr>
            </w:pPr>
            <w:r>
              <w:rPr>
                <w:rFonts w:hint="eastAsia" w:ascii="宋体" w:hAnsi="宋体" w:eastAsia="宋体" w:cs="宋体"/>
                <w:color w:val="auto"/>
                <w:kern w:val="21"/>
                <w:sz w:val="24"/>
                <w:szCs w:val="24"/>
                <w:highlight w:val="none"/>
              </w:rPr>
              <w:t>手动火灾报警按钮</w:t>
            </w:r>
          </w:p>
        </w:tc>
        <w:tc>
          <w:tcPr>
            <w:tcW w:w="4469" w:type="dxa"/>
            <w:tcBorders>
              <w:top w:val="single" w:color="auto" w:sz="6" w:space="0"/>
              <w:left w:val="nil"/>
              <w:bottom w:val="single" w:color="auto" w:sz="6" w:space="0"/>
              <w:right w:val="single" w:color="auto" w:sz="6" w:space="0"/>
            </w:tcBorders>
            <w:shd w:val="solid" w:color="FFFFFF" w:fill="auto"/>
            <w:vAlign w:val="center"/>
          </w:tcPr>
          <w:p w14:paraId="2CE05ED3">
            <w:pPr>
              <w:rPr>
                <w:rFonts w:hint="eastAsia" w:ascii="宋体" w:hAnsi="宋体" w:cs="宋体"/>
                <w:color w:val="auto"/>
                <w:kern w:val="21"/>
                <w:sz w:val="24"/>
                <w:szCs w:val="24"/>
                <w:highlight w:val="none"/>
              </w:rPr>
            </w:pPr>
            <w:r>
              <w:rPr>
                <w:rFonts w:hint="eastAsia" w:ascii="宋体" w:hAnsi="宋体" w:cs="宋体"/>
                <w:color w:val="auto"/>
                <w:kern w:val="21"/>
                <w:sz w:val="24"/>
                <w:szCs w:val="24"/>
                <w:highlight w:val="none"/>
              </w:rPr>
              <w:t>用于控制现场火灾声光警报器。</w:t>
            </w:r>
          </w:p>
          <w:p w14:paraId="329777C9">
            <w:pPr>
              <w:rPr>
                <w:rFonts w:hint="default" w:ascii="宋体" w:hAnsi="宋体" w:eastAsia="宋体" w:cs="宋体"/>
                <w:color w:val="auto"/>
                <w:kern w:val="21"/>
                <w:sz w:val="24"/>
                <w:szCs w:val="24"/>
                <w:highlight w:val="none"/>
                <w:lang w:val="en-US" w:eastAsia="zh-CN" w:bidi="ar-SA"/>
              </w:rPr>
            </w:pPr>
            <w:r>
              <w:rPr>
                <w:rFonts w:hint="eastAsia" w:ascii="宋体" w:hAnsi="宋体" w:cs="宋体"/>
                <w:color w:val="auto"/>
                <w:kern w:val="21"/>
                <w:sz w:val="24"/>
                <w:szCs w:val="24"/>
                <w:highlight w:val="none"/>
              </w:rPr>
              <w:t>报警后需要使用配套的专用钥匙进行复位。两线制，编址型，通讯距离1500m，使用专用电子编码器，编码范围1～200，电话插孔可配接JBF-11SF系列及JBF50系列控制器。含安装调试完成。</w:t>
            </w:r>
          </w:p>
        </w:tc>
        <w:tc>
          <w:tcPr>
            <w:tcW w:w="712" w:type="dxa"/>
            <w:tcBorders>
              <w:top w:val="single" w:color="auto" w:sz="6" w:space="0"/>
              <w:left w:val="single" w:color="auto" w:sz="6" w:space="0"/>
              <w:bottom w:val="single" w:color="auto" w:sz="6" w:space="0"/>
              <w:right w:val="single" w:color="auto" w:sz="6" w:space="0"/>
            </w:tcBorders>
            <w:shd w:val="clear" w:color="auto" w:fill="auto"/>
            <w:vAlign w:val="center"/>
          </w:tcPr>
          <w:p w14:paraId="7FA67600">
            <w:pPr>
              <w:jc w:val="center"/>
              <w:rPr>
                <w:rFonts w:hint="eastAsia" w:ascii="宋体" w:hAnsi="宋体" w:eastAsia="宋体" w:cs="宋体"/>
                <w:color w:val="auto"/>
                <w:kern w:val="21"/>
                <w:sz w:val="24"/>
                <w:szCs w:val="24"/>
                <w:highlight w:val="none"/>
                <w:lang w:val="en-US" w:eastAsia="zh-CN" w:bidi="ar-SA"/>
              </w:rPr>
            </w:pPr>
            <w:r>
              <w:rPr>
                <w:rFonts w:hint="eastAsia" w:ascii="宋体" w:hAnsi="宋体" w:cs="宋体"/>
                <w:color w:val="auto"/>
                <w:kern w:val="21"/>
                <w:sz w:val="24"/>
                <w:szCs w:val="24"/>
                <w:highlight w:val="none"/>
              </w:rPr>
              <w:t>190</w:t>
            </w:r>
          </w:p>
        </w:tc>
        <w:tc>
          <w:tcPr>
            <w:tcW w:w="1125" w:type="dxa"/>
            <w:tcBorders>
              <w:top w:val="single" w:color="auto" w:sz="6" w:space="0"/>
              <w:left w:val="single" w:color="auto" w:sz="6" w:space="0"/>
              <w:bottom w:val="single" w:color="auto" w:sz="6" w:space="0"/>
              <w:right w:val="single" w:color="auto" w:sz="6" w:space="0"/>
            </w:tcBorders>
            <w:shd w:val="clear" w:color="auto" w:fill="auto"/>
            <w:vAlign w:val="center"/>
          </w:tcPr>
          <w:p w14:paraId="2EF343F4">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1"/>
                <w:sz w:val="24"/>
                <w:szCs w:val="24"/>
                <w:highlight w:val="none"/>
                <w:lang w:val="en-US" w:eastAsia="zh-CN" w:bidi="ar-SA"/>
              </w:rPr>
            </w:pPr>
            <w:r>
              <w:rPr>
                <w:rFonts w:hint="eastAsia" w:ascii="宋体" w:hAnsi="宋体" w:eastAsia="宋体" w:cs="宋体"/>
                <w:color w:val="auto"/>
                <w:kern w:val="21"/>
                <w:sz w:val="24"/>
                <w:szCs w:val="24"/>
                <w:highlight w:val="none"/>
              </w:rPr>
              <w:t>个</w:t>
            </w:r>
          </w:p>
        </w:tc>
        <w:tc>
          <w:tcPr>
            <w:tcW w:w="1063" w:type="dxa"/>
            <w:vMerge w:val="continue"/>
            <w:tcBorders>
              <w:left w:val="single" w:color="auto" w:sz="6" w:space="0"/>
              <w:right w:val="single" w:color="auto" w:sz="6" w:space="0"/>
            </w:tcBorders>
            <w:shd w:val="clear" w:color="auto" w:fill="auto"/>
            <w:vAlign w:val="center"/>
          </w:tcPr>
          <w:p w14:paraId="7D122CAF">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1"/>
                <w:sz w:val="24"/>
                <w:szCs w:val="24"/>
                <w:highlight w:val="none"/>
              </w:rPr>
            </w:pPr>
          </w:p>
        </w:tc>
      </w:tr>
      <w:tr w14:paraId="6BB5C7DD">
        <w:tblPrEx>
          <w:tblCellMar>
            <w:top w:w="0" w:type="dxa"/>
            <w:left w:w="10" w:type="dxa"/>
            <w:bottom w:w="0" w:type="dxa"/>
            <w:right w:w="10" w:type="dxa"/>
          </w:tblCellMar>
        </w:tblPrEx>
        <w:trPr>
          <w:trHeight w:val="707" w:hRule="atLeast"/>
          <w:jc w:val="center"/>
        </w:trPr>
        <w:tc>
          <w:tcPr>
            <w:tcW w:w="708" w:type="dxa"/>
            <w:tcBorders>
              <w:top w:val="single" w:color="auto" w:sz="6" w:space="0"/>
              <w:left w:val="single" w:color="auto" w:sz="6" w:space="0"/>
              <w:bottom w:val="single" w:color="auto" w:sz="4" w:space="0"/>
              <w:right w:val="single" w:color="auto" w:sz="6" w:space="0"/>
            </w:tcBorders>
            <w:shd w:val="clear" w:color="auto" w:fill="auto"/>
            <w:vAlign w:val="center"/>
          </w:tcPr>
          <w:p w14:paraId="33865D22">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1"/>
                <w:sz w:val="24"/>
                <w:szCs w:val="24"/>
                <w:highlight w:val="none"/>
                <w:lang w:val="zh-CN" w:eastAsia="zh-CN" w:bidi="ar-SA"/>
              </w:rPr>
            </w:pPr>
            <w:r>
              <w:rPr>
                <w:rFonts w:hint="eastAsia" w:ascii="宋体" w:hAnsi="宋体" w:eastAsia="宋体" w:cs="宋体"/>
                <w:color w:val="auto"/>
                <w:kern w:val="21"/>
                <w:sz w:val="24"/>
                <w:szCs w:val="24"/>
                <w:highlight w:val="none"/>
                <w:lang w:val="en-US" w:eastAsia="zh-CN"/>
              </w:rPr>
              <w:t>5</w:t>
            </w:r>
          </w:p>
        </w:tc>
        <w:tc>
          <w:tcPr>
            <w:tcW w:w="1308" w:type="dxa"/>
            <w:tcBorders>
              <w:top w:val="single" w:color="auto" w:sz="6" w:space="0"/>
              <w:left w:val="nil"/>
              <w:bottom w:val="single" w:color="auto" w:sz="4" w:space="0"/>
              <w:right w:val="single" w:color="auto" w:sz="6" w:space="0"/>
            </w:tcBorders>
            <w:shd w:val="clear" w:color="auto" w:fill="auto"/>
            <w:vAlign w:val="center"/>
          </w:tcPr>
          <w:p w14:paraId="03004D1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1"/>
                <w:sz w:val="24"/>
                <w:szCs w:val="24"/>
                <w:highlight w:val="none"/>
                <w:lang w:val="en-US" w:eastAsia="zh-CN" w:bidi="ar-SA"/>
              </w:rPr>
            </w:pPr>
            <w:r>
              <w:rPr>
                <w:rFonts w:hint="eastAsia" w:ascii="宋体" w:hAnsi="宋体" w:eastAsia="宋体" w:cs="宋体"/>
                <w:color w:val="auto"/>
                <w:kern w:val="21"/>
                <w:sz w:val="24"/>
                <w:szCs w:val="24"/>
                <w:highlight w:val="none"/>
              </w:rPr>
              <w:t>消防电话分机</w:t>
            </w:r>
          </w:p>
        </w:tc>
        <w:tc>
          <w:tcPr>
            <w:tcW w:w="4469" w:type="dxa"/>
            <w:tcBorders>
              <w:top w:val="single" w:color="auto" w:sz="6" w:space="0"/>
              <w:left w:val="nil"/>
              <w:bottom w:val="single" w:color="auto" w:sz="4" w:space="0"/>
              <w:right w:val="single" w:color="auto" w:sz="6" w:space="0"/>
            </w:tcBorders>
            <w:shd w:val="clear" w:color="auto" w:fill="auto"/>
            <w:vAlign w:val="center"/>
          </w:tcPr>
          <w:p w14:paraId="05100542">
            <w:pPr>
              <w:rPr>
                <w:rFonts w:hint="eastAsia" w:ascii="宋体" w:hAnsi="宋体" w:cs="宋体"/>
                <w:color w:val="auto"/>
                <w:kern w:val="21"/>
                <w:sz w:val="24"/>
                <w:szCs w:val="24"/>
                <w:highlight w:val="none"/>
              </w:rPr>
            </w:pPr>
            <w:r>
              <w:rPr>
                <w:rFonts w:hint="eastAsia" w:ascii="宋体" w:hAnsi="宋体" w:cs="宋体"/>
                <w:color w:val="auto"/>
                <w:kern w:val="21"/>
                <w:sz w:val="24"/>
                <w:szCs w:val="24"/>
                <w:highlight w:val="none"/>
              </w:rPr>
              <w:t>采用二总线技术，总线不分正负，地址设置范围1～126，且不可有重复编码。</w:t>
            </w:r>
          </w:p>
          <w:p w14:paraId="5B3FFF23">
            <w:pPr>
              <w:rPr>
                <w:rFonts w:hint="eastAsia" w:ascii="宋体" w:hAnsi="宋体" w:cs="宋体"/>
                <w:color w:val="auto"/>
                <w:kern w:val="21"/>
                <w:sz w:val="24"/>
                <w:szCs w:val="24"/>
                <w:highlight w:val="none"/>
              </w:rPr>
            </w:pPr>
            <w:r>
              <w:rPr>
                <w:rFonts w:hint="eastAsia" w:ascii="宋体" w:hAnsi="宋体" w:cs="宋体"/>
                <w:color w:val="auto"/>
                <w:kern w:val="21"/>
                <w:sz w:val="24"/>
                <w:szCs w:val="24"/>
                <w:highlight w:val="none"/>
              </w:rPr>
              <w:t>总机支持由外部存储介质（SD 卡）导入通信录的功能。实时时钟显示，总机断电内部电池供电，时钟走时不间断。</w:t>
            </w:r>
          </w:p>
          <w:p w14:paraId="093C047E">
            <w:pPr>
              <w:rPr>
                <w:rFonts w:hint="eastAsia" w:ascii="宋体" w:hAnsi="宋体" w:cs="宋体"/>
                <w:color w:val="auto"/>
                <w:kern w:val="21"/>
                <w:sz w:val="24"/>
                <w:szCs w:val="24"/>
                <w:highlight w:val="none"/>
              </w:rPr>
            </w:pPr>
            <w:r>
              <w:rPr>
                <w:rFonts w:hint="eastAsia" w:ascii="宋体" w:hAnsi="宋体" w:cs="宋体"/>
                <w:color w:val="auto"/>
                <w:kern w:val="21"/>
                <w:sz w:val="24"/>
                <w:szCs w:val="24"/>
                <w:highlight w:val="none"/>
              </w:rPr>
              <w:t>总机可与任意一至五部登记于通讯录中的分机进行呼叫和通话，自动记录通话时间、内容、地址，并可查询通话信息、回放通话录音。所有设置操作有权限确认过程，避免因误操作造成设置改变。总机共设二级密码：一级密码默认为1111，用于解除键盘锁定；二级密码默认为2222，用于操作设置。</w:t>
            </w:r>
          </w:p>
          <w:p w14:paraId="20A587AB">
            <w:pPr>
              <w:rPr>
                <w:rFonts w:hint="eastAsia" w:ascii="宋体" w:hAnsi="宋体" w:eastAsia="宋体" w:cs="宋体"/>
                <w:color w:val="auto"/>
                <w:kern w:val="21"/>
                <w:sz w:val="24"/>
                <w:szCs w:val="24"/>
                <w:highlight w:val="none"/>
                <w:lang w:val="en-US" w:eastAsia="zh-CN" w:bidi="ar-SA"/>
              </w:rPr>
            </w:pPr>
            <w:r>
              <w:rPr>
                <w:rFonts w:hint="eastAsia" w:ascii="宋体" w:hAnsi="宋体" w:cs="宋体"/>
                <w:color w:val="auto"/>
                <w:kern w:val="21"/>
                <w:sz w:val="24"/>
                <w:szCs w:val="24"/>
                <w:highlight w:val="none"/>
              </w:rPr>
              <w:t>采用轻触式按键，面板设有0～9数字键盘和其它功能键，同时设有工作、呼叫、通话、录音、故障、录满、消音七个状态指示灯。含安装调试完成。</w:t>
            </w:r>
          </w:p>
        </w:tc>
        <w:tc>
          <w:tcPr>
            <w:tcW w:w="712" w:type="dxa"/>
            <w:tcBorders>
              <w:top w:val="single" w:color="auto" w:sz="6" w:space="0"/>
              <w:left w:val="single" w:color="auto" w:sz="6" w:space="0"/>
              <w:bottom w:val="single" w:color="auto" w:sz="4" w:space="0"/>
              <w:right w:val="single" w:color="auto" w:sz="6" w:space="0"/>
            </w:tcBorders>
            <w:shd w:val="clear" w:color="auto" w:fill="auto"/>
            <w:vAlign w:val="center"/>
          </w:tcPr>
          <w:p w14:paraId="212D0FDE">
            <w:pPr>
              <w:jc w:val="center"/>
              <w:rPr>
                <w:rFonts w:hint="eastAsia" w:ascii="宋体" w:hAnsi="宋体" w:eastAsia="宋体" w:cs="宋体"/>
                <w:color w:val="auto"/>
                <w:kern w:val="21"/>
                <w:sz w:val="24"/>
                <w:szCs w:val="24"/>
                <w:highlight w:val="none"/>
                <w:lang w:val="en-US" w:eastAsia="zh-CN" w:bidi="ar-SA"/>
              </w:rPr>
            </w:pPr>
            <w:r>
              <w:rPr>
                <w:rFonts w:hint="eastAsia" w:ascii="宋体" w:hAnsi="宋体" w:cs="宋体"/>
                <w:color w:val="auto"/>
                <w:kern w:val="21"/>
                <w:sz w:val="24"/>
                <w:szCs w:val="24"/>
                <w:highlight w:val="none"/>
              </w:rPr>
              <w:t>8</w:t>
            </w:r>
          </w:p>
        </w:tc>
        <w:tc>
          <w:tcPr>
            <w:tcW w:w="1125" w:type="dxa"/>
            <w:tcBorders>
              <w:top w:val="single" w:color="auto" w:sz="6" w:space="0"/>
              <w:left w:val="single" w:color="auto" w:sz="6" w:space="0"/>
              <w:bottom w:val="single" w:color="auto" w:sz="4" w:space="0"/>
              <w:right w:val="single" w:color="auto" w:sz="6" w:space="0"/>
            </w:tcBorders>
            <w:shd w:val="clear" w:color="auto" w:fill="auto"/>
            <w:vAlign w:val="center"/>
          </w:tcPr>
          <w:p w14:paraId="4476F2D8">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1"/>
                <w:sz w:val="24"/>
                <w:szCs w:val="24"/>
                <w:highlight w:val="none"/>
                <w:lang w:val="en-US" w:eastAsia="zh-CN" w:bidi="ar-SA"/>
              </w:rPr>
            </w:pPr>
            <w:r>
              <w:rPr>
                <w:rFonts w:hint="eastAsia" w:ascii="宋体" w:hAnsi="宋体" w:eastAsia="宋体" w:cs="宋体"/>
                <w:color w:val="auto"/>
                <w:kern w:val="21"/>
                <w:sz w:val="24"/>
                <w:szCs w:val="24"/>
                <w:highlight w:val="none"/>
              </w:rPr>
              <w:t>个</w:t>
            </w:r>
          </w:p>
        </w:tc>
        <w:tc>
          <w:tcPr>
            <w:tcW w:w="1063" w:type="dxa"/>
            <w:vMerge w:val="continue"/>
            <w:tcBorders>
              <w:left w:val="single" w:color="auto" w:sz="6" w:space="0"/>
              <w:right w:val="single" w:color="auto" w:sz="6" w:space="0"/>
            </w:tcBorders>
            <w:shd w:val="clear" w:color="auto" w:fill="auto"/>
            <w:vAlign w:val="center"/>
          </w:tcPr>
          <w:p w14:paraId="741D867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1"/>
                <w:sz w:val="24"/>
                <w:szCs w:val="24"/>
                <w:highlight w:val="none"/>
              </w:rPr>
            </w:pPr>
          </w:p>
        </w:tc>
      </w:tr>
      <w:tr w14:paraId="2A636219">
        <w:tblPrEx>
          <w:tblCellMar>
            <w:top w:w="0" w:type="dxa"/>
            <w:left w:w="10" w:type="dxa"/>
            <w:bottom w:w="0" w:type="dxa"/>
            <w:right w:w="10" w:type="dxa"/>
          </w:tblCellMar>
        </w:tblPrEx>
        <w:trPr>
          <w:trHeight w:val="552" w:hRule="atLeast"/>
          <w:jc w:val="center"/>
        </w:trPr>
        <w:tc>
          <w:tcPr>
            <w:tcW w:w="708" w:type="dxa"/>
            <w:tcBorders>
              <w:top w:val="single" w:color="auto" w:sz="4" w:space="0"/>
              <w:left w:val="single" w:color="auto" w:sz="6" w:space="0"/>
              <w:bottom w:val="single" w:color="auto" w:sz="4" w:space="0"/>
              <w:right w:val="single" w:color="auto" w:sz="6" w:space="0"/>
            </w:tcBorders>
            <w:shd w:val="clear" w:color="auto" w:fill="auto"/>
            <w:vAlign w:val="center"/>
          </w:tcPr>
          <w:p w14:paraId="3CA528FB">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1"/>
                <w:sz w:val="24"/>
                <w:szCs w:val="24"/>
                <w:highlight w:val="none"/>
                <w:lang w:val="zh-CN" w:eastAsia="zh-CN" w:bidi="ar-SA"/>
              </w:rPr>
            </w:pPr>
            <w:r>
              <w:rPr>
                <w:rFonts w:hint="eastAsia" w:ascii="宋体" w:hAnsi="宋体" w:eastAsia="宋体" w:cs="宋体"/>
                <w:color w:val="auto"/>
                <w:kern w:val="21"/>
                <w:sz w:val="24"/>
                <w:szCs w:val="24"/>
                <w:highlight w:val="none"/>
                <w:lang w:val="en-US" w:eastAsia="zh-CN"/>
              </w:rPr>
              <w:t>6</w:t>
            </w:r>
          </w:p>
        </w:tc>
        <w:tc>
          <w:tcPr>
            <w:tcW w:w="1308" w:type="dxa"/>
            <w:tcBorders>
              <w:top w:val="single" w:color="auto" w:sz="4" w:space="0"/>
              <w:left w:val="nil"/>
              <w:bottom w:val="single" w:color="auto" w:sz="4" w:space="0"/>
              <w:right w:val="single" w:color="auto" w:sz="6" w:space="0"/>
            </w:tcBorders>
            <w:shd w:val="clear" w:color="auto" w:fill="auto"/>
            <w:vAlign w:val="center"/>
          </w:tcPr>
          <w:p w14:paraId="17836E29">
            <w:pPr>
              <w:jc w:val="center"/>
              <w:rPr>
                <w:rFonts w:hint="eastAsia" w:ascii="宋体" w:hAnsi="宋体" w:eastAsia="宋体" w:cs="宋体"/>
                <w:color w:val="auto"/>
                <w:kern w:val="21"/>
                <w:sz w:val="24"/>
                <w:szCs w:val="24"/>
                <w:highlight w:val="none"/>
                <w:lang w:val="en-US" w:eastAsia="zh-CN" w:bidi="ar-SA"/>
              </w:rPr>
            </w:pPr>
            <w:r>
              <w:rPr>
                <w:rFonts w:hint="eastAsia" w:ascii="宋体" w:hAnsi="宋体" w:cs="宋体"/>
                <w:color w:val="auto"/>
                <w:kern w:val="21"/>
                <w:sz w:val="24"/>
                <w:szCs w:val="24"/>
                <w:highlight w:val="none"/>
              </w:rPr>
              <w:t>隔离器</w:t>
            </w:r>
          </w:p>
        </w:tc>
        <w:tc>
          <w:tcPr>
            <w:tcW w:w="4469" w:type="dxa"/>
            <w:tcBorders>
              <w:top w:val="single" w:color="auto" w:sz="4" w:space="0"/>
              <w:left w:val="nil"/>
              <w:bottom w:val="single" w:color="auto" w:sz="4" w:space="0"/>
              <w:right w:val="single" w:color="auto" w:sz="6" w:space="0"/>
            </w:tcBorders>
            <w:shd w:val="clear" w:color="auto" w:fill="auto"/>
            <w:vAlign w:val="center"/>
          </w:tcPr>
          <w:p w14:paraId="5828D2D0">
            <w:pPr>
              <w:rPr>
                <w:rFonts w:hint="default" w:ascii="宋体" w:hAnsi="宋体" w:eastAsia="宋体" w:cs="宋体"/>
                <w:color w:val="auto"/>
                <w:kern w:val="21"/>
                <w:sz w:val="24"/>
                <w:szCs w:val="24"/>
                <w:highlight w:val="none"/>
                <w:lang w:val="en-US" w:eastAsia="zh-CN"/>
              </w:rPr>
            </w:pPr>
            <w:r>
              <w:rPr>
                <w:rFonts w:hint="eastAsia" w:ascii="宋体" w:hAnsi="宋体" w:eastAsia="宋体" w:cs="宋体"/>
                <w:color w:val="auto"/>
                <w:kern w:val="21"/>
                <w:sz w:val="24"/>
                <w:szCs w:val="24"/>
                <w:highlight w:val="none"/>
              </w:rPr>
              <w:t>插拔式结构，易于施工、维护方便。用于总线设备的短路保护，支持环形或树状分支两种连接方式。每只总线短路隔离器保护的设备总数不应超过32点。无需编码直接接到回路中，安装调试简单，通讯距离1500m（配隔离模块底座配。材质：塑料。外观：米白色。孔径：60mm。长宽：85mm）。含安装调试完成。</w:t>
            </w:r>
          </w:p>
        </w:tc>
        <w:tc>
          <w:tcPr>
            <w:tcW w:w="712" w:type="dxa"/>
            <w:tcBorders>
              <w:top w:val="single" w:color="auto" w:sz="4" w:space="0"/>
              <w:left w:val="single" w:color="auto" w:sz="6" w:space="0"/>
              <w:bottom w:val="single" w:color="auto" w:sz="4" w:space="0"/>
              <w:right w:val="single" w:color="auto" w:sz="6" w:space="0"/>
            </w:tcBorders>
            <w:shd w:val="clear" w:color="auto" w:fill="auto"/>
            <w:vAlign w:val="center"/>
          </w:tcPr>
          <w:p w14:paraId="727F45A2">
            <w:pPr>
              <w:jc w:val="center"/>
              <w:rPr>
                <w:rFonts w:hint="eastAsia" w:ascii="宋体" w:hAnsi="宋体" w:eastAsia="宋体" w:cs="宋体"/>
                <w:color w:val="auto"/>
                <w:kern w:val="21"/>
                <w:sz w:val="24"/>
                <w:szCs w:val="24"/>
                <w:highlight w:val="none"/>
                <w:lang w:val="en-US" w:eastAsia="zh-CN" w:bidi="ar-SA"/>
              </w:rPr>
            </w:pPr>
            <w:r>
              <w:rPr>
                <w:rFonts w:hint="eastAsia" w:ascii="宋体" w:hAnsi="宋体" w:cs="宋体"/>
                <w:color w:val="auto"/>
                <w:kern w:val="21"/>
                <w:sz w:val="24"/>
                <w:szCs w:val="24"/>
                <w:highlight w:val="none"/>
              </w:rPr>
              <w:t>90</w:t>
            </w:r>
          </w:p>
        </w:tc>
        <w:tc>
          <w:tcPr>
            <w:tcW w:w="1125" w:type="dxa"/>
            <w:tcBorders>
              <w:top w:val="single" w:color="auto" w:sz="4" w:space="0"/>
              <w:left w:val="single" w:color="auto" w:sz="6" w:space="0"/>
              <w:bottom w:val="single" w:color="auto" w:sz="4" w:space="0"/>
              <w:right w:val="single" w:color="auto" w:sz="6" w:space="0"/>
            </w:tcBorders>
            <w:shd w:val="clear" w:color="auto" w:fill="auto"/>
            <w:vAlign w:val="center"/>
          </w:tcPr>
          <w:p w14:paraId="6A2A8B6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1"/>
                <w:sz w:val="24"/>
                <w:szCs w:val="24"/>
                <w:highlight w:val="none"/>
                <w:lang w:val="en-US" w:eastAsia="zh-CN" w:bidi="ar-SA"/>
              </w:rPr>
            </w:pPr>
            <w:r>
              <w:rPr>
                <w:rFonts w:hint="eastAsia" w:ascii="宋体" w:hAnsi="宋体" w:eastAsia="宋体" w:cs="宋体"/>
                <w:color w:val="auto"/>
                <w:kern w:val="21"/>
                <w:sz w:val="24"/>
                <w:szCs w:val="24"/>
                <w:highlight w:val="none"/>
                <w:lang w:val="en-US" w:eastAsia="zh-CN"/>
              </w:rPr>
              <w:t>套</w:t>
            </w:r>
          </w:p>
        </w:tc>
        <w:tc>
          <w:tcPr>
            <w:tcW w:w="1063" w:type="dxa"/>
            <w:vMerge w:val="continue"/>
            <w:tcBorders>
              <w:left w:val="single" w:color="auto" w:sz="6" w:space="0"/>
              <w:right w:val="single" w:color="auto" w:sz="6" w:space="0"/>
            </w:tcBorders>
            <w:shd w:val="clear" w:color="auto" w:fill="auto"/>
            <w:vAlign w:val="center"/>
          </w:tcPr>
          <w:p w14:paraId="4FDC5BC6">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1"/>
                <w:sz w:val="24"/>
                <w:szCs w:val="24"/>
                <w:highlight w:val="none"/>
                <w:lang w:val="en-US" w:eastAsia="zh-CN"/>
              </w:rPr>
            </w:pPr>
          </w:p>
        </w:tc>
      </w:tr>
      <w:tr w14:paraId="5AFC3A0C">
        <w:tblPrEx>
          <w:tblCellMar>
            <w:top w:w="0" w:type="dxa"/>
            <w:left w:w="10" w:type="dxa"/>
            <w:bottom w:w="0" w:type="dxa"/>
            <w:right w:w="10" w:type="dxa"/>
          </w:tblCellMar>
        </w:tblPrEx>
        <w:trPr>
          <w:trHeight w:val="563" w:hRule="atLeast"/>
          <w:jc w:val="center"/>
        </w:trPr>
        <w:tc>
          <w:tcPr>
            <w:tcW w:w="708" w:type="dxa"/>
            <w:tcBorders>
              <w:top w:val="single" w:color="auto" w:sz="4" w:space="0"/>
              <w:left w:val="single" w:color="auto" w:sz="6" w:space="0"/>
              <w:bottom w:val="single" w:color="auto" w:sz="4" w:space="0"/>
              <w:right w:val="single" w:color="auto" w:sz="6" w:space="0"/>
            </w:tcBorders>
            <w:shd w:val="clear" w:color="auto" w:fill="auto"/>
            <w:vAlign w:val="center"/>
          </w:tcPr>
          <w:p w14:paraId="46FCBE1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1"/>
                <w:sz w:val="24"/>
                <w:szCs w:val="24"/>
                <w:highlight w:val="none"/>
                <w:lang w:val="zh-CN" w:eastAsia="zh-CN" w:bidi="ar-SA"/>
              </w:rPr>
            </w:pPr>
            <w:r>
              <w:rPr>
                <w:rFonts w:hint="eastAsia" w:ascii="宋体" w:hAnsi="宋体" w:eastAsia="宋体" w:cs="宋体"/>
                <w:color w:val="auto"/>
                <w:kern w:val="21"/>
                <w:sz w:val="24"/>
                <w:szCs w:val="24"/>
                <w:highlight w:val="none"/>
                <w:lang w:val="en-US" w:eastAsia="zh-CN"/>
              </w:rPr>
              <w:t>7</w:t>
            </w:r>
          </w:p>
        </w:tc>
        <w:tc>
          <w:tcPr>
            <w:tcW w:w="1308" w:type="dxa"/>
            <w:tcBorders>
              <w:top w:val="single" w:color="auto" w:sz="4" w:space="0"/>
              <w:left w:val="nil"/>
              <w:bottom w:val="single" w:color="auto" w:sz="4" w:space="0"/>
              <w:right w:val="single" w:color="auto" w:sz="6" w:space="0"/>
            </w:tcBorders>
            <w:shd w:val="clear" w:color="auto" w:fill="auto"/>
            <w:vAlign w:val="center"/>
          </w:tcPr>
          <w:p w14:paraId="2E075DB4">
            <w:pPr>
              <w:jc w:val="center"/>
              <w:rPr>
                <w:rFonts w:hint="eastAsia" w:ascii="宋体" w:hAnsi="宋体" w:eastAsia="宋体" w:cs="宋体"/>
                <w:color w:val="auto"/>
                <w:kern w:val="21"/>
                <w:sz w:val="24"/>
                <w:szCs w:val="24"/>
                <w:highlight w:val="none"/>
                <w:lang w:val="en-US" w:eastAsia="zh-CN" w:bidi="ar-SA"/>
              </w:rPr>
            </w:pPr>
            <w:r>
              <w:rPr>
                <w:rFonts w:hint="eastAsia" w:ascii="宋体" w:hAnsi="宋体" w:eastAsia="宋体" w:cs="宋体"/>
                <w:b w:val="0"/>
                <w:bCs w:val="0"/>
                <w:color w:val="auto"/>
                <w:kern w:val="21"/>
                <w:sz w:val="24"/>
                <w:szCs w:val="24"/>
                <w:highlight w:val="none"/>
                <w:lang w:val="en-US" w:eastAsia="zh-CN"/>
              </w:rPr>
              <w:t>分显终端</w:t>
            </w:r>
          </w:p>
        </w:tc>
        <w:tc>
          <w:tcPr>
            <w:tcW w:w="4469" w:type="dxa"/>
            <w:tcBorders>
              <w:top w:val="single" w:color="auto" w:sz="4" w:space="0"/>
              <w:left w:val="nil"/>
              <w:bottom w:val="single" w:color="auto" w:sz="4" w:space="0"/>
              <w:right w:val="single" w:color="auto" w:sz="6" w:space="0"/>
            </w:tcBorders>
            <w:shd w:val="clear" w:color="auto" w:fill="auto"/>
            <w:vAlign w:val="top"/>
          </w:tcPr>
          <w:p w14:paraId="7EB30068">
            <w:pPr>
              <w:rPr>
                <w:rFonts w:hint="eastAsia" w:ascii="宋体" w:hAnsi="宋体" w:eastAsia="宋体" w:cs="宋体"/>
                <w:color w:val="auto"/>
                <w:kern w:val="21"/>
                <w:sz w:val="24"/>
                <w:szCs w:val="24"/>
                <w:highlight w:val="none"/>
                <w:lang w:val="en-US" w:eastAsia="zh-CN"/>
              </w:rPr>
            </w:pPr>
            <w:r>
              <w:rPr>
                <w:rFonts w:hint="eastAsia" w:ascii="宋体" w:hAnsi="宋体" w:eastAsia="宋体" w:cs="宋体"/>
                <w:color w:val="auto"/>
                <w:kern w:val="21"/>
                <w:sz w:val="24"/>
                <w:szCs w:val="24"/>
                <w:highlight w:val="none"/>
                <w:lang w:val="en-US" w:eastAsia="zh-CN"/>
              </w:rPr>
              <w:t>1.要求屏幕尺寸≥98英寸，采用防尘设计，功率不低于2x15W。</w:t>
            </w:r>
          </w:p>
          <w:p w14:paraId="748722BA">
            <w:pPr>
              <w:rPr>
                <w:rFonts w:hint="eastAsia" w:ascii="宋体" w:hAnsi="宋体" w:eastAsia="宋体" w:cs="宋体"/>
                <w:color w:val="auto"/>
                <w:kern w:val="21"/>
                <w:sz w:val="24"/>
                <w:szCs w:val="24"/>
                <w:highlight w:val="none"/>
                <w:lang w:val="en-US" w:eastAsia="zh-CN"/>
              </w:rPr>
            </w:pPr>
            <w:r>
              <w:rPr>
                <w:rFonts w:hint="eastAsia" w:ascii="宋体" w:hAnsi="宋体" w:eastAsia="宋体" w:cs="宋体"/>
                <w:color w:val="auto"/>
                <w:kern w:val="21"/>
                <w:sz w:val="24"/>
                <w:szCs w:val="24"/>
                <w:highlight w:val="none"/>
                <w:lang w:val="en-US" w:eastAsia="zh-CN"/>
              </w:rPr>
              <w:t>2.要求具有不少于8个前置物理按键，至少包含电源键、菜单、主页、信号源、音量、OPS，按键具备明显标识；支持电源按键三合一功能，可选择关闭产品、内置电脑、节能等，具有供电保护功能。</w:t>
            </w:r>
          </w:p>
          <w:p w14:paraId="02302375">
            <w:pPr>
              <w:rPr>
                <w:rFonts w:hint="eastAsia" w:ascii="宋体" w:hAnsi="宋体" w:eastAsia="宋体" w:cs="宋体"/>
                <w:color w:val="auto"/>
                <w:kern w:val="21"/>
                <w:sz w:val="24"/>
                <w:szCs w:val="24"/>
                <w:highlight w:val="none"/>
                <w:lang w:val="en-US" w:eastAsia="zh-CN"/>
              </w:rPr>
            </w:pPr>
            <w:r>
              <w:rPr>
                <w:rFonts w:hint="eastAsia" w:ascii="宋体" w:hAnsi="宋体" w:eastAsia="宋体" w:cs="宋体"/>
                <w:color w:val="auto"/>
                <w:kern w:val="21"/>
                <w:sz w:val="24"/>
                <w:szCs w:val="24"/>
                <w:highlight w:val="none"/>
                <w:lang w:val="en-US" w:eastAsia="zh-CN"/>
              </w:rPr>
              <w:t>3.要求产品采用红外多点触控技术，需支持手指轻触式多点（不少于20点触控）互动体验，触摸免驱动，即插即用，需支持主流多种操作系统。</w:t>
            </w:r>
          </w:p>
          <w:p w14:paraId="4825F4E5">
            <w:pPr>
              <w:rPr>
                <w:rFonts w:hint="eastAsia" w:ascii="宋体" w:hAnsi="宋体" w:eastAsia="宋体" w:cs="宋体"/>
                <w:color w:val="auto"/>
                <w:kern w:val="21"/>
                <w:sz w:val="24"/>
                <w:szCs w:val="24"/>
                <w:highlight w:val="none"/>
                <w:lang w:val="en-US" w:eastAsia="zh-CN"/>
              </w:rPr>
            </w:pPr>
            <w:r>
              <w:rPr>
                <w:rFonts w:hint="eastAsia" w:ascii="宋体" w:hAnsi="宋体" w:eastAsia="宋体" w:cs="宋体"/>
                <w:color w:val="auto"/>
                <w:kern w:val="21"/>
                <w:sz w:val="24"/>
                <w:szCs w:val="24"/>
                <w:highlight w:val="none"/>
                <w:lang w:val="en-US" w:eastAsia="zh-CN"/>
              </w:rPr>
              <w:t>4.要求采用智能电子产品一键式设计：同一物理按键完成Android、Windows系统的节能熄屏操作，通过按键实现节能熄屏/唤醒，并可与触摸菜单节能熄屏、遥控器熄屏、五指触控熄屏功能互通互用；产品在任意通道下，支持手势识别调出板擦工具擦除批注内容，支持调整板擦工具的大小。</w:t>
            </w:r>
          </w:p>
          <w:p w14:paraId="50B580AA">
            <w:pPr>
              <w:rPr>
                <w:rFonts w:hint="eastAsia" w:ascii="宋体" w:hAnsi="宋体" w:eastAsia="宋体" w:cs="宋体"/>
                <w:color w:val="auto"/>
                <w:kern w:val="21"/>
                <w:sz w:val="24"/>
                <w:szCs w:val="24"/>
                <w:highlight w:val="none"/>
                <w:lang w:val="en-US" w:eastAsia="zh-CN"/>
              </w:rPr>
            </w:pPr>
            <w:r>
              <w:rPr>
                <w:rFonts w:hint="eastAsia" w:ascii="宋体" w:hAnsi="宋体" w:eastAsia="宋体" w:cs="宋体"/>
                <w:color w:val="auto"/>
                <w:kern w:val="21"/>
                <w:sz w:val="24"/>
                <w:szCs w:val="24"/>
                <w:highlight w:val="none"/>
                <w:lang w:val="en-US" w:eastAsia="zh-CN"/>
              </w:rPr>
              <w:t>5.内置触摸中控菜单，需支持信号源通道切换、背光、声音等，无须实体按键，在任意显示通道下均可通过手势在屏幕上调取触摸菜单，方便快捷；触摸中控菜单上的通道信号源名称需支持自定义，需支持中文、英文、数字、符号命名修改，方便识别。6.要求具有触摸悬浮菜单功能，需支持三指罗盘跟随，可通过三指调用此悬浮菜单到屏幕任意位置，悬浮菜单中需支持输入源选择、截屏、下拉等功能，并可自定义功能菜单，需支持任意通道下无需点击物理按键，可随时调用计算器、日历等小工具，支持拖拽及关闭。</w:t>
            </w:r>
          </w:p>
          <w:p w14:paraId="537BA66F">
            <w:pPr>
              <w:rPr>
                <w:rFonts w:hint="eastAsia" w:ascii="宋体" w:hAnsi="宋体" w:eastAsia="宋体" w:cs="宋体"/>
                <w:color w:val="auto"/>
                <w:kern w:val="21"/>
                <w:sz w:val="24"/>
                <w:szCs w:val="24"/>
                <w:highlight w:val="none"/>
                <w:lang w:val="en-US" w:eastAsia="zh-CN"/>
              </w:rPr>
            </w:pPr>
            <w:r>
              <w:rPr>
                <w:rFonts w:hint="eastAsia" w:ascii="宋体" w:hAnsi="宋体" w:eastAsia="宋体" w:cs="宋体"/>
                <w:color w:val="auto"/>
                <w:kern w:val="21"/>
                <w:sz w:val="24"/>
                <w:szCs w:val="24"/>
                <w:highlight w:val="none"/>
                <w:lang w:val="en-US" w:eastAsia="zh-CN"/>
              </w:rPr>
              <w:t>7.支持设置开机画面/动画，支持更换主题风格，包括会议主题、教育主题、科技主题等。</w:t>
            </w:r>
          </w:p>
          <w:p w14:paraId="261DA740">
            <w:pPr>
              <w:rPr>
                <w:rFonts w:hint="eastAsia" w:ascii="宋体" w:hAnsi="宋体" w:eastAsia="宋体" w:cs="宋体"/>
                <w:color w:val="auto"/>
                <w:kern w:val="21"/>
                <w:sz w:val="24"/>
                <w:szCs w:val="24"/>
                <w:highlight w:val="none"/>
                <w:lang w:val="en-US" w:eastAsia="zh-CN"/>
              </w:rPr>
            </w:pPr>
            <w:r>
              <w:rPr>
                <w:rFonts w:hint="eastAsia" w:ascii="宋体" w:hAnsi="宋体" w:eastAsia="宋体" w:cs="宋体"/>
                <w:color w:val="auto"/>
                <w:kern w:val="21"/>
                <w:sz w:val="24"/>
                <w:szCs w:val="24"/>
                <w:highlight w:val="none"/>
                <w:lang w:val="en-US" w:eastAsia="zh-CN"/>
              </w:rPr>
              <w:t>8.整机内置非独立的高清摄像头，摄像头像素≥1300万，视角≥110°，需支持阵列数字音频MIC，支持调用，实现场景音视录制。</w:t>
            </w:r>
          </w:p>
          <w:p w14:paraId="4D1CA58F">
            <w:pPr>
              <w:rPr>
                <w:rFonts w:hint="eastAsia" w:ascii="宋体" w:hAnsi="宋体" w:eastAsia="宋体" w:cs="宋体"/>
                <w:color w:val="auto"/>
                <w:kern w:val="21"/>
                <w:sz w:val="24"/>
                <w:szCs w:val="24"/>
                <w:highlight w:val="none"/>
                <w:lang w:val="en-US" w:eastAsia="zh-CN"/>
              </w:rPr>
            </w:pPr>
            <w:r>
              <w:rPr>
                <w:rFonts w:hint="eastAsia" w:ascii="宋体" w:hAnsi="宋体" w:eastAsia="宋体" w:cs="宋体"/>
                <w:color w:val="auto"/>
                <w:kern w:val="21"/>
                <w:sz w:val="24"/>
                <w:szCs w:val="24"/>
                <w:highlight w:val="none"/>
                <w:lang w:val="en-US" w:eastAsia="zh-CN"/>
              </w:rPr>
              <w:t>9.</w:t>
            </w:r>
            <w:r>
              <w:rPr>
                <w:rFonts w:hint="eastAsia" w:ascii="宋体" w:hAnsi="宋体" w:eastAsia="宋体" w:cs="宋体"/>
                <w:color w:val="auto"/>
                <w:kern w:val="21"/>
                <w:sz w:val="24"/>
                <w:szCs w:val="24"/>
                <w:highlight w:val="none"/>
              </w:rPr>
              <w:t>OPS</w:t>
            </w:r>
            <w:r>
              <w:rPr>
                <w:rFonts w:hint="eastAsia" w:ascii="宋体" w:hAnsi="宋体" w:eastAsia="宋体" w:cs="宋体"/>
                <w:color w:val="auto"/>
                <w:kern w:val="21"/>
                <w:sz w:val="24"/>
                <w:szCs w:val="24"/>
                <w:highlight w:val="none"/>
                <w:lang w:val="en-US" w:eastAsia="zh-CN"/>
              </w:rPr>
              <w:t>插</w:t>
            </w:r>
            <w:r>
              <w:rPr>
                <w:rFonts w:hint="eastAsia" w:ascii="宋体" w:hAnsi="宋体" w:eastAsia="宋体" w:cs="宋体"/>
                <w:color w:val="auto"/>
                <w:kern w:val="21"/>
                <w:sz w:val="24"/>
                <w:szCs w:val="24"/>
                <w:highlight w:val="none"/>
              </w:rPr>
              <w:t xml:space="preserve">拔式电脑：采用插拔式架构，针脚数≥80pin，屏体与插拔式电脑无单独接线；处理器配置不低于Intel Core </w:t>
            </w:r>
            <w:r>
              <w:rPr>
                <w:rFonts w:hint="eastAsia" w:ascii="宋体" w:hAnsi="宋体" w:eastAsia="宋体" w:cs="宋体"/>
                <w:color w:val="auto"/>
                <w:kern w:val="21"/>
                <w:sz w:val="24"/>
                <w:szCs w:val="24"/>
                <w:highlight w:val="none"/>
                <w:lang w:val="en-US" w:eastAsia="zh-CN"/>
              </w:rPr>
              <w:t>I</w:t>
            </w:r>
            <w:r>
              <w:rPr>
                <w:rFonts w:hint="eastAsia" w:ascii="宋体" w:hAnsi="宋体" w:eastAsia="宋体" w:cs="宋体"/>
                <w:color w:val="auto"/>
                <w:kern w:val="21"/>
                <w:sz w:val="24"/>
                <w:szCs w:val="24"/>
                <w:highlight w:val="none"/>
              </w:rPr>
              <w:t>5；内存不低于8G；硬盘不低于256G-SSD 固态硬盘。</w:t>
            </w:r>
          </w:p>
          <w:p w14:paraId="5E6146D8">
            <w:pPr>
              <w:rPr>
                <w:rFonts w:hint="eastAsia" w:ascii="宋体" w:hAnsi="宋体" w:eastAsia="宋体" w:cs="宋体"/>
                <w:color w:val="auto"/>
                <w:kern w:val="21"/>
                <w:sz w:val="24"/>
                <w:szCs w:val="24"/>
                <w:highlight w:val="none"/>
                <w:lang w:val="en-US" w:eastAsia="zh-CN"/>
              </w:rPr>
            </w:pPr>
            <w:r>
              <w:rPr>
                <w:rFonts w:hint="eastAsia" w:ascii="宋体" w:hAnsi="宋体" w:eastAsia="宋体" w:cs="宋体"/>
                <w:color w:val="auto"/>
                <w:kern w:val="21"/>
                <w:sz w:val="24"/>
                <w:szCs w:val="24"/>
                <w:highlight w:val="none"/>
                <w:lang w:val="en-US" w:eastAsia="zh-CN"/>
              </w:rPr>
              <w:t>10.课件支持自动同步至云端，支持设置课件自动保存时间，至少可设置为1分钟、3分钟、5分钟、10分钟、20分钟、30分钟等。</w:t>
            </w:r>
          </w:p>
          <w:p w14:paraId="0E03F2F4">
            <w:pPr>
              <w:rPr>
                <w:rFonts w:hint="eastAsia" w:ascii="宋体" w:hAnsi="宋体" w:eastAsia="宋体" w:cs="宋体"/>
                <w:color w:val="auto"/>
                <w:kern w:val="21"/>
                <w:sz w:val="24"/>
                <w:szCs w:val="24"/>
                <w:highlight w:val="none"/>
                <w:lang w:val="en-US" w:eastAsia="zh-CN"/>
              </w:rPr>
            </w:pPr>
            <w:r>
              <w:rPr>
                <w:rFonts w:hint="eastAsia" w:ascii="宋体" w:hAnsi="宋体" w:eastAsia="宋体" w:cs="宋体"/>
                <w:color w:val="auto"/>
                <w:kern w:val="21"/>
                <w:sz w:val="24"/>
                <w:szCs w:val="24"/>
                <w:highlight w:val="none"/>
                <w:lang w:val="en-US" w:eastAsia="zh-CN"/>
              </w:rPr>
              <w:t>11.要求支持插入工具，提供汉字、拼音、四线三格、尺规、几何、数学公式、函数、化学方程式、网络画板等学科工具，以及截图、幕布等通用工具。</w:t>
            </w:r>
          </w:p>
          <w:p w14:paraId="6ACBE36F">
            <w:pPr>
              <w:rPr>
                <w:rFonts w:hint="eastAsia" w:ascii="宋体" w:hAnsi="宋体" w:eastAsia="宋体" w:cs="宋体"/>
                <w:color w:val="auto"/>
                <w:kern w:val="21"/>
                <w:sz w:val="24"/>
                <w:szCs w:val="24"/>
                <w:highlight w:val="none"/>
                <w:lang w:val="en-US" w:eastAsia="zh-CN"/>
              </w:rPr>
            </w:pPr>
            <w:r>
              <w:rPr>
                <w:rFonts w:hint="eastAsia" w:ascii="宋体" w:hAnsi="宋体" w:eastAsia="宋体" w:cs="宋体"/>
                <w:color w:val="auto"/>
                <w:kern w:val="21"/>
                <w:sz w:val="24"/>
                <w:szCs w:val="24"/>
                <w:highlight w:val="none"/>
                <w:lang w:val="en-US" w:eastAsia="zh-CN"/>
              </w:rPr>
              <w:t>12.要求支持创建课堂活动，提供分类达人、选词填空、匹配能手等多种互动练习形式，可插入至页面中进行游戏交互练习；支持通过模板制作个人活动，个人活动可保存至云端。</w:t>
            </w:r>
          </w:p>
          <w:p w14:paraId="2DAFBA54">
            <w:pPr>
              <w:rPr>
                <w:rFonts w:hint="eastAsia" w:ascii="宋体" w:hAnsi="宋体" w:eastAsia="宋体" w:cs="宋体"/>
                <w:color w:val="auto"/>
                <w:kern w:val="21"/>
                <w:sz w:val="24"/>
                <w:szCs w:val="24"/>
                <w:highlight w:val="none"/>
                <w:lang w:val="en-US" w:eastAsia="zh-CN"/>
              </w:rPr>
            </w:pPr>
            <w:r>
              <w:rPr>
                <w:rFonts w:hint="eastAsia" w:ascii="宋体" w:hAnsi="宋体" w:eastAsia="宋体" w:cs="宋体"/>
                <w:color w:val="auto"/>
                <w:kern w:val="21"/>
                <w:sz w:val="24"/>
                <w:szCs w:val="24"/>
                <w:highlight w:val="none"/>
                <w:lang w:val="en-US" w:eastAsia="zh-CN"/>
              </w:rPr>
              <w:t>13.要求支持不少于6个投屏客户端图像画面对比展示，在产品上可以反向控制操作笔记本电脑上的内容,支持单击、双击、右键控制。</w:t>
            </w:r>
          </w:p>
          <w:p w14:paraId="1C5F46A2">
            <w:pPr>
              <w:rPr>
                <w:rFonts w:hint="eastAsia" w:ascii="宋体" w:hAnsi="宋体" w:eastAsia="宋体" w:cs="宋体"/>
                <w:color w:val="auto"/>
                <w:kern w:val="21"/>
                <w:sz w:val="24"/>
                <w:szCs w:val="24"/>
                <w:highlight w:val="none"/>
                <w:lang w:val="en-US" w:eastAsia="zh-CN"/>
              </w:rPr>
            </w:pPr>
            <w:r>
              <w:rPr>
                <w:rFonts w:hint="eastAsia" w:ascii="宋体" w:hAnsi="宋体" w:eastAsia="宋体" w:cs="宋体"/>
                <w:color w:val="auto"/>
                <w:kern w:val="21"/>
                <w:sz w:val="24"/>
                <w:szCs w:val="24"/>
                <w:highlight w:val="none"/>
                <w:lang w:val="en-US" w:eastAsia="zh-CN"/>
              </w:rPr>
              <w:t>14.要求支持对录制后的视频进行剪辑，剪辑包括视频合并、视频剪切、视频预览、并且可以添加水印；剪辑功能支持添加至少25字文字水印，支持字号选择、透明度调整，支持多种颜色，水印显示位置可选择。</w:t>
            </w:r>
          </w:p>
          <w:p w14:paraId="7FD14155">
            <w:pPr>
              <w:rPr>
                <w:rFonts w:hint="default" w:ascii="宋体" w:hAnsi="宋体" w:eastAsia="宋体" w:cs="宋体"/>
                <w:color w:val="auto"/>
                <w:kern w:val="21"/>
                <w:sz w:val="24"/>
                <w:szCs w:val="24"/>
                <w:highlight w:val="none"/>
                <w:lang w:val="en-US" w:eastAsia="zh-CN"/>
              </w:rPr>
            </w:pPr>
            <w:r>
              <w:rPr>
                <w:rFonts w:hint="eastAsia" w:ascii="宋体" w:hAnsi="宋体" w:eastAsia="宋体" w:cs="宋体"/>
                <w:color w:val="auto"/>
                <w:kern w:val="21"/>
                <w:sz w:val="24"/>
                <w:szCs w:val="24"/>
                <w:highlight w:val="none"/>
                <w:lang w:val="en-US" w:eastAsia="zh-CN"/>
              </w:rPr>
              <w:t>15.要求支持设置开启/关闭数据同步，开启后，所有数据均会自动上传至云端，异地登录后也可选择下载并覆盖原有数据；支持设置开启/关闭开机自启；开启后，设备开机则会直接打开教学桌面；关闭后，设备开机则不会打开教学桌面，用户可以选择通过点击图标再打开。</w:t>
            </w:r>
          </w:p>
        </w:tc>
        <w:tc>
          <w:tcPr>
            <w:tcW w:w="712" w:type="dxa"/>
            <w:tcBorders>
              <w:top w:val="single" w:color="auto" w:sz="4" w:space="0"/>
              <w:left w:val="single" w:color="auto" w:sz="6" w:space="0"/>
              <w:bottom w:val="single" w:color="auto" w:sz="4" w:space="0"/>
              <w:right w:val="single" w:color="auto" w:sz="6" w:space="0"/>
            </w:tcBorders>
            <w:shd w:val="clear" w:color="auto" w:fill="auto"/>
            <w:vAlign w:val="center"/>
          </w:tcPr>
          <w:p w14:paraId="709B3B5D">
            <w:pPr>
              <w:jc w:val="center"/>
              <w:rPr>
                <w:rFonts w:hint="eastAsia" w:ascii="宋体" w:hAnsi="宋体" w:eastAsia="宋体" w:cs="宋体"/>
                <w:color w:val="auto"/>
                <w:kern w:val="21"/>
                <w:sz w:val="24"/>
                <w:szCs w:val="24"/>
                <w:highlight w:val="none"/>
                <w:lang w:val="en-US" w:eastAsia="zh-CN" w:bidi="ar-SA"/>
              </w:rPr>
            </w:pPr>
            <w:r>
              <w:rPr>
                <w:rFonts w:hint="eastAsia" w:ascii="宋体" w:hAnsi="宋体" w:cs="宋体"/>
                <w:color w:val="auto"/>
                <w:kern w:val="21"/>
                <w:sz w:val="24"/>
                <w:szCs w:val="24"/>
                <w:highlight w:val="none"/>
                <w:lang w:val="en-US" w:eastAsia="zh-CN"/>
              </w:rPr>
              <w:t>2</w:t>
            </w:r>
          </w:p>
        </w:tc>
        <w:tc>
          <w:tcPr>
            <w:tcW w:w="1125" w:type="dxa"/>
            <w:tcBorders>
              <w:top w:val="single" w:color="auto" w:sz="4" w:space="0"/>
              <w:left w:val="single" w:color="auto" w:sz="6" w:space="0"/>
              <w:bottom w:val="single" w:color="auto" w:sz="4" w:space="0"/>
              <w:right w:val="single" w:color="auto" w:sz="6" w:space="0"/>
            </w:tcBorders>
            <w:shd w:val="clear" w:color="auto" w:fill="auto"/>
            <w:vAlign w:val="center"/>
          </w:tcPr>
          <w:p w14:paraId="1BE279DA">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1"/>
                <w:sz w:val="24"/>
                <w:szCs w:val="24"/>
                <w:highlight w:val="none"/>
                <w:lang w:val="en-US" w:eastAsia="zh-CN" w:bidi="ar-SA"/>
              </w:rPr>
            </w:pPr>
            <w:r>
              <w:rPr>
                <w:rFonts w:hint="eastAsia" w:ascii="宋体" w:hAnsi="宋体" w:eastAsia="宋体" w:cs="宋体"/>
                <w:color w:val="auto"/>
                <w:kern w:val="21"/>
                <w:sz w:val="24"/>
                <w:szCs w:val="24"/>
                <w:highlight w:val="none"/>
              </w:rPr>
              <w:t>台</w:t>
            </w:r>
          </w:p>
        </w:tc>
        <w:tc>
          <w:tcPr>
            <w:tcW w:w="1063" w:type="dxa"/>
            <w:vMerge w:val="continue"/>
            <w:tcBorders>
              <w:left w:val="single" w:color="auto" w:sz="6" w:space="0"/>
              <w:right w:val="single" w:color="auto" w:sz="6" w:space="0"/>
            </w:tcBorders>
            <w:shd w:val="clear" w:color="auto" w:fill="auto"/>
            <w:vAlign w:val="center"/>
          </w:tcPr>
          <w:p w14:paraId="74EC7BBA">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1"/>
                <w:sz w:val="24"/>
                <w:szCs w:val="24"/>
                <w:highlight w:val="none"/>
              </w:rPr>
            </w:pPr>
          </w:p>
        </w:tc>
      </w:tr>
      <w:tr w14:paraId="0EA327DD">
        <w:tblPrEx>
          <w:tblCellMar>
            <w:top w:w="0" w:type="dxa"/>
            <w:left w:w="10" w:type="dxa"/>
            <w:bottom w:w="0" w:type="dxa"/>
            <w:right w:w="10" w:type="dxa"/>
          </w:tblCellMar>
        </w:tblPrEx>
        <w:trPr>
          <w:trHeight w:val="543" w:hRule="atLeast"/>
          <w:jc w:val="center"/>
        </w:trPr>
        <w:tc>
          <w:tcPr>
            <w:tcW w:w="708" w:type="dxa"/>
            <w:tcBorders>
              <w:top w:val="single" w:color="auto" w:sz="4" w:space="0"/>
              <w:left w:val="single" w:color="auto" w:sz="6" w:space="0"/>
              <w:bottom w:val="single" w:color="auto" w:sz="4" w:space="0"/>
              <w:right w:val="single" w:color="auto" w:sz="6" w:space="0"/>
            </w:tcBorders>
            <w:shd w:val="clear" w:color="auto" w:fill="auto"/>
            <w:vAlign w:val="center"/>
          </w:tcPr>
          <w:p w14:paraId="5BB9CC94">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kern w:val="21"/>
                <w:sz w:val="24"/>
                <w:szCs w:val="24"/>
                <w:highlight w:val="none"/>
                <w:lang w:val="en-US" w:eastAsia="zh-CN" w:bidi="ar-SA"/>
              </w:rPr>
            </w:pPr>
            <w:r>
              <w:rPr>
                <w:rFonts w:hint="eastAsia" w:ascii="宋体" w:hAnsi="宋体" w:eastAsia="宋体" w:cs="宋体"/>
                <w:color w:val="auto"/>
                <w:kern w:val="21"/>
                <w:sz w:val="24"/>
                <w:szCs w:val="24"/>
                <w:highlight w:val="none"/>
                <w:lang w:val="en-US" w:eastAsia="zh-CN" w:bidi="ar-SA"/>
              </w:rPr>
              <w:t>8</w:t>
            </w:r>
          </w:p>
        </w:tc>
        <w:tc>
          <w:tcPr>
            <w:tcW w:w="1308" w:type="dxa"/>
            <w:tcBorders>
              <w:top w:val="single" w:color="auto" w:sz="4" w:space="0"/>
              <w:left w:val="nil"/>
              <w:bottom w:val="single" w:color="auto" w:sz="4" w:space="0"/>
              <w:right w:val="single" w:color="auto" w:sz="6" w:space="0"/>
            </w:tcBorders>
            <w:shd w:val="clear" w:color="auto" w:fill="auto"/>
            <w:vAlign w:val="center"/>
          </w:tcPr>
          <w:p w14:paraId="76A3D92B">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1"/>
                <w:sz w:val="24"/>
                <w:szCs w:val="24"/>
                <w:highlight w:val="none"/>
                <w:lang w:val="en-US" w:eastAsia="zh-CN" w:bidi="ar-SA"/>
              </w:rPr>
            </w:pPr>
            <w:r>
              <w:rPr>
                <w:rFonts w:hint="eastAsia" w:ascii="宋体" w:hAnsi="宋体" w:eastAsia="宋体" w:cs="宋体"/>
                <w:color w:val="auto"/>
                <w:kern w:val="21"/>
                <w:sz w:val="24"/>
                <w:szCs w:val="24"/>
                <w:highlight w:val="none"/>
              </w:rPr>
              <w:t>光纤模块</w:t>
            </w:r>
          </w:p>
        </w:tc>
        <w:tc>
          <w:tcPr>
            <w:tcW w:w="4469" w:type="dxa"/>
            <w:tcBorders>
              <w:top w:val="single" w:color="auto" w:sz="4" w:space="0"/>
              <w:left w:val="nil"/>
              <w:bottom w:val="single" w:color="auto" w:sz="4" w:space="0"/>
              <w:right w:val="single" w:color="auto" w:sz="6" w:space="0"/>
            </w:tcBorders>
            <w:shd w:val="clear" w:color="auto" w:fill="auto"/>
            <w:vAlign w:val="center"/>
          </w:tcPr>
          <w:p w14:paraId="4B0DAE05">
            <w:pPr>
              <w:rPr>
                <w:rFonts w:hint="eastAsia" w:ascii="宋体" w:hAnsi="宋体" w:eastAsia="宋体" w:cs="宋体"/>
                <w:color w:val="auto"/>
                <w:kern w:val="21"/>
                <w:sz w:val="24"/>
                <w:szCs w:val="24"/>
                <w:highlight w:val="none"/>
                <w:lang w:val="en-US" w:eastAsia="zh-CN" w:bidi="ar-SA"/>
              </w:rPr>
            </w:pPr>
            <w:r>
              <w:rPr>
                <w:rFonts w:hint="eastAsia" w:ascii="宋体" w:hAnsi="宋体" w:cs="宋体"/>
                <w:color w:val="auto"/>
                <w:kern w:val="21"/>
                <w:sz w:val="24"/>
                <w:szCs w:val="24"/>
                <w:highlight w:val="none"/>
              </w:rPr>
              <w:t>单模双芯SC，CAN转光纤</w:t>
            </w:r>
          </w:p>
        </w:tc>
        <w:tc>
          <w:tcPr>
            <w:tcW w:w="712" w:type="dxa"/>
            <w:tcBorders>
              <w:top w:val="single" w:color="auto" w:sz="4" w:space="0"/>
              <w:left w:val="single" w:color="auto" w:sz="6" w:space="0"/>
              <w:bottom w:val="single" w:color="auto" w:sz="4" w:space="0"/>
              <w:right w:val="single" w:color="auto" w:sz="6" w:space="0"/>
            </w:tcBorders>
            <w:shd w:val="clear" w:color="auto" w:fill="auto"/>
            <w:vAlign w:val="center"/>
          </w:tcPr>
          <w:p w14:paraId="491C2EBB">
            <w:pPr>
              <w:jc w:val="center"/>
              <w:rPr>
                <w:rFonts w:hint="eastAsia" w:ascii="宋体" w:hAnsi="宋体" w:eastAsia="宋体" w:cs="宋体"/>
                <w:color w:val="auto"/>
                <w:kern w:val="21"/>
                <w:sz w:val="24"/>
                <w:szCs w:val="24"/>
                <w:highlight w:val="none"/>
                <w:lang w:val="en-US" w:eastAsia="zh-CN" w:bidi="ar-SA"/>
              </w:rPr>
            </w:pPr>
            <w:r>
              <w:rPr>
                <w:rFonts w:hint="eastAsia" w:ascii="宋体" w:hAnsi="宋体" w:cs="宋体"/>
                <w:color w:val="auto"/>
                <w:kern w:val="21"/>
                <w:sz w:val="24"/>
                <w:szCs w:val="24"/>
                <w:highlight w:val="none"/>
              </w:rPr>
              <w:t>16</w:t>
            </w:r>
          </w:p>
        </w:tc>
        <w:tc>
          <w:tcPr>
            <w:tcW w:w="1125" w:type="dxa"/>
            <w:tcBorders>
              <w:top w:val="single" w:color="auto" w:sz="4" w:space="0"/>
              <w:left w:val="single" w:color="auto" w:sz="6" w:space="0"/>
              <w:bottom w:val="single" w:color="auto" w:sz="4" w:space="0"/>
              <w:right w:val="single" w:color="auto" w:sz="6" w:space="0"/>
            </w:tcBorders>
            <w:shd w:val="clear" w:color="auto" w:fill="auto"/>
            <w:vAlign w:val="center"/>
          </w:tcPr>
          <w:p w14:paraId="527DABAE">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1"/>
                <w:sz w:val="24"/>
                <w:szCs w:val="24"/>
                <w:highlight w:val="none"/>
                <w:lang w:val="en-US" w:eastAsia="zh-CN" w:bidi="ar-SA"/>
              </w:rPr>
            </w:pPr>
            <w:r>
              <w:rPr>
                <w:rFonts w:hint="eastAsia" w:ascii="宋体" w:hAnsi="宋体" w:eastAsia="宋体" w:cs="宋体"/>
                <w:color w:val="auto"/>
                <w:kern w:val="21"/>
                <w:sz w:val="24"/>
                <w:szCs w:val="24"/>
                <w:highlight w:val="none"/>
              </w:rPr>
              <w:t>个</w:t>
            </w:r>
          </w:p>
        </w:tc>
        <w:tc>
          <w:tcPr>
            <w:tcW w:w="1063" w:type="dxa"/>
            <w:vMerge w:val="continue"/>
            <w:tcBorders>
              <w:left w:val="single" w:color="auto" w:sz="6" w:space="0"/>
              <w:right w:val="single" w:color="auto" w:sz="6" w:space="0"/>
            </w:tcBorders>
            <w:shd w:val="clear" w:color="auto" w:fill="auto"/>
            <w:vAlign w:val="center"/>
          </w:tcPr>
          <w:p w14:paraId="6D330610">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1"/>
                <w:sz w:val="24"/>
                <w:szCs w:val="24"/>
                <w:highlight w:val="none"/>
              </w:rPr>
            </w:pPr>
          </w:p>
        </w:tc>
      </w:tr>
      <w:tr w14:paraId="3C12B3B8">
        <w:tblPrEx>
          <w:tblCellMar>
            <w:top w:w="0" w:type="dxa"/>
            <w:left w:w="10" w:type="dxa"/>
            <w:bottom w:w="0" w:type="dxa"/>
            <w:right w:w="10" w:type="dxa"/>
          </w:tblCellMar>
        </w:tblPrEx>
        <w:trPr>
          <w:trHeight w:val="90" w:hRule="atLeast"/>
          <w:jc w:val="center"/>
        </w:trPr>
        <w:tc>
          <w:tcPr>
            <w:tcW w:w="708" w:type="dxa"/>
            <w:tcBorders>
              <w:top w:val="single" w:color="auto" w:sz="4" w:space="0"/>
              <w:left w:val="single" w:color="auto" w:sz="6" w:space="0"/>
              <w:bottom w:val="single" w:color="auto" w:sz="4" w:space="0"/>
              <w:right w:val="single" w:color="auto" w:sz="6" w:space="0"/>
            </w:tcBorders>
            <w:shd w:val="clear" w:color="auto" w:fill="auto"/>
            <w:vAlign w:val="center"/>
          </w:tcPr>
          <w:p w14:paraId="3F0FF262">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kern w:val="21"/>
                <w:sz w:val="24"/>
                <w:szCs w:val="24"/>
                <w:highlight w:val="none"/>
                <w:lang w:val="en-US" w:eastAsia="zh-CN" w:bidi="ar-SA"/>
              </w:rPr>
            </w:pPr>
            <w:r>
              <w:rPr>
                <w:rFonts w:hint="eastAsia" w:ascii="宋体" w:hAnsi="宋体" w:eastAsia="宋体" w:cs="宋体"/>
                <w:color w:val="auto"/>
                <w:kern w:val="21"/>
                <w:sz w:val="24"/>
                <w:szCs w:val="24"/>
                <w:highlight w:val="none"/>
                <w:lang w:val="en-US" w:eastAsia="zh-CN" w:bidi="ar-SA"/>
              </w:rPr>
              <w:t>9</w:t>
            </w:r>
          </w:p>
        </w:tc>
        <w:tc>
          <w:tcPr>
            <w:tcW w:w="1308" w:type="dxa"/>
            <w:tcBorders>
              <w:top w:val="single" w:color="auto" w:sz="4" w:space="0"/>
              <w:left w:val="nil"/>
              <w:bottom w:val="single" w:color="auto" w:sz="4" w:space="0"/>
              <w:right w:val="single" w:color="auto" w:sz="6" w:space="0"/>
            </w:tcBorders>
            <w:shd w:val="solid" w:color="FFFFFF" w:fill="auto"/>
            <w:vAlign w:val="center"/>
          </w:tcPr>
          <w:p w14:paraId="3947DFBC">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1"/>
                <w:sz w:val="24"/>
                <w:szCs w:val="24"/>
                <w:highlight w:val="none"/>
                <w:lang w:val="en-US" w:eastAsia="zh-CN" w:bidi="ar-SA"/>
              </w:rPr>
            </w:pPr>
            <w:r>
              <w:rPr>
                <w:rFonts w:hint="eastAsia" w:ascii="宋体" w:hAnsi="宋体" w:eastAsia="宋体" w:cs="宋体"/>
                <w:color w:val="auto"/>
                <w:kern w:val="21"/>
                <w:sz w:val="24"/>
                <w:szCs w:val="24"/>
                <w:highlight w:val="none"/>
              </w:rPr>
              <w:t>电子时钟</w:t>
            </w:r>
          </w:p>
        </w:tc>
        <w:tc>
          <w:tcPr>
            <w:tcW w:w="4469" w:type="dxa"/>
            <w:tcBorders>
              <w:top w:val="single" w:color="auto" w:sz="4" w:space="0"/>
              <w:left w:val="nil"/>
              <w:bottom w:val="single" w:color="auto" w:sz="4" w:space="0"/>
              <w:right w:val="single" w:color="auto" w:sz="6" w:space="0"/>
            </w:tcBorders>
            <w:shd w:val="solid" w:color="FFFFFF" w:fill="auto"/>
            <w:vAlign w:val="center"/>
          </w:tcPr>
          <w:p w14:paraId="021D525A">
            <w:pPr>
              <w:jc w:val="left"/>
              <w:rPr>
                <w:rFonts w:hint="eastAsia" w:ascii="宋体" w:hAnsi="宋体" w:cs="宋体"/>
                <w:color w:val="auto"/>
                <w:kern w:val="21"/>
                <w:sz w:val="24"/>
                <w:szCs w:val="24"/>
                <w:highlight w:val="none"/>
              </w:rPr>
            </w:pPr>
            <w:r>
              <w:rPr>
                <w:rFonts w:hint="eastAsia" w:ascii="宋体" w:hAnsi="宋体" w:cs="宋体"/>
                <w:color w:val="auto"/>
                <w:kern w:val="21"/>
                <w:sz w:val="24"/>
                <w:szCs w:val="24"/>
                <w:highlight w:val="none"/>
              </w:rPr>
              <w:t>单面，显示内容：1英寸红色数码管显示年月日星期，3英寸红色数码管显示时分秒，七段数码管显示，每段亮度均匀、全静态、无闪烁；外形尺寸472*188*42mm；时间源：自动获取母钟信号同步，支持NTP网络对时，RJ45口；母钟信号中断时可独立运行，母钟信号恢复后可自动校时；无手机卡，无后续费用；外壳采用专用模具加工钣金制作，防静电，防电磁干扰，表面喷涂金属亚光漆，显示钟面作防眩光处理，置于日光灯下无反光现象；LED显示单元发光强度：≥200cd/㎡，对比度：≥10：1，LED显示屏可视视角：≥±65º；环境要求：-20℃～+65℃；MTBF：≥15万小时，供电220V/POE，功率：≤11W；安装方式：壁挂/吊装。</w:t>
            </w:r>
          </w:p>
          <w:p w14:paraId="0DD892A8">
            <w:pPr>
              <w:jc w:val="left"/>
              <w:rPr>
                <w:rFonts w:hint="default" w:ascii="宋体" w:hAnsi="宋体" w:eastAsia="宋体" w:cs="宋体"/>
                <w:color w:val="auto"/>
                <w:kern w:val="21"/>
                <w:sz w:val="24"/>
                <w:szCs w:val="24"/>
                <w:highlight w:val="none"/>
                <w:lang w:val="en-US" w:eastAsia="zh-CN" w:bidi="ar-SA"/>
              </w:rPr>
            </w:pPr>
            <w:r>
              <w:rPr>
                <w:rFonts w:hint="eastAsia" w:ascii="宋体" w:hAnsi="宋体" w:cs="宋体"/>
                <w:color w:val="auto"/>
                <w:kern w:val="21"/>
                <w:sz w:val="24"/>
                <w:szCs w:val="24"/>
                <w:highlight w:val="none"/>
              </w:rPr>
              <w:t>精度：＜1ms；含安装调试完成。</w:t>
            </w:r>
          </w:p>
        </w:tc>
        <w:tc>
          <w:tcPr>
            <w:tcW w:w="712" w:type="dxa"/>
            <w:tcBorders>
              <w:top w:val="single" w:color="auto" w:sz="4" w:space="0"/>
              <w:left w:val="single" w:color="auto" w:sz="6" w:space="0"/>
              <w:bottom w:val="single" w:color="auto" w:sz="4" w:space="0"/>
              <w:right w:val="single" w:color="auto" w:sz="6" w:space="0"/>
            </w:tcBorders>
            <w:shd w:val="clear" w:color="auto" w:fill="auto"/>
            <w:vAlign w:val="center"/>
          </w:tcPr>
          <w:p w14:paraId="7F0B7C4D">
            <w:pPr>
              <w:jc w:val="center"/>
              <w:rPr>
                <w:rFonts w:hint="eastAsia" w:ascii="宋体" w:hAnsi="宋体" w:eastAsia="宋体" w:cs="宋体"/>
                <w:color w:val="auto"/>
                <w:kern w:val="21"/>
                <w:sz w:val="24"/>
                <w:szCs w:val="24"/>
                <w:highlight w:val="none"/>
                <w:lang w:val="en-US" w:eastAsia="zh-CN" w:bidi="ar-SA"/>
              </w:rPr>
            </w:pPr>
            <w:r>
              <w:rPr>
                <w:rFonts w:hint="eastAsia" w:ascii="宋体" w:hAnsi="宋体" w:cs="宋体"/>
                <w:color w:val="auto"/>
                <w:kern w:val="21"/>
                <w:sz w:val="24"/>
                <w:szCs w:val="24"/>
                <w:highlight w:val="none"/>
              </w:rPr>
              <w:t>2</w:t>
            </w:r>
          </w:p>
        </w:tc>
        <w:tc>
          <w:tcPr>
            <w:tcW w:w="1125" w:type="dxa"/>
            <w:tcBorders>
              <w:top w:val="single" w:color="auto" w:sz="4" w:space="0"/>
              <w:left w:val="single" w:color="auto" w:sz="6" w:space="0"/>
              <w:bottom w:val="single" w:color="auto" w:sz="4" w:space="0"/>
              <w:right w:val="single" w:color="auto" w:sz="6" w:space="0"/>
            </w:tcBorders>
            <w:shd w:val="clear" w:color="auto" w:fill="auto"/>
            <w:vAlign w:val="center"/>
          </w:tcPr>
          <w:p w14:paraId="16CBB840">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1"/>
                <w:sz w:val="24"/>
                <w:szCs w:val="24"/>
                <w:highlight w:val="none"/>
                <w:lang w:val="en-US" w:eastAsia="zh-CN" w:bidi="ar-SA"/>
              </w:rPr>
            </w:pPr>
            <w:r>
              <w:rPr>
                <w:rFonts w:hint="eastAsia" w:ascii="宋体" w:hAnsi="宋体" w:eastAsia="宋体" w:cs="宋体"/>
                <w:color w:val="auto"/>
                <w:kern w:val="21"/>
                <w:sz w:val="24"/>
                <w:szCs w:val="24"/>
                <w:highlight w:val="none"/>
              </w:rPr>
              <w:t>个</w:t>
            </w:r>
          </w:p>
        </w:tc>
        <w:tc>
          <w:tcPr>
            <w:tcW w:w="1063" w:type="dxa"/>
            <w:vMerge w:val="continue"/>
            <w:tcBorders>
              <w:left w:val="single" w:color="auto" w:sz="6" w:space="0"/>
              <w:right w:val="single" w:color="auto" w:sz="6" w:space="0"/>
            </w:tcBorders>
            <w:shd w:val="clear" w:color="auto" w:fill="auto"/>
            <w:vAlign w:val="center"/>
          </w:tcPr>
          <w:p w14:paraId="759E361D">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1"/>
                <w:sz w:val="24"/>
                <w:szCs w:val="24"/>
                <w:highlight w:val="none"/>
              </w:rPr>
            </w:pPr>
          </w:p>
        </w:tc>
      </w:tr>
      <w:tr w14:paraId="0638CCFD">
        <w:tblPrEx>
          <w:tblCellMar>
            <w:top w:w="0" w:type="dxa"/>
            <w:left w:w="10" w:type="dxa"/>
            <w:bottom w:w="0" w:type="dxa"/>
            <w:right w:w="10" w:type="dxa"/>
          </w:tblCellMar>
        </w:tblPrEx>
        <w:trPr>
          <w:trHeight w:val="4691" w:hRule="atLeast"/>
          <w:jc w:val="center"/>
        </w:trPr>
        <w:tc>
          <w:tcPr>
            <w:tcW w:w="708" w:type="dxa"/>
            <w:tcBorders>
              <w:top w:val="single" w:color="auto" w:sz="4" w:space="0"/>
              <w:left w:val="single" w:color="auto" w:sz="6" w:space="0"/>
              <w:bottom w:val="single" w:color="auto" w:sz="4" w:space="0"/>
              <w:right w:val="single" w:color="auto" w:sz="6" w:space="0"/>
            </w:tcBorders>
            <w:shd w:val="clear" w:color="auto" w:fill="auto"/>
            <w:vAlign w:val="center"/>
          </w:tcPr>
          <w:p w14:paraId="712ECC6D">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kern w:val="21"/>
                <w:sz w:val="24"/>
                <w:szCs w:val="24"/>
                <w:highlight w:val="none"/>
                <w:lang w:val="en-US" w:eastAsia="zh-CN" w:bidi="ar-SA"/>
              </w:rPr>
            </w:pPr>
            <w:r>
              <w:rPr>
                <w:rFonts w:hint="eastAsia" w:ascii="宋体" w:hAnsi="宋体" w:eastAsia="宋体" w:cs="宋体"/>
                <w:color w:val="auto"/>
                <w:kern w:val="21"/>
                <w:sz w:val="24"/>
                <w:szCs w:val="24"/>
                <w:highlight w:val="none"/>
                <w:lang w:val="en-US" w:eastAsia="zh-CN"/>
              </w:rPr>
              <w:t>10</w:t>
            </w:r>
          </w:p>
        </w:tc>
        <w:tc>
          <w:tcPr>
            <w:tcW w:w="1308" w:type="dxa"/>
            <w:tcBorders>
              <w:top w:val="single" w:color="auto" w:sz="4" w:space="0"/>
              <w:left w:val="nil"/>
              <w:bottom w:val="single" w:color="auto" w:sz="4" w:space="0"/>
              <w:right w:val="single" w:color="auto" w:sz="6" w:space="0"/>
            </w:tcBorders>
            <w:shd w:val="solid" w:color="FFFFFF" w:fill="auto"/>
            <w:vAlign w:val="center"/>
          </w:tcPr>
          <w:p w14:paraId="324BD572">
            <w:pPr>
              <w:jc w:val="center"/>
              <w:rPr>
                <w:rFonts w:hint="default" w:ascii="宋体" w:hAnsi="宋体" w:eastAsia="宋体" w:cs="宋体"/>
                <w:color w:val="auto"/>
                <w:kern w:val="21"/>
                <w:sz w:val="24"/>
                <w:szCs w:val="24"/>
                <w:highlight w:val="none"/>
                <w:lang w:val="en-US" w:eastAsia="zh-CN" w:bidi="ar-SA"/>
              </w:rPr>
            </w:pPr>
            <w:r>
              <w:rPr>
                <w:rFonts w:hint="eastAsia" w:ascii="宋体" w:hAnsi="宋体" w:cs="宋体"/>
                <w:color w:val="auto"/>
                <w:kern w:val="21"/>
                <w:sz w:val="24"/>
                <w:szCs w:val="24"/>
                <w:highlight w:val="none"/>
              </w:rPr>
              <w:t>工作站1</w:t>
            </w:r>
          </w:p>
        </w:tc>
        <w:tc>
          <w:tcPr>
            <w:tcW w:w="4469" w:type="dxa"/>
            <w:tcBorders>
              <w:top w:val="single" w:color="auto" w:sz="4" w:space="0"/>
              <w:left w:val="nil"/>
              <w:bottom w:val="single" w:color="auto" w:sz="4" w:space="0"/>
              <w:right w:val="single" w:color="auto" w:sz="6" w:space="0"/>
            </w:tcBorders>
            <w:shd w:val="solid" w:color="FFFFFF" w:fill="auto"/>
            <w:vAlign w:val="center"/>
          </w:tcPr>
          <w:p w14:paraId="15E16567">
            <w:pPr>
              <w:rPr>
                <w:rFonts w:hint="eastAsia" w:ascii="宋体" w:hAnsi="宋体" w:cs="宋体"/>
                <w:color w:val="auto"/>
                <w:kern w:val="21"/>
                <w:sz w:val="24"/>
                <w:szCs w:val="24"/>
                <w:highlight w:val="none"/>
              </w:rPr>
            </w:pPr>
            <w:r>
              <w:rPr>
                <w:rFonts w:hint="eastAsia" w:ascii="宋体" w:hAnsi="宋体" w:cs="宋体"/>
                <w:color w:val="auto"/>
                <w:kern w:val="21"/>
                <w:sz w:val="24"/>
                <w:szCs w:val="24"/>
                <w:highlight w:val="none"/>
              </w:rPr>
              <w:t xml:space="preserve">CPU：Intel Core ≥i7-13700处理器； </w:t>
            </w:r>
          </w:p>
          <w:p w14:paraId="7ED72C44">
            <w:pPr>
              <w:rPr>
                <w:rFonts w:hint="eastAsia" w:ascii="宋体" w:hAnsi="宋体" w:cs="宋体"/>
                <w:color w:val="auto"/>
                <w:kern w:val="21"/>
                <w:sz w:val="24"/>
                <w:szCs w:val="24"/>
                <w:highlight w:val="none"/>
              </w:rPr>
            </w:pPr>
            <w:r>
              <w:rPr>
                <w:rFonts w:hint="eastAsia" w:ascii="宋体" w:hAnsi="宋体" w:cs="宋体"/>
                <w:color w:val="auto"/>
                <w:kern w:val="21"/>
                <w:sz w:val="24"/>
                <w:szCs w:val="24"/>
                <w:highlight w:val="none"/>
              </w:rPr>
              <w:t>主板：Intel 600系列及以上芯片组；</w:t>
            </w:r>
          </w:p>
          <w:p w14:paraId="730E9901">
            <w:pPr>
              <w:rPr>
                <w:rFonts w:hint="eastAsia" w:ascii="宋体" w:hAnsi="宋体" w:cs="宋体"/>
                <w:color w:val="auto"/>
                <w:kern w:val="21"/>
                <w:sz w:val="24"/>
                <w:szCs w:val="24"/>
                <w:highlight w:val="none"/>
              </w:rPr>
            </w:pPr>
            <w:r>
              <w:rPr>
                <w:rFonts w:hint="eastAsia" w:ascii="宋体" w:hAnsi="宋体" w:cs="宋体"/>
                <w:color w:val="auto"/>
                <w:kern w:val="21"/>
                <w:sz w:val="24"/>
                <w:szCs w:val="24"/>
                <w:highlight w:val="none"/>
              </w:rPr>
              <w:t>内存：≥16G DDR4 3200MHz内存；</w:t>
            </w:r>
          </w:p>
          <w:p w14:paraId="4D4F07F6">
            <w:pPr>
              <w:rPr>
                <w:rFonts w:hint="eastAsia" w:ascii="宋体" w:hAnsi="宋体" w:cs="宋体"/>
                <w:color w:val="auto"/>
                <w:kern w:val="21"/>
                <w:sz w:val="24"/>
                <w:szCs w:val="24"/>
                <w:highlight w:val="none"/>
              </w:rPr>
            </w:pPr>
            <w:r>
              <w:rPr>
                <w:rFonts w:hint="eastAsia" w:ascii="宋体" w:hAnsi="宋体" w:cs="宋体"/>
                <w:color w:val="auto"/>
                <w:kern w:val="21"/>
                <w:sz w:val="24"/>
                <w:szCs w:val="24"/>
                <w:highlight w:val="none"/>
              </w:rPr>
              <w:t>显卡：独立2G显卡；</w:t>
            </w:r>
          </w:p>
          <w:p w14:paraId="6E8ED40C">
            <w:pPr>
              <w:jc w:val="left"/>
              <w:rPr>
                <w:rFonts w:hint="eastAsia" w:ascii="宋体" w:hAnsi="宋体" w:cs="宋体"/>
                <w:color w:val="auto"/>
                <w:kern w:val="21"/>
                <w:sz w:val="24"/>
                <w:szCs w:val="24"/>
                <w:highlight w:val="none"/>
              </w:rPr>
            </w:pPr>
            <w:r>
              <w:rPr>
                <w:rFonts w:hint="eastAsia" w:ascii="宋体" w:hAnsi="宋体" w:cs="宋体"/>
                <w:color w:val="auto"/>
                <w:kern w:val="21"/>
                <w:sz w:val="24"/>
                <w:szCs w:val="24"/>
                <w:highlight w:val="none"/>
              </w:rPr>
              <w:t>声卡：集成声卡，提供前2后1共3个音频接口；</w:t>
            </w:r>
          </w:p>
          <w:p w14:paraId="0D8B9A74">
            <w:pPr>
              <w:jc w:val="left"/>
              <w:rPr>
                <w:rFonts w:hint="eastAsia" w:ascii="宋体" w:hAnsi="宋体" w:cs="宋体"/>
                <w:color w:val="auto"/>
                <w:kern w:val="21"/>
                <w:sz w:val="24"/>
                <w:szCs w:val="24"/>
                <w:highlight w:val="none"/>
              </w:rPr>
            </w:pPr>
            <w:r>
              <w:rPr>
                <w:rFonts w:hint="eastAsia" w:ascii="宋体" w:hAnsi="宋体" w:cs="宋体"/>
                <w:color w:val="auto"/>
                <w:kern w:val="21"/>
                <w:sz w:val="24"/>
                <w:szCs w:val="24"/>
                <w:highlight w:val="none"/>
              </w:rPr>
              <w:t>硬盘：512G固态硬盘；</w:t>
            </w:r>
          </w:p>
          <w:p w14:paraId="063985FE">
            <w:pPr>
              <w:jc w:val="left"/>
              <w:rPr>
                <w:rFonts w:hint="eastAsia" w:ascii="宋体" w:hAnsi="宋体" w:cs="宋体"/>
                <w:color w:val="auto"/>
                <w:kern w:val="21"/>
                <w:sz w:val="24"/>
                <w:szCs w:val="24"/>
                <w:highlight w:val="none"/>
              </w:rPr>
            </w:pPr>
            <w:r>
              <w:rPr>
                <w:rFonts w:hint="eastAsia" w:ascii="宋体" w:hAnsi="宋体" w:cs="宋体"/>
                <w:color w:val="auto"/>
                <w:kern w:val="21"/>
                <w:sz w:val="24"/>
                <w:szCs w:val="24"/>
                <w:highlight w:val="none"/>
              </w:rPr>
              <w:t>集成10/100/1000M以太网卡；</w:t>
            </w:r>
          </w:p>
          <w:p w14:paraId="32821626">
            <w:pPr>
              <w:jc w:val="left"/>
              <w:rPr>
                <w:rFonts w:hint="eastAsia" w:ascii="宋体" w:hAnsi="宋体" w:cs="宋体"/>
                <w:color w:val="auto"/>
                <w:kern w:val="21"/>
                <w:sz w:val="24"/>
                <w:szCs w:val="24"/>
                <w:highlight w:val="none"/>
              </w:rPr>
            </w:pPr>
            <w:r>
              <w:rPr>
                <w:rFonts w:hint="eastAsia" w:ascii="宋体" w:hAnsi="宋体" w:cs="宋体"/>
                <w:color w:val="auto"/>
                <w:kern w:val="21"/>
                <w:sz w:val="24"/>
                <w:szCs w:val="24"/>
                <w:highlight w:val="none"/>
              </w:rPr>
              <w:t>扩展槽：1个PCI-E*16、1个PCI-E*1槽位；</w:t>
            </w:r>
          </w:p>
          <w:p w14:paraId="389A61B7">
            <w:pPr>
              <w:jc w:val="left"/>
              <w:rPr>
                <w:rFonts w:hint="eastAsia" w:ascii="宋体" w:hAnsi="宋体" w:cs="宋体"/>
                <w:color w:val="auto"/>
                <w:kern w:val="21"/>
                <w:sz w:val="24"/>
                <w:szCs w:val="24"/>
                <w:highlight w:val="none"/>
              </w:rPr>
            </w:pPr>
            <w:r>
              <w:rPr>
                <w:rFonts w:hint="eastAsia" w:ascii="宋体" w:hAnsi="宋体" w:cs="宋体"/>
                <w:color w:val="auto"/>
                <w:kern w:val="21"/>
                <w:sz w:val="24"/>
                <w:szCs w:val="24"/>
                <w:highlight w:val="none"/>
              </w:rPr>
              <w:t>键盘、鼠标：原厂防水键盘、抗菌鼠标；</w:t>
            </w:r>
          </w:p>
          <w:p w14:paraId="18EAFBDA">
            <w:pPr>
              <w:jc w:val="left"/>
              <w:rPr>
                <w:rFonts w:hint="eastAsia" w:ascii="宋体" w:hAnsi="宋体" w:cs="宋体"/>
                <w:color w:val="auto"/>
                <w:kern w:val="21"/>
                <w:sz w:val="24"/>
                <w:szCs w:val="24"/>
                <w:highlight w:val="none"/>
              </w:rPr>
            </w:pPr>
            <w:r>
              <w:rPr>
                <w:rFonts w:hint="eastAsia" w:ascii="宋体" w:hAnsi="宋体" w:cs="宋体"/>
                <w:color w:val="auto"/>
                <w:kern w:val="21"/>
                <w:sz w:val="24"/>
                <w:szCs w:val="24"/>
                <w:highlight w:val="none"/>
              </w:rPr>
              <w:t>接口：≥10个USB接口（其中至少4个USB 3.2 Gen1）、1*VGA接口、1*HDMI接口（VGA非转接）；</w:t>
            </w:r>
          </w:p>
          <w:p w14:paraId="7D6CE228">
            <w:pPr>
              <w:jc w:val="left"/>
              <w:rPr>
                <w:rFonts w:hint="eastAsia" w:ascii="宋体" w:hAnsi="宋体" w:cs="宋体"/>
                <w:color w:val="auto"/>
                <w:kern w:val="21"/>
                <w:sz w:val="24"/>
                <w:szCs w:val="24"/>
                <w:highlight w:val="none"/>
              </w:rPr>
            </w:pPr>
            <w:r>
              <w:rPr>
                <w:rFonts w:hint="eastAsia" w:ascii="宋体" w:hAnsi="宋体" w:cs="宋体"/>
                <w:color w:val="auto"/>
                <w:kern w:val="21"/>
                <w:sz w:val="24"/>
                <w:szCs w:val="24"/>
                <w:highlight w:val="none"/>
              </w:rPr>
              <w:t xml:space="preserve">电源：≥260W 节能电源；   </w:t>
            </w:r>
          </w:p>
          <w:p w14:paraId="4BF68DF8">
            <w:pPr>
              <w:jc w:val="left"/>
              <w:rPr>
                <w:rFonts w:hint="eastAsia" w:ascii="宋体" w:hAnsi="宋体" w:cs="宋体"/>
                <w:color w:val="auto"/>
                <w:kern w:val="21"/>
                <w:sz w:val="24"/>
                <w:szCs w:val="24"/>
                <w:highlight w:val="none"/>
              </w:rPr>
            </w:pPr>
            <w:r>
              <w:rPr>
                <w:rFonts w:hint="eastAsia" w:ascii="宋体" w:hAnsi="宋体" w:cs="宋体"/>
                <w:color w:val="auto"/>
                <w:kern w:val="21"/>
                <w:sz w:val="24"/>
                <w:szCs w:val="24"/>
                <w:highlight w:val="none"/>
              </w:rPr>
              <w:t>机箱：≤14L，顶置电源开关键，方便使用；</w:t>
            </w:r>
          </w:p>
          <w:p w14:paraId="0FD4A53F">
            <w:pPr>
              <w:jc w:val="left"/>
              <w:rPr>
                <w:rFonts w:hint="default" w:ascii="宋体" w:hAnsi="宋体" w:eastAsia="宋体" w:cs="宋体"/>
                <w:color w:val="auto"/>
                <w:kern w:val="21"/>
                <w:sz w:val="24"/>
                <w:szCs w:val="24"/>
                <w:highlight w:val="none"/>
                <w:lang w:val="en-US" w:eastAsia="zh-CN" w:bidi="ar-SA"/>
              </w:rPr>
            </w:pPr>
            <w:r>
              <w:rPr>
                <w:rFonts w:hint="eastAsia" w:ascii="宋体" w:hAnsi="宋体" w:cs="宋体"/>
                <w:color w:val="auto"/>
                <w:kern w:val="21"/>
                <w:sz w:val="24"/>
                <w:szCs w:val="24"/>
                <w:highlight w:val="none"/>
              </w:rPr>
              <w:t>显示屏：≥23.8英寸，分辨率≥1920*1080。</w:t>
            </w:r>
          </w:p>
        </w:tc>
        <w:tc>
          <w:tcPr>
            <w:tcW w:w="712" w:type="dxa"/>
            <w:tcBorders>
              <w:top w:val="single" w:color="auto" w:sz="4" w:space="0"/>
              <w:left w:val="single" w:color="auto" w:sz="6" w:space="0"/>
              <w:bottom w:val="single" w:color="auto" w:sz="4" w:space="0"/>
              <w:right w:val="single" w:color="auto" w:sz="6" w:space="0"/>
            </w:tcBorders>
            <w:shd w:val="clear" w:color="auto" w:fill="auto"/>
            <w:vAlign w:val="center"/>
          </w:tcPr>
          <w:p w14:paraId="03CEC3D4">
            <w:pPr>
              <w:jc w:val="center"/>
              <w:rPr>
                <w:rFonts w:hint="eastAsia" w:ascii="宋体" w:hAnsi="宋体" w:eastAsia="宋体" w:cs="宋体"/>
                <w:color w:val="auto"/>
                <w:kern w:val="21"/>
                <w:sz w:val="24"/>
                <w:szCs w:val="24"/>
                <w:highlight w:val="none"/>
                <w:lang w:val="en-US" w:eastAsia="zh-CN" w:bidi="ar-SA"/>
              </w:rPr>
            </w:pPr>
            <w:r>
              <w:rPr>
                <w:rFonts w:hint="eastAsia" w:ascii="宋体" w:hAnsi="宋体" w:cs="宋体"/>
                <w:color w:val="auto"/>
                <w:kern w:val="21"/>
                <w:sz w:val="24"/>
                <w:szCs w:val="24"/>
                <w:highlight w:val="none"/>
              </w:rPr>
              <w:t>2</w:t>
            </w:r>
          </w:p>
        </w:tc>
        <w:tc>
          <w:tcPr>
            <w:tcW w:w="1125" w:type="dxa"/>
            <w:tcBorders>
              <w:top w:val="single" w:color="auto" w:sz="4" w:space="0"/>
              <w:left w:val="single" w:color="auto" w:sz="6" w:space="0"/>
              <w:bottom w:val="single" w:color="auto" w:sz="4" w:space="0"/>
              <w:right w:val="single" w:color="auto" w:sz="6" w:space="0"/>
            </w:tcBorders>
            <w:shd w:val="clear" w:color="auto" w:fill="auto"/>
            <w:vAlign w:val="center"/>
          </w:tcPr>
          <w:p w14:paraId="42873EBE">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1"/>
                <w:sz w:val="24"/>
                <w:szCs w:val="24"/>
                <w:highlight w:val="none"/>
                <w:lang w:val="en-US" w:eastAsia="zh-CN" w:bidi="ar-SA"/>
              </w:rPr>
            </w:pPr>
            <w:r>
              <w:rPr>
                <w:rFonts w:hint="eastAsia" w:ascii="宋体" w:hAnsi="宋体" w:eastAsia="宋体" w:cs="宋体"/>
                <w:color w:val="auto"/>
                <w:kern w:val="21"/>
                <w:sz w:val="24"/>
                <w:szCs w:val="24"/>
                <w:highlight w:val="none"/>
              </w:rPr>
              <w:t>台</w:t>
            </w:r>
          </w:p>
        </w:tc>
        <w:tc>
          <w:tcPr>
            <w:tcW w:w="1063" w:type="dxa"/>
            <w:vMerge w:val="continue"/>
            <w:tcBorders>
              <w:left w:val="single" w:color="auto" w:sz="6" w:space="0"/>
              <w:right w:val="single" w:color="auto" w:sz="6" w:space="0"/>
            </w:tcBorders>
            <w:shd w:val="clear" w:color="auto" w:fill="auto"/>
            <w:vAlign w:val="center"/>
          </w:tcPr>
          <w:p w14:paraId="5ACE0B0B">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1"/>
                <w:sz w:val="24"/>
                <w:szCs w:val="24"/>
                <w:highlight w:val="none"/>
              </w:rPr>
            </w:pPr>
          </w:p>
        </w:tc>
      </w:tr>
      <w:tr w14:paraId="5A7434BA">
        <w:tblPrEx>
          <w:tblCellMar>
            <w:top w:w="0" w:type="dxa"/>
            <w:left w:w="10" w:type="dxa"/>
            <w:bottom w:w="0" w:type="dxa"/>
            <w:right w:w="10" w:type="dxa"/>
          </w:tblCellMar>
        </w:tblPrEx>
        <w:trPr>
          <w:trHeight w:val="695" w:hRule="atLeast"/>
          <w:jc w:val="center"/>
        </w:trPr>
        <w:tc>
          <w:tcPr>
            <w:tcW w:w="708" w:type="dxa"/>
            <w:tcBorders>
              <w:top w:val="single" w:color="auto" w:sz="4" w:space="0"/>
              <w:left w:val="single" w:color="auto" w:sz="6" w:space="0"/>
              <w:bottom w:val="single" w:color="auto" w:sz="4" w:space="0"/>
              <w:right w:val="single" w:color="auto" w:sz="6" w:space="0"/>
            </w:tcBorders>
            <w:shd w:val="clear" w:color="auto" w:fill="auto"/>
            <w:vAlign w:val="center"/>
          </w:tcPr>
          <w:p w14:paraId="45FE0E9A">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kern w:val="21"/>
                <w:sz w:val="24"/>
                <w:szCs w:val="24"/>
                <w:highlight w:val="none"/>
                <w:lang w:val="en-US" w:eastAsia="zh-CN" w:bidi="ar-SA"/>
              </w:rPr>
            </w:pPr>
            <w:r>
              <w:rPr>
                <w:rFonts w:hint="eastAsia" w:ascii="宋体" w:hAnsi="宋体" w:eastAsia="宋体" w:cs="宋体"/>
                <w:color w:val="auto"/>
                <w:kern w:val="21"/>
                <w:sz w:val="24"/>
                <w:szCs w:val="24"/>
                <w:highlight w:val="none"/>
                <w:lang w:val="en-US" w:eastAsia="zh-CN"/>
              </w:rPr>
              <w:t>11</w:t>
            </w:r>
          </w:p>
        </w:tc>
        <w:tc>
          <w:tcPr>
            <w:tcW w:w="1308" w:type="dxa"/>
            <w:tcBorders>
              <w:top w:val="single" w:color="auto" w:sz="4" w:space="0"/>
              <w:left w:val="nil"/>
              <w:bottom w:val="single" w:color="auto" w:sz="4" w:space="0"/>
              <w:right w:val="single" w:color="auto" w:sz="6" w:space="0"/>
            </w:tcBorders>
            <w:shd w:val="solid" w:color="FFFFFF" w:fill="auto"/>
            <w:vAlign w:val="center"/>
          </w:tcPr>
          <w:p w14:paraId="30A31AC4">
            <w:pPr>
              <w:jc w:val="center"/>
              <w:rPr>
                <w:rFonts w:hint="eastAsia" w:ascii="宋体" w:hAnsi="宋体" w:cs="宋体"/>
                <w:color w:val="auto"/>
                <w:kern w:val="21"/>
                <w:sz w:val="24"/>
                <w:szCs w:val="24"/>
                <w:highlight w:val="none"/>
              </w:rPr>
            </w:pPr>
            <w:r>
              <w:rPr>
                <w:rFonts w:hint="eastAsia" w:ascii="宋体" w:hAnsi="宋体" w:cs="宋体"/>
                <w:color w:val="auto"/>
                <w:kern w:val="21"/>
                <w:sz w:val="24"/>
                <w:szCs w:val="24"/>
                <w:highlight w:val="none"/>
              </w:rPr>
              <w:t>智能云教室</w:t>
            </w:r>
          </w:p>
          <w:p w14:paraId="72361664">
            <w:pPr>
              <w:jc w:val="center"/>
              <w:rPr>
                <w:rFonts w:hint="eastAsia" w:ascii="宋体" w:hAnsi="宋体" w:eastAsia="宋体" w:cs="宋体"/>
                <w:color w:val="auto"/>
                <w:kern w:val="21"/>
                <w:sz w:val="24"/>
                <w:szCs w:val="24"/>
                <w:highlight w:val="none"/>
                <w:lang w:val="en-US" w:eastAsia="zh-CN" w:bidi="ar-SA"/>
              </w:rPr>
            </w:pPr>
          </w:p>
        </w:tc>
        <w:tc>
          <w:tcPr>
            <w:tcW w:w="4469" w:type="dxa"/>
            <w:tcBorders>
              <w:top w:val="single" w:color="auto" w:sz="4" w:space="0"/>
              <w:left w:val="nil"/>
              <w:bottom w:val="single" w:color="auto" w:sz="4" w:space="0"/>
              <w:right w:val="single" w:color="auto" w:sz="6" w:space="0"/>
            </w:tcBorders>
            <w:shd w:val="solid" w:color="FFFFFF" w:fill="auto"/>
            <w:vAlign w:val="center"/>
          </w:tcPr>
          <w:p w14:paraId="7941E494">
            <w:pPr>
              <w:rPr>
                <w:rFonts w:hint="eastAsia" w:ascii="宋体" w:hAnsi="宋体" w:cs="宋体"/>
                <w:color w:val="auto"/>
                <w:kern w:val="21"/>
                <w:sz w:val="24"/>
                <w:szCs w:val="24"/>
                <w:highlight w:val="none"/>
              </w:rPr>
            </w:pPr>
            <w:r>
              <w:rPr>
                <w:rFonts w:hint="eastAsia" w:ascii="宋体" w:hAnsi="宋体" w:cs="宋体"/>
                <w:color w:val="auto"/>
                <w:kern w:val="21"/>
                <w:sz w:val="24"/>
                <w:szCs w:val="24"/>
                <w:highlight w:val="none"/>
              </w:rPr>
              <w:t>1.可实现所有的计算机终端集中统一管理。</w:t>
            </w:r>
          </w:p>
          <w:p w14:paraId="1EB150B5">
            <w:pPr>
              <w:rPr>
                <w:rFonts w:hint="eastAsia" w:ascii="宋体" w:hAnsi="宋体" w:cs="宋体"/>
                <w:color w:val="auto"/>
                <w:kern w:val="21"/>
                <w:sz w:val="24"/>
                <w:szCs w:val="24"/>
                <w:highlight w:val="none"/>
              </w:rPr>
            </w:pPr>
            <w:r>
              <w:rPr>
                <w:rFonts w:hint="eastAsia" w:ascii="宋体" w:hAnsi="宋体" w:cs="宋体"/>
                <w:color w:val="auto"/>
                <w:kern w:val="21"/>
                <w:sz w:val="24"/>
                <w:szCs w:val="24"/>
                <w:highlight w:val="none"/>
              </w:rPr>
              <w:t>2.无需安装任何硬件，终端连上网络就可以启动进入各种Windows桌面云环境。</w:t>
            </w:r>
          </w:p>
          <w:p w14:paraId="5F8860AC">
            <w:pPr>
              <w:rPr>
                <w:rFonts w:hint="eastAsia" w:ascii="宋体" w:hAnsi="宋体" w:cs="宋体"/>
                <w:color w:val="auto"/>
                <w:kern w:val="21"/>
                <w:sz w:val="24"/>
                <w:szCs w:val="24"/>
                <w:highlight w:val="none"/>
              </w:rPr>
            </w:pPr>
            <w:r>
              <w:rPr>
                <w:rFonts w:hint="eastAsia" w:ascii="宋体" w:hAnsi="宋体" w:cs="宋体"/>
                <w:color w:val="auto"/>
                <w:kern w:val="21"/>
                <w:sz w:val="24"/>
                <w:szCs w:val="24"/>
                <w:highlight w:val="none"/>
              </w:rPr>
              <w:t>3.支持客户端多硬盘的统一部署和保护还原。</w:t>
            </w:r>
          </w:p>
          <w:p w14:paraId="7F5D836A">
            <w:pPr>
              <w:rPr>
                <w:rFonts w:hint="eastAsia" w:ascii="宋体" w:hAnsi="宋体" w:cs="宋体"/>
                <w:color w:val="auto"/>
                <w:kern w:val="21"/>
                <w:sz w:val="24"/>
                <w:szCs w:val="24"/>
                <w:highlight w:val="none"/>
              </w:rPr>
            </w:pPr>
            <w:r>
              <w:rPr>
                <w:rFonts w:hint="eastAsia" w:ascii="宋体" w:hAnsi="宋体" w:cs="宋体"/>
                <w:color w:val="auto"/>
                <w:kern w:val="21"/>
                <w:sz w:val="24"/>
                <w:szCs w:val="24"/>
                <w:highlight w:val="none"/>
                <w:lang w:val="en-US" w:eastAsia="zh-CN"/>
              </w:rPr>
              <w:t>4</w:t>
            </w:r>
            <w:r>
              <w:rPr>
                <w:rFonts w:hint="eastAsia" w:ascii="宋体" w:hAnsi="宋体" w:cs="宋体"/>
                <w:color w:val="auto"/>
                <w:kern w:val="21"/>
                <w:sz w:val="24"/>
                <w:szCs w:val="24"/>
                <w:highlight w:val="none"/>
              </w:rPr>
              <w:t>.支持按需和完全部署两种方式向客户端交付数据，均采用动态、实时、增量的原则，可以实现只部署系统分区或者数据分区。</w:t>
            </w:r>
          </w:p>
          <w:p w14:paraId="40487C29">
            <w:pPr>
              <w:rPr>
                <w:rFonts w:hint="eastAsia" w:ascii="宋体" w:hAnsi="宋体" w:eastAsia="宋体" w:cs="宋体"/>
                <w:color w:val="auto"/>
                <w:kern w:val="21"/>
                <w:sz w:val="24"/>
                <w:szCs w:val="24"/>
                <w:highlight w:val="none"/>
                <w:lang w:val="en-US" w:eastAsia="zh-CN" w:bidi="ar-SA"/>
              </w:rPr>
            </w:pPr>
            <w:r>
              <w:rPr>
                <w:rFonts w:hint="eastAsia" w:ascii="宋体" w:hAnsi="宋体" w:cs="宋体"/>
                <w:color w:val="auto"/>
                <w:kern w:val="21"/>
                <w:sz w:val="24"/>
                <w:szCs w:val="24"/>
                <w:highlight w:val="none"/>
                <w:lang w:val="en-US" w:eastAsia="zh-CN"/>
              </w:rPr>
              <w:t>5</w:t>
            </w:r>
            <w:r>
              <w:rPr>
                <w:rFonts w:hint="eastAsia" w:ascii="宋体" w:hAnsi="宋体" w:cs="宋体"/>
                <w:color w:val="auto"/>
                <w:kern w:val="21"/>
                <w:sz w:val="24"/>
                <w:szCs w:val="24"/>
                <w:highlight w:val="none"/>
              </w:rPr>
              <w:t>.支持操作系统快照节点间的任意切换及快速恢复，切换恢复后不会删除或影响其他快照节点，且每个操作系统下的快照节点数量不少于10个。</w:t>
            </w:r>
          </w:p>
        </w:tc>
        <w:tc>
          <w:tcPr>
            <w:tcW w:w="712" w:type="dxa"/>
            <w:tcBorders>
              <w:top w:val="single" w:color="auto" w:sz="4" w:space="0"/>
              <w:left w:val="single" w:color="auto" w:sz="6" w:space="0"/>
              <w:bottom w:val="single" w:color="auto" w:sz="4" w:space="0"/>
              <w:right w:val="single" w:color="auto" w:sz="6" w:space="0"/>
            </w:tcBorders>
            <w:shd w:val="clear" w:color="auto" w:fill="auto"/>
            <w:vAlign w:val="center"/>
          </w:tcPr>
          <w:p w14:paraId="3AD7CDAD">
            <w:pPr>
              <w:jc w:val="center"/>
              <w:rPr>
                <w:rFonts w:hint="eastAsia" w:ascii="宋体" w:hAnsi="宋体" w:eastAsia="宋体" w:cs="宋体"/>
                <w:color w:val="auto"/>
                <w:kern w:val="21"/>
                <w:sz w:val="24"/>
                <w:szCs w:val="24"/>
                <w:highlight w:val="none"/>
                <w:lang w:val="en-US" w:eastAsia="zh-CN" w:bidi="ar-SA"/>
              </w:rPr>
            </w:pPr>
            <w:r>
              <w:rPr>
                <w:rFonts w:hint="eastAsia" w:ascii="宋体" w:hAnsi="宋体" w:cs="宋体"/>
                <w:color w:val="auto"/>
                <w:kern w:val="21"/>
                <w:sz w:val="24"/>
                <w:szCs w:val="24"/>
                <w:highlight w:val="none"/>
              </w:rPr>
              <w:t>2</w:t>
            </w:r>
          </w:p>
        </w:tc>
        <w:tc>
          <w:tcPr>
            <w:tcW w:w="1125" w:type="dxa"/>
            <w:tcBorders>
              <w:top w:val="single" w:color="auto" w:sz="4" w:space="0"/>
              <w:left w:val="single" w:color="auto" w:sz="6" w:space="0"/>
              <w:bottom w:val="single" w:color="auto" w:sz="4" w:space="0"/>
              <w:right w:val="single" w:color="auto" w:sz="6" w:space="0"/>
            </w:tcBorders>
            <w:shd w:val="clear" w:color="auto" w:fill="auto"/>
            <w:vAlign w:val="center"/>
          </w:tcPr>
          <w:p w14:paraId="542F45F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1"/>
                <w:sz w:val="24"/>
                <w:szCs w:val="24"/>
                <w:highlight w:val="none"/>
                <w:lang w:val="en-US" w:eastAsia="zh-CN" w:bidi="ar-SA"/>
              </w:rPr>
            </w:pPr>
            <w:r>
              <w:rPr>
                <w:rFonts w:hint="eastAsia" w:ascii="宋体" w:hAnsi="宋体" w:eastAsia="宋体" w:cs="宋体"/>
                <w:color w:val="auto"/>
                <w:kern w:val="21"/>
                <w:sz w:val="24"/>
                <w:szCs w:val="24"/>
                <w:highlight w:val="none"/>
                <w:lang w:val="en-US" w:eastAsia="zh-CN"/>
              </w:rPr>
              <w:t>套</w:t>
            </w:r>
          </w:p>
        </w:tc>
        <w:tc>
          <w:tcPr>
            <w:tcW w:w="1063" w:type="dxa"/>
            <w:vMerge w:val="continue"/>
            <w:tcBorders>
              <w:left w:val="single" w:color="auto" w:sz="6" w:space="0"/>
              <w:right w:val="single" w:color="auto" w:sz="6" w:space="0"/>
            </w:tcBorders>
            <w:shd w:val="clear" w:color="auto" w:fill="auto"/>
            <w:vAlign w:val="center"/>
          </w:tcPr>
          <w:p w14:paraId="201345C8">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1"/>
                <w:sz w:val="24"/>
                <w:szCs w:val="24"/>
                <w:highlight w:val="none"/>
                <w:lang w:val="en-US" w:eastAsia="zh-CN"/>
              </w:rPr>
            </w:pPr>
          </w:p>
        </w:tc>
      </w:tr>
      <w:tr w14:paraId="20910C2C">
        <w:tblPrEx>
          <w:tblCellMar>
            <w:top w:w="0" w:type="dxa"/>
            <w:left w:w="10" w:type="dxa"/>
            <w:bottom w:w="0" w:type="dxa"/>
            <w:right w:w="10" w:type="dxa"/>
          </w:tblCellMar>
        </w:tblPrEx>
        <w:trPr>
          <w:trHeight w:val="2836" w:hRule="atLeast"/>
          <w:jc w:val="center"/>
        </w:trPr>
        <w:tc>
          <w:tcPr>
            <w:tcW w:w="708" w:type="dxa"/>
            <w:tcBorders>
              <w:top w:val="single" w:color="auto" w:sz="4" w:space="0"/>
              <w:left w:val="single" w:color="auto" w:sz="6" w:space="0"/>
              <w:bottom w:val="single" w:color="auto" w:sz="4" w:space="0"/>
              <w:right w:val="single" w:color="auto" w:sz="6" w:space="0"/>
            </w:tcBorders>
            <w:shd w:val="clear" w:color="auto" w:fill="auto"/>
            <w:vAlign w:val="center"/>
          </w:tcPr>
          <w:p w14:paraId="7126004C">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kern w:val="21"/>
                <w:sz w:val="24"/>
                <w:szCs w:val="24"/>
                <w:highlight w:val="none"/>
                <w:lang w:val="en-US" w:eastAsia="zh-CN" w:bidi="ar-SA"/>
              </w:rPr>
            </w:pPr>
            <w:r>
              <w:rPr>
                <w:rFonts w:hint="eastAsia" w:ascii="宋体" w:hAnsi="宋体" w:eastAsia="宋体" w:cs="宋体"/>
                <w:color w:val="auto"/>
                <w:kern w:val="21"/>
                <w:sz w:val="24"/>
                <w:szCs w:val="24"/>
                <w:highlight w:val="none"/>
                <w:lang w:val="en-US" w:eastAsia="zh-CN"/>
              </w:rPr>
              <w:t>12</w:t>
            </w:r>
          </w:p>
        </w:tc>
        <w:tc>
          <w:tcPr>
            <w:tcW w:w="1308" w:type="dxa"/>
            <w:tcBorders>
              <w:top w:val="single" w:color="auto" w:sz="4" w:space="0"/>
              <w:left w:val="nil"/>
              <w:bottom w:val="single" w:color="auto" w:sz="4" w:space="0"/>
              <w:right w:val="single" w:color="auto" w:sz="6" w:space="0"/>
            </w:tcBorders>
            <w:shd w:val="solid" w:color="FFFFFF" w:fill="auto"/>
            <w:vAlign w:val="center"/>
          </w:tcPr>
          <w:p w14:paraId="01E780E4">
            <w:pPr>
              <w:jc w:val="center"/>
              <w:rPr>
                <w:rFonts w:hint="default" w:ascii="宋体" w:hAnsi="宋体" w:eastAsia="宋体" w:cs="宋体"/>
                <w:color w:val="auto"/>
                <w:kern w:val="21"/>
                <w:sz w:val="24"/>
                <w:szCs w:val="24"/>
                <w:highlight w:val="none"/>
                <w:lang w:val="en-US" w:eastAsia="zh-CN" w:bidi="ar-SA"/>
              </w:rPr>
            </w:pPr>
            <w:r>
              <w:rPr>
                <w:rFonts w:hint="eastAsia" w:ascii="宋体" w:hAnsi="宋体" w:cs="宋体"/>
                <w:color w:val="auto"/>
                <w:kern w:val="21"/>
                <w:sz w:val="24"/>
                <w:szCs w:val="24"/>
                <w:highlight w:val="none"/>
              </w:rPr>
              <w:t>PDU电源管理设备</w:t>
            </w:r>
          </w:p>
        </w:tc>
        <w:tc>
          <w:tcPr>
            <w:tcW w:w="4469" w:type="dxa"/>
            <w:tcBorders>
              <w:top w:val="single" w:color="auto" w:sz="4" w:space="0"/>
              <w:left w:val="nil"/>
              <w:bottom w:val="single" w:color="auto" w:sz="4" w:space="0"/>
              <w:right w:val="single" w:color="auto" w:sz="6" w:space="0"/>
            </w:tcBorders>
            <w:shd w:val="clear" w:color="auto" w:fill="auto"/>
            <w:vAlign w:val="center"/>
          </w:tcPr>
          <w:p w14:paraId="6EF93F28">
            <w:pPr>
              <w:rPr>
                <w:rFonts w:hint="eastAsia" w:ascii="宋体" w:hAnsi="宋体" w:cs="宋体"/>
                <w:color w:val="auto"/>
                <w:kern w:val="21"/>
                <w:sz w:val="24"/>
                <w:szCs w:val="24"/>
                <w:highlight w:val="none"/>
              </w:rPr>
            </w:pPr>
            <w:r>
              <w:rPr>
                <w:rFonts w:hint="eastAsia" w:ascii="宋体" w:hAnsi="宋体" w:cs="宋体"/>
                <w:color w:val="auto"/>
                <w:kern w:val="21"/>
                <w:sz w:val="24"/>
                <w:szCs w:val="24"/>
                <w:highlight w:val="none"/>
              </w:rPr>
              <w:t>1.标准机箱设计，1U铝合金面板，人性化的抽手设计，美观实用。</w:t>
            </w:r>
          </w:p>
          <w:p w14:paraId="096A1A4E">
            <w:pPr>
              <w:rPr>
                <w:rFonts w:hint="eastAsia" w:ascii="宋体" w:hAnsi="宋体" w:cs="宋体"/>
                <w:color w:val="auto"/>
                <w:kern w:val="21"/>
                <w:sz w:val="24"/>
                <w:szCs w:val="24"/>
                <w:highlight w:val="none"/>
              </w:rPr>
            </w:pPr>
            <w:r>
              <w:rPr>
                <w:rFonts w:hint="eastAsia" w:ascii="宋体" w:hAnsi="宋体" w:cs="宋体"/>
                <w:color w:val="auto"/>
                <w:kern w:val="21"/>
                <w:sz w:val="24"/>
                <w:szCs w:val="24"/>
                <w:highlight w:val="none"/>
              </w:rPr>
              <w:t>2.50A大电流，三芯电源输入缆线，电源输入连接方便，带负载总电流可达50A；</w:t>
            </w:r>
          </w:p>
          <w:p w14:paraId="79466608">
            <w:pPr>
              <w:rPr>
                <w:rFonts w:hint="eastAsia" w:ascii="宋体" w:hAnsi="宋体" w:cs="宋体"/>
                <w:color w:val="auto"/>
                <w:kern w:val="21"/>
                <w:sz w:val="24"/>
                <w:szCs w:val="24"/>
                <w:highlight w:val="none"/>
              </w:rPr>
            </w:pPr>
            <w:r>
              <w:rPr>
                <w:rFonts w:hint="eastAsia" w:ascii="宋体" w:hAnsi="宋体" w:cs="宋体"/>
                <w:color w:val="auto"/>
                <w:kern w:val="21"/>
                <w:sz w:val="24"/>
                <w:szCs w:val="24"/>
                <w:highlight w:val="none"/>
              </w:rPr>
              <w:t>3.接口具有9个AC220V输出接口、1个RJ45接口、1个RS485接口、2个USB接口、1路数字信号输入、1路数字信号输出、1个空气开关、1个旋钮和5个按键；</w:t>
            </w:r>
          </w:p>
          <w:p w14:paraId="2D55CDDA">
            <w:pPr>
              <w:rPr>
                <w:rFonts w:hint="eastAsia" w:ascii="宋体" w:hAnsi="宋体" w:cs="宋体"/>
                <w:color w:val="auto"/>
                <w:kern w:val="21"/>
                <w:sz w:val="24"/>
                <w:szCs w:val="24"/>
                <w:highlight w:val="none"/>
              </w:rPr>
            </w:pPr>
            <w:r>
              <w:rPr>
                <w:rFonts w:hint="eastAsia" w:ascii="宋体" w:hAnsi="宋体" w:cs="宋体"/>
                <w:color w:val="auto"/>
                <w:kern w:val="21"/>
                <w:sz w:val="24"/>
                <w:szCs w:val="24"/>
                <w:highlight w:val="none"/>
              </w:rPr>
              <w:t xml:space="preserve">4.前面板配1路直通220V电源座及2路USB DC-5V，1A直流供电接口，便于调试照明及手机IPAD充电； </w:t>
            </w:r>
          </w:p>
          <w:p w14:paraId="0A02E3C9">
            <w:pPr>
              <w:rPr>
                <w:rFonts w:hint="eastAsia" w:ascii="宋体" w:hAnsi="宋体" w:cs="宋体"/>
                <w:color w:val="auto"/>
                <w:kern w:val="21"/>
                <w:sz w:val="24"/>
                <w:szCs w:val="24"/>
                <w:highlight w:val="none"/>
              </w:rPr>
            </w:pPr>
            <w:r>
              <w:rPr>
                <w:rFonts w:hint="eastAsia" w:ascii="宋体" w:hAnsi="宋体" w:cs="宋体"/>
                <w:color w:val="auto"/>
                <w:kern w:val="21"/>
                <w:sz w:val="24"/>
                <w:szCs w:val="24"/>
                <w:highlight w:val="none"/>
              </w:rPr>
              <w:t>5.后面板8路多功能标准插座输出，通用于国际多种类型插头；</w:t>
            </w:r>
          </w:p>
          <w:p w14:paraId="0868810B">
            <w:pPr>
              <w:rPr>
                <w:rFonts w:hint="eastAsia" w:ascii="宋体" w:hAnsi="宋体" w:eastAsia="宋体" w:cs="宋体"/>
                <w:color w:val="auto"/>
                <w:kern w:val="21"/>
                <w:sz w:val="24"/>
                <w:szCs w:val="24"/>
                <w:highlight w:val="none"/>
                <w:lang w:val="en-US" w:eastAsia="zh-CN" w:bidi="ar-SA"/>
              </w:rPr>
            </w:pPr>
            <w:r>
              <w:rPr>
                <w:rFonts w:hint="eastAsia" w:ascii="宋体" w:hAnsi="宋体" w:cs="宋体"/>
                <w:color w:val="auto"/>
                <w:kern w:val="21"/>
                <w:sz w:val="24"/>
                <w:szCs w:val="24"/>
                <w:highlight w:val="none"/>
              </w:rPr>
              <w:t>6.带远程干结点信号控制功能及短路信号输出功能，便于联机下一台设备达到统一管理。含安装调试完成。</w:t>
            </w:r>
          </w:p>
        </w:tc>
        <w:tc>
          <w:tcPr>
            <w:tcW w:w="712" w:type="dxa"/>
            <w:tcBorders>
              <w:top w:val="single" w:color="auto" w:sz="4" w:space="0"/>
              <w:left w:val="single" w:color="auto" w:sz="6" w:space="0"/>
              <w:bottom w:val="single" w:color="auto" w:sz="4" w:space="0"/>
              <w:right w:val="single" w:color="auto" w:sz="6" w:space="0"/>
            </w:tcBorders>
            <w:shd w:val="clear" w:color="auto" w:fill="auto"/>
            <w:vAlign w:val="center"/>
          </w:tcPr>
          <w:p w14:paraId="03487D96">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1"/>
                <w:sz w:val="24"/>
                <w:szCs w:val="24"/>
                <w:highlight w:val="none"/>
                <w:lang w:val="en-US" w:eastAsia="zh-CN" w:bidi="ar-SA"/>
              </w:rPr>
            </w:pPr>
            <w:r>
              <w:rPr>
                <w:rFonts w:hint="eastAsia" w:ascii="宋体" w:hAnsi="宋体" w:eastAsia="宋体" w:cs="宋体"/>
                <w:color w:val="auto"/>
                <w:kern w:val="21"/>
                <w:sz w:val="24"/>
                <w:szCs w:val="24"/>
                <w:highlight w:val="none"/>
              </w:rPr>
              <w:t>1</w:t>
            </w:r>
          </w:p>
        </w:tc>
        <w:tc>
          <w:tcPr>
            <w:tcW w:w="1125" w:type="dxa"/>
            <w:tcBorders>
              <w:top w:val="single" w:color="auto" w:sz="4" w:space="0"/>
              <w:left w:val="single" w:color="auto" w:sz="6" w:space="0"/>
              <w:bottom w:val="single" w:color="auto" w:sz="4" w:space="0"/>
              <w:right w:val="single" w:color="auto" w:sz="6" w:space="0"/>
            </w:tcBorders>
            <w:shd w:val="clear" w:color="auto" w:fill="auto"/>
            <w:vAlign w:val="center"/>
          </w:tcPr>
          <w:p w14:paraId="387DF898">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1"/>
                <w:sz w:val="24"/>
                <w:szCs w:val="24"/>
                <w:highlight w:val="none"/>
                <w:lang w:val="en-US" w:eastAsia="zh-CN" w:bidi="ar-SA"/>
              </w:rPr>
            </w:pPr>
            <w:r>
              <w:rPr>
                <w:rFonts w:hint="eastAsia" w:ascii="宋体" w:hAnsi="宋体" w:eastAsia="宋体" w:cs="宋体"/>
                <w:color w:val="auto"/>
                <w:kern w:val="21"/>
                <w:sz w:val="24"/>
                <w:szCs w:val="24"/>
                <w:highlight w:val="none"/>
              </w:rPr>
              <w:t>个</w:t>
            </w:r>
          </w:p>
        </w:tc>
        <w:tc>
          <w:tcPr>
            <w:tcW w:w="1063" w:type="dxa"/>
            <w:vMerge w:val="continue"/>
            <w:tcBorders>
              <w:left w:val="single" w:color="auto" w:sz="6" w:space="0"/>
              <w:right w:val="single" w:color="auto" w:sz="6" w:space="0"/>
            </w:tcBorders>
            <w:shd w:val="clear" w:color="auto" w:fill="auto"/>
            <w:vAlign w:val="center"/>
          </w:tcPr>
          <w:p w14:paraId="04CC9E41">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1"/>
                <w:sz w:val="24"/>
                <w:szCs w:val="24"/>
                <w:highlight w:val="none"/>
              </w:rPr>
            </w:pPr>
          </w:p>
        </w:tc>
      </w:tr>
      <w:tr w14:paraId="4DBA32AC">
        <w:tblPrEx>
          <w:tblCellMar>
            <w:top w:w="0" w:type="dxa"/>
            <w:left w:w="10" w:type="dxa"/>
            <w:bottom w:w="0" w:type="dxa"/>
            <w:right w:w="10" w:type="dxa"/>
          </w:tblCellMar>
        </w:tblPrEx>
        <w:trPr>
          <w:trHeight w:val="695" w:hRule="atLeast"/>
          <w:jc w:val="center"/>
        </w:trPr>
        <w:tc>
          <w:tcPr>
            <w:tcW w:w="708" w:type="dxa"/>
            <w:tcBorders>
              <w:top w:val="single" w:color="auto" w:sz="4" w:space="0"/>
              <w:left w:val="single" w:color="auto" w:sz="6" w:space="0"/>
              <w:bottom w:val="single" w:color="auto" w:sz="4" w:space="0"/>
              <w:right w:val="single" w:color="auto" w:sz="6" w:space="0"/>
            </w:tcBorders>
            <w:shd w:val="clear" w:color="auto" w:fill="auto"/>
            <w:vAlign w:val="center"/>
          </w:tcPr>
          <w:p w14:paraId="0AA83FF8">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kern w:val="21"/>
                <w:sz w:val="24"/>
                <w:szCs w:val="24"/>
                <w:highlight w:val="none"/>
                <w:lang w:val="en-US" w:eastAsia="zh-CN" w:bidi="ar-SA"/>
              </w:rPr>
            </w:pPr>
            <w:r>
              <w:rPr>
                <w:rFonts w:hint="eastAsia" w:ascii="宋体" w:hAnsi="宋体" w:eastAsia="宋体" w:cs="宋体"/>
                <w:color w:val="auto"/>
                <w:kern w:val="21"/>
                <w:sz w:val="24"/>
                <w:szCs w:val="24"/>
                <w:highlight w:val="none"/>
                <w:lang w:val="en-US" w:eastAsia="zh-CN" w:bidi="ar-SA"/>
              </w:rPr>
              <w:t>13</w:t>
            </w:r>
          </w:p>
        </w:tc>
        <w:tc>
          <w:tcPr>
            <w:tcW w:w="1308" w:type="dxa"/>
            <w:tcBorders>
              <w:top w:val="single" w:color="auto" w:sz="4" w:space="0"/>
              <w:left w:val="nil"/>
              <w:bottom w:val="single" w:color="auto" w:sz="4" w:space="0"/>
              <w:right w:val="single" w:color="auto" w:sz="6" w:space="0"/>
            </w:tcBorders>
            <w:shd w:val="solid" w:color="FFFFFF" w:fill="auto"/>
            <w:vAlign w:val="center"/>
          </w:tcPr>
          <w:p w14:paraId="286129B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1"/>
                <w:sz w:val="24"/>
                <w:szCs w:val="24"/>
                <w:highlight w:val="none"/>
                <w:lang w:val="en-US" w:eastAsia="zh-CN" w:bidi="ar-SA"/>
              </w:rPr>
            </w:pPr>
            <w:r>
              <w:rPr>
                <w:rFonts w:hint="eastAsia" w:ascii="宋体" w:hAnsi="宋体" w:eastAsia="宋体" w:cs="宋体"/>
                <w:color w:val="auto"/>
                <w:kern w:val="21"/>
                <w:sz w:val="24"/>
                <w:szCs w:val="24"/>
                <w:highlight w:val="none"/>
              </w:rPr>
              <w:t>联动提示报警音箱</w:t>
            </w:r>
          </w:p>
        </w:tc>
        <w:tc>
          <w:tcPr>
            <w:tcW w:w="4469" w:type="dxa"/>
            <w:tcBorders>
              <w:top w:val="single" w:color="auto" w:sz="4" w:space="0"/>
              <w:left w:val="nil"/>
              <w:bottom w:val="single" w:color="auto" w:sz="4" w:space="0"/>
              <w:right w:val="single" w:color="auto" w:sz="6" w:space="0"/>
            </w:tcBorders>
            <w:shd w:val="clear" w:color="auto" w:fill="auto"/>
            <w:vAlign w:val="center"/>
          </w:tcPr>
          <w:p w14:paraId="100CACC7">
            <w:pPr>
              <w:rPr>
                <w:rFonts w:hint="eastAsia" w:ascii="宋体" w:hAnsi="宋体" w:cs="宋体"/>
                <w:color w:val="auto"/>
                <w:kern w:val="21"/>
                <w:sz w:val="24"/>
                <w:szCs w:val="24"/>
                <w:highlight w:val="none"/>
              </w:rPr>
            </w:pPr>
            <w:r>
              <w:rPr>
                <w:rFonts w:hint="eastAsia" w:ascii="宋体" w:hAnsi="宋体" w:cs="宋体"/>
                <w:color w:val="auto"/>
                <w:kern w:val="21"/>
                <w:sz w:val="24"/>
                <w:szCs w:val="24"/>
                <w:highlight w:val="none"/>
              </w:rPr>
              <w:t>1.具有10Mbps/100Mbps自适应以太网接口，内置交换机功能，支持设备手拉手或星型连接；</w:t>
            </w:r>
          </w:p>
          <w:p w14:paraId="421CEAAD">
            <w:pPr>
              <w:rPr>
                <w:rFonts w:hint="eastAsia" w:ascii="宋体" w:hAnsi="宋体" w:cs="宋体"/>
                <w:color w:val="auto"/>
                <w:kern w:val="21"/>
                <w:sz w:val="24"/>
                <w:szCs w:val="24"/>
                <w:highlight w:val="none"/>
              </w:rPr>
            </w:pPr>
            <w:r>
              <w:rPr>
                <w:rFonts w:hint="eastAsia" w:ascii="宋体" w:hAnsi="宋体" w:cs="宋体"/>
                <w:color w:val="auto"/>
                <w:kern w:val="21"/>
                <w:sz w:val="24"/>
                <w:szCs w:val="24"/>
                <w:highlight w:val="none"/>
              </w:rPr>
              <w:t>2.具有本地线路输入，本地话筒输入，网络音频三级优先级设置功能；</w:t>
            </w:r>
          </w:p>
          <w:p w14:paraId="4E5D1A37">
            <w:pPr>
              <w:rPr>
                <w:rFonts w:hint="eastAsia" w:ascii="宋体" w:hAnsi="宋体" w:cs="宋体"/>
                <w:color w:val="auto"/>
                <w:kern w:val="21"/>
                <w:sz w:val="24"/>
                <w:szCs w:val="24"/>
                <w:highlight w:val="none"/>
              </w:rPr>
            </w:pPr>
            <w:r>
              <w:rPr>
                <w:rFonts w:hint="eastAsia" w:ascii="宋体" w:hAnsi="宋体" w:cs="宋体"/>
                <w:color w:val="auto"/>
                <w:kern w:val="21"/>
                <w:sz w:val="24"/>
                <w:szCs w:val="24"/>
                <w:highlight w:val="none"/>
              </w:rPr>
              <w:t>3.内置RS-485展总线≥1路，总线可扩展各类扩展设备；</w:t>
            </w:r>
          </w:p>
          <w:p w14:paraId="57788EC1">
            <w:pPr>
              <w:rPr>
                <w:rFonts w:hint="eastAsia" w:ascii="宋体" w:hAnsi="宋体" w:cs="宋体"/>
                <w:color w:val="auto"/>
                <w:kern w:val="21"/>
                <w:sz w:val="24"/>
                <w:szCs w:val="24"/>
                <w:highlight w:val="none"/>
              </w:rPr>
            </w:pPr>
            <w:r>
              <w:rPr>
                <w:rFonts w:hint="eastAsia" w:ascii="宋体" w:hAnsi="宋体" w:cs="宋体"/>
                <w:color w:val="auto"/>
                <w:kern w:val="21"/>
                <w:sz w:val="24"/>
                <w:szCs w:val="24"/>
                <w:highlight w:val="none"/>
              </w:rPr>
              <w:t>4.具有1路15V输出触发接口，可连接控制音控器或时序电源。</w:t>
            </w:r>
          </w:p>
          <w:p w14:paraId="0FC4103A">
            <w:pPr>
              <w:adjustRightInd w:val="0"/>
              <w:snapToGrid w:val="0"/>
              <w:rPr>
                <w:rFonts w:hint="eastAsia" w:ascii="宋体" w:hAnsi="宋体" w:eastAsia="微软雅黑" w:cs="宋体"/>
                <w:color w:val="auto"/>
                <w:kern w:val="21"/>
                <w:sz w:val="24"/>
                <w:szCs w:val="24"/>
                <w:highlight w:val="none"/>
                <w:lang w:val="en-US" w:eastAsia="zh-CN" w:bidi="ar-SA"/>
              </w:rPr>
            </w:pPr>
            <w:r>
              <w:rPr>
                <w:rFonts w:hint="eastAsia" w:ascii="宋体" w:hAnsi="宋体" w:cs="宋体"/>
                <w:color w:val="auto"/>
                <w:kern w:val="21"/>
                <w:sz w:val="24"/>
                <w:szCs w:val="24"/>
                <w:highlight w:val="none"/>
              </w:rPr>
              <w:t>5.内置功放≥2*20W，内置1只20W/4</w:t>
            </w:r>
            <w:r>
              <w:rPr>
                <w:rFonts w:hint="eastAsia" w:ascii="微软雅黑" w:hAnsi="微软雅黑" w:eastAsia="微软雅黑" w:cs="微软雅黑"/>
                <w:color w:val="auto"/>
                <w:kern w:val="21"/>
                <w:sz w:val="24"/>
                <w:szCs w:val="24"/>
                <w:highlight w:val="none"/>
              </w:rPr>
              <w:t>Ω</w:t>
            </w:r>
            <w:r>
              <w:rPr>
                <w:rFonts w:hint="eastAsia" w:ascii="宋体" w:hAnsi="宋体" w:cs="宋体"/>
                <w:color w:val="auto"/>
                <w:kern w:val="21"/>
                <w:sz w:val="24"/>
                <w:szCs w:val="24"/>
                <w:highlight w:val="none"/>
              </w:rPr>
              <w:t>定阻喇叭，音箱最大声压级可达105dB，可接辅音箱为一只20W/4</w:t>
            </w:r>
            <w:r>
              <w:rPr>
                <w:rFonts w:hint="eastAsia" w:ascii="微软雅黑" w:hAnsi="微软雅黑" w:eastAsia="微软雅黑" w:cs="微软雅黑"/>
                <w:color w:val="auto"/>
                <w:kern w:val="21"/>
                <w:sz w:val="24"/>
                <w:szCs w:val="24"/>
                <w:highlight w:val="none"/>
              </w:rPr>
              <w:t>Ω</w:t>
            </w:r>
            <w:r>
              <w:rPr>
                <w:rFonts w:hint="eastAsia" w:ascii="宋体" w:hAnsi="宋体" w:cs="宋体"/>
                <w:color w:val="auto"/>
                <w:kern w:val="21"/>
                <w:sz w:val="24"/>
                <w:szCs w:val="24"/>
                <w:highlight w:val="none"/>
              </w:rPr>
              <w:t>。含安装调试完成。</w:t>
            </w:r>
          </w:p>
        </w:tc>
        <w:tc>
          <w:tcPr>
            <w:tcW w:w="712" w:type="dxa"/>
            <w:tcBorders>
              <w:top w:val="single" w:color="auto" w:sz="4" w:space="0"/>
              <w:left w:val="single" w:color="auto" w:sz="6" w:space="0"/>
              <w:bottom w:val="single" w:color="auto" w:sz="4" w:space="0"/>
              <w:right w:val="single" w:color="auto" w:sz="6" w:space="0"/>
            </w:tcBorders>
            <w:shd w:val="clear" w:color="auto" w:fill="auto"/>
            <w:vAlign w:val="center"/>
          </w:tcPr>
          <w:p w14:paraId="7582A5EE">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1"/>
                <w:sz w:val="24"/>
                <w:szCs w:val="24"/>
                <w:highlight w:val="none"/>
                <w:lang w:val="en-US" w:eastAsia="zh-CN" w:bidi="ar-SA"/>
              </w:rPr>
            </w:pPr>
            <w:r>
              <w:rPr>
                <w:rFonts w:hint="eastAsia" w:ascii="宋体" w:hAnsi="宋体" w:eastAsia="宋体" w:cs="宋体"/>
                <w:color w:val="auto"/>
                <w:kern w:val="21"/>
                <w:sz w:val="24"/>
                <w:szCs w:val="24"/>
                <w:highlight w:val="none"/>
              </w:rPr>
              <w:t>1</w:t>
            </w:r>
          </w:p>
        </w:tc>
        <w:tc>
          <w:tcPr>
            <w:tcW w:w="1125" w:type="dxa"/>
            <w:tcBorders>
              <w:top w:val="single" w:color="auto" w:sz="4" w:space="0"/>
              <w:left w:val="single" w:color="auto" w:sz="6" w:space="0"/>
              <w:bottom w:val="single" w:color="auto" w:sz="4" w:space="0"/>
              <w:right w:val="single" w:color="auto" w:sz="6" w:space="0"/>
            </w:tcBorders>
            <w:shd w:val="clear" w:color="auto" w:fill="auto"/>
            <w:vAlign w:val="center"/>
          </w:tcPr>
          <w:p w14:paraId="2F1D9BDD">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1"/>
                <w:sz w:val="24"/>
                <w:szCs w:val="24"/>
                <w:highlight w:val="none"/>
                <w:lang w:val="en-US" w:eastAsia="zh-CN" w:bidi="ar-SA"/>
              </w:rPr>
            </w:pPr>
            <w:r>
              <w:rPr>
                <w:rFonts w:hint="eastAsia" w:ascii="宋体" w:hAnsi="宋体" w:eastAsia="宋体" w:cs="宋体"/>
                <w:color w:val="auto"/>
                <w:kern w:val="21"/>
                <w:sz w:val="24"/>
                <w:szCs w:val="24"/>
                <w:highlight w:val="none"/>
              </w:rPr>
              <w:t>对</w:t>
            </w:r>
          </w:p>
        </w:tc>
        <w:tc>
          <w:tcPr>
            <w:tcW w:w="1063" w:type="dxa"/>
            <w:vMerge w:val="continue"/>
            <w:tcBorders>
              <w:left w:val="single" w:color="auto" w:sz="6" w:space="0"/>
              <w:right w:val="single" w:color="auto" w:sz="6" w:space="0"/>
            </w:tcBorders>
            <w:shd w:val="clear" w:color="auto" w:fill="auto"/>
            <w:vAlign w:val="center"/>
          </w:tcPr>
          <w:p w14:paraId="17B07668">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1"/>
                <w:sz w:val="24"/>
                <w:szCs w:val="24"/>
                <w:highlight w:val="none"/>
              </w:rPr>
            </w:pPr>
          </w:p>
        </w:tc>
      </w:tr>
      <w:tr w14:paraId="269F8BF2">
        <w:tblPrEx>
          <w:tblCellMar>
            <w:top w:w="0" w:type="dxa"/>
            <w:left w:w="10" w:type="dxa"/>
            <w:bottom w:w="0" w:type="dxa"/>
            <w:right w:w="10" w:type="dxa"/>
          </w:tblCellMar>
        </w:tblPrEx>
        <w:trPr>
          <w:trHeight w:val="695" w:hRule="atLeast"/>
          <w:jc w:val="center"/>
        </w:trPr>
        <w:tc>
          <w:tcPr>
            <w:tcW w:w="708" w:type="dxa"/>
            <w:tcBorders>
              <w:top w:val="single" w:color="auto" w:sz="4" w:space="0"/>
              <w:left w:val="single" w:color="auto" w:sz="6" w:space="0"/>
              <w:bottom w:val="single" w:color="auto" w:sz="4" w:space="0"/>
              <w:right w:val="single" w:color="auto" w:sz="6" w:space="0"/>
            </w:tcBorders>
            <w:shd w:val="clear" w:color="auto" w:fill="auto"/>
            <w:vAlign w:val="center"/>
          </w:tcPr>
          <w:p w14:paraId="57355EF7">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kern w:val="21"/>
                <w:sz w:val="24"/>
                <w:szCs w:val="24"/>
                <w:highlight w:val="none"/>
                <w:lang w:val="en-US" w:eastAsia="zh-CN" w:bidi="ar-SA"/>
              </w:rPr>
            </w:pPr>
            <w:r>
              <w:rPr>
                <w:rFonts w:hint="eastAsia" w:ascii="宋体" w:hAnsi="宋体" w:eastAsia="宋体" w:cs="宋体"/>
                <w:color w:val="auto"/>
                <w:kern w:val="21"/>
                <w:sz w:val="24"/>
                <w:szCs w:val="24"/>
                <w:highlight w:val="none"/>
                <w:lang w:val="en-US" w:eastAsia="zh-CN" w:bidi="ar-SA"/>
              </w:rPr>
              <w:t>14</w:t>
            </w:r>
          </w:p>
        </w:tc>
        <w:tc>
          <w:tcPr>
            <w:tcW w:w="1308" w:type="dxa"/>
            <w:tcBorders>
              <w:top w:val="single" w:color="auto" w:sz="4" w:space="0"/>
              <w:left w:val="nil"/>
              <w:bottom w:val="single" w:color="auto" w:sz="4" w:space="0"/>
              <w:right w:val="single" w:color="auto" w:sz="6" w:space="0"/>
            </w:tcBorders>
            <w:shd w:val="solid" w:color="FFFFFF" w:fill="auto"/>
            <w:vAlign w:val="center"/>
          </w:tcPr>
          <w:p w14:paraId="1E6AFCA4">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1"/>
                <w:sz w:val="24"/>
                <w:szCs w:val="24"/>
                <w:highlight w:val="none"/>
                <w:lang w:val="en-US" w:eastAsia="zh-CN" w:bidi="ar-SA"/>
              </w:rPr>
            </w:pPr>
            <w:r>
              <w:rPr>
                <w:rFonts w:hint="eastAsia" w:ascii="宋体" w:hAnsi="宋体" w:eastAsia="宋体" w:cs="宋体"/>
                <w:color w:val="auto"/>
                <w:kern w:val="21"/>
                <w:sz w:val="24"/>
                <w:szCs w:val="24"/>
                <w:highlight w:val="none"/>
              </w:rPr>
              <w:t>巡更棒</w:t>
            </w:r>
          </w:p>
        </w:tc>
        <w:tc>
          <w:tcPr>
            <w:tcW w:w="4469" w:type="dxa"/>
            <w:tcBorders>
              <w:top w:val="single" w:color="auto" w:sz="4" w:space="0"/>
              <w:left w:val="nil"/>
              <w:bottom w:val="single" w:color="auto" w:sz="4" w:space="0"/>
              <w:right w:val="single" w:color="auto" w:sz="6" w:space="0"/>
            </w:tcBorders>
            <w:shd w:val="solid" w:color="FFFFFF" w:fill="auto"/>
            <w:vAlign w:val="center"/>
          </w:tcPr>
          <w:p w14:paraId="74CE074E">
            <w:pPr>
              <w:rPr>
                <w:rFonts w:hint="eastAsia" w:ascii="宋体" w:hAnsi="宋体" w:cs="宋体"/>
                <w:color w:val="auto"/>
                <w:kern w:val="21"/>
                <w:sz w:val="24"/>
                <w:szCs w:val="24"/>
                <w:highlight w:val="none"/>
              </w:rPr>
            </w:pPr>
            <w:r>
              <w:rPr>
                <w:rFonts w:hint="eastAsia" w:ascii="宋体" w:hAnsi="宋体" w:cs="宋体"/>
                <w:color w:val="auto"/>
                <w:kern w:val="21"/>
                <w:sz w:val="24"/>
                <w:szCs w:val="24"/>
                <w:highlight w:val="none"/>
              </w:rPr>
              <w:t>1.为避免更换电池，要求巡更机为不可拆卸充电电池，并标配充电器；电池容量不得低3300mA时。巡更机必须支持充电器充电和电脑USB充电，可外接充电宝；必须支持快充，并且充电时液晶屏幕有进度提示；</w:t>
            </w:r>
          </w:p>
          <w:p w14:paraId="40FA03B1">
            <w:pPr>
              <w:rPr>
                <w:rFonts w:hint="eastAsia" w:ascii="宋体" w:hAnsi="宋体" w:cs="宋体"/>
                <w:color w:val="auto"/>
                <w:kern w:val="21"/>
                <w:sz w:val="24"/>
                <w:szCs w:val="24"/>
                <w:highlight w:val="none"/>
              </w:rPr>
            </w:pPr>
            <w:r>
              <w:rPr>
                <w:rFonts w:hint="eastAsia" w:ascii="宋体" w:hAnsi="宋体" w:cs="宋体"/>
                <w:color w:val="auto"/>
                <w:kern w:val="21"/>
                <w:sz w:val="24"/>
                <w:szCs w:val="24"/>
                <w:highlight w:val="none"/>
              </w:rPr>
              <w:t xml:space="preserve">2.在线式巡更机必须支持SOS按键报警、低电报警可远程传至管理中心； </w:t>
            </w:r>
          </w:p>
          <w:p w14:paraId="5373CA31">
            <w:pPr>
              <w:rPr>
                <w:rFonts w:hint="eastAsia" w:ascii="宋体" w:hAnsi="宋体" w:cs="宋体"/>
                <w:color w:val="auto"/>
                <w:kern w:val="21"/>
                <w:sz w:val="24"/>
                <w:szCs w:val="24"/>
                <w:highlight w:val="none"/>
              </w:rPr>
            </w:pPr>
            <w:r>
              <w:rPr>
                <w:rFonts w:hint="eastAsia" w:ascii="宋体" w:hAnsi="宋体" w:cs="宋体"/>
                <w:color w:val="auto"/>
                <w:kern w:val="21"/>
                <w:sz w:val="24"/>
                <w:szCs w:val="24"/>
                <w:highlight w:val="none"/>
              </w:rPr>
              <w:t>3.在线式巡更机必须支持跌倒报警、摔砸记录上传管理中心；</w:t>
            </w:r>
          </w:p>
          <w:p w14:paraId="7252A2FE">
            <w:pPr>
              <w:rPr>
                <w:rFonts w:hint="eastAsia" w:ascii="宋体" w:hAnsi="宋体" w:cs="宋体"/>
                <w:color w:val="auto"/>
                <w:kern w:val="21"/>
                <w:sz w:val="24"/>
                <w:szCs w:val="24"/>
                <w:highlight w:val="none"/>
              </w:rPr>
            </w:pPr>
            <w:r>
              <w:rPr>
                <w:rFonts w:hint="eastAsia" w:ascii="宋体" w:hAnsi="宋体" w:cs="宋体"/>
                <w:color w:val="auto"/>
                <w:kern w:val="21"/>
                <w:sz w:val="24"/>
                <w:szCs w:val="24"/>
                <w:highlight w:val="none"/>
              </w:rPr>
              <w:t>4.在线式巡更机必须有OLED液晶显示屏，耐低温，强光下可见，显示无死角，要求液晶显示屏的尺寸≤0.96英寸，屏幕过大耗电量大，影响设备使用时间；</w:t>
            </w:r>
          </w:p>
          <w:p w14:paraId="5765041C">
            <w:pPr>
              <w:rPr>
                <w:rFonts w:hint="eastAsia" w:ascii="宋体" w:hAnsi="宋体" w:cs="宋体"/>
                <w:color w:val="auto"/>
                <w:kern w:val="21"/>
                <w:sz w:val="24"/>
                <w:szCs w:val="24"/>
                <w:highlight w:val="none"/>
              </w:rPr>
            </w:pPr>
            <w:r>
              <w:rPr>
                <w:rFonts w:hint="eastAsia" w:ascii="宋体" w:hAnsi="宋体" w:cs="宋体"/>
                <w:color w:val="auto"/>
                <w:kern w:val="21"/>
                <w:sz w:val="24"/>
                <w:szCs w:val="24"/>
                <w:highlight w:val="none"/>
              </w:rPr>
              <w:t>5.在线式巡更机采用ABS工程塑料，双色一体注塑，整体设计紧凑，所有元件和板件固定均无螺钉；</w:t>
            </w:r>
          </w:p>
          <w:p w14:paraId="7596D7AB">
            <w:pPr>
              <w:rPr>
                <w:rFonts w:hint="eastAsia" w:ascii="宋体" w:hAnsi="宋体" w:cs="宋体"/>
                <w:color w:val="auto"/>
                <w:kern w:val="21"/>
                <w:sz w:val="24"/>
                <w:szCs w:val="24"/>
                <w:highlight w:val="none"/>
              </w:rPr>
            </w:pPr>
            <w:r>
              <w:rPr>
                <w:rFonts w:hint="eastAsia" w:ascii="宋体" w:hAnsi="宋体" w:cs="宋体"/>
                <w:color w:val="auto"/>
                <w:kern w:val="21"/>
                <w:sz w:val="24"/>
                <w:szCs w:val="24"/>
                <w:highlight w:val="none"/>
              </w:rPr>
              <w:t xml:space="preserve">6.巡更机必须锅仔按键式开关设计，按键不要超过4个，过多按键会影响美观和使用；巡更机必须支持开机后无需按键，可以直接读卡； </w:t>
            </w:r>
          </w:p>
          <w:p w14:paraId="300C4968">
            <w:pPr>
              <w:rPr>
                <w:rFonts w:hint="eastAsia" w:ascii="宋体" w:hAnsi="宋体" w:cs="宋体"/>
                <w:color w:val="auto"/>
                <w:kern w:val="21"/>
                <w:sz w:val="24"/>
                <w:szCs w:val="24"/>
                <w:highlight w:val="none"/>
              </w:rPr>
            </w:pPr>
            <w:r>
              <w:rPr>
                <w:rFonts w:hint="eastAsia" w:ascii="宋体" w:hAnsi="宋体" w:cs="宋体"/>
                <w:color w:val="auto"/>
                <w:kern w:val="21"/>
                <w:sz w:val="24"/>
                <w:szCs w:val="24"/>
                <w:highlight w:val="none"/>
              </w:rPr>
              <w:t xml:space="preserve">7.巡更机读卡提示、上传数据提示、电量提示必须语音和屏幕中文显示双重提示，使用人员可以明确掌握设备状态； </w:t>
            </w:r>
          </w:p>
          <w:p w14:paraId="684D13B0">
            <w:pPr>
              <w:rPr>
                <w:rFonts w:hint="eastAsia" w:ascii="宋体" w:hAnsi="宋体" w:cs="宋体"/>
                <w:color w:val="auto"/>
                <w:kern w:val="21"/>
                <w:sz w:val="24"/>
                <w:szCs w:val="24"/>
                <w:highlight w:val="none"/>
              </w:rPr>
            </w:pPr>
            <w:r>
              <w:rPr>
                <w:rFonts w:hint="eastAsia" w:ascii="宋体" w:hAnsi="宋体" w:cs="宋体"/>
                <w:color w:val="auto"/>
                <w:kern w:val="21"/>
                <w:sz w:val="24"/>
                <w:szCs w:val="24"/>
                <w:highlight w:val="none"/>
              </w:rPr>
              <w:t xml:space="preserve">8.巡更机具备通话功能，至少可以下载5组固定电话号码，可以直接联系到管理人员； </w:t>
            </w:r>
          </w:p>
          <w:p w14:paraId="5BD66C51">
            <w:pPr>
              <w:rPr>
                <w:rFonts w:hint="eastAsia" w:ascii="宋体" w:hAnsi="宋体" w:cs="宋体"/>
                <w:color w:val="auto"/>
                <w:kern w:val="21"/>
                <w:sz w:val="24"/>
                <w:szCs w:val="24"/>
                <w:highlight w:val="none"/>
              </w:rPr>
            </w:pPr>
            <w:r>
              <w:rPr>
                <w:rFonts w:hint="eastAsia" w:ascii="宋体" w:hAnsi="宋体" w:cs="宋体"/>
                <w:color w:val="auto"/>
                <w:kern w:val="21"/>
                <w:sz w:val="24"/>
                <w:szCs w:val="24"/>
                <w:highlight w:val="none"/>
              </w:rPr>
              <w:t>9.无手机信号时巡更机可自动保存数据，存储空间要求不得少于60000条；</w:t>
            </w:r>
          </w:p>
          <w:p w14:paraId="64EA8459">
            <w:pPr>
              <w:rPr>
                <w:rFonts w:hint="eastAsia" w:ascii="宋体" w:hAnsi="宋体" w:cs="宋体"/>
                <w:color w:val="auto"/>
                <w:kern w:val="21"/>
                <w:sz w:val="24"/>
                <w:szCs w:val="24"/>
                <w:highlight w:val="none"/>
              </w:rPr>
            </w:pPr>
            <w:r>
              <w:rPr>
                <w:rFonts w:hint="eastAsia" w:ascii="宋体" w:hAnsi="宋体" w:cs="宋体"/>
                <w:color w:val="auto"/>
                <w:kern w:val="21"/>
                <w:sz w:val="24"/>
                <w:szCs w:val="24"/>
                <w:highlight w:val="none"/>
              </w:rPr>
              <w:t>10.巡更数据可自动上传，必须通过4G上传到管理中心；在线式巡更机读卡频率为125K，读卡功耗低；</w:t>
            </w:r>
          </w:p>
          <w:p w14:paraId="7B557E53">
            <w:pPr>
              <w:rPr>
                <w:rFonts w:hint="eastAsia" w:ascii="宋体" w:hAnsi="宋体" w:cs="宋体"/>
                <w:color w:val="auto"/>
                <w:kern w:val="21"/>
                <w:sz w:val="24"/>
                <w:szCs w:val="24"/>
                <w:highlight w:val="none"/>
              </w:rPr>
            </w:pPr>
            <w:r>
              <w:rPr>
                <w:rFonts w:hint="eastAsia" w:ascii="宋体" w:hAnsi="宋体" w:cs="宋体"/>
                <w:color w:val="auto"/>
                <w:kern w:val="21"/>
                <w:sz w:val="24"/>
                <w:szCs w:val="24"/>
                <w:highlight w:val="none"/>
              </w:rPr>
              <w:t>11.巡更机初次设置的时候与电脑之间的通讯必须采用专用磁吸通讯线通讯，磁吸触点接口≥5个，才能确保设备稳定，充电使用标配的充电器；</w:t>
            </w:r>
          </w:p>
          <w:p w14:paraId="3AEB0F26">
            <w:pPr>
              <w:rPr>
                <w:rFonts w:hint="default" w:ascii="宋体" w:hAnsi="宋体" w:eastAsia="宋体" w:cs="宋体"/>
                <w:color w:val="auto"/>
                <w:kern w:val="21"/>
                <w:sz w:val="24"/>
                <w:szCs w:val="24"/>
                <w:highlight w:val="none"/>
                <w:lang w:val="en-US" w:eastAsia="zh-CN" w:bidi="ar-SA"/>
              </w:rPr>
            </w:pPr>
            <w:r>
              <w:rPr>
                <w:rFonts w:hint="eastAsia" w:ascii="宋体" w:hAnsi="宋体" w:cs="宋体"/>
                <w:color w:val="auto"/>
                <w:kern w:val="21"/>
                <w:sz w:val="24"/>
                <w:szCs w:val="24"/>
                <w:highlight w:val="none"/>
              </w:rPr>
              <w:t>12.巡更机有语音事件播报功能，可以提示当前巡查位置应该具体检查哪些重要内容，提示清晰明了；巡更机具备语音地点导航功能；（含25个巡更点）。含安装调试完成。</w:t>
            </w:r>
          </w:p>
        </w:tc>
        <w:tc>
          <w:tcPr>
            <w:tcW w:w="712" w:type="dxa"/>
            <w:tcBorders>
              <w:top w:val="single" w:color="auto" w:sz="4" w:space="0"/>
              <w:left w:val="single" w:color="auto" w:sz="6" w:space="0"/>
              <w:bottom w:val="single" w:color="auto" w:sz="4" w:space="0"/>
              <w:right w:val="single" w:color="auto" w:sz="6" w:space="0"/>
            </w:tcBorders>
            <w:shd w:val="clear" w:color="auto" w:fill="auto"/>
            <w:vAlign w:val="center"/>
          </w:tcPr>
          <w:p w14:paraId="5ECA501E">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1"/>
                <w:sz w:val="24"/>
                <w:szCs w:val="24"/>
                <w:highlight w:val="none"/>
                <w:lang w:val="en-US" w:eastAsia="zh-CN" w:bidi="ar-SA"/>
              </w:rPr>
            </w:pPr>
            <w:r>
              <w:rPr>
                <w:rFonts w:hint="eastAsia" w:ascii="宋体" w:hAnsi="宋体" w:eastAsia="宋体" w:cs="宋体"/>
                <w:color w:val="auto"/>
                <w:kern w:val="21"/>
                <w:sz w:val="24"/>
                <w:szCs w:val="24"/>
                <w:highlight w:val="none"/>
              </w:rPr>
              <w:t>2</w:t>
            </w:r>
          </w:p>
        </w:tc>
        <w:tc>
          <w:tcPr>
            <w:tcW w:w="1125" w:type="dxa"/>
            <w:tcBorders>
              <w:top w:val="single" w:color="auto" w:sz="4" w:space="0"/>
              <w:left w:val="single" w:color="auto" w:sz="6" w:space="0"/>
              <w:bottom w:val="single" w:color="auto" w:sz="4" w:space="0"/>
              <w:right w:val="single" w:color="auto" w:sz="6" w:space="0"/>
            </w:tcBorders>
            <w:shd w:val="clear" w:color="auto" w:fill="auto"/>
            <w:vAlign w:val="center"/>
          </w:tcPr>
          <w:p w14:paraId="2CB63711">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1"/>
                <w:sz w:val="24"/>
                <w:szCs w:val="24"/>
                <w:highlight w:val="none"/>
                <w:lang w:val="en-US" w:eastAsia="zh-CN" w:bidi="ar-SA"/>
              </w:rPr>
            </w:pPr>
            <w:r>
              <w:rPr>
                <w:rFonts w:hint="eastAsia" w:ascii="宋体" w:hAnsi="宋体" w:eastAsia="宋体" w:cs="宋体"/>
                <w:color w:val="auto"/>
                <w:kern w:val="21"/>
                <w:sz w:val="24"/>
                <w:szCs w:val="24"/>
                <w:highlight w:val="none"/>
              </w:rPr>
              <w:t>个</w:t>
            </w:r>
          </w:p>
        </w:tc>
        <w:tc>
          <w:tcPr>
            <w:tcW w:w="1063" w:type="dxa"/>
            <w:vMerge w:val="continue"/>
            <w:tcBorders>
              <w:left w:val="single" w:color="auto" w:sz="6" w:space="0"/>
              <w:right w:val="single" w:color="auto" w:sz="6" w:space="0"/>
            </w:tcBorders>
            <w:shd w:val="clear" w:color="auto" w:fill="auto"/>
            <w:vAlign w:val="center"/>
          </w:tcPr>
          <w:p w14:paraId="623559CC">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1"/>
                <w:sz w:val="24"/>
                <w:szCs w:val="24"/>
                <w:highlight w:val="none"/>
              </w:rPr>
            </w:pPr>
          </w:p>
        </w:tc>
      </w:tr>
      <w:tr w14:paraId="24730755">
        <w:tblPrEx>
          <w:tblCellMar>
            <w:top w:w="0" w:type="dxa"/>
            <w:left w:w="10" w:type="dxa"/>
            <w:bottom w:w="0" w:type="dxa"/>
            <w:right w:w="10" w:type="dxa"/>
          </w:tblCellMar>
        </w:tblPrEx>
        <w:trPr>
          <w:trHeight w:val="695" w:hRule="atLeast"/>
          <w:jc w:val="center"/>
        </w:trPr>
        <w:tc>
          <w:tcPr>
            <w:tcW w:w="708" w:type="dxa"/>
            <w:tcBorders>
              <w:top w:val="single" w:color="auto" w:sz="4" w:space="0"/>
              <w:left w:val="single" w:color="auto" w:sz="6" w:space="0"/>
              <w:bottom w:val="single" w:color="auto" w:sz="4" w:space="0"/>
              <w:right w:val="single" w:color="auto" w:sz="6" w:space="0"/>
            </w:tcBorders>
            <w:shd w:val="clear" w:color="auto" w:fill="auto"/>
            <w:vAlign w:val="center"/>
          </w:tcPr>
          <w:p w14:paraId="3978C3EE">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kern w:val="21"/>
                <w:sz w:val="24"/>
                <w:szCs w:val="24"/>
                <w:highlight w:val="none"/>
                <w:lang w:val="en-US" w:eastAsia="zh-CN" w:bidi="ar-SA"/>
              </w:rPr>
            </w:pPr>
            <w:r>
              <w:rPr>
                <w:rFonts w:hint="eastAsia" w:ascii="宋体" w:hAnsi="宋体" w:eastAsia="宋体" w:cs="宋体"/>
                <w:color w:val="auto"/>
                <w:kern w:val="21"/>
                <w:sz w:val="24"/>
                <w:szCs w:val="24"/>
                <w:highlight w:val="none"/>
                <w:lang w:val="en-US" w:eastAsia="zh-CN"/>
              </w:rPr>
              <w:t>15</w:t>
            </w:r>
          </w:p>
        </w:tc>
        <w:tc>
          <w:tcPr>
            <w:tcW w:w="1308" w:type="dxa"/>
            <w:tcBorders>
              <w:top w:val="single" w:color="auto" w:sz="4" w:space="0"/>
              <w:left w:val="nil"/>
              <w:bottom w:val="single" w:color="auto" w:sz="4" w:space="0"/>
              <w:right w:val="single" w:color="auto" w:sz="6" w:space="0"/>
            </w:tcBorders>
            <w:shd w:val="clear" w:color="auto" w:fill="auto"/>
            <w:vAlign w:val="center"/>
          </w:tcPr>
          <w:p w14:paraId="40D3B901">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1"/>
                <w:sz w:val="24"/>
                <w:szCs w:val="24"/>
                <w:highlight w:val="none"/>
                <w:lang w:val="en-US" w:eastAsia="zh-CN" w:bidi="ar-SA"/>
              </w:rPr>
            </w:pPr>
            <w:r>
              <w:rPr>
                <w:rFonts w:hint="eastAsia" w:ascii="宋体" w:hAnsi="宋体" w:eastAsia="宋体" w:cs="宋体"/>
                <w:color w:val="auto"/>
                <w:kern w:val="21"/>
                <w:sz w:val="24"/>
                <w:szCs w:val="24"/>
                <w:highlight w:val="none"/>
              </w:rPr>
              <w:t>配线</w:t>
            </w:r>
          </w:p>
        </w:tc>
        <w:tc>
          <w:tcPr>
            <w:tcW w:w="4469" w:type="dxa"/>
            <w:tcBorders>
              <w:top w:val="single" w:color="auto" w:sz="4" w:space="0"/>
              <w:left w:val="nil"/>
              <w:bottom w:val="single" w:color="auto" w:sz="4" w:space="0"/>
              <w:right w:val="single" w:color="auto" w:sz="6" w:space="0"/>
            </w:tcBorders>
            <w:shd w:val="clear" w:color="auto" w:fill="auto"/>
            <w:vAlign w:val="center"/>
          </w:tcPr>
          <w:p w14:paraId="45A71B3A">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kern w:val="21"/>
                <w:sz w:val="24"/>
                <w:szCs w:val="24"/>
                <w:highlight w:val="none"/>
                <w:lang w:val="en-US" w:eastAsia="zh-CN" w:bidi="ar-SA"/>
              </w:rPr>
            </w:pPr>
            <w:r>
              <w:rPr>
                <w:rFonts w:hint="eastAsia" w:ascii="宋体" w:hAnsi="宋体" w:eastAsia="宋体" w:cs="宋体"/>
                <w:color w:val="auto"/>
                <w:kern w:val="21"/>
                <w:sz w:val="24"/>
                <w:szCs w:val="24"/>
                <w:highlight w:val="none"/>
              </w:rPr>
              <w:t>阻燃防火材质WDZBN-RYJS-2*1.5</w:t>
            </w:r>
            <w:r>
              <w:rPr>
                <w:rFonts w:hint="eastAsia" w:ascii="宋体" w:hAnsi="宋体" w:eastAsia="宋体" w:cs="宋体"/>
                <w:color w:val="auto"/>
                <w:kern w:val="21"/>
                <w:sz w:val="24"/>
                <w:szCs w:val="24"/>
                <w:highlight w:val="none"/>
                <w:lang w:eastAsia="zh-CN"/>
              </w:rPr>
              <w:t>，</w:t>
            </w:r>
            <w:r>
              <w:rPr>
                <w:rFonts w:hint="eastAsia" w:ascii="宋体" w:hAnsi="宋体" w:eastAsia="宋体" w:cs="宋体"/>
                <w:color w:val="auto"/>
                <w:kern w:val="21"/>
                <w:sz w:val="24"/>
                <w:szCs w:val="24"/>
                <w:highlight w:val="none"/>
              </w:rPr>
              <w:t>含敷设安装</w:t>
            </w:r>
          </w:p>
        </w:tc>
        <w:tc>
          <w:tcPr>
            <w:tcW w:w="712" w:type="dxa"/>
            <w:tcBorders>
              <w:top w:val="single" w:color="auto" w:sz="4" w:space="0"/>
              <w:left w:val="single" w:color="auto" w:sz="6" w:space="0"/>
              <w:bottom w:val="single" w:color="auto" w:sz="4" w:space="0"/>
              <w:right w:val="single" w:color="auto" w:sz="6" w:space="0"/>
            </w:tcBorders>
            <w:shd w:val="clear" w:color="auto" w:fill="auto"/>
            <w:vAlign w:val="center"/>
          </w:tcPr>
          <w:p w14:paraId="71D49135">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1"/>
                <w:sz w:val="24"/>
                <w:szCs w:val="24"/>
                <w:highlight w:val="none"/>
                <w:lang w:val="en-US" w:eastAsia="zh-CN" w:bidi="ar-SA"/>
              </w:rPr>
            </w:pPr>
            <w:r>
              <w:rPr>
                <w:rFonts w:hint="eastAsia" w:ascii="宋体" w:hAnsi="宋体" w:eastAsia="宋体" w:cs="宋体"/>
                <w:color w:val="auto"/>
                <w:kern w:val="21"/>
                <w:sz w:val="24"/>
                <w:szCs w:val="24"/>
                <w:highlight w:val="none"/>
              </w:rPr>
              <w:t>33865</w:t>
            </w:r>
          </w:p>
        </w:tc>
        <w:tc>
          <w:tcPr>
            <w:tcW w:w="1125" w:type="dxa"/>
            <w:tcBorders>
              <w:top w:val="single" w:color="auto" w:sz="4" w:space="0"/>
              <w:left w:val="single" w:color="auto" w:sz="6" w:space="0"/>
              <w:bottom w:val="single" w:color="auto" w:sz="4" w:space="0"/>
              <w:right w:val="single" w:color="auto" w:sz="6" w:space="0"/>
            </w:tcBorders>
            <w:shd w:val="clear" w:color="auto" w:fill="auto"/>
            <w:vAlign w:val="center"/>
          </w:tcPr>
          <w:p w14:paraId="51AA4094">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1"/>
                <w:sz w:val="24"/>
                <w:szCs w:val="24"/>
                <w:highlight w:val="none"/>
                <w:lang w:val="en-US" w:eastAsia="zh-CN" w:bidi="ar-SA"/>
              </w:rPr>
            </w:pPr>
            <w:r>
              <w:rPr>
                <w:rFonts w:hint="eastAsia" w:ascii="宋体" w:hAnsi="宋体" w:eastAsia="宋体" w:cs="宋体"/>
                <w:color w:val="auto"/>
                <w:kern w:val="21"/>
                <w:sz w:val="24"/>
                <w:szCs w:val="24"/>
                <w:highlight w:val="none"/>
              </w:rPr>
              <w:t>米</w:t>
            </w:r>
          </w:p>
        </w:tc>
        <w:tc>
          <w:tcPr>
            <w:tcW w:w="1063" w:type="dxa"/>
            <w:vMerge w:val="continue"/>
            <w:tcBorders>
              <w:left w:val="single" w:color="auto" w:sz="6" w:space="0"/>
              <w:right w:val="single" w:color="auto" w:sz="6" w:space="0"/>
            </w:tcBorders>
            <w:shd w:val="clear" w:color="auto" w:fill="auto"/>
            <w:vAlign w:val="center"/>
          </w:tcPr>
          <w:p w14:paraId="569C2000">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1"/>
                <w:sz w:val="24"/>
                <w:szCs w:val="24"/>
                <w:highlight w:val="none"/>
              </w:rPr>
            </w:pPr>
          </w:p>
        </w:tc>
      </w:tr>
      <w:tr w14:paraId="52641070">
        <w:tblPrEx>
          <w:tblCellMar>
            <w:top w:w="0" w:type="dxa"/>
            <w:left w:w="10" w:type="dxa"/>
            <w:bottom w:w="0" w:type="dxa"/>
            <w:right w:w="10" w:type="dxa"/>
          </w:tblCellMar>
        </w:tblPrEx>
        <w:trPr>
          <w:trHeight w:val="695" w:hRule="atLeast"/>
          <w:jc w:val="center"/>
        </w:trPr>
        <w:tc>
          <w:tcPr>
            <w:tcW w:w="708" w:type="dxa"/>
            <w:tcBorders>
              <w:top w:val="single" w:color="auto" w:sz="4" w:space="0"/>
              <w:left w:val="single" w:color="auto" w:sz="6" w:space="0"/>
              <w:bottom w:val="single" w:color="auto" w:sz="4" w:space="0"/>
              <w:right w:val="single" w:color="auto" w:sz="6" w:space="0"/>
            </w:tcBorders>
            <w:shd w:val="clear" w:color="auto" w:fill="auto"/>
            <w:vAlign w:val="center"/>
          </w:tcPr>
          <w:p w14:paraId="115C3B6F">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kern w:val="21"/>
                <w:sz w:val="24"/>
                <w:szCs w:val="24"/>
                <w:highlight w:val="none"/>
                <w:lang w:val="en-US" w:eastAsia="zh-CN" w:bidi="ar-SA"/>
              </w:rPr>
            </w:pPr>
            <w:r>
              <w:rPr>
                <w:rFonts w:hint="eastAsia" w:ascii="宋体" w:hAnsi="宋体" w:eastAsia="宋体" w:cs="宋体"/>
                <w:color w:val="auto"/>
                <w:kern w:val="21"/>
                <w:sz w:val="24"/>
                <w:szCs w:val="24"/>
                <w:highlight w:val="none"/>
                <w:lang w:val="en-US" w:eastAsia="zh-CN"/>
              </w:rPr>
              <w:t>16</w:t>
            </w:r>
          </w:p>
        </w:tc>
        <w:tc>
          <w:tcPr>
            <w:tcW w:w="1308" w:type="dxa"/>
            <w:tcBorders>
              <w:top w:val="single" w:color="auto" w:sz="4" w:space="0"/>
              <w:left w:val="nil"/>
              <w:bottom w:val="single" w:color="auto" w:sz="4" w:space="0"/>
              <w:right w:val="single" w:color="auto" w:sz="6" w:space="0"/>
            </w:tcBorders>
            <w:shd w:val="clear" w:color="auto" w:fill="auto"/>
            <w:vAlign w:val="center"/>
          </w:tcPr>
          <w:p w14:paraId="1431AB3E">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1"/>
                <w:sz w:val="24"/>
                <w:szCs w:val="24"/>
                <w:highlight w:val="none"/>
                <w:lang w:val="en-US" w:eastAsia="zh-CN" w:bidi="ar-SA"/>
              </w:rPr>
            </w:pPr>
            <w:r>
              <w:rPr>
                <w:rFonts w:hint="eastAsia" w:ascii="宋体" w:hAnsi="宋体" w:eastAsia="宋体" w:cs="宋体"/>
                <w:color w:val="auto"/>
                <w:kern w:val="21"/>
                <w:sz w:val="24"/>
                <w:szCs w:val="24"/>
                <w:highlight w:val="none"/>
              </w:rPr>
              <w:t>配线</w:t>
            </w:r>
          </w:p>
        </w:tc>
        <w:tc>
          <w:tcPr>
            <w:tcW w:w="4469" w:type="dxa"/>
            <w:tcBorders>
              <w:top w:val="single" w:color="auto" w:sz="4" w:space="0"/>
              <w:left w:val="nil"/>
              <w:bottom w:val="single" w:color="auto" w:sz="4" w:space="0"/>
              <w:right w:val="single" w:color="auto" w:sz="6" w:space="0"/>
            </w:tcBorders>
            <w:shd w:val="clear" w:color="auto" w:fill="auto"/>
            <w:vAlign w:val="center"/>
          </w:tcPr>
          <w:p w14:paraId="29309110">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kern w:val="21"/>
                <w:sz w:val="24"/>
                <w:szCs w:val="24"/>
                <w:highlight w:val="none"/>
                <w:lang w:val="en-US" w:eastAsia="zh-CN" w:bidi="ar-SA"/>
              </w:rPr>
            </w:pPr>
            <w:r>
              <w:rPr>
                <w:rFonts w:hint="eastAsia" w:ascii="宋体" w:hAnsi="宋体" w:eastAsia="宋体" w:cs="宋体"/>
                <w:color w:val="auto"/>
                <w:kern w:val="21"/>
                <w:sz w:val="24"/>
                <w:szCs w:val="24"/>
                <w:highlight w:val="none"/>
              </w:rPr>
              <w:t>阻燃防火材质WDZBN-YJV-3*2.5</w:t>
            </w:r>
            <w:r>
              <w:rPr>
                <w:rFonts w:hint="eastAsia" w:ascii="宋体" w:hAnsi="宋体" w:eastAsia="宋体" w:cs="宋体"/>
                <w:color w:val="auto"/>
                <w:kern w:val="21"/>
                <w:sz w:val="24"/>
                <w:szCs w:val="24"/>
                <w:highlight w:val="none"/>
                <w:lang w:eastAsia="zh-CN"/>
              </w:rPr>
              <w:t>，</w:t>
            </w:r>
            <w:r>
              <w:rPr>
                <w:rFonts w:hint="eastAsia" w:ascii="宋体" w:hAnsi="宋体" w:eastAsia="宋体" w:cs="宋体"/>
                <w:color w:val="auto"/>
                <w:kern w:val="21"/>
                <w:sz w:val="24"/>
                <w:szCs w:val="24"/>
                <w:highlight w:val="none"/>
              </w:rPr>
              <w:t>含敷设安装</w:t>
            </w:r>
          </w:p>
        </w:tc>
        <w:tc>
          <w:tcPr>
            <w:tcW w:w="712" w:type="dxa"/>
            <w:tcBorders>
              <w:top w:val="single" w:color="auto" w:sz="4" w:space="0"/>
              <w:left w:val="single" w:color="auto" w:sz="6" w:space="0"/>
              <w:bottom w:val="single" w:color="auto" w:sz="4" w:space="0"/>
              <w:right w:val="single" w:color="auto" w:sz="6" w:space="0"/>
            </w:tcBorders>
            <w:shd w:val="clear" w:color="auto" w:fill="auto"/>
            <w:vAlign w:val="center"/>
          </w:tcPr>
          <w:p w14:paraId="46EAC99B">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1"/>
                <w:sz w:val="24"/>
                <w:szCs w:val="24"/>
                <w:highlight w:val="none"/>
                <w:lang w:val="en-US" w:eastAsia="zh-CN" w:bidi="ar-SA"/>
              </w:rPr>
            </w:pPr>
            <w:r>
              <w:rPr>
                <w:rFonts w:hint="eastAsia" w:ascii="宋体" w:hAnsi="宋体" w:eastAsia="宋体" w:cs="宋体"/>
                <w:color w:val="auto"/>
                <w:kern w:val="21"/>
                <w:sz w:val="24"/>
                <w:szCs w:val="24"/>
                <w:highlight w:val="none"/>
              </w:rPr>
              <w:t>180</w:t>
            </w:r>
          </w:p>
        </w:tc>
        <w:tc>
          <w:tcPr>
            <w:tcW w:w="1125" w:type="dxa"/>
            <w:tcBorders>
              <w:top w:val="single" w:color="auto" w:sz="4" w:space="0"/>
              <w:left w:val="single" w:color="auto" w:sz="6" w:space="0"/>
              <w:bottom w:val="single" w:color="auto" w:sz="4" w:space="0"/>
              <w:right w:val="single" w:color="auto" w:sz="6" w:space="0"/>
            </w:tcBorders>
            <w:shd w:val="clear" w:color="auto" w:fill="auto"/>
            <w:vAlign w:val="center"/>
          </w:tcPr>
          <w:p w14:paraId="4D21CC28">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1"/>
                <w:sz w:val="24"/>
                <w:szCs w:val="24"/>
                <w:highlight w:val="none"/>
                <w:lang w:val="en-US" w:eastAsia="zh-CN" w:bidi="ar-SA"/>
              </w:rPr>
            </w:pPr>
            <w:r>
              <w:rPr>
                <w:rFonts w:hint="eastAsia" w:ascii="宋体" w:hAnsi="宋体" w:eastAsia="宋体" w:cs="宋体"/>
                <w:color w:val="auto"/>
                <w:kern w:val="21"/>
                <w:sz w:val="24"/>
                <w:szCs w:val="24"/>
                <w:highlight w:val="none"/>
              </w:rPr>
              <w:t>米</w:t>
            </w:r>
          </w:p>
        </w:tc>
        <w:tc>
          <w:tcPr>
            <w:tcW w:w="1063" w:type="dxa"/>
            <w:vMerge w:val="continue"/>
            <w:tcBorders>
              <w:left w:val="single" w:color="auto" w:sz="6" w:space="0"/>
              <w:right w:val="single" w:color="auto" w:sz="6" w:space="0"/>
            </w:tcBorders>
            <w:shd w:val="clear" w:color="auto" w:fill="auto"/>
            <w:vAlign w:val="center"/>
          </w:tcPr>
          <w:p w14:paraId="6060244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1"/>
                <w:sz w:val="24"/>
                <w:szCs w:val="24"/>
                <w:highlight w:val="none"/>
              </w:rPr>
            </w:pPr>
          </w:p>
        </w:tc>
      </w:tr>
      <w:tr w14:paraId="2CECE401">
        <w:tblPrEx>
          <w:tblCellMar>
            <w:top w:w="0" w:type="dxa"/>
            <w:left w:w="10" w:type="dxa"/>
            <w:bottom w:w="0" w:type="dxa"/>
            <w:right w:w="10" w:type="dxa"/>
          </w:tblCellMar>
        </w:tblPrEx>
        <w:trPr>
          <w:trHeight w:val="695" w:hRule="atLeast"/>
          <w:jc w:val="center"/>
        </w:trPr>
        <w:tc>
          <w:tcPr>
            <w:tcW w:w="708" w:type="dxa"/>
            <w:tcBorders>
              <w:top w:val="single" w:color="auto" w:sz="4" w:space="0"/>
              <w:left w:val="single" w:color="auto" w:sz="6" w:space="0"/>
              <w:bottom w:val="single" w:color="auto" w:sz="4" w:space="0"/>
              <w:right w:val="single" w:color="auto" w:sz="6" w:space="0"/>
            </w:tcBorders>
            <w:shd w:val="clear" w:color="auto" w:fill="auto"/>
            <w:vAlign w:val="center"/>
          </w:tcPr>
          <w:p w14:paraId="4FD7032C">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kern w:val="21"/>
                <w:sz w:val="24"/>
                <w:szCs w:val="24"/>
                <w:highlight w:val="none"/>
                <w:lang w:val="en-US" w:eastAsia="zh-CN" w:bidi="ar-SA"/>
              </w:rPr>
            </w:pPr>
            <w:r>
              <w:rPr>
                <w:rFonts w:hint="eastAsia" w:ascii="宋体" w:hAnsi="宋体" w:eastAsia="宋体" w:cs="宋体"/>
                <w:color w:val="auto"/>
                <w:kern w:val="21"/>
                <w:sz w:val="24"/>
                <w:szCs w:val="24"/>
                <w:highlight w:val="none"/>
                <w:lang w:val="en-US" w:eastAsia="zh-CN"/>
              </w:rPr>
              <w:t>17</w:t>
            </w:r>
          </w:p>
        </w:tc>
        <w:tc>
          <w:tcPr>
            <w:tcW w:w="1308" w:type="dxa"/>
            <w:tcBorders>
              <w:top w:val="single" w:color="auto" w:sz="4" w:space="0"/>
              <w:left w:val="nil"/>
              <w:bottom w:val="single" w:color="auto" w:sz="4" w:space="0"/>
              <w:right w:val="single" w:color="auto" w:sz="6" w:space="0"/>
            </w:tcBorders>
            <w:shd w:val="clear" w:color="auto" w:fill="auto"/>
            <w:vAlign w:val="center"/>
          </w:tcPr>
          <w:p w14:paraId="14158F9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1"/>
                <w:sz w:val="24"/>
                <w:szCs w:val="24"/>
                <w:highlight w:val="none"/>
                <w:lang w:val="en-US" w:eastAsia="zh-CN" w:bidi="ar-SA"/>
              </w:rPr>
            </w:pPr>
            <w:r>
              <w:rPr>
                <w:rFonts w:hint="eastAsia" w:ascii="宋体" w:hAnsi="宋体" w:eastAsia="宋体" w:cs="宋体"/>
                <w:color w:val="auto"/>
                <w:kern w:val="21"/>
                <w:sz w:val="24"/>
                <w:szCs w:val="24"/>
                <w:highlight w:val="none"/>
              </w:rPr>
              <w:t>配管</w:t>
            </w:r>
          </w:p>
        </w:tc>
        <w:tc>
          <w:tcPr>
            <w:tcW w:w="4469" w:type="dxa"/>
            <w:tcBorders>
              <w:top w:val="single" w:color="auto" w:sz="4" w:space="0"/>
              <w:left w:val="nil"/>
              <w:bottom w:val="single" w:color="auto" w:sz="4" w:space="0"/>
              <w:right w:val="single" w:color="auto" w:sz="6" w:space="0"/>
            </w:tcBorders>
            <w:shd w:val="clear" w:color="auto" w:fill="auto"/>
            <w:vAlign w:val="center"/>
          </w:tcPr>
          <w:p w14:paraId="3E2DAEF2">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kern w:val="21"/>
                <w:sz w:val="24"/>
                <w:szCs w:val="24"/>
                <w:highlight w:val="none"/>
                <w:lang w:val="en-US" w:eastAsia="zh-CN" w:bidi="ar-SA"/>
              </w:rPr>
            </w:pPr>
            <w:r>
              <w:rPr>
                <w:rFonts w:hint="eastAsia" w:ascii="宋体" w:hAnsi="宋体" w:eastAsia="宋体" w:cs="宋体"/>
                <w:color w:val="auto"/>
                <w:kern w:val="21"/>
                <w:sz w:val="24"/>
                <w:szCs w:val="24"/>
                <w:highlight w:val="none"/>
              </w:rPr>
              <w:t>KBG穿线管，外刷防火涂料15mm</w:t>
            </w:r>
            <w:r>
              <w:rPr>
                <w:rFonts w:hint="eastAsia" w:ascii="宋体" w:hAnsi="宋体" w:eastAsia="宋体" w:cs="宋体"/>
                <w:color w:val="auto"/>
                <w:kern w:val="21"/>
                <w:sz w:val="24"/>
                <w:szCs w:val="24"/>
                <w:highlight w:val="none"/>
                <w:lang w:eastAsia="zh-CN"/>
              </w:rPr>
              <w:t>，</w:t>
            </w:r>
            <w:r>
              <w:rPr>
                <w:rFonts w:hint="eastAsia" w:ascii="宋体" w:hAnsi="宋体" w:eastAsia="宋体" w:cs="宋体"/>
                <w:color w:val="auto"/>
                <w:kern w:val="21"/>
                <w:sz w:val="24"/>
                <w:szCs w:val="24"/>
                <w:highlight w:val="none"/>
              </w:rPr>
              <w:t>含敷设安装</w:t>
            </w:r>
          </w:p>
        </w:tc>
        <w:tc>
          <w:tcPr>
            <w:tcW w:w="712" w:type="dxa"/>
            <w:tcBorders>
              <w:top w:val="single" w:color="auto" w:sz="4" w:space="0"/>
              <w:left w:val="single" w:color="auto" w:sz="6" w:space="0"/>
              <w:bottom w:val="single" w:color="auto" w:sz="4" w:space="0"/>
              <w:right w:val="single" w:color="auto" w:sz="6" w:space="0"/>
            </w:tcBorders>
            <w:shd w:val="clear" w:color="auto" w:fill="auto"/>
            <w:vAlign w:val="center"/>
          </w:tcPr>
          <w:p w14:paraId="2A5960FC">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1"/>
                <w:sz w:val="24"/>
                <w:szCs w:val="24"/>
                <w:highlight w:val="none"/>
                <w:lang w:val="en-US" w:eastAsia="zh-CN" w:bidi="ar-SA"/>
              </w:rPr>
            </w:pPr>
            <w:r>
              <w:rPr>
                <w:rFonts w:hint="eastAsia" w:ascii="宋体" w:hAnsi="宋体" w:eastAsia="宋体" w:cs="宋体"/>
                <w:color w:val="auto"/>
                <w:kern w:val="21"/>
                <w:sz w:val="24"/>
                <w:szCs w:val="24"/>
                <w:highlight w:val="none"/>
              </w:rPr>
              <w:t>28950</w:t>
            </w:r>
          </w:p>
        </w:tc>
        <w:tc>
          <w:tcPr>
            <w:tcW w:w="1125" w:type="dxa"/>
            <w:tcBorders>
              <w:top w:val="single" w:color="auto" w:sz="4" w:space="0"/>
              <w:left w:val="single" w:color="auto" w:sz="6" w:space="0"/>
              <w:bottom w:val="single" w:color="auto" w:sz="4" w:space="0"/>
              <w:right w:val="single" w:color="auto" w:sz="6" w:space="0"/>
            </w:tcBorders>
            <w:shd w:val="clear" w:color="auto" w:fill="auto"/>
            <w:vAlign w:val="center"/>
          </w:tcPr>
          <w:p w14:paraId="4076113E">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1"/>
                <w:sz w:val="24"/>
                <w:szCs w:val="24"/>
                <w:highlight w:val="none"/>
                <w:lang w:val="en-US" w:eastAsia="zh-CN" w:bidi="ar-SA"/>
              </w:rPr>
            </w:pPr>
            <w:r>
              <w:rPr>
                <w:rFonts w:hint="eastAsia" w:ascii="宋体" w:hAnsi="宋体" w:eastAsia="宋体" w:cs="宋体"/>
                <w:color w:val="auto"/>
                <w:kern w:val="21"/>
                <w:sz w:val="24"/>
                <w:szCs w:val="24"/>
                <w:highlight w:val="none"/>
              </w:rPr>
              <w:t>米</w:t>
            </w:r>
          </w:p>
        </w:tc>
        <w:tc>
          <w:tcPr>
            <w:tcW w:w="1063" w:type="dxa"/>
            <w:vMerge w:val="continue"/>
            <w:tcBorders>
              <w:left w:val="single" w:color="auto" w:sz="6" w:space="0"/>
              <w:right w:val="single" w:color="auto" w:sz="6" w:space="0"/>
            </w:tcBorders>
            <w:shd w:val="clear" w:color="auto" w:fill="auto"/>
            <w:vAlign w:val="center"/>
          </w:tcPr>
          <w:p w14:paraId="4BDDA6E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1"/>
                <w:sz w:val="24"/>
                <w:szCs w:val="24"/>
                <w:highlight w:val="none"/>
              </w:rPr>
            </w:pPr>
          </w:p>
        </w:tc>
      </w:tr>
      <w:tr w14:paraId="40FD0D0E">
        <w:tblPrEx>
          <w:tblCellMar>
            <w:top w:w="0" w:type="dxa"/>
            <w:left w:w="10" w:type="dxa"/>
            <w:bottom w:w="0" w:type="dxa"/>
            <w:right w:w="10" w:type="dxa"/>
          </w:tblCellMar>
        </w:tblPrEx>
        <w:trPr>
          <w:trHeight w:val="695" w:hRule="atLeast"/>
          <w:jc w:val="center"/>
        </w:trPr>
        <w:tc>
          <w:tcPr>
            <w:tcW w:w="708" w:type="dxa"/>
            <w:tcBorders>
              <w:top w:val="single" w:color="auto" w:sz="4" w:space="0"/>
              <w:left w:val="single" w:color="auto" w:sz="6" w:space="0"/>
              <w:bottom w:val="single" w:color="auto" w:sz="4" w:space="0"/>
              <w:right w:val="single" w:color="auto" w:sz="6" w:space="0"/>
            </w:tcBorders>
            <w:shd w:val="clear" w:color="auto" w:fill="auto"/>
            <w:vAlign w:val="center"/>
          </w:tcPr>
          <w:p w14:paraId="6CE09391">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kern w:val="21"/>
                <w:sz w:val="24"/>
                <w:szCs w:val="24"/>
                <w:highlight w:val="none"/>
                <w:lang w:val="en-US" w:eastAsia="zh-CN" w:bidi="ar-SA"/>
              </w:rPr>
            </w:pPr>
            <w:r>
              <w:rPr>
                <w:rFonts w:hint="eastAsia" w:ascii="宋体" w:hAnsi="宋体" w:eastAsia="宋体" w:cs="宋体"/>
                <w:color w:val="auto"/>
                <w:kern w:val="21"/>
                <w:sz w:val="24"/>
                <w:szCs w:val="24"/>
                <w:highlight w:val="none"/>
                <w:lang w:val="en-US" w:eastAsia="zh-CN"/>
              </w:rPr>
              <w:t>18</w:t>
            </w:r>
          </w:p>
        </w:tc>
        <w:tc>
          <w:tcPr>
            <w:tcW w:w="1308" w:type="dxa"/>
            <w:tcBorders>
              <w:top w:val="single" w:color="auto" w:sz="4" w:space="0"/>
              <w:left w:val="nil"/>
              <w:bottom w:val="single" w:color="auto" w:sz="4" w:space="0"/>
              <w:right w:val="single" w:color="auto" w:sz="6" w:space="0"/>
            </w:tcBorders>
            <w:shd w:val="clear" w:color="auto" w:fill="auto"/>
            <w:vAlign w:val="center"/>
          </w:tcPr>
          <w:p w14:paraId="647C46F1">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1"/>
                <w:sz w:val="24"/>
                <w:szCs w:val="24"/>
                <w:highlight w:val="none"/>
                <w:lang w:val="en-US" w:eastAsia="zh-CN" w:bidi="ar-SA"/>
              </w:rPr>
            </w:pPr>
            <w:r>
              <w:rPr>
                <w:rFonts w:hint="eastAsia" w:ascii="宋体" w:hAnsi="宋体" w:eastAsia="宋体" w:cs="宋体"/>
                <w:color w:val="auto"/>
                <w:kern w:val="21"/>
                <w:sz w:val="24"/>
                <w:szCs w:val="24"/>
                <w:highlight w:val="none"/>
              </w:rPr>
              <w:t>配管</w:t>
            </w:r>
          </w:p>
        </w:tc>
        <w:tc>
          <w:tcPr>
            <w:tcW w:w="4469" w:type="dxa"/>
            <w:tcBorders>
              <w:top w:val="single" w:color="auto" w:sz="4" w:space="0"/>
              <w:left w:val="nil"/>
              <w:bottom w:val="single" w:color="auto" w:sz="4" w:space="0"/>
              <w:right w:val="single" w:color="auto" w:sz="6" w:space="0"/>
            </w:tcBorders>
            <w:shd w:val="clear" w:color="auto" w:fill="auto"/>
            <w:vAlign w:val="center"/>
          </w:tcPr>
          <w:p w14:paraId="68EC61B1">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kern w:val="21"/>
                <w:sz w:val="24"/>
                <w:szCs w:val="24"/>
                <w:highlight w:val="none"/>
                <w:lang w:val="en-US" w:eastAsia="zh-CN" w:bidi="ar-SA"/>
              </w:rPr>
            </w:pPr>
            <w:r>
              <w:rPr>
                <w:rFonts w:hint="eastAsia" w:ascii="宋体" w:hAnsi="宋体" w:eastAsia="宋体" w:cs="宋体"/>
                <w:color w:val="auto"/>
                <w:kern w:val="21"/>
                <w:sz w:val="24"/>
                <w:szCs w:val="24"/>
                <w:highlight w:val="none"/>
              </w:rPr>
              <w:t>包塑金属软管φ16</w:t>
            </w:r>
            <w:r>
              <w:rPr>
                <w:rFonts w:hint="eastAsia" w:ascii="宋体" w:hAnsi="宋体" w:eastAsia="宋体" w:cs="宋体"/>
                <w:color w:val="auto"/>
                <w:kern w:val="21"/>
                <w:sz w:val="24"/>
                <w:szCs w:val="24"/>
                <w:highlight w:val="none"/>
                <w:lang w:eastAsia="zh-CN"/>
              </w:rPr>
              <w:t>，</w:t>
            </w:r>
            <w:r>
              <w:rPr>
                <w:rFonts w:hint="eastAsia" w:ascii="宋体" w:hAnsi="宋体" w:eastAsia="宋体" w:cs="宋体"/>
                <w:color w:val="auto"/>
                <w:kern w:val="21"/>
                <w:sz w:val="24"/>
                <w:szCs w:val="24"/>
                <w:highlight w:val="none"/>
              </w:rPr>
              <w:t>含敷设安装</w:t>
            </w:r>
          </w:p>
        </w:tc>
        <w:tc>
          <w:tcPr>
            <w:tcW w:w="712" w:type="dxa"/>
            <w:tcBorders>
              <w:top w:val="single" w:color="auto" w:sz="4" w:space="0"/>
              <w:left w:val="single" w:color="auto" w:sz="6" w:space="0"/>
              <w:bottom w:val="single" w:color="auto" w:sz="4" w:space="0"/>
              <w:right w:val="single" w:color="auto" w:sz="6" w:space="0"/>
            </w:tcBorders>
            <w:shd w:val="clear" w:color="auto" w:fill="auto"/>
            <w:vAlign w:val="center"/>
          </w:tcPr>
          <w:p w14:paraId="1B1D1BFF">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1"/>
                <w:sz w:val="24"/>
                <w:szCs w:val="24"/>
                <w:highlight w:val="none"/>
                <w:lang w:val="en-US" w:eastAsia="zh-CN" w:bidi="ar-SA"/>
              </w:rPr>
            </w:pPr>
            <w:r>
              <w:rPr>
                <w:rFonts w:hint="eastAsia" w:ascii="宋体" w:hAnsi="宋体" w:eastAsia="宋体" w:cs="宋体"/>
                <w:color w:val="auto"/>
                <w:kern w:val="21"/>
                <w:sz w:val="24"/>
                <w:szCs w:val="24"/>
                <w:highlight w:val="none"/>
              </w:rPr>
              <w:t>405</w:t>
            </w:r>
          </w:p>
        </w:tc>
        <w:tc>
          <w:tcPr>
            <w:tcW w:w="1125" w:type="dxa"/>
            <w:tcBorders>
              <w:top w:val="single" w:color="auto" w:sz="4" w:space="0"/>
              <w:left w:val="single" w:color="auto" w:sz="6" w:space="0"/>
              <w:bottom w:val="single" w:color="auto" w:sz="4" w:space="0"/>
              <w:right w:val="single" w:color="auto" w:sz="6" w:space="0"/>
            </w:tcBorders>
            <w:shd w:val="clear" w:color="auto" w:fill="auto"/>
            <w:vAlign w:val="center"/>
          </w:tcPr>
          <w:p w14:paraId="43A29851">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1"/>
                <w:sz w:val="24"/>
                <w:szCs w:val="24"/>
                <w:highlight w:val="none"/>
                <w:lang w:val="en-US" w:eastAsia="zh-CN" w:bidi="ar-SA"/>
              </w:rPr>
            </w:pPr>
            <w:r>
              <w:rPr>
                <w:rFonts w:hint="eastAsia" w:ascii="宋体" w:hAnsi="宋体" w:eastAsia="宋体" w:cs="宋体"/>
                <w:color w:val="auto"/>
                <w:kern w:val="21"/>
                <w:sz w:val="24"/>
                <w:szCs w:val="24"/>
                <w:highlight w:val="none"/>
              </w:rPr>
              <w:t>米</w:t>
            </w:r>
          </w:p>
        </w:tc>
        <w:tc>
          <w:tcPr>
            <w:tcW w:w="1063" w:type="dxa"/>
            <w:vMerge w:val="continue"/>
            <w:tcBorders>
              <w:left w:val="single" w:color="auto" w:sz="6" w:space="0"/>
              <w:right w:val="single" w:color="auto" w:sz="6" w:space="0"/>
            </w:tcBorders>
            <w:shd w:val="clear" w:color="auto" w:fill="auto"/>
            <w:vAlign w:val="center"/>
          </w:tcPr>
          <w:p w14:paraId="0B75367D">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1"/>
                <w:sz w:val="24"/>
                <w:szCs w:val="24"/>
                <w:highlight w:val="none"/>
              </w:rPr>
            </w:pPr>
          </w:p>
        </w:tc>
      </w:tr>
      <w:tr w14:paraId="2E099C05">
        <w:tblPrEx>
          <w:tblCellMar>
            <w:top w:w="0" w:type="dxa"/>
            <w:left w:w="10" w:type="dxa"/>
            <w:bottom w:w="0" w:type="dxa"/>
            <w:right w:w="10" w:type="dxa"/>
          </w:tblCellMar>
        </w:tblPrEx>
        <w:trPr>
          <w:trHeight w:val="695" w:hRule="atLeast"/>
          <w:jc w:val="center"/>
        </w:trPr>
        <w:tc>
          <w:tcPr>
            <w:tcW w:w="708" w:type="dxa"/>
            <w:tcBorders>
              <w:top w:val="single" w:color="auto" w:sz="4" w:space="0"/>
              <w:left w:val="single" w:color="auto" w:sz="6" w:space="0"/>
              <w:bottom w:val="single" w:color="auto" w:sz="4" w:space="0"/>
              <w:right w:val="single" w:color="auto" w:sz="6" w:space="0"/>
            </w:tcBorders>
            <w:shd w:val="clear" w:color="auto" w:fill="auto"/>
            <w:vAlign w:val="center"/>
          </w:tcPr>
          <w:p w14:paraId="17B48540">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kern w:val="21"/>
                <w:sz w:val="24"/>
                <w:szCs w:val="24"/>
                <w:highlight w:val="none"/>
                <w:lang w:val="en-US" w:eastAsia="zh-CN" w:bidi="ar-SA"/>
              </w:rPr>
            </w:pPr>
            <w:r>
              <w:rPr>
                <w:rFonts w:hint="eastAsia" w:ascii="宋体" w:hAnsi="宋体" w:eastAsia="宋体" w:cs="宋体"/>
                <w:color w:val="auto"/>
                <w:kern w:val="21"/>
                <w:sz w:val="24"/>
                <w:szCs w:val="24"/>
                <w:highlight w:val="none"/>
                <w:lang w:val="en-US" w:eastAsia="zh-CN"/>
              </w:rPr>
              <w:t>19</w:t>
            </w:r>
          </w:p>
        </w:tc>
        <w:tc>
          <w:tcPr>
            <w:tcW w:w="1308" w:type="dxa"/>
            <w:tcBorders>
              <w:top w:val="single" w:color="auto" w:sz="4" w:space="0"/>
              <w:left w:val="nil"/>
              <w:bottom w:val="single" w:color="auto" w:sz="4" w:space="0"/>
              <w:right w:val="single" w:color="auto" w:sz="6" w:space="0"/>
            </w:tcBorders>
            <w:shd w:val="clear" w:color="auto" w:fill="auto"/>
            <w:vAlign w:val="center"/>
          </w:tcPr>
          <w:p w14:paraId="3F53876A">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1"/>
                <w:sz w:val="24"/>
                <w:szCs w:val="24"/>
                <w:highlight w:val="none"/>
                <w:lang w:val="en-US" w:eastAsia="zh-CN" w:bidi="ar-SA"/>
              </w:rPr>
            </w:pPr>
            <w:r>
              <w:rPr>
                <w:rFonts w:hint="eastAsia" w:ascii="宋体" w:hAnsi="宋体" w:eastAsia="宋体" w:cs="宋体"/>
                <w:color w:val="auto"/>
                <w:kern w:val="21"/>
                <w:sz w:val="24"/>
                <w:szCs w:val="24"/>
                <w:highlight w:val="none"/>
              </w:rPr>
              <w:t>接线盒</w:t>
            </w:r>
          </w:p>
        </w:tc>
        <w:tc>
          <w:tcPr>
            <w:tcW w:w="4469" w:type="dxa"/>
            <w:tcBorders>
              <w:top w:val="single" w:color="auto" w:sz="4" w:space="0"/>
              <w:left w:val="nil"/>
              <w:bottom w:val="single" w:color="auto" w:sz="4" w:space="0"/>
              <w:right w:val="single" w:color="auto" w:sz="6" w:space="0"/>
            </w:tcBorders>
            <w:shd w:val="clear" w:color="auto" w:fill="auto"/>
            <w:vAlign w:val="center"/>
          </w:tcPr>
          <w:p w14:paraId="33580A90">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kern w:val="21"/>
                <w:sz w:val="24"/>
                <w:szCs w:val="24"/>
                <w:highlight w:val="none"/>
                <w:lang w:val="en-US" w:eastAsia="zh-CN" w:bidi="ar-SA"/>
              </w:rPr>
            </w:pPr>
            <w:r>
              <w:rPr>
                <w:rFonts w:hint="eastAsia" w:ascii="宋体" w:hAnsi="宋体" w:eastAsia="宋体" w:cs="宋体"/>
                <w:color w:val="auto"/>
                <w:kern w:val="21"/>
                <w:sz w:val="24"/>
                <w:szCs w:val="24"/>
                <w:highlight w:val="none"/>
              </w:rPr>
              <w:t>86铁盒4/6分通用</w:t>
            </w:r>
          </w:p>
        </w:tc>
        <w:tc>
          <w:tcPr>
            <w:tcW w:w="712" w:type="dxa"/>
            <w:tcBorders>
              <w:top w:val="single" w:color="auto" w:sz="4" w:space="0"/>
              <w:left w:val="single" w:color="auto" w:sz="6" w:space="0"/>
              <w:bottom w:val="single" w:color="auto" w:sz="4" w:space="0"/>
              <w:right w:val="single" w:color="auto" w:sz="6" w:space="0"/>
            </w:tcBorders>
            <w:shd w:val="clear" w:color="auto" w:fill="auto"/>
            <w:vAlign w:val="center"/>
          </w:tcPr>
          <w:p w14:paraId="4B516830">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1"/>
                <w:sz w:val="24"/>
                <w:szCs w:val="24"/>
                <w:highlight w:val="none"/>
                <w:lang w:val="en-US" w:eastAsia="zh-CN" w:bidi="ar-SA"/>
              </w:rPr>
            </w:pPr>
            <w:r>
              <w:rPr>
                <w:rFonts w:hint="eastAsia" w:ascii="宋体" w:hAnsi="宋体" w:eastAsia="宋体" w:cs="宋体"/>
                <w:color w:val="auto"/>
                <w:kern w:val="21"/>
                <w:sz w:val="24"/>
                <w:szCs w:val="24"/>
                <w:highlight w:val="none"/>
              </w:rPr>
              <w:t>4474</w:t>
            </w:r>
          </w:p>
        </w:tc>
        <w:tc>
          <w:tcPr>
            <w:tcW w:w="1125" w:type="dxa"/>
            <w:tcBorders>
              <w:top w:val="single" w:color="auto" w:sz="4" w:space="0"/>
              <w:left w:val="single" w:color="auto" w:sz="6" w:space="0"/>
              <w:bottom w:val="single" w:color="auto" w:sz="4" w:space="0"/>
              <w:right w:val="single" w:color="auto" w:sz="6" w:space="0"/>
            </w:tcBorders>
            <w:shd w:val="clear" w:color="auto" w:fill="auto"/>
            <w:vAlign w:val="center"/>
          </w:tcPr>
          <w:p w14:paraId="3ADB4931">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1"/>
                <w:sz w:val="24"/>
                <w:szCs w:val="24"/>
                <w:highlight w:val="none"/>
                <w:lang w:val="en-US" w:eastAsia="zh-CN" w:bidi="ar-SA"/>
              </w:rPr>
            </w:pPr>
            <w:r>
              <w:rPr>
                <w:rFonts w:hint="eastAsia" w:ascii="宋体" w:hAnsi="宋体" w:eastAsia="宋体" w:cs="宋体"/>
                <w:color w:val="auto"/>
                <w:kern w:val="21"/>
                <w:sz w:val="24"/>
                <w:szCs w:val="24"/>
                <w:highlight w:val="none"/>
                <w:lang w:val="en-US" w:eastAsia="zh-CN"/>
              </w:rPr>
              <w:t>个</w:t>
            </w:r>
          </w:p>
        </w:tc>
        <w:tc>
          <w:tcPr>
            <w:tcW w:w="1063" w:type="dxa"/>
            <w:vMerge w:val="continue"/>
            <w:tcBorders>
              <w:left w:val="single" w:color="auto" w:sz="6" w:space="0"/>
              <w:right w:val="single" w:color="auto" w:sz="6" w:space="0"/>
            </w:tcBorders>
            <w:shd w:val="clear" w:color="auto" w:fill="auto"/>
            <w:vAlign w:val="center"/>
          </w:tcPr>
          <w:p w14:paraId="45AD4D64">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1"/>
                <w:sz w:val="24"/>
                <w:szCs w:val="24"/>
                <w:highlight w:val="none"/>
                <w:lang w:val="en-US" w:eastAsia="zh-CN"/>
              </w:rPr>
            </w:pPr>
          </w:p>
        </w:tc>
      </w:tr>
      <w:tr w14:paraId="437037CF">
        <w:tblPrEx>
          <w:tblCellMar>
            <w:top w:w="0" w:type="dxa"/>
            <w:left w:w="10" w:type="dxa"/>
            <w:bottom w:w="0" w:type="dxa"/>
            <w:right w:w="10" w:type="dxa"/>
          </w:tblCellMar>
        </w:tblPrEx>
        <w:trPr>
          <w:trHeight w:val="695" w:hRule="atLeast"/>
          <w:jc w:val="center"/>
        </w:trPr>
        <w:tc>
          <w:tcPr>
            <w:tcW w:w="708" w:type="dxa"/>
            <w:tcBorders>
              <w:top w:val="single" w:color="auto" w:sz="4" w:space="0"/>
              <w:left w:val="single" w:color="auto" w:sz="6" w:space="0"/>
              <w:bottom w:val="single" w:color="auto" w:sz="4" w:space="0"/>
              <w:right w:val="single" w:color="auto" w:sz="6" w:space="0"/>
            </w:tcBorders>
            <w:shd w:val="clear" w:color="auto" w:fill="auto"/>
            <w:vAlign w:val="center"/>
          </w:tcPr>
          <w:p w14:paraId="1B684A05">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kern w:val="21"/>
                <w:sz w:val="24"/>
                <w:szCs w:val="24"/>
                <w:highlight w:val="none"/>
                <w:lang w:val="en-US" w:eastAsia="zh-CN" w:bidi="ar-SA"/>
              </w:rPr>
            </w:pPr>
            <w:r>
              <w:rPr>
                <w:rFonts w:hint="eastAsia" w:ascii="宋体" w:hAnsi="宋体" w:eastAsia="宋体" w:cs="宋体"/>
                <w:color w:val="auto"/>
                <w:kern w:val="21"/>
                <w:sz w:val="24"/>
                <w:szCs w:val="24"/>
                <w:highlight w:val="none"/>
                <w:lang w:val="en-US" w:eastAsia="zh-CN"/>
              </w:rPr>
              <w:t>20</w:t>
            </w:r>
          </w:p>
        </w:tc>
        <w:tc>
          <w:tcPr>
            <w:tcW w:w="1308" w:type="dxa"/>
            <w:tcBorders>
              <w:top w:val="single" w:color="auto" w:sz="4" w:space="0"/>
              <w:left w:val="nil"/>
              <w:bottom w:val="single" w:color="auto" w:sz="4" w:space="0"/>
              <w:right w:val="single" w:color="auto" w:sz="6" w:space="0"/>
            </w:tcBorders>
            <w:shd w:val="clear" w:color="auto" w:fill="auto"/>
            <w:vAlign w:val="center"/>
          </w:tcPr>
          <w:p w14:paraId="42473566">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1"/>
                <w:sz w:val="24"/>
                <w:szCs w:val="24"/>
                <w:highlight w:val="none"/>
                <w:lang w:val="en-US" w:eastAsia="zh-CN" w:bidi="ar-SA"/>
              </w:rPr>
            </w:pPr>
            <w:r>
              <w:rPr>
                <w:rFonts w:hint="eastAsia" w:ascii="宋体" w:hAnsi="宋体" w:eastAsia="宋体" w:cs="宋体"/>
                <w:color w:val="auto"/>
                <w:kern w:val="21"/>
                <w:sz w:val="24"/>
                <w:szCs w:val="24"/>
                <w:highlight w:val="none"/>
              </w:rPr>
              <w:t>消防接线端子箱</w:t>
            </w:r>
          </w:p>
        </w:tc>
        <w:tc>
          <w:tcPr>
            <w:tcW w:w="4469" w:type="dxa"/>
            <w:tcBorders>
              <w:top w:val="single" w:color="auto" w:sz="4" w:space="0"/>
              <w:left w:val="nil"/>
              <w:bottom w:val="single" w:color="auto" w:sz="4" w:space="0"/>
              <w:right w:val="single" w:color="auto" w:sz="6" w:space="0"/>
            </w:tcBorders>
            <w:shd w:val="clear" w:color="auto" w:fill="auto"/>
            <w:vAlign w:val="center"/>
          </w:tcPr>
          <w:p w14:paraId="6B8B8B66">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kern w:val="21"/>
                <w:sz w:val="24"/>
                <w:szCs w:val="24"/>
                <w:highlight w:val="none"/>
                <w:lang w:val="en-US" w:eastAsia="zh-CN" w:bidi="ar-SA"/>
              </w:rPr>
            </w:pPr>
            <w:r>
              <w:rPr>
                <w:rFonts w:hint="eastAsia" w:ascii="宋体" w:hAnsi="宋体" w:eastAsia="宋体" w:cs="宋体"/>
                <w:color w:val="auto"/>
                <w:kern w:val="21"/>
                <w:sz w:val="24"/>
                <w:szCs w:val="24"/>
                <w:highlight w:val="none"/>
              </w:rPr>
              <w:t>防火材料规格</w:t>
            </w:r>
            <w:r>
              <w:rPr>
                <w:rFonts w:hint="eastAsia" w:ascii="宋体" w:hAnsi="宋体" w:eastAsia="宋体" w:cs="宋体"/>
                <w:color w:val="auto"/>
                <w:kern w:val="21"/>
                <w:sz w:val="24"/>
                <w:szCs w:val="24"/>
                <w:highlight w:val="none"/>
                <w:lang w:val="en-US" w:eastAsia="zh-CN"/>
              </w:rPr>
              <w:t>约</w:t>
            </w:r>
            <w:r>
              <w:rPr>
                <w:rFonts w:hint="eastAsia" w:ascii="宋体" w:hAnsi="宋体" w:eastAsia="宋体" w:cs="宋体"/>
                <w:color w:val="auto"/>
                <w:kern w:val="21"/>
                <w:sz w:val="24"/>
                <w:szCs w:val="24"/>
                <w:highlight w:val="none"/>
              </w:rPr>
              <w:t>400*300</w:t>
            </w:r>
          </w:p>
        </w:tc>
        <w:tc>
          <w:tcPr>
            <w:tcW w:w="712" w:type="dxa"/>
            <w:tcBorders>
              <w:top w:val="single" w:color="auto" w:sz="4" w:space="0"/>
              <w:left w:val="single" w:color="auto" w:sz="6" w:space="0"/>
              <w:bottom w:val="single" w:color="auto" w:sz="4" w:space="0"/>
              <w:right w:val="single" w:color="auto" w:sz="6" w:space="0"/>
            </w:tcBorders>
            <w:shd w:val="clear" w:color="auto" w:fill="auto"/>
            <w:vAlign w:val="center"/>
          </w:tcPr>
          <w:p w14:paraId="5217EE8D">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1"/>
                <w:sz w:val="24"/>
                <w:szCs w:val="24"/>
                <w:highlight w:val="none"/>
                <w:lang w:val="en-US" w:eastAsia="zh-CN" w:bidi="ar-SA"/>
              </w:rPr>
            </w:pPr>
            <w:r>
              <w:rPr>
                <w:rFonts w:hint="eastAsia" w:ascii="宋体" w:hAnsi="宋体" w:eastAsia="宋体" w:cs="宋体"/>
                <w:color w:val="auto"/>
                <w:kern w:val="21"/>
                <w:sz w:val="24"/>
                <w:szCs w:val="24"/>
                <w:highlight w:val="none"/>
              </w:rPr>
              <w:t>41</w:t>
            </w:r>
          </w:p>
        </w:tc>
        <w:tc>
          <w:tcPr>
            <w:tcW w:w="1125" w:type="dxa"/>
            <w:tcBorders>
              <w:top w:val="single" w:color="auto" w:sz="4" w:space="0"/>
              <w:left w:val="single" w:color="auto" w:sz="6" w:space="0"/>
              <w:bottom w:val="single" w:color="auto" w:sz="4" w:space="0"/>
              <w:right w:val="single" w:color="auto" w:sz="6" w:space="0"/>
            </w:tcBorders>
            <w:shd w:val="clear" w:color="auto" w:fill="auto"/>
            <w:vAlign w:val="center"/>
          </w:tcPr>
          <w:p w14:paraId="773660CA">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1"/>
                <w:sz w:val="24"/>
                <w:szCs w:val="24"/>
                <w:highlight w:val="none"/>
                <w:lang w:val="en-US" w:eastAsia="zh-CN" w:bidi="ar-SA"/>
              </w:rPr>
            </w:pPr>
            <w:r>
              <w:rPr>
                <w:rFonts w:hint="eastAsia" w:ascii="宋体" w:hAnsi="宋体" w:eastAsia="宋体" w:cs="宋体"/>
                <w:color w:val="auto"/>
                <w:kern w:val="21"/>
                <w:sz w:val="24"/>
                <w:szCs w:val="24"/>
                <w:highlight w:val="none"/>
              </w:rPr>
              <w:t>个</w:t>
            </w:r>
          </w:p>
        </w:tc>
        <w:tc>
          <w:tcPr>
            <w:tcW w:w="1063" w:type="dxa"/>
            <w:vMerge w:val="continue"/>
            <w:tcBorders>
              <w:left w:val="single" w:color="auto" w:sz="6" w:space="0"/>
              <w:right w:val="single" w:color="auto" w:sz="6" w:space="0"/>
            </w:tcBorders>
            <w:shd w:val="clear" w:color="auto" w:fill="auto"/>
            <w:vAlign w:val="center"/>
          </w:tcPr>
          <w:p w14:paraId="330958FD">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1"/>
                <w:sz w:val="24"/>
                <w:szCs w:val="24"/>
                <w:highlight w:val="none"/>
              </w:rPr>
            </w:pPr>
          </w:p>
        </w:tc>
      </w:tr>
      <w:tr w14:paraId="1F27509E">
        <w:tblPrEx>
          <w:tblCellMar>
            <w:top w:w="0" w:type="dxa"/>
            <w:left w:w="10" w:type="dxa"/>
            <w:bottom w:w="0" w:type="dxa"/>
            <w:right w:w="10" w:type="dxa"/>
          </w:tblCellMar>
        </w:tblPrEx>
        <w:trPr>
          <w:trHeight w:val="695" w:hRule="atLeast"/>
          <w:jc w:val="center"/>
        </w:trPr>
        <w:tc>
          <w:tcPr>
            <w:tcW w:w="708" w:type="dxa"/>
            <w:tcBorders>
              <w:top w:val="single" w:color="auto" w:sz="4" w:space="0"/>
              <w:left w:val="single" w:color="auto" w:sz="6" w:space="0"/>
              <w:bottom w:val="single" w:color="auto" w:sz="4" w:space="0"/>
              <w:right w:val="single" w:color="auto" w:sz="6" w:space="0"/>
            </w:tcBorders>
            <w:shd w:val="clear" w:color="auto" w:fill="auto"/>
            <w:vAlign w:val="center"/>
          </w:tcPr>
          <w:p w14:paraId="1793D9B5">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kern w:val="21"/>
                <w:sz w:val="24"/>
                <w:szCs w:val="24"/>
                <w:highlight w:val="none"/>
                <w:lang w:val="en-US" w:eastAsia="zh-CN" w:bidi="ar-SA"/>
              </w:rPr>
            </w:pPr>
            <w:r>
              <w:rPr>
                <w:rFonts w:hint="eastAsia" w:ascii="宋体" w:hAnsi="宋体" w:eastAsia="宋体" w:cs="宋体"/>
                <w:color w:val="auto"/>
                <w:kern w:val="21"/>
                <w:sz w:val="24"/>
                <w:szCs w:val="24"/>
                <w:highlight w:val="none"/>
                <w:lang w:val="en-US" w:eastAsia="zh-CN"/>
              </w:rPr>
              <w:t>21</w:t>
            </w:r>
          </w:p>
        </w:tc>
        <w:tc>
          <w:tcPr>
            <w:tcW w:w="1308" w:type="dxa"/>
            <w:tcBorders>
              <w:top w:val="single" w:color="auto" w:sz="4" w:space="0"/>
              <w:left w:val="nil"/>
              <w:bottom w:val="single" w:color="auto" w:sz="4" w:space="0"/>
              <w:right w:val="single" w:color="auto" w:sz="6" w:space="0"/>
            </w:tcBorders>
            <w:shd w:val="clear" w:color="auto" w:fill="auto"/>
            <w:vAlign w:val="center"/>
          </w:tcPr>
          <w:p w14:paraId="180BFFDC">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1"/>
                <w:sz w:val="24"/>
                <w:szCs w:val="24"/>
                <w:highlight w:val="none"/>
                <w:lang w:val="en-US" w:eastAsia="zh-CN" w:bidi="ar-SA"/>
              </w:rPr>
            </w:pPr>
            <w:r>
              <w:rPr>
                <w:rFonts w:hint="eastAsia" w:ascii="宋体" w:hAnsi="宋体" w:eastAsia="宋体" w:cs="宋体"/>
                <w:color w:val="auto"/>
                <w:kern w:val="21"/>
                <w:sz w:val="24"/>
                <w:szCs w:val="24"/>
                <w:highlight w:val="none"/>
              </w:rPr>
              <w:t>防火涂料</w:t>
            </w:r>
          </w:p>
        </w:tc>
        <w:tc>
          <w:tcPr>
            <w:tcW w:w="4469" w:type="dxa"/>
            <w:tcBorders>
              <w:top w:val="single" w:color="auto" w:sz="4" w:space="0"/>
              <w:left w:val="nil"/>
              <w:bottom w:val="single" w:color="auto" w:sz="4" w:space="0"/>
              <w:right w:val="single" w:color="auto" w:sz="6" w:space="0"/>
            </w:tcBorders>
            <w:shd w:val="clear" w:color="auto" w:fill="auto"/>
            <w:vAlign w:val="center"/>
          </w:tcPr>
          <w:p w14:paraId="3DECC205">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kern w:val="21"/>
                <w:sz w:val="24"/>
                <w:szCs w:val="24"/>
                <w:highlight w:val="none"/>
                <w:lang w:val="en-US" w:eastAsia="zh-CN" w:bidi="ar-SA"/>
              </w:rPr>
            </w:pPr>
            <w:r>
              <w:rPr>
                <w:rFonts w:hint="eastAsia" w:ascii="宋体" w:hAnsi="宋体" w:eastAsia="宋体" w:cs="宋体"/>
                <w:color w:val="auto"/>
                <w:kern w:val="21"/>
                <w:sz w:val="24"/>
                <w:szCs w:val="24"/>
                <w:highlight w:val="none"/>
              </w:rPr>
              <w:t>防火涂料、明配钢管</w:t>
            </w:r>
            <w:r>
              <w:rPr>
                <w:rFonts w:hint="eastAsia" w:ascii="宋体" w:hAnsi="宋体" w:cs="宋体"/>
                <w:color w:val="auto"/>
                <w:kern w:val="21"/>
                <w:sz w:val="24"/>
                <w:szCs w:val="24"/>
                <w:highlight w:val="none"/>
                <w:lang w:val="en-US" w:eastAsia="zh-CN"/>
              </w:rPr>
              <w:t>刷漆</w:t>
            </w:r>
            <w:r>
              <w:rPr>
                <w:rFonts w:hint="eastAsia" w:ascii="宋体" w:hAnsi="宋体" w:eastAsia="宋体" w:cs="宋体"/>
                <w:color w:val="auto"/>
                <w:kern w:val="21"/>
                <w:sz w:val="24"/>
                <w:szCs w:val="24"/>
                <w:highlight w:val="none"/>
                <w:lang w:eastAsia="zh-CN"/>
              </w:rPr>
              <w:t>，</w:t>
            </w:r>
            <w:r>
              <w:rPr>
                <w:rFonts w:hint="eastAsia" w:ascii="宋体" w:hAnsi="宋体" w:eastAsia="宋体" w:cs="宋体"/>
                <w:color w:val="auto"/>
                <w:kern w:val="21"/>
                <w:sz w:val="24"/>
                <w:szCs w:val="24"/>
                <w:highlight w:val="none"/>
              </w:rPr>
              <w:t>耐火耐高温</w:t>
            </w:r>
            <w:r>
              <w:rPr>
                <w:rFonts w:hint="eastAsia" w:ascii="宋体" w:hAnsi="宋体" w:eastAsia="宋体" w:cs="宋体"/>
                <w:color w:val="auto"/>
                <w:kern w:val="21"/>
                <w:sz w:val="24"/>
                <w:szCs w:val="24"/>
                <w:highlight w:val="none"/>
                <w:lang w:eastAsia="zh-CN"/>
              </w:rPr>
              <w:t>，</w:t>
            </w:r>
            <w:r>
              <w:rPr>
                <w:rFonts w:hint="eastAsia" w:ascii="宋体" w:hAnsi="宋体" w:eastAsia="宋体" w:cs="宋体"/>
                <w:color w:val="auto"/>
                <w:kern w:val="21"/>
                <w:sz w:val="24"/>
                <w:szCs w:val="24"/>
                <w:highlight w:val="none"/>
              </w:rPr>
              <w:t>不易空鼓脱落</w:t>
            </w:r>
            <w:r>
              <w:rPr>
                <w:rFonts w:hint="eastAsia" w:ascii="宋体" w:hAnsi="宋体" w:eastAsia="宋体" w:cs="宋体"/>
                <w:color w:val="auto"/>
                <w:kern w:val="21"/>
                <w:sz w:val="24"/>
                <w:szCs w:val="24"/>
                <w:highlight w:val="none"/>
                <w:lang w:eastAsia="zh-CN"/>
              </w:rPr>
              <w:t>，</w:t>
            </w:r>
            <w:r>
              <w:rPr>
                <w:rFonts w:hint="eastAsia" w:ascii="宋体" w:hAnsi="宋体" w:eastAsia="宋体" w:cs="宋体"/>
                <w:color w:val="auto"/>
                <w:kern w:val="21"/>
                <w:sz w:val="24"/>
                <w:szCs w:val="24"/>
                <w:highlight w:val="none"/>
              </w:rPr>
              <w:t>水性防火涂料</w:t>
            </w:r>
            <w:r>
              <w:rPr>
                <w:rFonts w:hint="eastAsia" w:ascii="宋体" w:hAnsi="宋体" w:eastAsia="宋体" w:cs="宋体"/>
                <w:color w:val="auto"/>
                <w:kern w:val="21"/>
                <w:sz w:val="24"/>
                <w:szCs w:val="24"/>
                <w:highlight w:val="none"/>
                <w:lang w:eastAsia="zh-CN"/>
              </w:rPr>
              <w:t>，</w:t>
            </w:r>
            <w:r>
              <w:rPr>
                <w:rFonts w:hint="eastAsia" w:ascii="宋体" w:hAnsi="宋体" w:eastAsia="宋体" w:cs="宋体"/>
                <w:color w:val="auto"/>
                <w:kern w:val="21"/>
                <w:sz w:val="24"/>
                <w:szCs w:val="24"/>
                <w:highlight w:val="none"/>
              </w:rPr>
              <w:t>有效阻止火势蔓延</w:t>
            </w:r>
          </w:p>
        </w:tc>
        <w:tc>
          <w:tcPr>
            <w:tcW w:w="712" w:type="dxa"/>
            <w:tcBorders>
              <w:top w:val="single" w:color="auto" w:sz="4" w:space="0"/>
              <w:left w:val="single" w:color="auto" w:sz="6" w:space="0"/>
              <w:bottom w:val="single" w:color="auto" w:sz="4" w:space="0"/>
              <w:right w:val="single" w:color="auto" w:sz="6" w:space="0"/>
            </w:tcBorders>
            <w:shd w:val="clear" w:color="auto" w:fill="auto"/>
            <w:vAlign w:val="center"/>
          </w:tcPr>
          <w:p w14:paraId="368EAB9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1"/>
                <w:sz w:val="24"/>
                <w:szCs w:val="24"/>
                <w:highlight w:val="none"/>
                <w:lang w:val="en-US" w:eastAsia="zh-CN" w:bidi="ar-SA"/>
              </w:rPr>
            </w:pPr>
            <w:r>
              <w:rPr>
                <w:rFonts w:hint="eastAsia" w:ascii="宋体" w:hAnsi="宋体" w:eastAsia="宋体" w:cs="宋体"/>
                <w:color w:val="auto"/>
                <w:kern w:val="21"/>
                <w:sz w:val="24"/>
                <w:szCs w:val="24"/>
                <w:highlight w:val="none"/>
              </w:rPr>
              <w:t>1990</w:t>
            </w:r>
          </w:p>
        </w:tc>
        <w:tc>
          <w:tcPr>
            <w:tcW w:w="1125" w:type="dxa"/>
            <w:tcBorders>
              <w:top w:val="single" w:color="auto" w:sz="4" w:space="0"/>
              <w:left w:val="single" w:color="auto" w:sz="6" w:space="0"/>
              <w:bottom w:val="single" w:color="auto" w:sz="4" w:space="0"/>
              <w:right w:val="single" w:color="auto" w:sz="6" w:space="0"/>
            </w:tcBorders>
            <w:shd w:val="clear" w:color="auto" w:fill="auto"/>
            <w:vAlign w:val="center"/>
          </w:tcPr>
          <w:p w14:paraId="2F4396E0">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1"/>
                <w:sz w:val="24"/>
                <w:szCs w:val="24"/>
                <w:highlight w:val="none"/>
                <w:lang w:val="en-US" w:eastAsia="zh-CN" w:bidi="ar-SA"/>
              </w:rPr>
            </w:pPr>
            <w:r>
              <w:rPr>
                <w:rFonts w:hint="eastAsia" w:ascii="宋体" w:hAnsi="宋体" w:eastAsia="宋体" w:cs="宋体"/>
                <w:color w:val="auto"/>
                <w:kern w:val="21"/>
                <w:sz w:val="24"/>
                <w:szCs w:val="24"/>
                <w:highlight w:val="none"/>
              </w:rPr>
              <w:t>m</w:t>
            </w:r>
            <w:r>
              <w:rPr>
                <w:rFonts w:hint="eastAsia" w:ascii="宋体" w:hAnsi="宋体" w:eastAsia="宋体" w:cs="宋体"/>
                <w:color w:val="auto"/>
                <w:kern w:val="21"/>
                <w:sz w:val="24"/>
                <w:szCs w:val="24"/>
                <w:highlight w:val="none"/>
                <w:vertAlign w:val="superscript"/>
              </w:rPr>
              <w:t>2</w:t>
            </w:r>
          </w:p>
        </w:tc>
        <w:tc>
          <w:tcPr>
            <w:tcW w:w="1063" w:type="dxa"/>
            <w:vMerge w:val="continue"/>
            <w:tcBorders>
              <w:left w:val="single" w:color="auto" w:sz="6" w:space="0"/>
              <w:right w:val="single" w:color="auto" w:sz="6" w:space="0"/>
            </w:tcBorders>
            <w:shd w:val="clear" w:color="auto" w:fill="auto"/>
            <w:vAlign w:val="center"/>
          </w:tcPr>
          <w:p w14:paraId="6BED272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1"/>
                <w:sz w:val="24"/>
                <w:szCs w:val="24"/>
                <w:highlight w:val="none"/>
              </w:rPr>
            </w:pPr>
          </w:p>
        </w:tc>
      </w:tr>
      <w:tr w14:paraId="4F99B524">
        <w:tblPrEx>
          <w:tblCellMar>
            <w:top w:w="0" w:type="dxa"/>
            <w:left w:w="10" w:type="dxa"/>
            <w:bottom w:w="0" w:type="dxa"/>
            <w:right w:w="10" w:type="dxa"/>
          </w:tblCellMar>
        </w:tblPrEx>
        <w:trPr>
          <w:trHeight w:val="695" w:hRule="atLeast"/>
          <w:jc w:val="center"/>
        </w:trPr>
        <w:tc>
          <w:tcPr>
            <w:tcW w:w="708" w:type="dxa"/>
            <w:tcBorders>
              <w:top w:val="single" w:color="auto" w:sz="4" w:space="0"/>
              <w:left w:val="single" w:color="auto" w:sz="6" w:space="0"/>
              <w:bottom w:val="single" w:color="auto" w:sz="4" w:space="0"/>
              <w:right w:val="single" w:color="auto" w:sz="6" w:space="0"/>
            </w:tcBorders>
            <w:shd w:val="clear" w:color="auto" w:fill="auto"/>
            <w:vAlign w:val="center"/>
          </w:tcPr>
          <w:p w14:paraId="73CBEA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宋体" w:hAnsi="宋体" w:eastAsia="宋体" w:cs="宋体"/>
                <w:color w:val="auto"/>
                <w:kern w:val="21"/>
                <w:sz w:val="24"/>
                <w:szCs w:val="24"/>
                <w:highlight w:val="none"/>
                <w:lang w:val="en-US" w:eastAsia="zh-CN" w:bidi="ar-SA"/>
              </w:rPr>
            </w:pPr>
            <w:r>
              <w:rPr>
                <w:rFonts w:hint="eastAsia" w:ascii="宋体" w:hAnsi="宋体" w:eastAsia="宋体" w:cs="宋体"/>
                <w:color w:val="auto"/>
                <w:kern w:val="21"/>
                <w:sz w:val="24"/>
                <w:szCs w:val="24"/>
                <w:highlight w:val="none"/>
                <w:lang w:val="en-US" w:eastAsia="zh-CN" w:bidi="ar"/>
              </w:rPr>
              <w:t>22</w:t>
            </w:r>
          </w:p>
        </w:tc>
        <w:tc>
          <w:tcPr>
            <w:tcW w:w="1308" w:type="dxa"/>
            <w:tcBorders>
              <w:top w:val="single" w:color="auto" w:sz="4" w:space="0"/>
              <w:left w:val="nil"/>
              <w:bottom w:val="single" w:color="auto" w:sz="4" w:space="0"/>
              <w:right w:val="single" w:color="auto" w:sz="6" w:space="0"/>
            </w:tcBorders>
            <w:shd w:val="clear" w:color="auto" w:fill="auto"/>
            <w:vAlign w:val="center"/>
          </w:tcPr>
          <w:p w14:paraId="6A9960A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1"/>
                <w:sz w:val="24"/>
                <w:szCs w:val="24"/>
                <w:highlight w:val="none"/>
                <w:lang w:val="en-US" w:eastAsia="zh-CN" w:bidi="ar-SA"/>
              </w:rPr>
            </w:pPr>
            <w:r>
              <w:rPr>
                <w:rFonts w:hint="eastAsia" w:ascii="宋体" w:hAnsi="宋体" w:eastAsia="宋体" w:cs="宋体"/>
                <w:color w:val="auto"/>
                <w:kern w:val="21"/>
                <w:sz w:val="24"/>
                <w:szCs w:val="24"/>
                <w:highlight w:val="none"/>
              </w:rPr>
              <w:t>室外光纤</w:t>
            </w:r>
          </w:p>
        </w:tc>
        <w:tc>
          <w:tcPr>
            <w:tcW w:w="4469" w:type="dxa"/>
            <w:tcBorders>
              <w:top w:val="single" w:color="auto" w:sz="4" w:space="0"/>
              <w:left w:val="nil"/>
              <w:bottom w:val="single" w:color="auto" w:sz="4" w:space="0"/>
              <w:right w:val="single" w:color="auto" w:sz="6" w:space="0"/>
            </w:tcBorders>
            <w:shd w:val="clear" w:color="auto" w:fill="auto"/>
            <w:vAlign w:val="center"/>
          </w:tcPr>
          <w:p w14:paraId="2026D49E">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kern w:val="21"/>
                <w:sz w:val="24"/>
                <w:szCs w:val="24"/>
                <w:highlight w:val="none"/>
                <w:lang w:val="en-US" w:eastAsia="zh-CN" w:bidi="ar-SA"/>
              </w:rPr>
            </w:pPr>
            <w:r>
              <w:rPr>
                <w:rFonts w:hint="eastAsia" w:ascii="宋体" w:hAnsi="宋体" w:eastAsia="宋体" w:cs="宋体"/>
                <w:color w:val="auto"/>
                <w:kern w:val="21"/>
                <w:sz w:val="24"/>
                <w:szCs w:val="24"/>
                <w:highlight w:val="none"/>
              </w:rPr>
              <w:t>室外单模千兆8芯</w:t>
            </w:r>
          </w:p>
        </w:tc>
        <w:tc>
          <w:tcPr>
            <w:tcW w:w="712" w:type="dxa"/>
            <w:tcBorders>
              <w:top w:val="single" w:color="auto" w:sz="4" w:space="0"/>
              <w:left w:val="single" w:color="auto" w:sz="6" w:space="0"/>
              <w:bottom w:val="single" w:color="auto" w:sz="4" w:space="0"/>
              <w:right w:val="single" w:color="auto" w:sz="6" w:space="0"/>
            </w:tcBorders>
            <w:shd w:val="clear" w:color="auto" w:fill="auto"/>
            <w:vAlign w:val="center"/>
          </w:tcPr>
          <w:p w14:paraId="5CFC4D0F">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1"/>
                <w:sz w:val="24"/>
                <w:szCs w:val="24"/>
                <w:highlight w:val="none"/>
                <w:lang w:val="en-US" w:eastAsia="zh-CN" w:bidi="ar-SA"/>
              </w:rPr>
            </w:pPr>
            <w:r>
              <w:rPr>
                <w:rFonts w:hint="eastAsia" w:ascii="宋体" w:hAnsi="宋体" w:eastAsia="宋体" w:cs="宋体"/>
                <w:color w:val="auto"/>
                <w:kern w:val="21"/>
                <w:sz w:val="24"/>
                <w:szCs w:val="24"/>
                <w:highlight w:val="none"/>
              </w:rPr>
              <w:t>3100</w:t>
            </w:r>
          </w:p>
        </w:tc>
        <w:tc>
          <w:tcPr>
            <w:tcW w:w="1125" w:type="dxa"/>
            <w:tcBorders>
              <w:top w:val="single" w:color="auto" w:sz="4" w:space="0"/>
              <w:left w:val="single" w:color="auto" w:sz="6" w:space="0"/>
              <w:bottom w:val="single" w:color="auto" w:sz="4" w:space="0"/>
              <w:right w:val="single" w:color="auto" w:sz="6" w:space="0"/>
            </w:tcBorders>
            <w:shd w:val="clear" w:color="auto" w:fill="auto"/>
            <w:vAlign w:val="center"/>
          </w:tcPr>
          <w:p w14:paraId="0789D3FE">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1"/>
                <w:sz w:val="24"/>
                <w:szCs w:val="24"/>
                <w:highlight w:val="none"/>
                <w:lang w:val="en-US" w:eastAsia="zh-CN" w:bidi="ar-SA"/>
              </w:rPr>
            </w:pPr>
            <w:r>
              <w:rPr>
                <w:rFonts w:hint="eastAsia" w:ascii="宋体" w:hAnsi="宋体" w:eastAsia="宋体" w:cs="宋体"/>
                <w:color w:val="auto"/>
                <w:kern w:val="21"/>
                <w:sz w:val="24"/>
                <w:szCs w:val="24"/>
                <w:highlight w:val="none"/>
              </w:rPr>
              <w:t>米</w:t>
            </w:r>
          </w:p>
        </w:tc>
        <w:tc>
          <w:tcPr>
            <w:tcW w:w="1063" w:type="dxa"/>
            <w:vMerge w:val="continue"/>
            <w:tcBorders>
              <w:left w:val="single" w:color="auto" w:sz="6" w:space="0"/>
              <w:right w:val="single" w:color="auto" w:sz="6" w:space="0"/>
            </w:tcBorders>
            <w:shd w:val="clear" w:color="auto" w:fill="auto"/>
            <w:vAlign w:val="center"/>
          </w:tcPr>
          <w:p w14:paraId="48A65AC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1"/>
                <w:sz w:val="24"/>
                <w:szCs w:val="24"/>
                <w:highlight w:val="none"/>
              </w:rPr>
            </w:pPr>
          </w:p>
        </w:tc>
      </w:tr>
      <w:tr w14:paraId="5A4467C4">
        <w:tblPrEx>
          <w:tblCellMar>
            <w:top w:w="0" w:type="dxa"/>
            <w:left w:w="10" w:type="dxa"/>
            <w:bottom w:w="0" w:type="dxa"/>
            <w:right w:w="10" w:type="dxa"/>
          </w:tblCellMar>
        </w:tblPrEx>
        <w:trPr>
          <w:trHeight w:val="695" w:hRule="atLeast"/>
          <w:jc w:val="center"/>
        </w:trPr>
        <w:tc>
          <w:tcPr>
            <w:tcW w:w="708" w:type="dxa"/>
            <w:tcBorders>
              <w:top w:val="single" w:color="auto" w:sz="4" w:space="0"/>
              <w:left w:val="single" w:color="auto" w:sz="6" w:space="0"/>
              <w:bottom w:val="single" w:color="auto" w:sz="4" w:space="0"/>
              <w:right w:val="single" w:color="auto" w:sz="6" w:space="0"/>
            </w:tcBorders>
            <w:shd w:val="clear" w:color="auto" w:fill="auto"/>
            <w:vAlign w:val="center"/>
          </w:tcPr>
          <w:p w14:paraId="7B231E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宋体" w:hAnsi="宋体" w:eastAsia="宋体" w:cs="宋体"/>
                <w:color w:val="auto"/>
                <w:kern w:val="21"/>
                <w:sz w:val="24"/>
                <w:szCs w:val="24"/>
                <w:highlight w:val="none"/>
                <w:lang w:val="en-US" w:eastAsia="zh-CN" w:bidi="ar"/>
              </w:rPr>
            </w:pPr>
            <w:r>
              <w:rPr>
                <w:rFonts w:hint="eastAsia" w:ascii="宋体" w:hAnsi="宋体" w:eastAsia="宋体" w:cs="宋体"/>
                <w:color w:val="auto"/>
                <w:kern w:val="21"/>
                <w:sz w:val="24"/>
                <w:szCs w:val="24"/>
                <w:highlight w:val="none"/>
                <w:lang w:val="en-US" w:eastAsia="zh-CN" w:bidi="ar"/>
              </w:rPr>
              <w:t>23</w:t>
            </w:r>
          </w:p>
        </w:tc>
        <w:tc>
          <w:tcPr>
            <w:tcW w:w="1308" w:type="dxa"/>
            <w:tcBorders>
              <w:top w:val="single" w:color="auto" w:sz="4" w:space="0"/>
              <w:left w:val="nil"/>
              <w:bottom w:val="single" w:color="auto" w:sz="4" w:space="0"/>
              <w:right w:val="single" w:color="auto" w:sz="6" w:space="0"/>
            </w:tcBorders>
            <w:shd w:val="clear" w:color="auto" w:fill="auto"/>
            <w:vAlign w:val="center"/>
          </w:tcPr>
          <w:p w14:paraId="0FE0B4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宋体" w:hAnsi="宋体" w:eastAsia="宋体" w:cs="宋体"/>
                <w:color w:val="auto"/>
                <w:kern w:val="21"/>
                <w:sz w:val="24"/>
                <w:szCs w:val="24"/>
                <w:highlight w:val="none"/>
                <w:lang w:val="en-US" w:eastAsia="zh-CN" w:bidi="ar-SA"/>
              </w:rPr>
            </w:pPr>
            <w:r>
              <w:rPr>
                <w:rFonts w:hint="eastAsia" w:ascii="宋体" w:hAnsi="宋体" w:eastAsia="宋体" w:cs="宋体"/>
                <w:color w:val="auto"/>
                <w:kern w:val="21"/>
                <w:sz w:val="24"/>
                <w:szCs w:val="24"/>
                <w:highlight w:val="none"/>
                <w:lang w:val="en-US" w:eastAsia="zh-CN" w:bidi="ar"/>
              </w:rPr>
              <w:t>辅材</w:t>
            </w:r>
          </w:p>
        </w:tc>
        <w:tc>
          <w:tcPr>
            <w:tcW w:w="4469" w:type="dxa"/>
            <w:tcBorders>
              <w:top w:val="single" w:color="auto" w:sz="4" w:space="0"/>
              <w:left w:val="nil"/>
              <w:bottom w:val="single" w:color="auto" w:sz="4" w:space="0"/>
              <w:right w:val="single" w:color="auto" w:sz="6" w:space="0"/>
            </w:tcBorders>
            <w:shd w:val="clear" w:color="auto" w:fill="auto"/>
            <w:vAlign w:val="center"/>
          </w:tcPr>
          <w:p w14:paraId="286D5E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both"/>
              <w:textAlignment w:val="auto"/>
              <w:rPr>
                <w:rFonts w:hint="eastAsia" w:ascii="宋体" w:hAnsi="宋体" w:eastAsia="宋体" w:cs="宋体"/>
                <w:color w:val="auto"/>
                <w:kern w:val="21"/>
                <w:sz w:val="24"/>
                <w:szCs w:val="24"/>
                <w:highlight w:val="none"/>
                <w:lang w:val="en-US" w:eastAsia="zh-CN" w:bidi="ar-SA"/>
              </w:rPr>
            </w:pPr>
            <w:r>
              <w:rPr>
                <w:rFonts w:hint="eastAsia" w:ascii="宋体" w:hAnsi="宋体" w:eastAsia="宋体" w:cs="宋体"/>
                <w:color w:val="auto"/>
                <w:kern w:val="21"/>
                <w:sz w:val="24"/>
                <w:szCs w:val="24"/>
                <w:highlight w:val="none"/>
                <w:lang w:val="en-US" w:eastAsia="zh-CN" w:bidi="ar"/>
              </w:rPr>
              <w:t>4分管接7700个，4分盒接13400，4分弯头2760，无刺激性气味稀料24桶</w:t>
            </w:r>
            <w:r>
              <w:rPr>
                <w:rFonts w:hint="eastAsia" w:ascii="宋体" w:hAnsi="宋体" w:cs="宋体"/>
                <w:color w:val="auto"/>
                <w:kern w:val="21"/>
                <w:sz w:val="24"/>
                <w:szCs w:val="24"/>
                <w:highlight w:val="none"/>
                <w:lang w:val="en-US" w:eastAsia="zh-CN" w:bidi="ar"/>
              </w:rPr>
              <w:t>，</w:t>
            </w:r>
            <w:r>
              <w:rPr>
                <w:rFonts w:hint="eastAsia" w:ascii="宋体" w:hAnsi="宋体" w:eastAsia="宋体" w:cs="宋体"/>
                <w:color w:val="auto"/>
                <w:kern w:val="21"/>
                <w:sz w:val="24"/>
                <w:szCs w:val="24"/>
                <w:highlight w:val="none"/>
                <w:lang w:val="en-US" w:eastAsia="zh-CN" w:bidi="ar"/>
              </w:rPr>
              <w:t>7kg</w:t>
            </w:r>
            <w:r>
              <w:rPr>
                <w:rFonts w:hint="eastAsia" w:ascii="宋体" w:hAnsi="宋体" w:cs="宋体"/>
                <w:color w:val="auto"/>
                <w:kern w:val="21"/>
                <w:sz w:val="24"/>
                <w:szCs w:val="24"/>
                <w:highlight w:val="none"/>
                <w:lang w:val="en-US" w:eastAsia="zh-CN" w:bidi="ar"/>
              </w:rPr>
              <w:t>/桶</w:t>
            </w:r>
            <w:r>
              <w:rPr>
                <w:rFonts w:hint="eastAsia" w:ascii="宋体" w:hAnsi="宋体" w:eastAsia="宋体" w:cs="宋体"/>
                <w:color w:val="auto"/>
                <w:kern w:val="21"/>
                <w:sz w:val="24"/>
                <w:szCs w:val="24"/>
                <w:highlight w:val="none"/>
                <w:lang w:val="en-US" w:eastAsia="zh-CN" w:bidi="ar"/>
              </w:rPr>
              <w:t>，4分龙骨卡子3100个，离墙码2100个，铁皮卡子900个，防水胶布200卷，40自攻钉3500个，3位5孔带开关插排25个，超五类水晶头100个，200长绑扎带10包。</w:t>
            </w:r>
          </w:p>
        </w:tc>
        <w:tc>
          <w:tcPr>
            <w:tcW w:w="712" w:type="dxa"/>
            <w:tcBorders>
              <w:top w:val="single" w:color="auto" w:sz="4" w:space="0"/>
              <w:left w:val="single" w:color="auto" w:sz="6" w:space="0"/>
              <w:bottom w:val="single" w:color="auto" w:sz="4" w:space="0"/>
              <w:right w:val="single" w:color="auto" w:sz="6" w:space="0"/>
            </w:tcBorders>
            <w:shd w:val="clear" w:color="auto" w:fill="auto"/>
            <w:vAlign w:val="center"/>
          </w:tcPr>
          <w:p w14:paraId="45BAD5DA">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1"/>
                <w:sz w:val="24"/>
                <w:szCs w:val="24"/>
                <w:highlight w:val="none"/>
                <w:lang w:val="en-US" w:eastAsia="zh-CN" w:bidi="ar-SA"/>
              </w:rPr>
            </w:pPr>
            <w:r>
              <w:rPr>
                <w:rFonts w:hint="eastAsia" w:ascii="宋体" w:hAnsi="宋体" w:eastAsia="宋体" w:cs="宋体"/>
                <w:color w:val="auto"/>
                <w:kern w:val="21"/>
                <w:sz w:val="24"/>
                <w:szCs w:val="24"/>
                <w:highlight w:val="none"/>
              </w:rPr>
              <w:t>1</w:t>
            </w:r>
          </w:p>
        </w:tc>
        <w:tc>
          <w:tcPr>
            <w:tcW w:w="1125" w:type="dxa"/>
            <w:tcBorders>
              <w:top w:val="single" w:color="auto" w:sz="4" w:space="0"/>
              <w:left w:val="single" w:color="auto" w:sz="6" w:space="0"/>
              <w:bottom w:val="single" w:color="auto" w:sz="4" w:space="0"/>
              <w:right w:val="single" w:color="auto" w:sz="6" w:space="0"/>
            </w:tcBorders>
            <w:shd w:val="clear" w:color="auto" w:fill="auto"/>
            <w:vAlign w:val="center"/>
          </w:tcPr>
          <w:p w14:paraId="0EF288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宋体" w:hAnsi="宋体" w:eastAsia="宋体" w:cs="宋体"/>
                <w:color w:val="auto"/>
                <w:kern w:val="21"/>
                <w:sz w:val="24"/>
                <w:szCs w:val="24"/>
                <w:highlight w:val="none"/>
                <w:lang w:val="en-US" w:eastAsia="zh-CN" w:bidi="ar-SA"/>
              </w:rPr>
            </w:pPr>
            <w:r>
              <w:rPr>
                <w:rFonts w:hint="eastAsia" w:ascii="宋体" w:hAnsi="宋体" w:eastAsia="宋体" w:cs="宋体"/>
                <w:color w:val="auto"/>
                <w:kern w:val="21"/>
                <w:sz w:val="24"/>
                <w:szCs w:val="24"/>
                <w:highlight w:val="none"/>
                <w:lang w:val="en-US" w:eastAsia="zh-CN" w:bidi="ar"/>
              </w:rPr>
              <w:t>项</w:t>
            </w:r>
          </w:p>
        </w:tc>
        <w:tc>
          <w:tcPr>
            <w:tcW w:w="1063" w:type="dxa"/>
            <w:vMerge w:val="continue"/>
            <w:tcBorders>
              <w:left w:val="single" w:color="auto" w:sz="6" w:space="0"/>
              <w:right w:val="single" w:color="auto" w:sz="6" w:space="0"/>
            </w:tcBorders>
            <w:shd w:val="clear" w:color="auto" w:fill="auto"/>
            <w:vAlign w:val="center"/>
          </w:tcPr>
          <w:p w14:paraId="1AC683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宋体" w:hAnsi="宋体" w:eastAsia="宋体" w:cs="宋体"/>
                <w:color w:val="auto"/>
                <w:kern w:val="21"/>
                <w:sz w:val="24"/>
                <w:szCs w:val="24"/>
                <w:highlight w:val="none"/>
                <w:lang w:val="en-US" w:eastAsia="zh-CN" w:bidi="ar"/>
              </w:rPr>
            </w:pPr>
          </w:p>
        </w:tc>
      </w:tr>
      <w:tr w14:paraId="12164171">
        <w:tblPrEx>
          <w:tblCellMar>
            <w:top w:w="0" w:type="dxa"/>
            <w:left w:w="10" w:type="dxa"/>
            <w:bottom w:w="0" w:type="dxa"/>
            <w:right w:w="10" w:type="dxa"/>
          </w:tblCellMar>
        </w:tblPrEx>
        <w:trPr>
          <w:trHeight w:val="695" w:hRule="atLeast"/>
          <w:jc w:val="center"/>
        </w:trPr>
        <w:tc>
          <w:tcPr>
            <w:tcW w:w="708" w:type="dxa"/>
            <w:tcBorders>
              <w:top w:val="single" w:color="auto" w:sz="4" w:space="0"/>
              <w:left w:val="single" w:color="auto" w:sz="6" w:space="0"/>
              <w:bottom w:val="single" w:color="auto" w:sz="4" w:space="0"/>
              <w:right w:val="single" w:color="auto" w:sz="6" w:space="0"/>
            </w:tcBorders>
            <w:shd w:val="clear" w:color="auto" w:fill="auto"/>
            <w:vAlign w:val="center"/>
          </w:tcPr>
          <w:p w14:paraId="430E10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宋体" w:hAnsi="宋体" w:eastAsia="宋体" w:cs="宋体"/>
                <w:color w:val="auto"/>
                <w:kern w:val="21"/>
                <w:sz w:val="24"/>
                <w:szCs w:val="24"/>
                <w:highlight w:val="none"/>
                <w:lang w:val="en-US" w:eastAsia="zh-CN" w:bidi="ar"/>
              </w:rPr>
            </w:pPr>
            <w:r>
              <w:rPr>
                <w:rFonts w:hint="eastAsia" w:ascii="宋体" w:hAnsi="宋体" w:eastAsia="宋体" w:cs="宋体"/>
                <w:color w:val="auto"/>
                <w:kern w:val="21"/>
                <w:sz w:val="24"/>
                <w:szCs w:val="24"/>
                <w:highlight w:val="none"/>
                <w:lang w:val="en-US" w:eastAsia="zh-CN" w:bidi="ar"/>
              </w:rPr>
              <w:t>24</w:t>
            </w:r>
          </w:p>
        </w:tc>
        <w:tc>
          <w:tcPr>
            <w:tcW w:w="1308" w:type="dxa"/>
            <w:tcBorders>
              <w:top w:val="single" w:color="auto" w:sz="4" w:space="0"/>
              <w:left w:val="nil"/>
              <w:bottom w:val="single" w:color="auto" w:sz="4" w:space="0"/>
              <w:right w:val="single" w:color="auto" w:sz="6" w:space="0"/>
            </w:tcBorders>
            <w:shd w:val="clear" w:color="auto" w:fill="auto"/>
            <w:vAlign w:val="center"/>
          </w:tcPr>
          <w:p w14:paraId="044B57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宋体" w:hAnsi="宋体" w:eastAsia="宋体" w:cs="宋体"/>
                <w:color w:val="auto"/>
                <w:kern w:val="21"/>
                <w:sz w:val="24"/>
                <w:szCs w:val="24"/>
                <w:highlight w:val="none"/>
                <w:lang w:val="en-US" w:eastAsia="zh-CN" w:bidi="ar"/>
              </w:rPr>
            </w:pPr>
            <w:r>
              <w:rPr>
                <w:rFonts w:hint="eastAsia" w:ascii="宋体" w:hAnsi="宋体" w:eastAsia="宋体" w:cs="宋体"/>
                <w:color w:val="auto"/>
                <w:kern w:val="21"/>
                <w:sz w:val="24"/>
                <w:szCs w:val="24"/>
                <w:highlight w:val="none"/>
                <w:lang w:val="en-US" w:eastAsia="zh-CN" w:bidi="ar"/>
              </w:rPr>
              <w:t>楼层应急照明配电箱</w:t>
            </w:r>
          </w:p>
        </w:tc>
        <w:tc>
          <w:tcPr>
            <w:tcW w:w="4469" w:type="dxa"/>
            <w:tcBorders>
              <w:top w:val="single" w:color="auto" w:sz="4" w:space="0"/>
              <w:left w:val="nil"/>
              <w:bottom w:val="single" w:color="auto" w:sz="4" w:space="0"/>
              <w:right w:val="single" w:color="auto" w:sz="6" w:space="0"/>
            </w:tcBorders>
            <w:shd w:val="clear" w:color="auto" w:fill="auto"/>
            <w:vAlign w:val="center"/>
          </w:tcPr>
          <w:p w14:paraId="7E53A0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both"/>
              <w:textAlignment w:val="auto"/>
              <w:rPr>
                <w:rFonts w:hint="eastAsia" w:ascii="宋体" w:hAnsi="宋体" w:eastAsia="宋体" w:cs="宋体"/>
                <w:color w:val="auto"/>
                <w:kern w:val="21"/>
                <w:sz w:val="24"/>
                <w:szCs w:val="24"/>
                <w:highlight w:val="none"/>
                <w:lang w:val="en-US" w:eastAsia="zh-CN" w:bidi="ar"/>
              </w:rPr>
            </w:pPr>
            <w:r>
              <w:rPr>
                <w:rFonts w:hint="eastAsia" w:ascii="宋体" w:hAnsi="宋体" w:eastAsia="宋体" w:cs="宋体"/>
                <w:color w:val="auto"/>
                <w:kern w:val="21"/>
                <w:sz w:val="24"/>
                <w:szCs w:val="24"/>
                <w:highlight w:val="none"/>
                <w:lang w:val="en-US" w:eastAsia="zh-CN" w:bidi="ar"/>
              </w:rPr>
              <w:t>箱体尺寸</w:t>
            </w:r>
            <w:r>
              <w:rPr>
                <w:rFonts w:hint="eastAsia" w:ascii="宋体" w:hAnsi="宋体" w:eastAsia="宋体" w:cs="宋体"/>
                <w:color w:val="auto"/>
                <w:kern w:val="21"/>
                <w:sz w:val="24"/>
                <w:szCs w:val="24"/>
                <w:highlight w:val="none"/>
              </w:rPr>
              <w:t>≥</w:t>
            </w:r>
            <w:r>
              <w:rPr>
                <w:rFonts w:hint="eastAsia" w:ascii="宋体" w:hAnsi="宋体" w:eastAsia="宋体" w:cs="宋体"/>
                <w:color w:val="auto"/>
                <w:kern w:val="21"/>
                <w:sz w:val="24"/>
                <w:szCs w:val="24"/>
                <w:highlight w:val="none"/>
                <w:lang w:val="en-US" w:eastAsia="zh-CN" w:bidi="ar"/>
              </w:rPr>
              <w:t>250cm*300cm，2P空开3个，零排，地排，电线</w:t>
            </w:r>
          </w:p>
        </w:tc>
        <w:tc>
          <w:tcPr>
            <w:tcW w:w="712" w:type="dxa"/>
            <w:tcBorders>
              <w:top w:val="single" w:color="auto" w:sz="4" w:space="0"/>
              <w:left w:val="single" w:color="auto" w:sz="6" w:space="0"/>
              <w:bottom w:val="single" w:color="auto" w:sz="4" w:space="0"/>
              <w:right w:val="single" w:color="auto" w:sz="6" w:space="0"/>
            </w:tcBorders>
            <w:shd w:val="clear" w:color="auto" w:fill="auto"/>
            <w:vAlign w:val="center"/>
          </w:tcPr>
          <w:p w14:paraId="5CFC2EB8">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1"/>
                <w:sz w:val="24"/>
                <w:szCs w:val="24"/>
                <w:highlight w:val="none"/>
                <w:lang w:val="en-US" w:eastAsia="zh-CN" w:bidi="ar-SA"/>
              </w:rPr>
            </w:pPr>
            <w:r>
              <w:rPr>
                <w:rFonts w:hint="eastAsia" w:ascii="宋体" w:hAnsi="宋体" w:eastAsia="宋体" w:cs="宋体"/>
                <w:color w:val="auto"/>
                <w:kern w:val="21"/>
                <w:sz w:val="24"/>
                <w:szCs w:val="24"/>
                <w:highlight w:val="none"/>
              </w:rPr>
              <w:t>33</w:t>
            </w:r>
          </w:p>
        </w:tc>
        <w:tc>
          <w:tcPr>
            <w:tcW w:w="1125" w:type="dxa"/>
            <w:tcBorders>
              <w:top w:val="single" w:color="auto" w:sz="4" w:space="0"/>
              <w:left w:val="single" w:color="auto" w:sz="6" w:space="0"/>
              <w:bottom w:val="single" w:color="auto" w:sz="4" w:space="0"/>
              <w:right w:val="single" w:color="auto" w:sz="6" w:space="0"/>
            </w:tcBorders>
            <w:shd w:val="clear" w:color="auto" w:fill="auto"/>
            <w:vAlign w:val="center"/>
          </w:tcPr>
          <w:p w14:paraId="190333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宋体" w:hAnsi="宋体" w:eastAsia="宋体" w:cs="宋体"/>
                <w:color w:val="auto"/>
                <w:kern w:val="21"/>
                <w:sz w:val="24"/>
                <w:szCs w:val="24"/>
                <w:highlight w:val="none"/>
                <w:lang w:val="en-US" w:eastAsia="zh-CN" w:bidi="ar"/>
              </w:rPr>
            </w:pPr>
            <w:r>
              <w:rPr>
                <w:rFonts w:hint="eastAsia" w:ascii="宋体" w:hAnsi="宋体" w:eastAsia="宋体" w:cs="宋体"/>
                <w:color w:val="auto"/>
                <w:kern w:val="21"/>
                <w:sz w:val="24"/>
                <w:szCs w:val="24"/>
                <w:highlight w:val="none"/>
                <w:lang w:val="en-US" w:eastAsia="zh-CN" w:bidi="ar"/>
              </w:rPr>
              <w:t>套</w:t>
            </w:r>
          </w:p>
        </w:tc>
        <w:tc>
          <w:tcPr>
            <w:tcW w:w="1063" w:type="dxa"/>
            <w:vMerge w:val="continue"/>
            <w:tcBorders>
              <w:left w:val="single" w:color="auto" w:sz="6" w:space="0"/>
              <w:right w:val="single" w:color="auto" w:sz="6" w:space="0"/>
            </w:tcBorders>
            <w:shd w:val="clear" w:color="auto" w:fill="auto"/>
            <w:vAlign w:val="center"/>
          </w:tcPr>
          <w:p w14:paraId="022673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宋体" w:hAnsi="宋体" w:eastAsia="宋体" w:cs="宋体"/>
                <w:color w:val="auto"/>
                <w:kern w:val="21"/>
                <w:sz w:val="24"/>
                <w:szCs w:val="24"/>
                <w:highlight w:val="none"/>
                <w:lang w:val="en-US" w:eastAsia="zh-CN" w:bidi="ar"/>
              </w:rPr>
            </w:pPr>
          </w:p>
        </w:tc>
      </w:tr>
      <w:tr w14:paraId="316E907E">
        <w:tblPrEx>
          <w:tblCellMar>
            <w:top w:w="0" w:type="dxa"/>
            <w:left w:w="10" w:type="dxa"/>
            <w:bottom w:w="0" w:type="dxa"/>
            <w:right w:w="10" w:type="dxa"/>
          </w:tblCellMar>
        </w:tblPrEx>
        <w:trPr>
          <w:trHeight w:val="695" w:hRule="atLeast"/>
          <w:jc w:val="center"/>
        </w:trPr>
        <w:tc>
          <w:tcPr>
            <w:tcW w:w="708" w:type="dxa"/>
            <w:tcBorders>
              <w:top w:val="single" w:color="auto" w:sz="4" w:space="0"/>
              <w:left w:val="single" w:color="auto" w:sz="6" w:space="0"/>
              <w:bottom w:val="single" w:color="auto" w:sz="4" w:space="0"/>
              <w:right w:val="single" w:color="auto" w:sz="6" w:space="0"/>
            </w:tcBorders>
            <w:shd w:val="clear" w:color="auto" w:fill="auto"/>
            <w:vAlign w:val="center"/>
          </w:tcPr>
          <w:p w14:paraId="40A8E7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宋体" w:hAnsi="宋体" w:eastAsia="宋体" w:cs="宋体"/>
                <w:color w:val="auto"/>
                <w:kern w:val="21"/>
                <w:sz w:val="24"/>
                <w:szCs w:val="24"/>
                <w:highlight w:val="none"/>
                <w:lang w:val="en-US" w:eastAsia="zh-CN" w:bidi="ar"/>
              </w:rPr>
            </w:pPr>
            <w:r>
              <w:rPr>
                <w:rFonts w:hint="eastAsia" w:ascii="宋体" w:hAnsi="宋体" w:eastAsia="宋体" w:cs="宋体"/>
                <w:color w:val="auto"/>
                <w:kern w:val="21"/>
                <w:sz w:val="24"/>
                <w:szCs w:val="24"/>
                <w:highlight w:val="none"/>
                <w:lang w:val="en-US" w:eastAsia="zh-CN" w:bidi="ar"/>
              </w:rPr>
              <w:t>25</w:t>
            </w:r>
          </w:p>
        </w:tc>
        <w:tc>
          <w:tcPr>
            <w:tcW w:w="1308" w:type="dxa"/>
            <w:tcBorders>
              <w:top w:val="single" w:color="auto" w:sz="4" w:space="0"/>
              <w:left w:val="nil"/>
              <w:bottom w:val="single" w:color="auto" w:sz="4" w:space="0"/>
              <w:right w:val="single" w:color="auto" w:sz="6" w:space="0"/>
            </w:tcBorders>
            <w:shd w:val="clear" w:color="auto" w:fill="auto"/>
            <w:vAlign w:val="center"/>
          </w:tcPr>
          <w:p w14:paraId="00D570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宋体" w:hAnsi="宋体" w:eastAsia="宋体" w:cs="宋体"/>
                <w:color w:val="auto"/>
                <w:kern w:val="21"/>
                <w:sz w:val="24"/>
                <w:szCs w:val="24"/>
                <w:highlight w:val="none"/>
                <w:lang w:val="en-US" w:eastAsia="zh-CN" w:bidi="ar"/>
              </w:rPr>
            </w:pPr>
            <w:r>
              <w:rPr>
                <w:rFonts w:hint="eastAsia" w:ascii="宋体" w:hAnsi="宋体" w:eastAsia="宋体" w:cs="宋体"/>
                <w:color w:val="auto"/>
                <w:kern w:val="21"/>
                <w:sz w:val="24"/>
                <w:szCs w:val="24"/>
                <w:highlight w:val="none"/>
                <w:lang w:val="en-US" w:eastAsia="zh-CN" w:bidi="ar"/>
              </w:rPr>
              <w:t>楼宇总控应急照明配电箱1</w:t>
            </w:r>
          </w:p>
        </w:tc>
        <w:tc>
          <w:tcPr>
            <w:tcW w:w="4469" w:type="dxa"/>
            <w:tcBorders>
              <w:top w:val="single" w:color="auto" w:sz="4" w:space="0"/>
              <w:left w:val="nil"/>
              <w:bottom w:val="single" w:color="auto" w:sz="4" w:space="0"/>
              <w:right w:val="single" w:color="auto" w:sz="6" w:space="0"/>
            </w:tcBorders>
            <w:shd w:val="clear" w:color="auto" w:fill="auto"/>
            <w:vAlign w:val="center"/>
          </w:tcPr>
          <w:p w14:paraId="7D0C19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both"/>
              <w:textAlignment w:val="auto"/>
              <w:rPr>
                <w:rFonts w:hint="eastAsia" w:ascii="宋体" w:hAnsi="宋体" w:eastAsia="宋体" w:cs="宋体"/>
                <w:color w:val="auto"/>
                <w:kern w:val="21"/>
                <w:sz w:val="24"/>
                <w:szCs w:val="24"/>
                <w:highlight w:val="none"/>
                <w:lang w:val="en-US" w:eastAsia="zh-CN" w:bidi="ar"/>
              </w:rPr>
            </w:pPr>
            <w:r>
              <w:rPr>
                <w:rFonts w:hint="eastAsia" w:ascii="宋体" w:hAnsi="宋体" w:eastAsia="宋体" w:cs="宋体"/>
                <w:color w:val="auto"/>
                <w:kern w:val="21"/>
                <w:sz w:val="24"/>
                <w:szCs w:val="24"/>
                <w:highlight w:val="none"/>
                <w:lang w:val="en-US" w:eastAsia="zh-CN" w:bidi="ar"/>
              </w:rPr>
              <w:t>箱体尺寸</w:t>
            </w:r>
            <w:r>
              <w:rPr>
                <w:rFonts w:hint="eastAsia" w:ascii="宋体" w:hAnsi="宋体" w:eastAsia="宋体" w:cs="宋体"/>
                <w:color w:val="auto"/>
                <w:kern w:val="21"/>
                <w:sz w:val="24"/>
                <w:szCs w:val="24"/>
                <w:highlight w:val="none"/>
              </w:rPr>
              <w:t>≥</w:t>
            </w:r>
            <w:r>
              <w:rPr>
                <w:rFonts w:hint="eastAsia" w:ascii="宋体" w:hAnsi="宋体" w:eastAsia="宋体" w:cs="宋体"/>
                <w:color w:val="auto"/>
                <w:kern w:val="21"/>
                <w:sz w:val="24"/>
                <w:szCs w:val="24"/>
                <w:highlight w:val="none"/>
                <w:lang w:val="en-US" w:eastAsia="zh-CN" w:bidi="ar"/>
              </w:rPr>
              <w:t>300cm*400cm，2P空开7个，零排，地排，电线</w:t>
            </w:r>
            <w:r>
              <w:rPr>
                <w:rFonts w:hint="eastAsia" w:ascii="宋体" w:hAnsi="宋体" w:cs="宋体"/>
                <w:color w:val="auto"/>
                <w:kern w:val="21"/>
                <w:sz w:val="24"/>
                <w:szCs w:val="24"/>
                <w:highlight w:val="none"/>
                <w:lang w:val="en-US" w:eastAsia="zh-CN" w:bidi="ar"/>
              </w:rPr>
              <w:t>，</w:t>
            </w:r>
            <w:r>
              <w:rPr>
                <w:rFonts w:hint="eastAsia" w:ascii="宋体" w:hAnsi="宋体" w:cs="宋体"/>
                <w:color w:val="auto"/>
                <w:kern w:val="21"/>
                <w:sz w:val="24"/>
                <w:szCs w:val="24"/>
                <w:highlight w:val="none"/>
                <w:lang w:val="en-US" w:eastAsia="zh-CN"/>
              </w:rPr>
              <w:t>含安装调试完成。</w:t>
            </w:r>
          </w:p>
        </w:tc>
        <w:tc>
          <w:tcPr>
            <w:tcW w:w="712" w:type="dxa"/>
            <w:tcBorders>
              <w:top w:val="single" w:color="auto" w:sz="4" w:space="0"/>
              <w:left w:val="single" w:color="auto" w:sz="6" w:space="0"/>
              <w:bottom w:val="single" w:color="auto" w:sz="4" w:space="0"/>
              <w:right w:val="single" w:color="auto" w:sz="6" w:space="0"/>
            </w:tcBorders>
            <w:shd w:val="clear" w:color="auto" w:fill="auto"/>
            <w:vAlign w:val="center"/>
          </w:tcPr>
          <w:p w14:paraId="43420F2F">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1"/>
                <w:sz w:val="24"/>
                <w:szCs w:val="24"/>
                <w:highlight w:val="none"/>
                <w:lang w:val="en-US" w:eastAsia="zh-CN" w:bidi="ar-SA"/>
              </w:rPr>
            </w:pPr>
            <w:r>
              <w:rPr>
                <w:rFonts w:hint="eastAsia" w:ascii="宋体" w:hAnsi="宋体" w:eastAsia="宋体" w:cs="宋体"/>
                <w:color w:val="auto"/>
                <w:kern w:val="21"/>
                <w:sz w:val="24"/>
                <w:szCs w:val="24"/>
                <w:highlight w:val="none"/>
              </w:rPr>
              <w:t>4</w:t>
            </w:r>
          </w:p>
        </w:tc>
        <w:tc>
          <w:tcPr>
            <w:tcW w:w="1125" w:type="dxa"/>
            <w:tcBorders>
              <w:top w:val="single" w:color="auto" w:sz="4" w:space="0"/>
              <w:left w:val="single" w:color="auto" w:sz="6" w:space="0"/>
              <w:bottom w:val="single" w:color="auto" w:sz="4" w:space="0"/>
              <w:right w:val="single" w:color="auto" w:sz="6" w:space="0"/>
            </w:tcBorders>
            <w:shd w:val="clear" w:color="auto" w:fill="auto"/>
            <w:vAlign w:val="center"/>
          </w:tcPr>
          <w:p w14:paraId="16A7BE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宋体" w:hAnsi="宋体" w:eastAsia="宋体" w:cs="宋体"/>
                <w:color w:val="auto"/>
                <w:kern w:val="21"/>
                <w:sz w:val="24"/>
                <w:szCs w:val="24"/>
                <w:highlight w:val="none"/>
                <w:lang w:val="en-US" w:eastAsia="zh-CN" w:bidi="ar"/>
              </w:rPr>
            </w:pPr>
            <w:r>
              <w:rPr>
                <w:rFonts w:hint="eastAsia" w:ascii="宋体" w:hAnsi="宋体" w:eastAsia="宋体" w:cs="宋体"/>
                <w:color w:val="auto"/>
                <w:kern w:val="21"/>
                <w:sz w:val="24"/>
                <w:szCs w:val="24"/>
                <w:highlight w:val="none"/>
                <w:lang w:val="en-US" w:eastAsia="zh-CN" w:bidi="ar"/>
              </w:rPr>
              <w:t>套</w:t>
            </w:r>
          </w:p>
        </w:tc>
        <w:tc>
          <w:tcPr>
            <w:tcW w:w="1063" w:type="dxa"/>
            <w:vMerge w:val="continue"/>
            <w:tcBorders>
              <w:left w:val="single" w:color="auto" w:sz="6" w:space="0"/>
              <w:right w:val="single" w:color="auto" w:sz="6" w:space="0"/>
            </w:tcBorders>
            <w:shd w:val="clear" w:color="auto" w:fill="auto"/>
            <w:vAlign w:val="center"/>
          </w:tcPr>
          <w:p w14:paraId="2B0980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宋体" w:hAnsi="宋体" w:eastAsia="宋体" w:cs="宋体"/>
                <w:color w:val="auto"/>
                <w:kern w:val="21"/>
                <w:sz w:val="24"/>
                <w:szCs w:val="24"/>
                <w:highlight w:val="none"/>
                <w:lang w:val="en-US" w:eastAsia="zh-CN" w:bidi="ar"/>
              </w:rPr>
            </w:pPr>
          </w:p>
        </w:tc>
      </w:tr>
      <w:tr w14:paraId="23B92C77">
        <w:tblPrEx>
          <w:tblCellMar>
            <w:top w:w="0" w:type="dxa"/>
            <w:left w:w="10" w:type="dxa"/>
            <w:bottom w:w="0" w:type="dxa"/>
            <w:right w:w="10" w:type="dxa"/>
          </w:tblCellMar>
        </w:tblPrEx>
        <w:trPr>
          <w:trHeight w:val="695" w:hRule="atLeast"/>
          <w:jc w:val="center"/>
        </w:trPr>
        <w:tc>
          <w:tcPr>
            <w:tcW w:w="708" w:type="dxa"/>
            <w:tcBorders>
              <w:top w:val="single" w:color="auto" w:sz="4" w:space="0"/>
              <w:left w:val="single" w:color="auto" w:sz="6" w:space="0"/>
              <w:bottom w:val="single" w:color="auto" w:sz="4" w:space="0"/>
              <w:right w:val="single" w:color="auto" w:sz="6" w:space="0"/>
            </w:tcBorders>
            <w:shd w:val="clear" w:color="auto" w:fill="auto"/>
            <w:vAlign w:val="center"/>
          </w:tcPr>
          <w:p w14:paraId="3DA35B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宋体" w:hAnsi="宋体" w:eastAsia="宋体" w:cs="宋体"/>
                <w:color w:val="auto"/>
                <w:kern w:val="21"/>
                <w:sz w:val="24"/>
                <w:szCs w:val="24"/>
                <w:highlight w:val="none"/>
                <w:lang w:val="en-US" w:eastAsia="zh-CN" w:bidi="ar"/>
              </w:rPr>
            </w:pPr>
            <w:r>
              <w:rPr>
                <w:rFonts w:hint="eastAsia" w:ascii="宋体" w:hAnsi="宋体" w:eastAsia="宋体" w:cs="宋体"/>
                <w:color w:val="auto"/>
                <w:kern w:val="21"/>
                <w:sz w:val="24"/>
                <w:szCs w:val="24"/>
                <w:highlight w:val="none"/>
                <w:lang w:val="en-US" w:eastAsia="zh-CN" w:bidi="ar"/>
              </w:rPr>
              <w:t>26</w:t>
            </w:r>
          </w:p>
        </w:tc>
        <w:tc>
          <w:tcPr>
            <w:tcW w:w="1308" w:type="dxa"/>
            <w:tcBorders>
              <w:top w:val="single" w:color="auto" w:sz="4" w:space="0"/>
              <w:left w:val="nil"/>
              <w:bottom w:val="single" w:color="auto" w:sz="4" w:space="0"/>
              <w:right w:val="single" w:color="auto" w:sz="6" w:space="0"/>
            </w:tcBorders>
            <w:shd w:val="clear" w:color="auto" w:fill="auto"/>
            <w:vAlign w:val="center"/>
          </w:tcPr>
          <w:p w14:paraId="50D1CE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宋体" w:hAnsi="宋体" w:eastAsia="宋体" w:cs="宋体"/>
                <w:color w:val="auto"/>
                <w:kern w:val="21"/>
                <w:sz w:val="24"/>
                <w:szCs w:val="24"/>
                <w:highlight w:val="none"/>
                <w:lang w:val="en-US" w:eastAsia="zh-CN" w:bidi="ar"/>
              </w:rPr>
            </w:pPr>
            <w:r>
              <w:rPr>
                <w:rFonts w:hint="eastAsia" w:ascii="宋体" w:hAnsi="宋体" w:eastAsia="宋体" w:cs="宋体"/>
                <w:color w:val="auto"/>
                <w:kern w:val="21"/>
                <w:sz w:val="24"/>
                <w:szCs w:val="24"/>
                <w:highlight w:val="none"/>
                <w:lang w:val="en-US" w:eastAsia="zh-CN" w:bidi="ar"/>
              </w:rPr>
              <w:t>楼宇总控应急照明配电箱2</w:t>
            </w:r>
          </w:p>
        </w:tc>
        <w:tc>
          <w:tcPr>
            <w:tcW w:w="4469" w:type="dxa"/>
            <w:tcBorders>
              <w:top w:val="single" w:color="auto" w:sz="4" w:space="0"/>
              <w:left w:val="nil"/>
              <w:bottom w:val="single" w:color="auto" w:sz="4" w:space="0"/>
              <w:right w:val="single" w:color="auto" w:sz="6" w:space="0"/>
            </w:tcBorders>
            <w:shd w:val="clear" w:color="auto" w:fill="auto"/>
            <w:vAlign w:val="center"/>
          </w:tcPr>
          <w:p w14:paraId="7DFFA5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both"/>
              <w:textAlignment w:val="auto"/>
              <w:rPr>
                <w:rFonts w:hint="eastAsia" w:ascii="宋体" w:hAnsi="宋体" w:eastAsia="宋体" w:cs="宋体"/>
                <w:color w:val="auto"/>
                <w:kern w:val="21"/>
                <w:sz w:val="24"/>
                <w:szCs w:val="24"/>
                <w:highlight w:val="none"/>
                <w:lang w:val="en-US" w:eastAsia="zh-CN" w:bidi="ar"/>
              </w:rPr>
            </w:pPr>
            <w:r>
              <w:rPr>
                <w:rFonts w:hint="eastAsia" w:ascii="宋体" w:hAnsi="宋体" w:eastAsia="宋体" w:cs="宋体"/>
                <w:color w:val="auto"/>
                <w:kern w:val="21"/>
                <w:sz w:val="24"/>
                <w:szCs w:val="24"/>
                <w:highlight w:val="none"/>
                <w:lang w:val="en-US" w:eastAsia="zh-CN" w:bidi="ar"/>
              </w:rPr>
              <w:t>箱体尺寸</w:t>
            </w:r>
            <w:r>
              <w:rPr>
                <w:rFonts w:hint="eastAsia" w:ascii="宋体" w:hAnsi="宋体" w:eastAsia="宋体" w:cs="宋体"/>
                <w:color w:val="auto"/>
                <w:kern w:val="21"/>
                <w:sz w:val="24"/>
                <w:szCs w:val="24"/>
                <w:highlight w:val="none"/>
              </w:rPr>
              <w:t>≥</w:t>
            </w:r>
            <w:r>
              <w:rPr>
                <w:rFonts w:hint="eastAsia" w:ascii="宋体" w:hAnsi="宋体" w:eastAsia="宋体" w:cs="宋体"/>
                <w:color w:val="auto"/>
                <w:kern w:val="21"/>
                <w:sz w:val="24"/>
                <w:szCs w:val="24"/>
                <w:highlight w:val="none"/>
                <w:lang w:val="en-US" w:eastAsia="zh-CN" w:bidi="ar"/>
              </w:rPr>
              <w:t>300cm*400cm，2P空开5个，零排，地排，电线</w:t>
            </w:r>
            <w:r>
              <w:rPr>
                <w:rFonts w:hint="eastAsia" w:ascii="宋体" w:hAnsi="宋体" w:cs="宋体"/>
                <w:color w:val="auto"/>
                <w:kern w:val="21"/>
                <w:sz w:val="24"/>
                <w:szCs w:val="24"/>
                <w:highlight w:val="none"/>
                <w:lang w:val="en-US" w:eastAsia="zh-CN" w:bidi="ar"/>
              </w:rPr>
              <w:t>，</w:t>
            </w:r>
            <w:r>
              <w:rPr>
                <w:rFonts w:hint="eastAsia" w:ascii="宋体" w:hAnsi="宋体" w:cs="宋体"/>
                <w:color w:val="auto"/>
                <w:kern w:val="21"/>
                <w:sz w:val="24"/>
                <w:szCs w:val="24"/>
                <w:highlight w:val="none"/>
                <w:lang w:val="en-US" w:eastAsia="zh-CN"/>
              </w:rPr>
              <w:t>含安装调试完成。</w:t>
            </w:r>
          </w:p>
        </w:tc>
        <w:tc>
          <w:tcPr>
            <w:tcW w:w="712" w:type="dxa"/>
            <w:tcBorders>
              <w:top w:val="single" w:color="auto" w:sz="4" w:space="0"/>
              <w:left w:val="single" w:color="auto" w:sz="6" w:space="0"/>
              <w:bottom w:val="single" w:color="auto" w:sz="4" w:space="0"/>
              <w:right w:val="single" w:color="auto" w:sz="6" w:space="0"/>
            </w:tcBorders>
            <w:shd w:val="clear" w:color="auto" w:fill="auto"/>
            <w:vAlign w:val="center"/>
          </w:tcPr>
          <w:p w14:paraId="2BA66FE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1"/>
                <w:sz w:val="24"/>
                <w:szCs w:val="24"/>
                <w:highlight w:val="none"/>
                <w:lang w:val="en-US" w:eastAsia="zh-CN" w:bidi="ar-SA"/>
              </w:rPr>
            </w:pPr>
            <w:r>
              <w:rPr>
                <w:rFonts w:hint="eastAsia" w:ascii="宋体" w:hAnsi="宋体" w:eastAsia="宋体" w:cs="宋体"/>
                <w:color w:val="auto"/>
                <w:kern w:val="21"/>
                <w:sz w:val="24"/>
                <w:szCs w:val="24"/>
                <w:highlight w:val="none"/>
              </w:rPr>
              <w:t>1</w:t>
            </w:r>
          </w:p>
        </w:tc>
        <w:tc>
          <w:tcPr>
            <w:tcW w:w="1125" w:type="dxa"/>
            <w:tcBorders>
              <w:top w:val="single" w:color="auto" w:sz="4" w:space="0"/>
              <w:left w:val="single" w:color="auto" w:sz="6" w:space="0"/>
              <w:bottom w:val="single" w:color="auto" w:sz="4" w:space="0"/>
              <w:right w:val="single" w:color="auto" w:sz="6" w:space="0"/>
            </w:tcBorders>
            <w:shd w:val="clear" w:color="auto" w:fill="auto"/>
            <w:vAlign w:val="center"/>
          </w:tcPr>
          <w:p w14:paraId="0957AA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宋体" w:hAnsi="宋体" w:eastAsia="宋体" w:cs="宋体"/>
                <w:color w:val="auto"/>
                <w:kern w:val="21"/>
                <w:sz w:val="24"/>
                <w:szCs w:val="24"/>
                <w:highlight w:val="none"/>
                <w:lang w:val="en-US" w:eastAsia="zh-CN" w:bidi="ar"/>
              </w:rPr>
            </w:pPr>
            <w:r>
              <w:rPr>
                <w:rFonts w:hint="eastAsia" w:ascii="宋体" w:hAnsi="宋体" w:eastAsia="宋体" w:cs="宋体"/>
                <w:color w:val="auto"/>
                <w:kern w:val="21"/>
                <w:sz w:val="24"/>
                <w:szCs w:val="24"/>
                <w:highlight w:val="none"/>
                <w:lang w:val="en-US" w:eastAsia="zh-CN" w:bidi="ar"/>
              </w:rPr>
              <w:t>套</w:t>
            </w:r>
          </w:p>
        </w:tc>
        <w:tc>
          <w:tcPr>
            <w:tcW w:w="1063" w:type="dxa"/>
            <w:vMerge w:val="continue"/>
            <w:tcBorders>
              <w:left w:val="single" w:color="auto" w:sz="6" w:space="0"/>
              <w:right w:val="single" w:color="auto" w:sz="6" w:space="0"/>
            </w:tcBorders>
            <w:shd w:val="clear" w:color="auto" w:fill="auto"/>
            <w:vAlign w:val="center"/>
          </w:tcPr>
          <w:p w14:paraId="5A6D43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宋体" w:hAnsi="宋体" w:eastAsia="宋体" w:cs="宋体"/>
                <w:color w:val="auto"/>
                <w:kern w:val="21"/>
                <w:sz w:val="24"/>
                <w:szCs w:val="24"/>
                <w:highlight w:val="none"/>
                <w:lang w:val="en-US" w:eastAsia="zh-CN" w:bidi="ar"/>
              </w:rPr>
            </w:pPr>
          </w:p>
        </w:tc>
      </w:tr>
      <w:tr w14:paraId="2D4EE077">
        <w:tblPrEx>
          <w:tblCellMar>
            <w:top w:w="0" w:type="dxa"/>
            <w:left w:w="10" w:type="dxa"/>
            <w:bottom w:w="0" w:type="dxa"/>
            <w:right w:w="10" w:type="dxa"/>
          </w:tblCellMar>
        </w:tblPrEx>
        <w:trPr>
          <w:trHeight w:val="695" w:hRule="atLeast"/>
          <w:jc w:val="center"/>
        </w:trPr>
        <w:tc>
          <w:tcPr>
            <w:tcW w:w="708" w:type="dxa"/>
            <w:tcBorders>
              <w:top w:val="single" w:color="auto" w:sz="4" w:space="0"/>
              <w:left w:val="single" w:color="auto" w:sz="6" w:space="0"/>
              <w:bottom w:val="single" w:color="auto" w:sz="4" w:space="0"/>
              <w:right w:val="single" w:color="auto" w:sz="6" w:space="0"/>
            </w:tcBorders>
            <w:shd w:val="clear" w:color="auto" w:fill="auto"/>
            <w:vAlign w:val="center"/>
          </w:tcPr>
          <w:p w14:paraId="0AAA0C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宋体" w:hAnsi="宋体" w:eastAsia="宋体" w:cs="宋体"/>
                <w:color w:val="auto"/>
                <w:kern w:val="21"/>
                <w:sz w:val="24"/>
                <w:szCs w:val="24"/>
                <w:highlight w:val="none"/>
                <w:lang w:val="en-US" w:eastAsia="zh-CN" w:bidi="ar"/>
              </w:rPr>
            </w:pPr>
            <w:r>
              <w:rPr>
                <w:rFonts w:hint="eastAsia" w:ascii="宋体" w:hAnsi="宋体" w:eastAsia="宋体" w:cs="宋体"/>
                <w:color w:val="auto"/>
                <w:kern w:val="21"/>
                <w:sz w:val="24"/>
                <w:szCs w:val="24"/>
                <w:highlight w:val="none"/>
                <w:lang w:val="en-US" w:eastAsia="zh-CN" w:bidi="ar"/>
              </w:rPr>
              <w:t>27</w:t>
            </w:r>
          </w:p>
        </w:tc>
        <w:tc>
          <w:tcPr>
            <w:tcW w:w="1308" w:type="dxa"/>
            <w:tcBorders>
              <w:top w:val="single" w:color="auto" w:sz="4" w:space="0"/>
              <w:left w:val="nil"/>
              <w:bottom w:val="single" w:color="auto" w:sz="4" w:space="0"/>
              <w:right w:val="single" w:color="auto" w:sz="6" w:space="0"/>
            </w:tcBorders>
            <w:shd w:val="clear" w:color="auto" w:fill="auto"/>
            <w:vAlign w:val="center"/>
          </w:tcPr>
          <w:p w14:paraId="07EDD5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宋体" w:hAnsi="宋体" w:eastAsia="宋体" w:cs="宋体"/>
                <w:color w:val="auto"/>
                <w:kern w:val="21"/>
                <w:sz w:val="24"/>
                <w:szCs w:val="24"/>
                <w:highlight w:val="none"/>
                <w:lang w:val="en-US" w:eastAsia="zh-CN" w:bidi="ar"/>
              </w:rPr>
            </w:pPr>
            <w:r>
              <w:rPr>
                <w:rFonts w:hint="eastAsia" w:ascii="宋体" w:hAnsi="宋体" w:eastAsia="宋体" w:cs="宋体"/>
                <w:color w:val="auto"/>
                <w:kern w:val="21"/>
                <w:sz w:val="24"/>
                <w:szCs w:val="24"/>
                <w:highlight w:val="none"/>
                <w:lang w:val="en-US" w:eastAsia="zh-CN" w:bidi="ar"/>
              </w:rPr>
              <w:t>楼宇总控应急照明配电箱3</w:t>
            </w:r>
          </w:p>
        </w:tc>
        <w:tc>
          <w:tcPr>
            <w:tcW w:w="4469" w:type="dxa"/>
            <w:tcBorders>
              <w:top w:val="single" w:color="auto" w:sz="4" w:space="0"/>
              <w:left w:val="nil"/>
              <w:bottom w:val="single" w:color="auto" w:sz="4" w:space="0"/>
              <w:right w:val="single" w:color="auto" w:sz="6" w:space="0"/>
            </w:tcBorders>
            <w:shd w:val="clear" w:color="auto" w:fill="auto"/>
            <w:vAlign w:val="center"/>
          </w:tcPr>
          <w:p w14:paraId="2BEE6E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both"/>
              <w:textAlignment w:val="auto"/>
              <w:rPr>
                <w:rFonts w:hint="eastAsia" w:ascii="宋体" w:hAnsi="宋体" w:eastAsia="宋体" w:cs="宋体"/>
                <w:color w:val="auto"/>
                <w:kern w:val="21"/>
                <w:sz w:val="24"/>
                <w:szCs w:val="24"/>
                <w:highlight w:val="none"/>
                <w:lang w:val="en-US" w:eastAsia="zh-CN" w:bidi="ar"/>
              </w:rPr>
            </w:pPr>
            <w:r>
              <w:rPr>
                <w:rFonts w:hint="eastAsia" w:ascii="宋体" w:hAnsi="宋体" w:eastAsia="宋体" w:cs="宋体"/>
                <w:color w:val="auto"/>
                <w:kern w:val="21"/>
                <w:sz w:val="24"/>
                <w:szCs w:val="24"/>
                <w:highlight w:val="none"/>
                <w:lang w:val="en-US" w:eastAsia="zh-CN" w:bidi="ar"/>
              </w:rPr>
              <w:t>箱体尺寸</w:t>
            </w:r>
            <w:r>
              <w:rPr>
                <w:rFonts w:hint="eastAsia" w:ascii="宋体" w:hAnsi="宋体" w:eastAsia="宋体" w:cs="宋体"/>
                <w:color w:val="auto"/>
                <w:kern w:val="21"/>
                <w:sz w:val="24"/>
                <w:szCs w:val="24"/>
                <w:highlight w:val="none"/>
              </w:rPr>
              <w:t>≥</w:t>
            </w:r>
            <w:r>
              <w:rPr>
                <w:rFonts w:hint="eastAsia" w:ascii="宋体" w:hAnsi="宋体" w:eastAsia="宋体" w:cs="宋体"/>
                <w:color w:val="auto"/>
                <w:kern w:val="21"/>
                <w:sz w:val="24"/>
                <w:szCs w:val="24"/>
                <w:highlight w:val="none"/>
                <w:lang w:val="en-US" w:eastAsia="zh-CN" w:bidi="ar"/>
              </w:rPr>
              <w:t>300cm*400cm，2P空开6个，零排，地排，电线</w:t>
            </w:r>
            <w:r>
              <w:rPr>
                <w:rFonts w:hint="eastAsia" w:ascii="宋体" w:hAnsi="宋体" w:cs="宋体"/>
                <w:color w:val="auto"/>
                <w:kern w:val="21"/>
                <w:sz w:val="24"/>
                <w:szCs w:val="24"/>
                <w:highlight w:val="none"/>
                <w:lang w:val="en-US" w:eastAsia="zh-CN" w:bidi="ar"/>
              </w:rPr>
              <w:t>，</w:t>
            </w:r>
            <w:r>
              <w:rPr>
                <w:rFonts w:hint="eastAsia" w:ascii="宋体" w:hAnsi="宋体" w:cs="宋体"/>
                <w:color w:val="auto"/>
                <w:kern w:val="21"/>
                <w:sz w:val="24"/>
                <w:szCs w:val="24"/>
                <w:highlight w:val="none"/>
                <w:lang w:val="en-US" w:eastAsia="zh-CN"/>
              </w:rPr>
              <w:t>含安装调试完成。</w:t>
            </w:r>
          </w:p>
        </w:tc>
        <w:tc>
          <w:tcPr>
            <w:tcW w:w="712" w:type="dxa"/>
            <w:tcBorders>
              <w:top w:val="single" w:color="auto" w:sz="4" w:space="0"/>
              <w:left w:val="single" w:color="auto" w:sz="6" w:space="0"/>
              <w:bottom w:val="single" w:color="auto" w:sz="4" w:space="0"/>
              <w:right w:val="single" w:color="auto" w:sz="6" w:space="0"/>
            </w:tcBorders>
            <w:shd w:val="clear" w:color="auto" w:fill="auto"/>
            <w:vAlign w:val="center"/>
          </w:tcPr>
          <w:p w14:paraId="66DBCBC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1"/>
                <w:sz w:val="24"/>
                <w:szCs w:val="24"/>
                <w:highlight w:val="none"/>
                <w:lang w:val="en-US" w:eastAsia="zh-CN" w:bidi="ar-SA"/>
              </w:rPr>
            </w:pPr>
            <w:r>
              <w:rPr>
                <w:rFonts w:hint="eastAsia" w:ascii="宋体" w:hAnsi="宋体" w:eastAsia="宋体" w:cs="宋体"/>
                <w:color w:val="auto"/>
                <w:kern w:val="21"/>
                <w:sz w:val="24"/>
                <w:szCs w:val="24"/>
                <w:highlight w:val="none"/>
              </w:rPr>
              <w:t>1</w:t>
            </w:r>
          </w:p>
        </w:tc>
        <w:tc>
          <w:tcPr>
            <w:tcW w:w="1125" w:type="dxa"/>
            <w:tcBorders>
              <w:top w:val="single" w:color="auto" w:sz="4" w:space="0"/>
              <w:left w:val="single" w:color="auto" w:sz="6" w:space="0"/>
              <w:bottom w:val="single" w:color="auto" w:sz="4" w:space="0"/>
              <w:right w:val="single" w:color="auto" w:sz="6" w:space="0"/>
            </w:tcBorders>
            <w:shd w:val="clear" w:color="auto" w:fill="auto"/>
            <w:vAlign w:val="center"/>
          </w:tcPr>
          <w:p w14:paraId="2F4669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宋体" w:hAnsi="宋体" w:eastAsia="宋体" w:cs="宋体"/>
                <w:color w:val="auto"/>
                <w:kern w:val="21"/>
                <w:sz w:val="24"/>
                <w:szCs w:val="24"/>
                <w:highlight w:val="none"/>
                <w:lang w:val="en-US" w:eastAsia="zh-CN" w:bidi="ar"/>
              </w:rPr>
            </w:pPr>
            <w:r>
              <w:rPr>
                <w:rFonts w:hint="eastAsia" w:ascii="宋体" w:hAnsi="宋体" w:eastAsia="宋体" w:cs="宋体"/>
                <w:color w:val="auto"/>
                <w:kern w:val="21"/>
                <w:sz w:val="24"/>
                <w:szCs w:val="24"/>
                <w:highlight w:val="none"/>
                <w:lang w:val="en-US" w:eastAsia="zh-CN" w:bidi="ar"/>
              </w:rPr>
              <w:t>套</w:t>
            </w:r>
          </w:p>
        </w:tc>
        <w:tc>
          <w:tcPr>
            <w:tcW w:w="1063" w:type="dxa"/>
            <w:vMerge w:val="continue"/>
            <w:tcBorders>
              <w:left w:val="single" w:color="auto" w:sz="6" w:space="0"/>
              <w:right w:val="single" w:color="auto" w:sz="6" w:space="0"/>
            </w:tcBorders>
            <w:shd w:val="clear" w:color="auto" w:fill="auto"/>
            <w:vAlign w:val="center"/>
          </w:tcPr>
          <w:p w14:paraId="20D2E1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宋体" w:hAnsi="宋体" w:eastAsia="宋体" w:cs="宋体"/>
                <w:color w:val="auto"/>
                <w:kern w:val="21"/>
                <w:sz w:val="24"/>
                <w:szCs w:val="24"/>
                <w:highlight w:val="none"/>
                <w:lang w:val="en-US" w:eastAsia="zh-CN" w:bidi="ar"/>
              </w:rPr>
            </w:pPr>
          </w:p>
        </w:tc>
      </w:tr>
      <w:tr w14:paraId="3402CAF6">
        <w:tblPrEx>
          <w:tblCellMar>
            <w:top w:w="0" w:type="dxa"/>
            <w:left w:w="10" w:type="dxa"/>
            <w:bottom w:w="0" w:type="dxa"/>
            <w:right w:w="10" w:type="dxa"/>
          </w:tblCellMar>
        </w:tblPrEx>
        <w:trPr>
          <w:trHeight w:val="695" w:hRule="atLeast"/>
          <w:jc w:val="center"/>
        </w:trPr>
        <w:tc>
          <w:tcPr>
            <w:tcW w:w="708" w:type="dxa"/>
            <w:tcBorders>
              <w:top w:val="single" w:color="auto" w:sz="4" w:space="0"/>
              <w:left w:val="single" w:color="auto" w:sz="6" w:space="0"/>
              <w:bottom w:val="single" w:color="auto" w:sz="4" w:space="0"/>
              <w:right w:val="single" w:color="auto" w:sz="6" w:space="0"/>
            </w:tcBorders>
            <w:shd w:val="clear" w:color="auto" w:fill="auto"/>
            <w:vAlign w:val="center"/>
          </w:tcPr>
          <w:p w14:paraId="783DE1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宋体" w:hAnsi="宋体" w:eastAsia="宋体" w:cs="宋体"/>
                <w:color w:val="auto"/>
                <w:kern w:val="21"/>
                <w:sz w:val="24"/>
                <w:szCs w:val="24"/>
                <w:highlight w:val="none"/>
                <w:lang w:val="en-US" w:eastAsia="zh-CN" w:bidi="ar"/>
              </w:rPr>
            </w:pPr>
            <w:r>
              <w:rPr>
                <w:rFonts w:hint="eastAsia" w:ascii="宋体" w:hAnsi="宋体" w:eastAsia="宋体" w:cs="宋体"/>
                <w:color w:val="auto"/>
                <w:kern w:val="21"/>
                <w:sz w:val="24"/>
                <w:szCs w:val="24"/>
                <w:highlight w:val="none"/>
                <w:lang w:val="en-US" w:eastAsia="zh-CN" w:bidi="ar"/>
              </w:rPr>
              <w:t>28</w:t>
            </w:r>
          </w:p>
        </w:tc>
        <w:tc>
          <w:tcPr>
            <w:tcW w:w="1308" w:type="dxa"/>
            <w:tcBorders>
              <w:top w:val="single" w:color="auto" w:sz="4" w:space="0"/>
              <w:left w:val="nil"/>
              <w:bottom w:val="single" w:color="auto" w:sz="4" w:space="0"/>
              <w:right w:val="single" w:color="auto" w:sz="6" w:space="0"/>
            </w:tcBorders>
            <w:shd w:val="clear" w:color="auto" w:fill="auto"/>
            <w:vAlign w:val="center"/>
          </w:tcPr>
          <w:p w14:paraId="75FD3D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宋体" w:hAnsi="宋体" w:eastAsia="宋体" w:cs="宋体"/>
                <w:color w:val="auto"/>
                <w:kern w:val="21"/>
                <w:sz w:val="24"/>
                <w:szCs w:val="24"/>
                <w:highlight w:val="none"/>
                <w:lang w:val="en-US" w:eastAsia="zh-CN" w:bidi="ar"/>
              </w:rPr>
            </w:pPr>
            <w:r>
              <w:rPr>
                <w:rFonts w:hint="eastAsia" w:ascii="宋体" w:hAnsi="宋体" w:eastAsia="宋体" w:cs="宋体"/>
                <w:color w:val="auto"/>
                <w:kern w:val="21"/>
                <w:sz w:val="24"/>
                <w:szCs w:val="24"/>
                <w:highlight w:val="none"/>
                <w:lang w:val="en-US" w:eastAsia="zh-CN" w:bidi="ar"/>
              </w:rPr>
              <w:t>电源线</w:t>
            </w:r>
          </w:p>
        </w:tc>
        <w:tc>
          <w:tcPr>
            <w:tcW w:w="4469" w:type="dxa"/>
            <w:tcBorders>
              <w:top w:val="single" w:color="auto" w:sz="4" w:space="0"/>
              <w:left w:val="nil"/>
              <w:bottom w:val="single" w:color="auto" w:sz="4" w:space="0"/>
              <w:right w:val="single" w:color="auto" w:sz="6" w:space="0"/>
            </w:tcBorders>
            <w:shd w:val="clear" w:color="auto" w:fill="auto"/>
            <w:vAlign w:val="center"/>
          </w:tcPr>
          <w:p w14:paraId="1F4499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both"/>
              <w:textAlignment w:val="auto"/>
              <w:rPr>
                <w:rFonts w:hint="eastAsia" w:ascii="宋体" w:hAnsi="宋体" w:eastAsia="宋体" w:cs="宋体"/>
                <w:color w:val="auto"/>
                <w:kern w:val="21"/>
                <w:sz w:val="24"/>
                <w:szCs w:val="24"/>
                <w:highlight w:val="none"/>
                <w:lang w:val="en-US" w:eastAsia="zh-CN" w:bidi="ar"/>
              </w:rPr>
            </w:pPr>
            <w:r>
              <w:rPr>
                <w:rFonts w:hint="eastAsia" w:ascii="宋体" w:hAnsi="宋体" w:eastAsia="宋体" w:cs="宋体"/>
                <w:color w:val="auto"/>
                <w:kern w:val="21"/>
                <w:sz w:val="24"/>
                <w:szCs w:val="24"/>
                <w:highlight w:val="none"/>
                <w:lang w:val="en-US" w:eastAsia="zh-CN" w:bidi="ar"/>
              </w:rPr>
              <w:t>阻燃防火材质WDZBN-BYJ-2.5</w:t>
            </w:r>
            <w:r>
              <w:rPr>
                <w:rFonts w:hint="eastAsia" w:ascii="宋体" w:hAnsi="宋体" w:eastAsia="宋体" w:cs="宋体"/>
                <w:color w:val="auto"/>
                <w:kern w:val="21"/>
                <w:sz w:val="24"/>
                <w:szCs w:val="24"/>
                <w:highlight w:val="none"/>
                <w:lang w:eastAsia="zh-CN"/>
              </w:rPr>
              <w:t>，</w:t>
            </w:r>
            <w:r>
              <w:rPr>
                <w:rFonts w:hint="eastAsia" w:ascii="宋体" w:hAnsi="宋体" w:eastAsia="宋体" w:cs="宋体"/>
                <w:color w:val="auto"/>
                <w:kern w:val="21"/>
                <w:sz w:val="24"/>
                <w:szCs w:val="24"/>
                <w:highlight w:val="none"/>
              </w:rPr>
              <w:t>含敷设安装</w:t>
            </w:r>
          </w:p>
        </w:tc>
        <w:tc>
          <w:tcPr>
            <w:tcW w:w="712" w:type="dxa"/>
            <w:tcBorders>
              <w:top w:val="single" w:color="auto" w:sz="4" w:space="0"/>
              <w:left w:val="single" w:color="auto" w:sz="6" w:space="0"/>
              <w:bottom w:val="single" w:color="auto" w:sz="4" w:space="0"/>
              <w:right w:val="single" w:color="auto" w:sz="6" w:space="0"/>
            </w:tcBorders>
            <w:shd w:val="clear" w:color="auto" w:fill="auto"/>
            <w:vAlign w:val="center"/>
          </w:tcPr>
          <w:p w14:paraId="211DB4C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1"/>
                <w:sz w:val="24"/>
                <w:szCs w:val="24"/>
                <w:highlight w:val="none"/>
                <w:lang w:val="en-US" w:eastAsia="zh-CN" w:bidi="ar-SA"/>
              </w:rPr>
            </w:pPr>
            <w:r>
              <w:rPr>
                <w:rFonts w:hint="eastAsia" w:ascii="宋体" w:hAnsi="宋体" w:eastAsia="宋体" w:cs="宋体"/>
                <w:color w:val="auto"/>
                <w:kern w:val="21"/>
                <w:sz w:val="24"/>
                <w:szCs w:val="24"/>
                <w:highlight w:val="none"/>
              </w:rPr>
              <w:t>31500</w:t>
            </w:r>
          </w:p>
        </w:tc>
        <w:tc>
          <w:tcPr>
            <w:tcW w:w="1125" w:type="dxa"/>
            <w:tcBorders>
              <w:top w:val="single" w:color="auto" w:sz="4" w:space="0"/>
              <w:left w:val="single" w:color="auto" w:sz="6" w:space="0"/>
              <w:bottom w:val="single" w:color="auto" w:sz="4" w:space="0"/>
              <w:right w:val="single" w:color="auto" w:sz="6" w:space="0"/>
            </w:tcBorders>
            <w:shd w:val="clear" w:color="auto" w:fill="auto"/>
            <w:vAlign w:val="center"/>
          </w:tcPr>
          <w:p w14:paraId="247C9E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宋体" w:hAnsi="宋体" w:eastAsia="宋体" w:cs="宋体"/>
                <w:color w:val="auto"/>
                <w:kern w:val="21"/>
                <w:sz w:val="24"/>
                <w:szCs w:val="24"/>
                <w:highlight w:val="none"/>
                <w:lang w:val="en-US" w:eastAsia="zh-CN" w:bidi="ar"/>
              </w:rPr>
            </w:pPr>
            <w:r>
              <w:rPr>
                <w:rFonts w:hint="eastAsia" w:ascii="宋体" w:hAnsi="宋体" w:eastAsia="宋体" w:cs="宋体"/>
                <w:color w:val="auto"/>
                <w:kern w:val="21"/>
                <w:sz w:val="24"/>
                <w:szCs w:val="24"/>
                <w:highlight w:val="none"/>
                <w:lang w:val="en-US" w:eastAsia="zh-CN" w:bidi="ar"/>
              </w:rPr>
              <w:t>米</w:t>
            </w:r>
          </w:p>
        </w:tc>
        <w:tc>
          <w:tcPr>
            <w:tcW w:w="1063" w:type="dxa"/>
            <w:vMerge w:val="continue"/>
            <w:tcBorders>
              <w:left w:val="single" w:color="auto" w:sz="6" w:space="0"/>
              <w:right w:val="single" w:color="auto" w:sz="6" w:space="0"/>
            </w:tcBorders>
            <w:shd w:val="clear" w:color="auto" w:fill="auto"/>
            <w:vAlign w:val="center"/>
          </w:tcPr>
          <w:p w14:paraId="20269F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宋体" w:hAnsi="宋体" w:eastAsia="宋体" w:cs="宋体"/>
                <w:color w:val="auto"/>
                <w:kern w:val="21"/>
                <w:sz w:val="24"/>
                <w:szCs w:val="24"/>
                <w:highlight w:val="none"/>
                <w:lang w:val="en-US" w:eastAsia="zh-CN" w:bidi="ar"/>
              </w:rPr>
            </w:pPr>
          </w:p>
        </w:tc>
      </w:tr>
      <w:tr w14:paraId="03352295">
        <w:tblPrEx>
          <w:tblCellMar>
            <w:top w:w="0" w:type="dxa"/>
            <w:left w:w="10" w:type="dxa"/>
            <w:bottom w:w="0" w:type="dxa"/>
            <w:right w:w="10" w:type="dxa"/>
          </w:tblCellMar>
        </w:tblPrEx>
        <w:trPr>
          <w:trHeight w:val="695" w:hRule="atLeast"/>
          <w:jc w:val="center"/>
        </w:trPr>
        <w:tc>
          <w:tcPr>
            <w:tcW w:w="708" w:type="dxa"/>
            <w:tcBorders>
              <w:top w:val="single" w:color="auto" w:sz="4" w:space="0"/>
              <w:left w:val="single" w:color="auto" w:sz="6" w:space="0"/>
              <w:bottom w:val="single" w:color="auto" w:sz="4" w:space="0"/>
              <w:right w:val="single" w:color="auto" w:sz="6" w:space="0"/>
            </w:tcBorders>
            <w:shd w:val="clear" w:color="auto" w:fill="auto"/>
            <w:vAlign w:val="center"/>
          </w:tcPr>
          <w:p w14:paraId="32AD39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宋体" w:hAnsi="宋体" w:eastAsia="宋体" w:cs="宋体"/>
                <w:color w:val="auto"/>
                <w:kern w:val="21"/>
                <w:sz w:val="24"/>
                <w:szCs w:val="24"/>
                <w:highlight w:val="none"/>
                <w:lang w:val="en-US" w:eastAsia="zh-CN" w:bidi="ar"/>
              </w:rPr>
            </w:pPr>
            <w:r>
              <w:rPr>
                <w:rFonts w:hint="eastAsia" w:ascii="宋体" w:hAnsi="宋体" w:eastAsia="宋体" w:cs="宋体"/>
                <w:color w:val="auto"/>
                <w:kern w:val="21"/>
                <w:sz w:val="24"/>
                <w:szCs w:val="24"/>
                <w:highlight w:val="none"/>
                <w:lang w:val="en-US" w:eastAsia="zh-CN" w:bidi="ar"/>
              </w:rPr>
              <w:t>29</w:t>
            </w:r>
          </w:p>
        </w:tc>
        <w:tc>
          <w:tcPr>
            <w:tcW w:w="1308" w:type="dxa"/>
            <w:tcBorders>
              <w:top w:val="single" w:color="auto" w:sz="4" w:space="0"/>
              <w:left w:val="nil"/>
              <w:bottom w:val="single" w:color="auto" w:sz="4" w:space="0"/>
              <w:right w:val="single" w:color="auto" w:sz="6" w:space="0"/>
            </w:tcBorders>
            <w:shd w:val="clear" w:color="auto" w:fill="auto"/>
            <w:vAlign w:val="center"/>
          </w:tcPr>
          <w:p w14:paraId="7E3D5E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宋体" w:hAnsi="宋体" w:eastAsia="宋体" w:cs="宋体"/>
                <w:color w:val="auto"/>
                <w:kern w:val="21"/>
                <w:sz w:val="24"/>
                <w:szCs w:val="24"/>
                <w:highlight w:val="none"/>
                <w:lang w:val="en-US" w:eastAsia="zh-CN" w:bidi="ar"/>
              </w:rPr>
            </w:pPr>
            <w:r>
              <w:rPr>
                <w:rFonts w:hint="eastAsia" w:ascii="宋体" w:hAnsi="宋体" w:eastAsia="宋体" w:cs="宋体"/>
                <w:color w:val="auto"/>
                <w:kern w:val="21"/>
                <w:sz w:val="24"/>
                <w:szCs w:val="24"/>
                <w:highlight w:val="none"/>
                <w:lang w:val="en-US" w:eastAsia="zh-CN" w:bidi="ar"/>
              </w:rPr>
              <w:t>KBG钢管</w:t>
            </w:r>
          </w:p>
        </w:tc>
        <w:tc>
          <w:tcPr>
            <w:tcW w:w="4469" w:type="dxa"/>
            <w:tcBorders>
              <w:top w:val="single" w:color="auto" w:sz="4" w:space="0"/>
              <w:left w:val="nil"/>
              <w:bottom w:val="single" w:color="auto" w:sz="4" w:space="0"/>
              <w:right w:val="single" w:color="auto" w:sz="6" w:space="0"/>
            </w:tcBorders>
            <w:shd w:val="clear" w:color="auto" w:fill="auto"/>
            <w:vAlign w:val="center"/>
          </w:tcPr>
          <w:p w14:paraId="0C7EEA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both"/>
              <w:textAlignment w:val="auto"/>
              <w:rPr>
                <w:rFonts w:hint="eastAsia" w:ascii="宋体" w:hAnsi="宋体" w:eastAsia="宋体" w:cs="宋体"/>
                <w:color w:val="auto"/>
                <w:kern w:val="21"/>
                <w:sz w:val="24"/>
                <w:szCs w:val="24"/>
                <w:highlight w:val="none"/>
                <w:lang w:val="en-US" w:eastAsia="zh-CN" w:bidi="ar"/>
              </w:rPr>
            </w:pPr>
            <w:r>
              <w:rPr>
                <w:rFonts w:hint="eastAsia" w:ascii="宋体" w:hAnsi="宋体" w:eastAsia="宋体" w:cs="宋体"/>
                <w:color w:val="auto"/>
                <w:kern w:val="21"/>
                <w:sz w:val="24"/>
                <w:szCs w:val="24"/>
                <w:highlight w:val="none"/>
                <w:lang w:val="en-US" w:eastAsia="zh-CN" w:bidi="ar"/>
              </w:rPr>
              <w:t>DN15钢管 1.2cm厚</w:t>
            </w:r>
          </w:p>
        </w:tc>
        <w:tc>
          <w:tcPr>
            <w:tcW w:w="712" w:type="dxa"/>
            <w:tcBorders>
              <w:top w:val="single" w:color="auto" w:sz="4" w:space="0"/>
              <w:left w:val="single" w:color="auto" w:sz="6" w:space="0"/>
              <w:bottom w:val="single" w:color="auto" w:sz="4" w:space="0"/>
              <w:right w:val="single" w:color="auto" w:sz="6" w:space="0"/>
            </w:tcBorders>
            <w:shd w:val="clear" w:color="auto" w:fill="auto"/>
            <w:vAlign w:val="center"/>
          </w:tcPr>
          <w:p w14:paraId="7BDAD60C">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1"/>
                <w:sz w:val="24"/>
                <w:szCs w:val="24"/>
                <w:highlight w:val="none"/>
                <w:lang w:val="en-US" w:eastAsia="zh-CN" w:bidi="ar-SA"/>
              </w:rPr>
            </w:pPr>
            <w:r>
              <w:rPr>
                <w:rFonts w:hint="eastAsia" w:ascii="宋体" w:hAnsi="宋体" w:eastAsia="宋体" w:cs="宋体"/>
                <w:color w:val="auto"/>
                <w:kern w:val="21"/>
                <w:sz w:val="24"/>
                <w:szCs w:val="24"/>
                <w:highlight w:val="none"/>
              </w:rPr>
              <w:t>8300</w:t>
            </w:r>
          </w:p>
        </w:tc>
        <w:tc>
          <w:tcPr>
            <w:tcW w:w="1125" w:type="dxa"/>
            <w:tcBorders>
              <w:top w:val="single" w:color="auto" w:sz="4" w:space="0"/>
              <w:left w:val="single" w:color="auto" w:sz="6" w:space="0"/>
              <w:bottom w:val="single" w:color="auto" w:sz="4" w:space="0"/>
              <w:right w:val="single" w:color="auto" w:sz="6" w:space="0"/>
            </w:tcBorders>
            <w:shd w:val="clear" w:color="auto" w:fill="auto"/>
            <w:vAlign w:val="center"/>
          </w:tcPr>
          <w:p w14:paraId="699DFA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宋体" w:hAnsi="宋体" w:eastAsia="宋体" w:cs="宋体"/>
                <w:color w:val="auto"/>
                <w:kern w:val="21"/>
                <w:sz w:val="24"/>
                <w:szCs w:val="24"/>
                <w:highlight w:val="none"/>
                <w:lang w:val="en-US" w:eastAsia="zh-CN" w:bidi="ar"/>
              </w:rPr>
            </w:pPr>
            <w:r>
              <w:rPr>
                <w:rFonts w:hint="eastAsia" w:ascii="宋体" w:hAnsi="宋体" w:eastAsia="宋体" w:cs="宋体"/>
                <w:color w:val="auto"/>
                <w:kern w:val="21"/>
                <w:sz w:val="24"/>
                <w:szCs w:val="24"/>
                <w:highlight w:val="none"/>
                <w:lang w:val="en-US" w:eastAsia="zh-CN" w:bidi="ar"/>
              </w:rPr>
              <w:t>米</w:t>
            </w:r>
          </w:p>
        </w:tc>
        <w:tc>
          <w:tcPr>
            <w:tcW w:w="1063" w:type="dxa"/>
            <w:vMerge w:val="continue"/>
            <w:tcBorders>
              <w:left w:val="single" w:color="auto" w:sz="6" w:space="0"/>
              <w:right w:val="single" w:color="auto" w:sz="6" w:space="0"/>
            </w:tcBorders>
            <w:shd w:val="clear" w:color="auto" w:fill="auto"/>
            <w:vAlign w:val="center"/>
          </w:tcPr>
          <w:p w14:paraId="5E3ED8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宋体" w:hAnsi="宋体" w:eastAsia="宋体" w:cs="宋体"/>
                <w:color w:val="auto"/>
                <w:kern w:val="21"/>
                <w:sz w:val="24"/>
                <w:szCs w:val="24"/>
                <w:highlight w:val="none"/>
                <w:lang w:val="en-US" w:eastAsia="zh-CN" w:bidi="ar"/>
              </w:rPr>
            </w:pPr>
          </w:p>
        </w:tc>
      </w:tr>
      <w:tr w14:paraId="199F5865">
        <w:tblPrEx>
          <w:tblCellMar>
            <w:top w:w="0" w:type="dxa"/>
            <w:left w:w="10" w:type="dxa"/>
            <w:bottom w:w="0" w:type="dxa"/>
            <w:right w:w="10" w:type="dxa"/>
          </w:tblCellMar>
        </w:tblPrEx>
        <w:trPr>
          <w:trHeight w:val="885" w:hRule="atLeast"/>
          <w:jc w:val="center"/>
        </w:trPr>
        <w:tc>
          <w:tcPr>
            <w:tcW w:w="708" w:type="dxa"/>
            <w:tcBorders>
              <w:top w:val="single" w:color="auto" w:sz="4" w:space="0"/>
              <w:left w:val="single" w:color="auto" w:sz="6" w:space="0"/>
              <w:bottom w:val="single" w:color="auto" w:sz="4" w:space="0"/>
              <w:right w:val="single" w:color="auto" w:sz="6" w:space="0"/>
            </w:tcBorders>
            <w:shd w:val="clear" w:color="auto" w:fill="auto"/>
            <w:vAlign w:val="center"/>
          </w:tcPr>
          <w:p w14:paraId="4B5463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宋体" w:hAnsi="宋体" w:eastAsia="宋体" w:cs="宋体"/>
                <w:color w:val="auto"/>
                <w:kern w:val="21"/>
                <w:sz w:val="24"/>
                <w:szCs w:val="24"/>
                <w:highlight w:val="none"/>
                <w:lang w:val="en-US" w:eastAsia="zh-CN" w:bidi="ar"/>
              </w:rPr>
            </w:pPr>
            <w:r>
              <w:rPr>
                <w:rFonts w:hint="eastAsia" w:ascii="宋体" w:hAnsi="宋体" w:eastAsia="宋体" w:cs="宋体"/>
                <w:color w:val="auto"/>
                <w:kern w:val="21"/>
                <w:sz w:val="24"/>
                <w:szCs w:val="24"/>
                <w:highlight w:val="none"/>
                <w:lang w:val="en-US" w:eastAsia="zh-CN" w:bidi="ar"/>
              </w:rPr>
              <w:t>30</w:t>
            </w:r>
          </w:p>
        </w:tc>
        <w:tc>
          <w:tcPr>
            <w:tcW w:w="1308" w:type="dxa"/>
            <w:tcBorders>
              <w:top w:val="single" w:color="auto" w:sz="4" w:space="0"/>
              <w:left w:val="nil"/>
              <w:bottom w:val="single" w:color="auto" w:sz="4" w:space="0"/>
              <w:right w:val="single" w:color="auto" w:sz="6" w:space="0"/>
            </w:tcBorders>
            <w:shd w:val="clear" w:color="auto" w:fill="auto"/>
            <w:vAlign w:val="center"/>
          </w:tcPr>
          <w:p w14:paraId="59E365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宋体" w:hAnsi="宋体" w:eastAsia="宋体" w:cs="宋体"/>
                <w:color w:val="auto"/>
                <w:kern w:val="21"/>
                <w:sz w:val="24"/>
                <w:szCs w:val="24"/>
                <w:highlight w:val="none"/>
                <w:lang w:val="en-US" w:eastAsia="zh-CN" w:bidi="ar-SA"/>
              </w:rPr>
            </w:pPr>
            <w:r>
              <w:rPr>
                <w:rFonts w:hint="eastAsia" w:ascii="宋体" w:hAnsi="宋体" w:eastAsia="宋体" w:cs="宋体"/>
                <w:color w:val="auto"/>
                <w:kern w:val="21"/>
                <w:sz w:val="24"/>
                <w:szCs w:val="24"/>
                <w:highlight w:val="none"/>
                <w:lang w:val="en-US" w:eastAsia="zh-CN" w:bidi="ar"/>
              </w:rPr>
              <w:t>连线复带盒</w:t>
            </w:r>
          </w:p>
        </w:tc>
        <w:tc>
          <w:tcPr>
            <w:tcW w:w="4469" w:type="dxa"/>
            <w:tcBorders>
              <w:top w:val="single" w:color="auto" w:sz="4" w:space="0"/>
              <w:left w:val="nil"/>
              <w:bottom w:val="single" w:color="auto" w:sz="4" w:space="0"/>
              <w:right w:val="single" w:color="auto" w:sz="6" w:space="0"/>
            </w:tcBorders>
            <w:shd w:val="clear" w:color="auto" w:fill="auto"/>
            <w:vAlign w:val="center"/>
          </w:tcPr>
          <w:p w14:paraId="07501D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both"/>
              <w:textAlignment w:val="auto"/>
              <w:rPr>
                <w:rFonts w:hint="eastAsia" w:ascii="宋体" w:hAnsi="宋体" w:eastAsia="宋体" w:cs="宋体"/>
                <w:color w:val="auto"/>
                <w:kern w:val="21"/>
                <w:sz w:val="24"/>
                <w:szCs w:val="24"/>
                <w:highlight w:val="none"/>
                <w:lang w:val="en-US" w:eastAsia="zh-CN" w:bidi="ar-SA"/>
              </w:rPr>
            </w:pPr>
            <w:r>
              <w:rPr>
                <w:rFonts w:hint="eastAsia" w:ascii="宋体" w:hAnsi="宋体" w:eastAsia="宋体" w:cs="宋体"/>
                <w:color w:val="auto"/>
                <w:kern w:val="21"/>
                <w:sz w:val="24"/>
                <w:szCs w:val="24"/>
                <w:highlight w:val="none"/>
                <w:lang w:val="en-US" w:eastAsia="zh-CN" w:bidi="ar"/>
              </w:rPr>
              <w:t>1.2cm厚，铁盒，0.5cm深，带盖</w:t>
            </w:r>
          </w:p>
        </w:tc>
        <w:tc>
          <w:tcPr>
            <w:tcW w:w="712" w:type="dxa"/>
            <w:tcBorders>
              <w:top w:val="single" w:color="auto" w:sz="4" w:space="0"/>
              <w:left w:val="single" w:color="auto" w:sz="6" w:space="0"/>
              <w:bottom w:val="single" w:color="auto" w:sz="4" w:space="0"/>
              <w:right w:val="single" w:color="auto" w:sz="6" w:space="0"/>
            </w:tcBorders>
            <w:shd w:val="clear" w:color="auto" w:fill="auto"/>
            <w:vAlign w:val="center"/>
          </w:tcPr>
          <w:p w14:paraId="4C050C7B">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1"/>
                <w:sz w:val="24"/>
                <w:szCs w:val="24"/>
                <w:highlight w:val="none"/>
                <w:lang w:val="en-US" w:eastAsia="zh-CN" w:bidi="ar-SA"/>
              </w:rPr>
            </w:pPr>
            <w:r>
              <w:rPr>
                <w:rFonts w:hint="eastAsia" w:ascii="宋体" w:hAnsi="宋体" w:eastAsia="宋体" w:cs="宋体"/>
                <w:color w:val="auto"/>
                <w:kern w:val="21"/>
                <w:sz w:val="24"/>
                <w:szCs w:val="24"/>
                <w:highlight w:val="none"/>
              </w:rPr>
              <w:t>1000</w:t>
            </w:r>
          </w:p>
        </w:tc>
        <w:tc>
          <w:tcPr>
            <w:tcW w:w="1125" w:type="dxa"/>
            <w:tcBorders>
              <w:top w:val="single" w:color="auto" w:sz="4" w:space="0"/>
              <w:left w:val="single" w:color="auto" w:sz="6" w:space="0"/>
              <w:bottom w:val="single" w:color="auto" w:sz="4" w:space="0"/>
              <w:right w:val="single" w:color="auto" w:sz="6" w:space="0"/>
            </w:tcBorders>
            <w:shd w:val="clear" w:color="auto" w:fill="auto"/>
            <w:vAlign w:val="center"/>
          </w:tcPr>
          <w:p w14:paraId="479B61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宋体" w:hAnsi="宋体" w:eastAsia="宋体" w:cs="宋体"/>
                <w:color w:val="auto"/>
                <w:kern w:val="21"/>
                <w:sz w:val="24"/>
                <w:szCs w:val="24"/>
                <w:highlight w:val="none"/>
                <w:lang w:val="en-US" w:eastAsia="zh-CN" w:bidi="ar-SA"/>
              </w:rPr>
            </w:pPr>
            <w:r>
              <w:rPr>
                <w:rFonts w:hint="eastAsia" w:ascii="宋体" w:hAnsi="宋体" w:eastAsia="宋体" w:cs="宋体"/>
                <w:color w:val="auto"/>
                <w:kern w:val="21"/>
                <w:sz w:val="24"/>
                <w:szCs w:val="24"/>
                <w:highlight w:val="none"/>
                <w:lang w:val="en-US" w:eastAsia="zh-CN" w:bidi="ar"/>
              </w:rPr>
              <w:t>个</w:t>
            </w:r>
          </w:p>
        </w:tc>
        <w:tc>
          <w:tcPr>
            <w:tcW w:w="1063" w:type="dxa"/>
            <w:vMerge w:val="continue"/>
            <w:tcBorders>
              <w:left w:val="single" w:color="auto" w:sz="6" w:space="0"/>
              <w:right w:val="single" w:color="auto" w:sz="6" w:space="0"/>
            </w:tcBorders>
            <w:shd w:val="clear" w:color="auto" w:fill="auto"/>
            <w:vAlign w:val="center"/>
          </w:tcPr>
          <w:p w14:paraId="05F2C2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宋体" w:hAnsi="宋体" w:eastAsia="宋体" w:cs="宋体"/>
                <w:color w:val="auto"/>
                <w:kern w:val="21"/>
                <w:sz w:val="24"/>
                <w:szCs w:val="24"/>
                <w:highlight w:val="none"/>
                <w:lang w:val="en-US" w:eastAsia="zh-CN" w:bidi="ar"/>
              </w:rPr>
            </w:pPr>
          </w:p>
        </w:tc>
      </w:tr>
      <w:tr w14:paraId="32E43DFE">
        <w:tblPrEx>
          <w:tblCellMar>
            <w:top w:w="0" w:type="dxa"/>
            <w:left w:w="10" w:type="dxa"/>
            <w:bottom w:w="0" w:type="dxa"/>
            <w:right w:w="10" w:type="dxa"/>
          </w:tblCellMar>
        </w:tblPrEx>
        <w:trPr>
          <w:trHeight w:val="1800" w:hRule="atLeast"/>
          <w:jc w:val="center"/>
        </w:trPr>
        <w:tc>
          <w:tcPr>
            <w:tcW w:w="708" w:type="dxa"/>
            <w:tcBorders>
              <w:top w:val="single" w:color="auto" w:sz="4" w:space="0"/>
              <w:left w:val="single" w:color="auto" w:sz="6" w:space="0"/>
              <w:bottom w:val="single" w:color="auto" w:sz="4" w:space="0"/>
              <w:right w:val="single" w:color="auto" w:sz="6" w:space="0"/>
            </w:tcBorders>
            <w:shd w:val="clear" w:color="auto" w:fill="auto"/>
            <w:vAlign w:val="center"/>
          </w:tcPr>
          <w:p w14:paraId="77C1A5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宋体" w:hAnsi="宋体" w:eastAsia="宋体" w:cs="宋体"/>
                <w:color w:val="auto"/>
                <w:kern w:val="21"/>
                <w:sz w:val="24"/>
                <w:szCs w:val="24"/>
                <w:highlight w:val="none"/>
                <w:lang w:val="en-US" w:eastAsia="zh-CN" w:bidi="ar"/>
              </w:rPr>
            </w:pPr>
            <w:r>
              <w:rPr>
                <w:rFonts w:hint="eastAsia" w:ascii="宋体" w:hAnsi="宋体" w:eastAsia="宋体" w:cs="宋体"/>
                <w:color w:val="auto"/>
                <w:kern w:val="21"/>
                <w:sz w:val="24"/>
                <w:szCs w:val="24"/>
                <w:highlight w:val="none"/>
                <w:lang w:val="en-US" w:eastAsia="zh-CN" w:bidi="ar"/>
              </w:rPr>
              <w:t>31</w:t>
            </w:r>
          </w:p>
        </w:tc>
        <w:tc>
          <w:tcPr>
            <w:tcW w:w="1308" w:type="dxa"/>
            <w:tcBorders>
              <w:top w:val="single" w:color="auto" w:sz="4" w:space="0"/>
              <w:left w:val="nil"/>
              <w:bottom w:val="single" w:color="auto" w:sz="4" w:space="0"/>
              <w:right w:val="single" w:color="auto" w:sz="6" w:space="0"/>
            </w:tcBorders>
            <w:shd w:val="clear" w:color="auto" w:fill="auto"/>
            <w:vAlign w:val="center"/>
          </w:tcPr>
          <w:p w14:paraId="3157C8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宋体" w:hAnsi="宋体" w:eastAsia="宋体" w:cs="宋体"/>
                <w:color w:val="auto"/>
                <w:kern w:val="21"/>
                <w:sz w:val="24"/>
                <w:szCs w:val="24"/>
                <w:highlight w:val="none"/>
                <w:lang w:val="en-US" w:eastAsia="zh-CN" w:bidi="ar-SA"/>
              </w:rPr>
            </w:pPr>
            <w:r>
              <w:rPr>
                <w:rFonts w:hint="eastAsia" w:ascii="宋体" w:hAnsi="宋体" w:eastAsia="宋体" w:cs="宋体"/>
                <w:color w:val="auto"/>
                <w:kern w:val="21"/>
                <w:sz w:val="24"/>
                <w:szCs w:val="24"/>
                <w:highlight w:val="none"/>
                <w:lang w:val="en-US" w:eastAsia="zh-CN" w:bidi="ar"/>
              </w:rPr>
              <w:t>应急灯</w:t>
            </w:r>
          </w:p>
        </w:tc>
        <w:tc>
          <w:tcPr>
            <w:tcW w:w="4469" w:type="dxa"/>
            <w:tcBorders>
              <w:top w:val="single" w:color="auto" w:sz="4" w:space="0"/>
              <w:left w:val="nil"/>
              <w:bottom w:val="single" w:color="auto" w:sz="4" w:space="0"/>
              <w:right w:val="single" w:color="auto" w:sz="6" w:space="0"/>
            </w:tcBorders>
            <w:shd w:val="clear" w:color="auto" w:fill="auto"/>
            <w:vAlign w:val="center"/>
          </w:tcPr>
          <w:p w14:paraId="4F121F77">
            <w:pPr>
              <w:keepNext w:val="0"/>
              <w:keepLines w:val="0"/>
              <w:pageBreakBefore w:val="0"/>
              <w:widowControl w:val="0"/>
              <w:suppressLineNumbers w:val="0"/>
              <w:tabs>
                <w:tab w:val="left" w:pos="852"/>
              </w:tabs>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eastAsia" w:ascii="宋体" w:hAnsi="宋体" w:eastAsia="宋体" w:cs="宋体"/>
                <w:color w:val="auto"/>
                <w:kern w:val="21"/>
                <w:sz w:val="24"/>
                <w:szCs w:val="24"/>
                <w:highlight w:val="none"/>
              </w:rPr>
            </w:pPr>
            <w:r>
              <w:rPr>
                <w:rFonts w:hint="eastAsia" w:ascii="宋体" w:hAnsi="宋体" w:eastAsia="宋体" w:cs="宋体"/>
                <w:color w:val="auto"/>
                <w:kern w:val="21"/>
                <w:sz w:val="24"/>
                <w:szCs w:val="24"/>
                <w:highlight w:val="none"/>
                <w:lang w:val="en-US" w:eastAsia="zh-CN" w:bidi="ar"/>
              </w:rPr>
              <w:t>输出功率：</w:t>
            </w:r>
            <w:r>
              <w:rPr>
                <w:rFonts w:hint="eastAsia" w:ascii="宋体" w:hAnsi="宋体" w:eastAsia="宋体" w:cs="宋体"/>
                <w:color w:val="auto"/>
                <w:kern w:val="21"/>
                <w:sz w:val="24"/>
                <w:szCs w:val="24"/>
                <w:highlight w:val="none"/>
              </w:rPr>
              <w:t>≥</w:t>
            </w:r>
            <w:r>
              <w:rPr>
                <w:rFonts w:hint="eastAsia" w:ascii="宋体" w:hAnsi="宋体" w:eastAsia="宋体" w:cs="宋体"/>
                <w:color w:val="auto"/>
                <w:kern w:val="21"/>
                <w:sz w:val="24"/>
                <w:szCs w:val="24"/>
                <w:highlight w:val="none"/>
                <w:lang w:val="en-US" w:eastAsia="zh-CN" w:bidi="ar"/>
              </w:rPr>
              <w:t>3W</w:t>
            </w:r>
          </w:p>
          <w:p w14:paraId="05C81BD3">
            <w:pPr>
              <w:keepNext w:val="0"/>
              <w:keepLines w:val="0"/>
              <w:pageBreakBefore w:val="0"/>
              <w:widowControl w:val="0"/>
              <w:suppressLineNumbers w:val="0"/>
              <w:tabs>
                <w:tab w:val="left" w:pos="852"/>
              </w:tabs>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eastAsia" w:ascii="宋体" w:hAnsi="宋体" w:eastAsia="宋体" w:cs="宋体"/>
                <w:color w:val="auto"/>
                <w:kern w:val="21"/>
                <w:sz w:val="24"/>
                <w:szCs w:val="24"/>
                <w:highlight w:val="none"/>
              </w:rPr>
            </w:pPr>
            <w:r>
              <w:rPr>
                <w:rFonts w:hint="eastAsia" w:ascii="宋体" w:hAnsi="宋体" w:eastAsia="宋体" w:cs="宋体"/>
                <w:color w:val="auto"/>
                <w:kern w:val="21"/>
                <w:sz w:val="24"/>
                <w:szCs w:val="24"/>
                <w:highlight w:val="none"/>
                <w:lang w:val="en-US" w:eastAsia="zh-CN" w:bidi="ar"/>
              </w:rPr>
              <w:t>应急时间：≥90分钟</w:t>
            </w:r>
          </w:p>
          <w:p w14:paraId="56AE47A1">
            <w:pPr>
              <w:keepNext w:val="0"/>
              <w:keepLines w:val="0"/>
              <w:pageBreakBefore w:val="0"/>
              <w:widowControl w:val="0"/>
              <w:suppressLineNumbers w:val="0"/>
              <w:tabs>
                <w:tab w:val="left" w:pos="852"/>
              </w:tabs>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eastAsia" w:ascii="宋体" w:hAnsi="宋体" w:eastAsia="宋体" w:cs="宋体"/>
                <w:color w:val="auto"/>
                <w:kern w:val="21"/>
                <w:sz w:val="24"/>
                <w:szCs w:val="24"/>
                <w:highlight w:val="none"/>
              </w:rPr>
            </w:pPr>
            <w:r>
              <w:rPr>
                <w:rFonts w:hint="eastAsia" w:ascii="宋体" w:hAnsi="宋体" w:eastAsia="宋体" w:cs="宋体"/>
                <w:color w:val="auto"/>
                <w:kern w:val="21"/>
                <w:sz w:val="24"/>
                <w:szCs w:val="24"/>
                <w:highlight w:val="none"/>
                <w:lang w:val="en-US" w:eastAsia="zh-CN" w:bidi="ar"/>
              </w:rPr>
              <w:t>输入电压：DC24V～直流220V</w:t>
            </w:r>
          </w:p>
          <w:p w14:paraId="3788A65C">
            <w:pPr>
              <w:keepNext w:val="0"/>
              <w:keepLines w:val="0"/>
              <w:pageBreakBefore w:val="0"/>
              <w:widowControl w:val="0"/>
              <w:suppressLineNumbers w:val="0"/>
              <w:tabs>
                <w:tab w:val="left" w:pos="852"/>
              </w:tabs>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eastAsia" w:ascii="宋体" w:hAnsi="宋体" w:eastAsia="宋体" w:cs="宋体"/>
                <w:color w:val="auto"/>
                <w:kern w:val="21"/>
                <w:sz w:val="24"/>
                <w:szCs w:val="24"/>
                <w:highlight w:val="none"/>
              </w:rPr>
            </w:pPr>
            <w:r>
              <w:rPr>
                <w:rFonts w:hint="eastAsia" w:ascii="宋体" w:hAnsi="宋体" w:eastAsia="宋体" w:cs="宋体"/>
                <w:color w:val="auto"/>
                <w:kern w:val="21"/>
                <w:sz w:val="24"/>
                <w:szCs w:val="24"/>
                <w:highlight w:val="none"/>
                <w:lang w:val="en-US" w:eastAsia="zh-CN" w:bidi="ar"/>
              </w:rPr>
              <w:t>防护等级：IP31</w:t>
            </w:r>
          </w:p>
          <w:p w14:paraId="67BFA6E0">
            <w:pPr>
              <w:keepNext w:val="0"/>
              <w:keepLines w:val="0"/>
              <w:pageBreakBefore w:val="0"/>
              <w:widowControl w:val="0"/>
              <w:suppressLineNumbers w:val="0"/>
              <w:tabs>
                <w:tab w:val="left" w:pos="852"/>
              </w:tabs>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eastAsia" w:ascii="宋体" w:hAnsi="宋体" w:eastAsia="宋体" w:cs="宋体"/>
                <w:color w:val="auto"/>
                <w:kern w:val="21"/>
                <w:sz w:val="24"/>
                <w:szCs w:val="24"/>
                <w:highlight w:val="none"/>
                <w:lang w:val="en-US" w:eastAsia="zh-CN" w:bidi="ar"/>
              </w:rPr>
            </w:pPr>
            <w:r>
              <w:rPr>
                <w:rFonts w:hint="eastAsia" w:ascii="宋体" w:hAnsi="宋体" w:eastAsia="宋体" w:cs="宋体"/>
                <w:color w:val="auto"/>
                <w:kern w:val="21"/>
                <w:sz w:val="24"/>
                <w:szCs w:val="24"/>
                <w:highlight w:val="none"/>
                <w:lang w:val="en-US" w:eastAsia="zh-CN" w:bidi="ar"/>
              </w:rPr>
              <w:t>安装方式：壁挂/吊装</w:t>
            </w:r>
          </w:p>
          <w:p w14:paraId="3D605421">
            <w:pPr>
              <w:keepNext w:val="0"/>
              <w:keepLines w:val="0"/>
              <w:pageBreakBefore w:val="0"/>
              <w:widowControl w:val="0"/>
              <w:suppressLineNumbers w:val="0"/>
              <w:tabs>
                <w:tab w:val="left" w:pos="852"/>
              </w:tabs>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eastAsia" w:ascii="宋体" w:hAnsi="宋体" w:eastAsia="宋体" w:cs="宋体"/>
                <w:color w:val="auto"/>
                <w:kern w:val="21"/>
                <w:sz w:val="24"/>
                <w:szCs w:val="24"/>
                <w:highlight w:val="none"/>
                <w:lang w:val="en-US" w:eastAsia="zh-CN" w:bidi="ar"/>
              </w:rPr>
            </w:pPr>
            <w:r>
              <w:rPr>
                <w:rFonts w:hint="eastAsia" w:ascii="宋体" w:hAnsi="宋体" w:cs="宋体"/>
                <w:color w:val="auto"/>
                <w:kern w:val="21"/>
                <w:sz w:val="24"/>
                <w:szCs w:val="24"/>
                <w:highlight w:val="none"/>
                <w:lang w:val="en-US" w:eastAsia="zh-CN" w:bidi="ar"/>
              </w:rPr>
              <w:t>原</w:t>
            </w:r>
            <w:r>
              <w:rPr>
                <w:rFonts w:hint="eastAsia" w:ascii="宋体" w:hAnsi="宋体" w:eastAsia="宋体" w:cs="宋体"/>
                <w:color w:val="auto"/>
                <w:kern w:val="21"/>
                <w:sz w:val="24"/>
                <w:szCs w:val="24"/>
                <w:highlight w:val="none"/>
                <w:lang w:val="en-US" w:eastAsia="zh-CN" w:bidi="ar"/>
              </w:rPr>
              <w:t>应急灯管线拆除、按要求重新布管、布线、刷防火涂料，照明设备预留及接线，接电箱等，应急灯安装完成</w:t>
            </w:r>
          </w:p>
          <w:p w14:paraId="00B4C266">
            <w:pPr>
              <w:keepNext w:val="0"/>
              <w:keepLines w:val="0"/>
              <w:pageBreakBefore w:val="0"/>
              <w:widowControl w:val="0"/>
              <w:suppressLineNumbers w:val="0"/>
              <w:tabs>
                <w:tab w:val="left" w:pos="852"/>
              </w:tabs>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eastAsia" w:ascii="宋体" w:hAnsi="宋体" w:eastAsia="宋体" w:cs="宋体"/>
                <w:color w:val="auto"/>
                <w:kern w:val="21"/>
                <w:sz w:val="24"/>
                <w:szCs w:val="24"/>
                <w:highlight w:val="none"/>
                <w:lang w:val="en-US" w:eastAsia="zh-CN" w:bidi="ar"/>
              </w:rPr>
            </w:pPr>
          </w:p>
        </w:tc>
        <w:tc>
          <w:tcPr>
            <w:tcW w:w="712" w:type="dxa"/>
            <w:tcBorders>
              <w:top w:val="single" w:color="auto" w:sz="4" w:space="0"/>
              <w:left w:val="single" w:color="auto" w:sz="6" w:space="0"/>
              <w:bottom w:val="single" w:color="auto" w:sz="4" w:space="0"/>
              <w:right w:val="single" w:color="auto" w:sz="6" w:space="0"/>
            </w:tcBorders>
            <w:shd w:val="clear" w:color="auto" w:fill="auto"/>
            <w:vAlign w:val="center"/>
          </w:tcPr>
          <w:p w14:paraId="62B3AF3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1"/>
                <w:sz w:val="24"/>
                <w:szCs w:val="24"/>
                <w:highlight w:val="none"/>
                <w:lang w:val="en-US" w:eastAsia="zh-CN" w:bidi="ar-SA"/>
              </w:rPr>
            </w:pPr>
            <w:r>
              <w:rPr>
                <w:rFonts w:hint="eastAsia" w:ascii="宋体" w:hAnsi="宋体" w:eastAsia="宋体" w:cs="宋体"/>
                <w:color w:val="auto"/>
                <w:kern w:val="21"/>
                <w:sz w:val="24"/>
                <w:szCs w:val="24"/>
                <w:highlight w:val="none"/>
              </w:rPr>
              <w:t>60</w:t>
            </w:r>
          </w:p>
        </w:tc>
        <w:tc>
          <w:tcPr>
            <w:tcW w:w="1125" w:type="dxa"/>
            <w:tcBorders>
              <w:top w:val="single" w:color="auto" w:sz="4" w:space="0"/>
              <w:left w:val="single" w:color="auto" w:sz="6" w:space="0"/>
              <w:bottom w:val="single" w:color="auto" w:sz="4" w:space="0"/>
              <w:right w:val="single" w:color="auto" w:sz="6" w:space="0"/>
            </w:tcBorders>
            <w:shd w:val="clear" w:color="auto" w:fill="auto"/>
            <w:vAlign w:val="center"/>
          </w:tcPr>
          <w:p w14:paraId="155C28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宋体" w:hAnsi="宋体" w:eastAsia="宋体" w:cs="宋体"/>
                <w:color w:val="auto"/>
                <w:kern w:val="21"/>
                <w:sz w:val="24"/>
                <w:szCs w:val="24"/>
                <w:highlight w:val="none"/>
                <w:lang w:val="en-US" w:eastAsia="zh-CN" w:bidi="ar-SA"/>
              </w:rPr>
            </w:pPr>
            <w:r>
              <w:rPr>
                <w:rFonts w:hint="eastAsia" w:ascii="宋体" w:hAnsi="宋体" w:eastAsia="宋体" w:cs="宋体"/>
                <w:color w:val="auto"/>
                <w:kern w:val="21"/>
                <w:sz w:val="24"/>
                <w:szCs w:val="24"/>
                <w:highlight w:val="none"/>
                <w:lang w:val="en-US" w:eastAsia="zh-CN" w:bidi="ar"/>
              </w:rPr>
              <w:t>个</w:t>
            </w:r>
          </w:p>
        </w:tc>
        <w:tc>
          <w:tcPr>
            <w:tcW w:w="1063" w:type="dxa"/>
            <w:vMerge w:val="continue"/>
            <w:tcBorders>
              <w:left w:val="single" w:color="auto" w:sz="6" w:space="0"/>
              <w:right w:val="single" w:color="auto" w:sz="6" w:space="0"/>
            </w:tcBorders>
            <w:shd w:val="clear" w:color="auto" w:fill="auto"/>
            <w:vAlign w:val="center"/>
          </w:tcPr>
          <w:p w14:paraId="1E3D87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宋体" w:hAnsi="宋体" w:eastAsia="宋体" w:cs="宋体"/>
                <w:color w:val="auto"/>
                <w:kern w:val="21"/>
                <w:sz w:val="24"/>
                <w:szCs w:val="24"/>
                <w:highlight w:val="none"/>
                <w:lang w:val="en-US" w:eastAsia="zh-CN" w:bidi="ar"/>
              </w:rPr>
            </w:pPr>
          </w:p>
        </w:tc>
      </w:tr>
      <w:tr w14:paraId="680F7235">
        <w:tblPrEx>
          <w:tblCellMar>
            <w:top w:w="0" w:type="dxa"/>
            <w:left w:w="10" w:type="dxa"/>
            <w:bottom w:w="0" w:type="dxa"/>
            <w:right w:w="10" w:type="dxa"/>
          </w:tblCellMar>
        </w:tblPrEx>
        <w:trPr>
          <w:trHeight w:val="1367" w:hRule="atLeast"/>
          <w:jc w:val="center"/>
        </w:trPr>
        <w:tc>
          <w:tcPr>
            <w:tcW w:w="708" w:type="dxa"/>
            <w:tcBorders>
              <w:top w:val="single" w:color="auto" w:sz="4" w:space="0"/>
              <w:left w:val="single" w:color="auto" w:sz="6" w:space="0"/>
              <w:bottom w:val="single" w:color="auto" w:sz="4" w:space="0"/>
              <w:right w:val="single" w:color="auto" w:sz="6" w:space="0"/>
            </w:tcBorders>
            <w:shd w:val="clear" w:color="auto" w:fill="auto"/>
            <w:vAlign w:val="center"/>
          </w:tcPr>
          <w:p w14:paraId="346A81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宋体" w:hAnsi="宋体" w:eastAsia="宋体" w:cs="宋体"/>
                <w:color w:val="auto"/>
                <w:kern w:val="21"/>
                <w:sz w:val="24"/>
                <w:szCs w:val="24"/>
                <w:highlight w:val="none"/>
                <w:lang w:val="en-US" w:eastAsia="zh-CN" w:bidi="ar"/>
              </w:rPr>
            </w:pPr>
            <w:r>
              <w:rPr>
                <w:rFonts w:hint="eastAsia" w:ascii="宋体" w:hAnsi="宋体" w:eastAsia="宋体" w:cs="宋体"/>
                <w:color w:val="auto"/>
                <w:kern w:val="21"/>
                <w:sz w:val="24"/>
                <w:szCs w:val="24"/>
                <w:highlight w:val="none"/>
                <w:lang w:val="en-US" w:eastAsia="zh-CN" w:bidi="ar"/>
              </w:rPr>
              <w:t>32</w:t>
            </w:r>
          </w:p>
        </w:tc>
        <w:tc>
          <w:tcPr>
            <w:tcW w:w="1308" w:type="dxa"/>
            <w:tcBorders>
              <w:top w:val="single" w:color="auto" w:sz="4" w:space="0"/>
              <w:left w:val="nil"/>
              <w:bottom w:val="single" w:color="auto" w:sz="4" w:space="0"/>
              <w:right w:val="single" w:color="auto" w:sz="6" w:space="0"/>
            </w:tcBorders>
            <w:shd w:val="clear" w:color="auto" w:fill="auto"/>
            <w:vAlign w:val="center"/>
          </w:tcPr>
          <w:p w14:paraId="18DCB8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宋体" w:hAnsi="宋体" w:eastAsia="宋体" w:cs="宋体"/>
                <w:color w:val="auto"/>
                <w:kern w:val="21"/>
                <w:sz w:val="24"/>
                <w:szCs w:val="24"/>
                <w:highlight w:val="none"/>
                <w:lang w:val="en-US" w:eastAsia="zh-CN" w:bidi="ar"/>
              </w:rPr>
            </w:pPr>
            <w:r>
              <w:rPr>
                <w:rFonts w:hint="eastAsia" w:ascii="宋体" w:hAnsi="宋体" w:eastAsia="宋体" w:cs="宋体"/>
                <w:color w:val="auto"/>
                <w:kern w:val="21"/>
                <w:sz w:val="24"/>
                <w:szCs w:val="24"/>
                <w:highlight w:val="none"/>
                <w:lang w:val="en-US" w:eastAsia="zh-CN" w:bidi="ar"/>
              </w:rPr>
              <w:t>疏散门</w:t>
            </w:r>
          </w:p>
        </w:tc>
        <w:tc>
          <w:tcPr>
            <w:tcW w:w="4469" w:type="dxa"/>
            <w:tcBorders>
              <w:top w:val="single" w:color="auto" w:sz="4" w:space="0"/>
              <w:left w:val="nil"/>
              <w:bottom w:val="single" w:color="auto" w:sz="4" w:space="0"/>
              <w:right w:val="single" w:color="auto" w:sz="6" w:space="0"/>
            </w:tcBorders>
            <w:shd w:val="clear" w:color="auto" w:fill="auto"/>
            <w:vAlign w:val="center"/>
          </w:tcPr>
          <w:p w14:paraId="4B3A19A8">
            <w:pPr>
              <w:keepNext w:val="0"/>
              <w:keepLines w:val="0"/>
              <w:pageBreakBefore w:val="0"/>
              <w:widowControl w:val="0"/>
              <w:suppressLineNumbers w:val="0"/>
              <w:tabs>
                <w:tab w:val="left" w:pos="852"/>
              </w:tabs>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eastAsia" w:ascii="宋体" w:hAnsi="宋体" w:eastAsia="宋体" w:cs="宋体"/>
                <w:color w:val="auto"/>
                <w:kern w:val="21"/>
                <w:sz w:val="24"/>
                <w:szCs w:val="24"/>
                <w:highlight w:val="none"/>
                <w:lang w:val="en-US" w:eastAsia="zh-CN" w:bidi="ar"/>
              </w:rPr>
            </w:pPr>
            <w:r>
              <w:rPr>
                <w:rFonts w:hint="eastAsia" w:ascii="宋体" w:hAnsi="宋体" w:eastAsia="宋体" w:cs="宋体"/>
                <w:color w:val="auto"/>
                <w:kern w:val="21"/>
                <w:sz w:val="24"/>
                <w:szCs w:val="24"/>
                <w:highlight w:val="none"/>
                <w:lang w:val="en-US" w:eastAsia="zh-CN" w:bidi="ar"/>
              </w:rPr>
              <w:t>门板≥0.8mm，门框≥1.2mm</w:t>
            </w:r>
          </w:p>
          <w:p w14:paraId="23738B6D">
            <w:pPr>
              <w:keepNext w:val="0"/>
              <w:keepLines w:val="0"/>
              <w:pageBreakBefore w:val="0"/>
              <w:widowControl w:val="0"/>
              <w:suppressLineNumbers w:val="0"/>
              <w:tabs>
                <w:tab w:val="left" w:pos="852"/>
              </w:tabs>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eastAsia" w:ascii="宋体" w:hAnsi="宋体" w:eastAsia="宋体" w:cs="宋体"/>
                <w:color w:val="auto"/>
                <w:kern w:val="21"/>
                <w:sz w:val="24"/>
                <w:szCs w:val="24"/>
                <w:highlight w:val="none"/>
                <w:lang w:val="en-US" w:eastAsia="zh-CN" w:bidi="ar"/>
              </w:rPr>
            </w:pPr>
            <w:r>
              <w:rPr>
                <w:rFonts w:hint="eastAsia" w:ascii="宋体" w:hAnsi="宋体" w:eastAsia="宋体" w:cs="宋体"/>
                <w:color w:val="auto"/>
                <w:kern w:val="21"/>
                <w:sz w:val="24"/>
                <w:szCs w:val="24"/>
                <w:highlight w:val="none"/>
                <w:lang w:val="en-US" w:eastAsia="zh-CN" w:bidi="ar"/>
              </w:rPr>
              <w:t>门扇厚度≥50m，门框厚度≥10cm</w:t>
            </w:r>
          </w:p>
          <w:p w14:paraId="0E300986">
            <w:pPr>
              <w:keepNext w:val="0"/>
              <w:keepLines w:val="0"/>
              <w:pageBreakBefore w:val="0"/>
              <w:widowControl w:val="0"/>
              <w:suppressLineNumbers w:val="0"/>
              <w:tabs>
                <w:tab w:val="left" w:pos="852"/>
              </w:tabs>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eastAsia" w:ascii="宋体" w:hAnsi="宋体" w:eastAsia="宋体" w:cs="宋体"/>
                <w:color w:val="auto"/>
                <w:kern w:val="21"/>
                <w:sz w:val="24"/>
                <w:szCs w:val="24"/>
                <w:highlight w:val="none"/>
                <w:lang w:val="en-US" w:eastAsia="zh-CN" w:bidi="ar"/>
              </w:rPr>
            </w:pPr>
            <w:r>
              <w:rPr>
                <w:rFonts w:hint="eastAsia" w:ascii="宋体" w:hAnsi="宋体" w:eastAsia="宋体" w:cs="宋体"/>
                <w:color w:val="auto"/>
                <w:kern w:val="21"/>
                <w:sz w:val="24"/>
                <w:szCs w:val="24"/>
                <w:highlight w:val="none"/>
                <w:lang w:val="en-US" w:eastAsia="zh-CN" w:bidi="ar"/>
              </w:rPr>
              <w:t>内添充珍珠岩板防火材料</w:t>
            </w:r>
          </w:p>
          <w:p w14:paraId="14CCEEA5">
            <w:pPr>
              <w:keepNext w:val="0"/>
              <w:keepLines w:val="0"/>
              <w:pageBreakBefore w:val="0"/>
              <w:widowControl w:val="0"/>
              <w:suppressLineNumbers w:val="0"/>
              <w:tabs>
                <w:tab w:val="left" w:pos="852"/>
              </w:tabs>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default" w:ascii="宋体" w:hAnsi="宋体" w:eastAsia="宋体" w:cs="宋体"/>
                <w:color w:val="auto"/>
                <w:kern w:val="21"/>
                <w:sz w:val="24"/>
                <w:szCs w:val="24"/>
                <w:highlight w:val="none"/>
                <w:lang w:val="en-US" w:eastAsia="zh-CN" w:bidi="ar"/>
              </w:rPr>
            </w:pPr>
            <w:r>
              <w:rPr>
                <w:rFonts w:hint="eastAsia" w:ascii="宋体" w:hAnsi="宋体" w:cs="宋体"/>
                <w:color w:val="auto"/>
                <w:kern w:val="21"/>
                <w:sz w:val="24"/>
                <w:szCs w:val="24"/>
                <w:highlight w:val="none"/>
                <w:lang w:val="en-US" w:eastAsia="zh-CN" w:bidi="ar"/>
              </w:rPr>
              <w:t>原疏散门</w:t>
            </w:r>
            <w:r>
              <w:rPr>
                <w:rFonts w:hint="eastAsia" w:ascii="宋体" w:hAnsi="宋体" w:eastAsia="宋体" w:cs="宋体"/>
                <w:color w:val="auto"/>
                <w:kern w:val="21"/>
                <w:sz w:val="24"/>
                <w:szCs w:val="24"/>
                <w:highlight w:val="none"/>
                <w:lang w:val="en-US" w:eastAsia="zh-CN" w:bidi="ar"/>
              </w:rPr>
              <w:t>拆除</w:t>
            </w:r>
            <w:r>
              <w:rPr>
                <w:rFonts w:hint="eastAsia" w:ascii="宋体" w:hAnsi="宋体" w:cs="宋体"/>
                <w:color w:val="auto"/>
                <w:kern w:val="21"/>
                <w:sz w:val="24"/>
                <w:szCs w:val="24"/>
                <w:highlight w:val="none"/>
                <w:lang w:val="en-US" w:eastAsia="zh-CN" w:bidi="ar"/>
              </w:rPr>
              <w:t>，安装新的疏散门</w:t>
            </w:r>
          </w:p>
          <w:p w14:paraId="2608B479">
            <w:pPr>
              <w:keepNext w:val="0"/>
              <w:keepLines w:val="0"/>
              <w:pageBreakBefore w:val="0"/>
              <w:widowControl w:val="0"/>
              <w:suppressLineNumbers w:val="0"/>
              <w:tabs>
                <w:tab w:val="left" w:pos="852"/>
              </w:tabs>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eastAsia" w:ascii="宋体" w:hAnsi="宋体" w:eastAsia="宋体" w:cs="宋体"/>
                <w:color w:val="auto"/>
                <w:kern w:val="21"/>
                <w:sz w:val="24"/>
                <w:szCs w:val="24"/>
                <w:highlight w:val="none"/>
                <w:lang w:val="en-US" w:eastAsia="zh-CN" w:bidi="ar"/>
              </w:rPr>
            </w:pPr>
          </w:p>
        </w:tc>
        <w:tc>
          <w:tcPr>
            <w:tcW w:w="712" w:type="dxa"/>
            <w:tcBorders>
              <w:top w:val="single" w:color="auto" w:sz="4" w:space="0"/>
              <w:left w:val="single" w:color="auto" w:sz="6" w:space="0"/>
              <w:bottom w:val="single" w:color="auto" w:sz="4" w:space="0"/>
              <w:right w:val="single" w:color="auto" w:sz="6" w:space="0"/>
            </w:tcBorders>
            <w:shd w:val="clear" w:color="auto" w:fill="auto"/>
            <w:vAlign w:val="center"/>
          </w:tcPr>
          <w:p w14:paraId="4246934D">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1"/>
                <w:sz w:val="24"/>
                <w:szCs w:val="24"/>
                <w:highlight w:val="none"/>
                <w:lang w:val="en-US" w:eastAsia="zh-CN" w:bidi="ar-SA"/>
              </w:rPr>
            </w:pPr>
            <w:r>
              <w:rPr>
                <w:rFonts w:hint="eastAsia" w:ascii="宋体" w:hAnsi="宋体" w:eastAsia="宋体" w:cs="宋体"/>
                <w:color w:val="auto"/>
                <w:kern w:val="21"/>
                <w:sz w:val="24"/>
                <w:szCs w:val="24"/>
                <w:highlight w:val="none"/>
                <w:lang w:val="en-US" w:eastAsia="zh-CN"/>
              </w:rPr>
              <w:t>25</w:t>
            </w:r>
          </w:p>
        </w:tc>
        <w:tc>
          <w:tcPr>
            <w:tcW w:w="1125" w:type="dxa"/>
            <w:tcBorders>
              <w:top w:val="single" w:color="auto" w:sz="4" w:space="0"/>
              <w:left w:val="single" w:color="auto" w:sz="6" w:space="0"/>
              <w:bottom w:val="single" w:color="auto" w:sz="4" w:space="0"/>
              <w:right w:val="single" w:color="auto" w:sz="6" w:space="0"/>
            </w:tcBorders>
            <w:shd w:val="clear" w:color="auto" w:fill="auto"/>
            <w:vAlign w:val="center"/>
          </w:tcPr>
          <w:p w14:paraId="0A88BE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宋体" w:hAnsi="宋体" w:eastAsia="宋体" w:cs="宋体"/>
                <w:color w:val="auto"/>
                <w:kern w:val="21"/>
                <w:sz w:val="24"/>
                <w:szCs w:val="24"/>
                <w:highlight w:val="none"/>
                <w:lang w:val="en-US" w:eastAsia="zh-CN" w:bidi="ar"/>
              </w:rPr>
            </w:pPr>
            <w:r>
              <w:rPr>
                <w:rFonts w:hint="eastAsia" w:ascii="宋体" w:hAnsi="宋体" w:eastAsia="宋体" w:cs="宋体"/>
                <w:color w:val="auto"/>
                <w:kern w:val="21"/>
                <w:sz w:val="24"/>
                <w:szCs w:val="24"/>
                <w:highlight w:val="none"/>
                <w:lang w:val="en-US" w:eastAsia="zh-CN" w:bidi="ar"/>
              </w:rPr>
              <w:t>㎡</w:t>
            </w:r>
          </w:p>
        </w:tc>
        <w:tc>
          <w:tcPr>
            <w:tcW w:w="1063" w:type="dxa"/>
            <w:vMerge w:val="continue"/>
            <w:tcBorders>
              <w:left w:val="single" w:color="auto" w:sz="6" w:space="0"/>
              <w:right w:val="single" w:color="auto" w:sz="6" w:space="0"/>
            </w:tcBorders>
            <w:shd w:val="clear" w:color="auto" w:fill="auto"/>
            <w:vAlign w:val="center"/>
          </w:tcPr>
          <w:p w14:paraId="04E516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宋体" w:hAnsi="宋体" w:eastAsia="宋体" w:cs="宋体"/>
                <w:color w:val="auto"/>
                <w:kern w:val="21"/>
                <w:sz w:val="24"/>
                <w:szCs w:val="24"/>
                <w:highlight w:val="none"/>
                <w:lang w:val="en-US" w:eastAsia="zh-CN" w:bidi="ar"/>
              </w:rPr>
            </w:pPr>
          </w:p>
        </w:tc>
      </w:tr>
      <w:tr w14:paraId="120638FF">
        <w:tblPrEx>
          <w:tblCellMar>
            <w:top w:w="0" w:type="dxa"/>
            <w:left w:w="10" w:type="dxa"/>
            <w:bottom w:w="0" w:type="dxa"/>
            <w:right w:w="10" w:type="dxa"/>
          </w:tblCellMar>
        </w:tblPrEx>
        <w:trPr>
          <w:trHeight w:val="695" w:hRule="atLeast"/>
          <w:jc w:val="center"/>
        </w:trPr>
        <w:tc>
          <w:tcPr>
            <w:tcW w:w="708" w:type="dxa"/>
            <w:tcBorders>
              <w:top w:val="single" w:color="auto" w:sz="4" w:space="0"/>
              <w:left w:val="single" w:color="auto" w:sz="6" w:space="0"/>
              <w:bottom w:val="single" w:color="auto" w:sz="4" w:space="0"/>
              <w:right w:val="single" w:color="auto" w:sz="6" w:space="0"/>
            </w:tcBorders>
            <w:shd w:val="clear" w:color="auto" w:fill="auto"/>
            <w:vAlign w:val="center"/>
          </w:tcPr>
          <w:p w14:paraId="46BE6F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宋体" w:hAnsi="宋体" w:eastAsia="宋体" w:cs="宋体"/>
                <w:color w:val="auto"/>
                <w:kern w:val="21"/>
                <w:sz w:val="24"/>
                <w:szCs w:val="24"/>
                <w:highlight w:val="none"/>
                <w:lang w:val="en-US" w:eastAsia="zh-CN" w:bidi="ar"/>
              </w:rPr>
            </w:pPr>
            <w:r>
              <w:rPr>
                <w:rFonts w:hint="eastAsia" w:ascii="宋体" w:hAnsi="宋体" w:cs="宋体"/>
                <w:color w:val="auto"/>
                <w:kern w:val="21"/>
                <w:sz w:val="24"/>
                <w:szCs w:val="24"/>
                <w:highlight w:val="none"/>
                <w:lang w:val="en-US" w:eastAsia="zh-CN" w:bidi="ar"/>
              </w:rPr>
              <w:t>33</w:t>
            </w:r>
          </w:p>
        </w:tc>
        <w:tc>
          <w:tcPr>
            <w:tcW w:w="1308" w:type="dxa"/>
            <w:tcBorders>
              <w:top w:val="single" w:color="auto" w:sz="4" w:space="0"/>
              <w:left w:val="nil"/>
              <w:bottom w:val="single" w:color="auto" w:sz="4" w:space="0"/>
              <w:right w:val="single" w:color="auto" w:sz="6" w:space="0"/>
            </w:tcBorders>
            <w:shd w:val="clear" w:color="auto" w:fill="auto"/>
            <w:vAlign w:val="center"/>
          </w:tcPr>
          <w:p w14:paraId="0334EE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宋体" w:hAnsi="宋体" w:eastAsia="宋体" w:cs="宋体"/>
                <w:color w:val="auto"/>
                <w:kern w:val="21"/>
                <w:sz w:val="24"/>
                <w:szCs w:val="24"/>
                <w:highlight w:val="none"/>
                <w:lang w:val="en-US" w:eastAsia="zh-CN" w:bidi="ar"/>
              </w:rPr>
            </w:pPr>
            <w:r>
              <w:rPr>
                <w:rFonts w:hint="eastAsia" w:ascii="宋体" w:hAnsi="宋体" w:cs="宋体"/>
                <w:color w:val="auto"/>
                <w:kern w:val="21"/>
                <w:sz w:val="24"/>
                <w:szCs w:val="24"/>
                <w:highlight w:val="none"/>
                <w:lang w:val="en-US" w:eastAsia="zh-CN" w:bidi="ar"/>
              </w:rPr>
              <w:t>工作站2</w:t>
            </w:r>
          </w:p>
        </w:tc>
        <w:tc>
          <w:tcPr>
            <w:tcW w:w="4469" w:type="dxa"/>
            <w:tcBorders>
              <w:top w:val="single" w:color="auto" w:sz="4" w:space="0"/>
              <w:left w:val="nil"/>
              <w:bottom w:val="single" w:color="auto" w:sz="4" w:space="0"/>
              <w:right w:val="single" w:color="auto" w:sz="6" w:space="0"/>
            </w:tcBorders>
            <w:shd w:val="clear" w:color="auto" w:fill="auto"/>
            <w:vAlign w:val="center"/>
          </w:tcPr>
          <w:p w14:paraId="7516C0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both"/>
              <w:textAlignment w:val="auto"/>
              <w:rPr>
                <w:rFonts w:hint="eastAsia" w:ascii="宋体" w:hAnsi="宋体" w:eastAsia="宋体" w:cs="宋体"/>
                <w:color w:val="auto"/>
                <w:kern w:val="21"/>
                <w:sz w:val="24"/>
                <w:szCs w:val="24"/>
                <w:highlight w:val="none"/>
                <w:lang w:val="en-US" w:eastAsia="zh-CN" w:bidi="ar"/>
              </w:rPr>
            </w:pPr>
            <w:r>
              <w:rPr>
                <w:rFonts w:hint="eastAsia" w:ascii="宋体" w:hAnsi="宋体" w:eastAsia="宋体" w:cs="宋体"/>
                <w:color w:val="auto"/>
                <w:kern w:val="21"/>
                <w:sz w:val="24"/>
                <w:szCs w:val="24"/>
                <w:highlight w:val="none"/>
                <w:lang w:val="en-US" w:eastAsia="zh-CN" w:bidi="ar"/>
              </w:rPr>
              <w:t>CPU Intel第十三代Core i5-13500支持</w:t>
            </w:r>
          </w:p>
          <w:p w14:paraId="1BAD8D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both"/>
              <w:textAlignment w:val="auto"/>
              <w:rPr>
                <w:rFonts w:hint="eastAsia" w:ascii="宋体" w:hAnsi="宋体" w:eastAsia="宋体" w:cs="宋体"/>
                <w:color w:val="auto"/>
                <w:kern w:val="21"/>
                <w:sz w:val="24"/>
                <w:szCs w:val="24"/>
                <w:highlight w:val="none"/>
                <w:lang w:val="en-US" w:eastAsia="zh-CN" w:bidi="ar"/>
              </w:rPr>
            </w:pPr>
            <w:r>
              <w:rPr>
                <w:rFonts w:hint="eastAsia" w:ascii="宋体" w:hAnsi="宋体" w:eastAsia="宋体" w:cs="宋体"/>
                <w:color w:val="auto"/>
                <w:kern w:val="21"/>
                <w:sz w:val="24"/>
                <w:szCs w:val="24"/>
                <w:highlight w:val="none"/>
                <w:lang w:val="en-US" w:eastAsia="zh-CN" w:bidi="ar"/>
              </w:rPr>
              <w:t>主板 Intel B700系列及以上芯片组</w:t>
            </w:r>
          </w:p>
          <w:p w14:paraId="496F3D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both"/>
              <w:textAlignment w:val="auto"/>
              <w:rPr>
                <w:rFonts w:hint="eastAsia" w:ascii="宋体" w:hAnsi="宋体" w:eastAsia="宋体" w:cs="宋体"/>
                <w:color w:val="auto"/>
                <w:kern w:val="21"/>
                <w:sz w:val="24"/>
                <w:szCs w:val="24"/>
                <w:highlight w:val="none"/>
                <w:lang w:val="en-US" w:eastAsia="zh-CN" w:bidi="ar"/>
              </w:rPr>
            </w:pPr>
            <w:r>
              <w:rPr>
                <w:rFonts w:hint="eastAsia" w:ascii="宋体" w:hAnsi="宋体" w:eastAsia="宋体" w:cs="宋体"/>
                <w:color w:val="auto"/>
                <w:kern w:val="21"/>
                <w:sz w:val="24"/>
                <w:szCs w:val="24"/>
                <w:highlight w:val="none"/>
                <w:lang w:val="en-US" w:eastAsia="zh-CN" w:bidi="ar"/>
              </w:rPr>
              <w:t>含正版Windows系统</w:t>
            </w:r>
          </w:p>
          <w:p w14:paraId="75BFE5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both"/>
              <w:textAlignment w:val="auto"/>
              <w:rPr>
                <w:rFonts w:hint="eastAsia" w:ascii="宋体" w:hAnsi="宋体" w:eastAsia="宋体" w:cs="宋体"/>
                <w:color w:val="auto"/>
                <w:kern w:val="21"/>
                <w:sz w:val="24"/>
                <w:szCs w:val="24"/>
                <w:highlight w:val="none"/>
                <w:lang w:val="en-US" w:eastAsia="zh-CN" w:bidi="ar"/>
              </w:rPr>
            </w:pPr>
            <w:r>
              <w:rPr>
                <w:rFonts w:hint="eastAsia" w:ascii="宋体" w:hAnsi="宋体" w:eastAsia="宋体" w:cs="宋体"/>
                <w:color w:val="auto"/>
                <w:kern w:val="21"/>
                <w:sz w:val="24"/>
                <w:szCs w:val="24"/>
                <w:highlight w:val="none"/>
                <w:lang w:val="en-US" w:eastAsia="zh-CN" w:bidi="ar"/>
              </w:rPr>
              <w:t>内存 16G DDR5  内存,运行频率最高可达5600MHZ，提供双内存槽位</w:t>
            </w:r>
          </w:p>
          <w:p w14:paraId="65A3EB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both"/>
              <w:textAlignment w:val="auto"/>
              <w:rPr>
                <w:rFonts w:hint="eastAsia" w:ascii="宋体" w:hAnsi="宋体" w:eastAsia="宋体" w:cs="宋体"/>
                <w:color w:val="auto"/>
                <w:kern w:val="21"/>
                <w:sz w:val="24"/>
                <w:szCs w:val="24"/>
                <w:highlight w:val="none"/>
                <w:lang w:val="en-US" w:eastAsia="zh-CN" w:bidi="ar"/>
              </w:rPr>
            </w:pPr>
            <w:r>
              <w:rPr>
                <w:rFonts w:hint="eastAsia" w:ascii="宋体" w:hAnsi="宋体" w:eastAsia="宋体" w:cs="宋体"/>
                <w:color w:val="auto"/>
                <w:kern w:val="21"/>
                <w:sz w:val="24"/>
                <w:szCs w:val="24"/>
                <w:highlight w:val="none"/>
                <w:lang w:val="en-US" w:eastAsia="zh-CN" w:bidi="ar"/>
              </w:rPr>
              <w:t>显卡 集成高性能显卡</w:t>
            </w:r>
          </w:p>
          <w:p w14:paraId="7F94DC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both"/>
              <w:textAlignment w:val="auto"/>
              <w:rPr>
                <w:rFonts w:hint="eastAsia" w:ascii="宋体" w:hAnsi="宋体" w:eastAsia="宋体" w:cs="宋体"/>
                <w:color w:val="auto"/>
                <w:kern w:val="21"/>
                <w:sz w:val="24"/>
                <w:szCs w:val="24"/>
                <w:highlight w:val="none"/>
                <w:lang w:val="en-US" w:eastAsia="zh-CN" w:bidi="ar"/>
              </w:rPr>
            </w:pPr>
            <w:r>
              <w:rPr>
                <w:rFonts w:hint="eastAsia" w:ascii="宋体" w:hAnsi="宋体" w:eastAsia="宋体" w:cs="宋体"/>
                <w:color w:val="auto"/>
                <w:kern w:val="21"/>
                <w:sz w:val="24"/>
                <w:szCs w:val="24"/>
                <w:highlight w:val="none"/>
                <w:lang w:val="en-US" w:eastAsia="zh-CN" w:bidi="ar"/>
              </w:rPr>
              <w:t>声卡 集成声卡（不少于5个音频接口）</w:t>
            </w:r>
          </w:p>
          <w:p w14:paraId="281F5D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both"/>
              <w:textAlignment w:val="auto"/>
              <w:rPr>
                <w:rFonts w:hint="eastAsia" w:ascii="宋体" w:hAnsi="宋体" w:eastAsia="宋体" w:cs="宋体"/>
                <w:color w:val="auto"/>
                <w:kern w:val="21"/>
                <w:sz w:val="24"/>
                <w:szCs w:val="24"/>
                <w:highlight w:val="none"/>
                <w:lang w:val="en-US" w:eastAsia="zh-CN" w:bidi="ar"/>
              </w:rPr>
            </w:pPr>
            <w:r>
              <w:rPr>
                <w:rFonts w:hint="eastAsia" w:ascii="宋体" w:hAnsi="宋体" w:eastAsia="宋体" w:cs="宋体"/>
                <w:color w:val="auto"/>
                <w:kern w:val="21"/>
                <w:sz w:val="24"/>
                <w:szCs w:val="24"/>
                <w:highlight w:val="none"/>
                <w:lang w:val="en-US" w:eastAsia="zh-CN" w:bidi="ar"/>
              </w:rPr>
              <w:t>硬盘 512G SSD固态和1TB SATA硬盘；</w:t>
            </w:r>
          </w:p>
          <w:p w14:paraId="631942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both"/>
              <w:textAlignment w:val="auto"/>
              <w:rPr>
                <w:rFonts w:hint="eastAsia" w:ascii="宋体" w:hAnsi="宋体" w:eastAsia="宋体" w:cs="宋体"/>
                <w:color w:val="auto"/>
                <w:kern w:val="21"/>
                <w:sz w:val="24"/>
                <w:szCs w:val="24"/>
                <w:highlight w:val="none"/>
                <w:lang w:val="en-US" w:eastAsia="zh-CN" w:bidi="ar"/>
              </w:rPr>
            </w:pPr>
            <w:r>
              <w:rPr>
                <w:rFonts w:hint="eastAsia" w:ascii="宋体" w:hAnsi="宋体" w:eastAsia="宋体" w:cs="宋体"/>
                <w:color w:val="auto"/>
                <w:kern w:val="21"/>
                <w:sz w:val="24"/>
                <w:szCs w:val="24"/>
                <w:highlight w:val="none"/>
                <w:lang w:val="en-US" w:eastAsia="zh-CN" w:bidi="ar"/>
              </w:rPr>
              <w:t>网卡 集成10/100/1000M以太网卡；</w:t>
            </w:r>
          </w:p>
          <w:p w14:paraId="68C959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both"/>
              <w:textAlignment w:val="auto"/>
              <w:rPr>
                <w:rFonts w:hint="eastAsia" w:ascii="宋体" w:hAnsi="宋体" w:eastAsia="宋体" w:cs="宋体"/>
                <w:color w:val="auto"/>
                <w:kern w:val="21"/>
                <w:sz w:val="24"/>
                <w:szCs w:val="24"/>
                <w:highlight w:val="none"/>
                <w:lang w:val="en-US" w:eastAsia="zh-CN" w:bidi="ar"/>
              </w:rPr>
            </w:pPr>
            <w:r>
              <w:rPr>
                <w:rFonts w:hint="eastAsia" w:ascii="宋体" w:hAnsi="宋体" w:eastAsia="宋体" w:cs="宋体"/>
                <w:color w:val="auto"/>
                <w:kern w:val="21"/>
                <w:sz w:val="24"/>
                <w:szCs w:val="24"/>
                <w:highlight w:val="none"/>
                <w:lang w:val="en-US" w:eastAsia="zh-CN" w:bidi="ar"/>
              </w:rPr>
              <w:t>扩展槽 1个PCI-E*16、2个PCI-E*1</w:t>
            </w:r>
          </w:p>
          <w:p w14:paraId="2E3956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both"/>
              <w:textAlignment w:val="auto"/>
              <w:rPr>
                <w:rFonts w:hint="eastAsia" w:ascii="宋体" w:hAnsi="宋体" w:eastAsia="宋体" w:cs="宋体"/>
                <w:color w:val="auto"/>
                <w:kern w:val="21"/>
                <w:sz w:val="24"/>
                <w:szCs w:val="24"/>
                <w:highlight w:val="none"/>
                <w:lang w:val="en-US" w:eastAsia="zh-CN" w:bidi="ar"/>
              </w:rPr>
            </w:pPr>
            <w:r>
              <w:rPr>
                <w:rFonts w:hint="eastAsia" w:ascii="宋体" w:hAnsi="宋体" w:eastAsia="宋体" w:cs="宋体"/>
                <w:color w:val="auto"/>
                <w:kern w:val="21"/>
                <w:sz w:val="24"/>
                <w:szCs w:val="24"/>
                <w:highlight w:val="none"/>
                <w:lang w:val="en-US" w:eastAsia="zh-CN" w:bidi="ar"/>
              </w:rPr>
              <w:t>USB键盘、USB鼠标 原厂防水键盘、抗菌鼠标；</w:t>
            </w:r>
          </w:p>
          <w:p w14:paraId="516BF0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both"/>
              <w:textAlignment w:val="auto"/>
              <w:rPr>
                <w:rFonts w:hint="eastAsia" w:ascii="宋体" w:hAnsi="宋体" w:eastAsia="宋体" w:cs="宋体"/>
                <w:color w:val="auto"/>
                <w:kern w:val="21"/>
                <w:sz w:val="24"/>
                <w:szCs w:val="24"/>
                <w:highlight w:val="none"/>
                <w:lang w:val="en-US" w:eastAsia="zh-CN" w:bidi="ar"/>
              </w:rPr>
            </w:pPr>
            <w:r>
              <w:rPr>
                <w:rFonts w:hint="eastAsia" w:ascii="宋体" w:hAnsi="宋体" w:eastAsia="宋体" w:cs="宋体"/>
                <w:color w:val="auto"/>
                <w:kern w:val="21"/>
                <w:sz w:val="24"/>
                <w:szCs w:val="24"/>
                <w:highlight w:val="none"/>
                <w:lang w:val="en-US" w:eastAsia="zh-CN" w:bidi="ar"/>
              </w:rPr>
              <w:t xml:space="preserve">接口 10个USB接口； </w:t>
            </w:r>
          </w:p>
          <w:p w14:paraId="47EE75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both"/>
              <w:textAlignment w:val="auto"/>
              <w:rPr>
                <w:rFonts w:hint="eastAsia" w:ascii="宋体" w:hAnsi="宋体" w:eastAsia="宋体" w:cs="宋体"/>
                <w:color w:val="auto"/>
                <w:kern w:val="21"/>
                <w:sz w:val="24"/>
                <w:szCs w:val="24"/>
                <w:highlight w:val="none"/>
                <w:lang w:val="en-US" w:eastAsia="zh-CN" w:bidi="ar"/>
              </w:rPr>
            </w:pPr>
            <w:r>
              <w:rPr>
                <w:rFonts w:hint="eastAsia" w:ascii="宋体" w:hAnsi="宋体" w:eastAsia="宋体" w:cs="宋体"/>
                <w:color w:val="auto"/>
                <w:kern w:val="21"/>
                <w:sz w:val="24"/>
                <w:szCs w:val="24"/>
                <w:highlight w:val="none"/>
                <w:lang w:val="en-US" w:eastAsia="zh-CN" w:bidi="ar"/>
              </w:rPr>
              <w:t xml:space="preserve">电源 ≥180W 电源  </w:t>
            </w:r>
          </w:p>
          <w:p w14:paraId="45DA0E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both"/>
              <w:textAlignment w:val="auto"/>
              <w:rPr>
                <w:rFonts w:hint="eastAsia" w:ascii="宋体" w:hAnsi="宋体" w:eastAsia="宋体" w:cs="宋体"/>
                <w:color w:val="auto"/>
                <w:kern w:val="21"/>
                <w:sz w:val="24"/>
                <w:szCs w:val="24"/>
                <w:highlight w:val="none"/>
                <w:lang w:val="en-US" w:eastAsia="zh-CN" w:bidi="ar"/>
              </w:rPr>
            </w:pPr>
            <w:r>
              <w:rPr>
                <w:rFonts w:hint="eastAsia" w:ascii="宋体" w:hAnsi="宋体" w:eastAsia="宋体" w:cs="宋体"/>
                <w:color w:val="auto"/>
                <w:kern w:val="21"/>
                <w:sz w:val="24"/>
                <w:szCs w:val="24"/>
                <w:highlight w:val="none"/>
                <w:lang w:val="en-US" w:eastAsia="zh-CN" w:bidi="ar"/>
              </w:rPr>
              <w:t>显示器 不低于23.8英寸同品牌显示器</w:t>
            </w:r>
          </w:p>
          <w:p w14:paraId="7B584D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both"/>
              <w:textAlignment w:val="auto"/>
              <w:rPr>
                <w:rFonts w:hint="eastAsia" w:ascii="宋体" w:hAnsi="宋体" w:eastAsia="宋体" w:cs="宋体"/>
                <w:color w:val="auto"/>
                <w:kern w:val="21"/>
                <w:sz w:val="24"/>
                <w:szCs w:val="24"/>
                <w:highlight w:val="none"/>
                <w:lang w:val="en-US" w:eastAsia="zh-CN" w:bidi="ar"/>
              </w:rPr>
            </w:pPr>
            <w:r>
              <w:rPr>
                <w:rFonts w:hint="eastAsia" w:ascii="宋体" w:hAnsi="宋体" w:eastAsia="宋体" w:cs="宋体"/>
                <w:color w:val="auto"/>
                <w:kern w:val="21"/>
                <w:sz w:val="24"/>
                <w:szCs w:val="24"/>
                <w:highlight w:val="none"/>
                <w:lang w:val="en-US" w:eastAsia="zh-CN" w:bidi="ar"/>
              </w:rPr>
              <w:t xml:space="preserve">安全特性 USB屏蔽技术，有效防止数据泄露； </w:t>
            </w:r>
          </w:p>
          <w:p w14:paraId="432449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both"/>
              <w:textAlignment w:val="auto"/>
              <w:rPr>
                <w:rFonts w:hint="eastAsia" w:ascii="宋体" w:hAnsi="宋体" w:eastAsia="宋体" w:cs="宋体"/>
                <w:color w:val="auto"/>
                <w:kern w:val="21"/>
                <w:sz w:val="24"/>
                <w:szCs w:val="24"/>
                <w:highlight w:val="none"/>
                <w:lang w:val="en-US" w:eastAsia="zh-CN" w:bidi="ar"/>
              </w:rPr>
            </w:pPr>
            <w:r>
              <w:rPr>
                <w:rFonts w:hint="eastAsia" w:ascii="宋体" w:hAnsi="宋体" w:eastAsia="宋体" w:cs="宋体"/>
                <w:color w:val="auto"/>
                <w:kern w:val="21"/>
                <w:sz w:val="24"/>
                <w:szCs w:val="24"/>
                <w:highlight w:val="none"/>
                <w:lang w:val="en-US" w:eastAsia="zh-CN" w:bidi="ar"/>
              </w:rPr>
              <w:t>机箱 标准立式机箱，机箱不大于15L，免工具拆卸，顶置电源开关键；原厂原封。</w:t>
            </w:r>
          </w:p>
          <w:p w14:paraId="57F3AB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both"/>
              <w:textAlignment w:val="auto"/>
              <w:rPr>
                <w:rFonts w:hint="eastAsia" w:ascii="宋体" w:hAnsi="宋体" w:eastAsia="宋体" w:cs="宋体"/>
                <w:color w:val="auto"/>
                <w:kern w:val="21"/>
                <w:sz w:val="24"/>
                <w:szCs w:val="24"/>
                <w:highlight w:val="none"/>
                <w:lang w:val="en-US" w:eastAsia="zh-CN" w:bidi="ar"/>
              </w:rPr>
            </w:pPr>
            <w:r>
              <w:rPr>
                <w:rFonts w:hint="eastAsia" w:ascii="宋体" w:hAnsi="宋体" w:eastAsia="宋体" w:cs="宋体"/>
                <w:color w:val="auto"/>
                <w:kern w:val="21"/>
                <w:sz w:val="24"/>
                <w:szCs w:val="24"/>
                <w:highlight w:val="none"/>
                <w:lang w:val="en-US" w:eastAsia="zh-CN" w:bidi="ar"/>
              </w:rPr>
              <w:t>售后服务：原厂400/800技术支持，可通过网络、电话、邮件等方式提供软硬件技术支持。原厂主机五年保修。</w:t>
            </w:r>
          </w:p>
        </w:tc>
        <w:tc>
          <w:tcPr>
            <w:tcW w:w="712" w:type="dxa"/>
            <w:tcBorders>
              <w:top w:val="single" w:color="auto" w:sz="4" w:space="0"/>
              <w:left w:val="single" w:color="auto" w:sz="6" w:space="0"/>
              <w:bottom w:val="single" w:color="auto" w:sz="4" w:space="0"/>
              <w:right w:val="single" w:color="auto" w:sz="6" w:space="0"/>
            </w:tcBorders>
            <w:shd w:val="clear" w:color="auto" w:fill="auto"/>
            <w:vAlign w:val="center"/>
          </w:tcPr>
          <w:p w14:paraId="6FC017CD">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1"/>
                <w:sz w:val="24"/>
                <w:szCs w:val="24"/>
                <w:highlight w:val="none"/>
                <w:lang w:val="en-US" w:eastAsia="zh-CN"/>
              </w:rPr>
            </w:pPr>
            <w:r>
              <w:rPr>
                <w:rFonts w:hint="eastAsia" w:ascii="宋体" w:hAnsi="宋体" w:cs="宋体"/>
                <w:color w:val="auto"/>
                <w:kern w:val="21"/>
                <w:sz w:val="24"/>
                <w:szCs w:val="24"/>
                <w:highlight w:val="none"/>
                <w:lang w:val="en-US" w:eastAsia="zh-CN"/>
              </w:rPr>
              <w:t>6</w:t>
            </w:r>
          </w:p>
        </w:tc>
        <w:tc>
          <w:tcPr>
            <w:tcW w:w="1125" w:type="dxa"/>
            <w:tcBorders>
              <w:top w:val="single" w:color="auto" w:sz="4" w:space="0"/>
              <w:left w:val="single" w:color="auto" w:sz="6" w:space="0"/>
              <w:bottom w:val="single" w:color="auto" w:sz="4" w:space="0"/>
              <w:right w:val="single" w:color="auto" w:sz="6" w:space="0"/>
            </w:tcBorders>
            <w:shd w:val="clear" w:color="auto" w:fill="auto"/>
            <w:vAlign w:val="center"/>
          </w:tcPr>
          <w:p w14:paraId="46869F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宋体" w:hAnsi="宋体" w:eastAsia="宋体" w:cs="宋体"/>
                <w:color w:val="auto"/>
                <w:kern w:val="21"/>
                <w:sz w:val="24"/>
                <w:szCs w:val="24"/>
                <w:highlight w:val="none"/>
                <w:lang w:val="en-US" w:eastAsia="zh-CN" w:bidi="ar"/>
              </w:rPr>
            </w:pPr>
            <w:r>
              <w:rPr>
                <w:rFonts w:hint="eastAsia" w:ascii="宋体" w:hAnsi="宋体" w:cs="宋体"/>
                <w:color w:val="auto"/>
                <w:kern w:val="21"/>
                <w:sz w:val="24"/>
                <w:szCs w:val="24"/>
                <w:highlight w:val="none"/>
                <w:lang w:val="en-US" w:eastAsia="zh-CN" w:bidi="ar"/>
              </w:rPr>
              <w:t>台</w:t>
            </w:r>
          </w:p>
        </w:tc>
        <w:tc>
          <w:tcPr>
            <w:tcW w:w="1063" w:type="dxa"/>
            <w:vMerge w:val="continue"/>
            <w:tcBorders>
              <w:left w:val="single" w:color="auto" w:sz="6" w:space="0"/>
              <w:bottom w:val="single" w:color="auto" w:sz="4" w:space="0"/>
              <w:right w:val="single" w:color="auto" w:sz="6" w:space="0"/>
            </w:tcBorders>
            <w:shd w:val="clear" w:color="auto" w:fill="auto"/>
            <w:vAlign w:val="center"/>
          </w:tcPr>
          <w:p w14:paraId="43049B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宋体" w:hAnsi="宋体" w:cs="宋体"/>
                <w:color w:val="auto"/>
                <w:kern w:val="21"/>
                <w:sz w:val="24"/>
                <w:szCs w:val="24"/>
                <w:highlight w:val="none"/>
                <w:lang w:val="en-US" w:eastAsia="zh-CN" w:bidi="ar"/>
              </w:rPr>
            </w:pPr>
          </w:p>
        </w:tc>
      </w:tr>
    </w:tbl>
    <w:p w14:paraId="2573EA2A">
      <w:pPr>
        <w:rPr>
          <w:rFonts w:hint="eastAsia"/>
          <w:b/>
          <w:color w:val="auto"/>
          <w:sz w:val="24"/>
          <w:szCs w:val="24"/>
          <w:highlight w:val="none"/>
        </w:rPr>
      </w:pPr>
      <w:r>
        <w:rPr>
          <w:rFonts w:hint="eastAsia"/>
          <w:b/>
          <w:color w:val="auto"/>
          <w:sz w:val="24"/>
          <w:szCs w:val="24"/>
          <w:highlight w:val="none"/>
        </w:rPr>
        <w:t>核心产品(适用于非单一产品采购）为：</w:t>
      </w:r>
      <w:r>
        <w:rPr>
          <w:rFonts w:hint="eastAsia" w:eastAsia="宋体" w:cs="Times New Roman"/>
          <w:b/>
          <w:color w:val="auto"/>
          <w:sz w:val="24"/>
          <w:szCs w:val="24"/>
          <w:highlight w:val="none"/>
        </w:rPr>
        <w:t xml:space="preserve">第 </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 xml:space="preserve"> </w:t>
      </w:r>
      <w:r>
        <w:rPr>
          <w:rFonts w:hint="eastAsia" w:eastAsia="宋体" w:cs="Times New Roman"/>
          <w:b/>
          <w:color w:val="auto"/>
          <w:sz w:val="24"/>
          <w:szCs w:val="24"/>
          <w:highlight w:val="none"/>
        </w:rPr>
        <w:t>项</w:t>
      </w:r>
      <w:r>
        <w:rPr>
          <w:rFonts w:hint="eastAsia"/>
          <w:b/>
          <w:color w:val="auto"/>
          <w:sz w:val="24"/>
          <w:szCs w:val="24"/>
          <w:highlight w:val="none"/>
        </w:rPr>
        <w:t>（点型光电感烟火灾探测器）。</w:t>
      </w:r>
    </w:p>
    <w:p w14:paraId="3273774A">
      <w:pPr>
        <w:rPr>
          <w:rFonts w:hint="eastAsia"/>
          <w:b/>
          <w:color w:val="auto"/>
          <w:sz w:val="24"/>
          <w:szCs w:val="24"/>
          <w:highlight w:val="none"/>
          <w:lang w:val="zh-CN"/>
        </w:rPr>
      </w:pPr>
      <w:r>
        <w:rPr>
          <w:rFonts w:hint="eastAsia"/>
          <w:b/>
          <w:color w:val="auto"/>
          <w:sz w:val="24"/>
          <w:szCs w:val="24"/>
          <w:highlight w:val="none"/>
          <w:lang w:val="zh-CN"/>
        </w:rPr>
        <w:t>质量保证期：自验收合格之日起</w:t>
      </w:r>
      <w:r>
        <w:rPr>
          <w:rFonts w:hint="eastAsia"/>
          <w:b/>
          <w:color w:val="auto"/>
          <w:sz w:val="24"/>
          <w:szCs w:val="24"/>
          <w:highlight w:val="none"/>
          <w:lang w:val="en-US" w:eastAsia="zh-CN"/>
        </w:rPr>
        <w:t>两</w:t>
      </w:r>
      <w:r>
        <w:rPr>
          <w:rFonts w:hint="eastAsia"/>
          <w:b/>
          <w:color w:val="auto"/>
          <w:sz w:val="24"/>
          <w:szCs w:val="24"/>
          <w:highlight w:val="none"/>
          <w:lang w:val="zh-CN"/>
        </w:rPr>
        <w:t>年。</w:t>
      </w:r>
    </w:p>
    <w:p w14:paraId="034E7B9C">
      <w:pPr>
        <w:rPr>
          <w:rFonts w:hint="eastAsia"/>
          <w:b/>
          <w:color w:val="auto"/>
          <w:sz w:val="24"/>
          <w:szCs w:val="24"/>
          <w:highlight w:val="none"/>
          <w:lang w:val="zh-CN"/>
        </w:rPr>
      </w:pPr>
      <w:r>
        <w:rPr>
          <w:rFonts w:hint="eastAsia"/>
          <w:b/>
          <w:color w:val="auto"/>
          <w:sz w:val="24"/>
          <w:szCs w:val="24"/>
          <w:highlight w:val="none"/>
          <w:lang w:val="zh-CN"/>
        </w:rPr>
        <w:t>交货时间：合同订立后</w:t>
      </w:r>
      <w:r>
        <w:rPr>
          <w:rFonts w:hint="eastAsia" w:ascii="宋体" w:hAnsi="宋体" w:eastAsia="宋体" w:cs="宋体"/>
          <w:b/>
          <w:color w:val="auto"/>
          <w:sz w:val="24"/>
          <w:szCs w:val="24"/>
          <w:highlight w:val="none"/>
          <w:lang w:val="en-US" w:eastAsia="zh-CN"/>
        </w:rPr>
        <w:t xml:space="preserve"> 40</w:t>
      </w:r>
      <w:r>
        <w:rPr>
          <w:rFonts w:hint="eastAsia"/>
          <w:b/>
          <w:color w:val="auto"/>
          <w:sz w:val="24"/>
          <w:szCs w:val="24"/>
          <w:highlight w:val="none"/>
          <w:lang w:val="en-US" w:eastAsia="zh-CN"/>
        </w:rPr>
        <w:t xml:space="preserve"> </w:t>
      </w:r>
      <w:r>
        <w:rPr>
          <w:rFonts w:hint="eastAsia"/>
          <w:b/>
          <w:color w:val="auto"/>
          <w:sz w:val="24"/>
          <w:szCs w:val="24"/>
          <w:highlight w:val="none"/>
          <w:lang w:val="zh-CN"/>
        </w:rPr>
        <w:t>天。</w:t>
      </w:r>
    </w:p>
    <w:p w14:paraId="11582180">
      <w:pPr>
        <w:rPr>
          <w:rFonts w:hint="eastAsia"/>
          <w:b/>
          <w:color w:val="auto"/>
          <w:sz w:val="24"/>
          <w:szCs w:val="24"/>
          <w:highlight w:val="none"/>
          <w:lang w:val="zh-CN"/>
        </w:rPr>
      </w:pPr>
      <w:r>
        <w:rPr>
          <w:rFonts w:hint="eastAsia"/>
          <w:b/>
          <w:color w:val="auto"/>
          <w:sz w:val="24"/>
          <w:szCs w:val="24"/>
          <w:highlight w:val="none"/>
          <w:lang w:val="zh-CN"/>
        </w:rPr>
        <w:t>交货地点：长春师范大学</w:t>
      </w:r>
      <w:r>
        <w:rPr>
          <w:rFonts w:hint="eastAsia"/>
          <w:b/>
          <w:color w:val="auto"/>
          <w:sz w:val="24"/>
          <w:szCs w:val="24"/>
          <w:highlight w:val="none"/>
          <w:lang w:val="en-US" w:eastAsia="zh-CN"/>
        </w:rPr>
        <w:t>指定地点</w:t>
      </w:r>
      <w:r>
        <w:rPr>
          <w:rFonts w:hint="eastAsia"/>
          <w:b/>
          <w:color w:val="auto"/>
          <w:sz w:val="24"/>
          <w:szCs w:val="24"/>
          <w:highlight w:val="none"/>
          <w:lang w:val="zh-CN"/>
        </w:rPr>
        <w:t>。</w:t>
      </w:r>
    </w:p>
    <w:p w14:paraId="0480EABE">
      <w:pPr>
        <w:rPr>
          <w:rFonts w:hint="eastAsia" w:ascii="Times New Roman" w:hAnsi="Times New Roman" w:eastAsia="宋体" w:cs="Times New Roman"/>
          <w:color w:val="auto"/>
          <w:sz w:val="24"/>
          <w:highlight w:val="none"/>
          <w:lang w:val="zh-CN"/>
        </w:rPr>
      </w:pPr>
      <w:r>
        <w:rPr>
          <w:rFonts w:hint="eastAsia"/>
          <w:b/>
          <w:color w:val="auto"/>
          <w:sz w:val="24"/>
          <w:szCs w:val="24"/>
          <w:highlight w:val="none"/>
          <w:lang w:val="zh-CN"/>
        </w:rPr>
        <w:t>交货方式：中标人负责将货物安全完好运抵交货地点、安装调试并保证验收合格。</w:t>
      </w:r>
    </w:p>
    <w:p w14:paraId="1F350065">
      <w:pPr>
        <w:autoSpaceDE w:val="0"/>
        <w:autoSpaceDN w:val="0"/>
        <w:adjustRightInd w:val="0"/>
        <w:rPr>
          <w:rFonts w:hint="eastAsia" w:ascii="宋体" w:cs="宋体"/>
          <w:b/>
          <w:bCs/>
          <w:color w:val="auto"/>
          <w:sz w:val="24"/>
          <w:szCs w:val="24"/>
          <w:highlight w:val="none"/>
          <w:lang w:val="en-US" w:eastAsia="zh-CN"/>
        </w:rPr>
      </w:pPr>
    </w:p>
    <w:p w14:paraId="15B301CA">
      <w:pPr>
        <w:autoSpaceDE w:val="0"/>
        <w:autoSpaceDN w:val="0"/>
        <w:adjustRightInd w:val="0"/>
        <w:rPr>
          <w:rFonts w:hint="eastAsia" w:ascii="宋体" w:cs="宋体"/>
          <w:b/>
          <w:bCs/>
          <w:color w:val="auto"/>
          <w:sz w:val="24"/>
          <w:szCs w:val="24"/>
          <w:highlight w:val="none"/>
          <w:lang w:val="en-US" w:eastAsia="zh-CN"/>
        </w:rPr>
      </w:pPr>
    </w:p>
    <w:p w14:paraId="51B7588C">
      <w:pPr>
        <w:autoSpaceDE w:val="0"/>
        <w:autoSpaceDN w:val="0"/>
        <w:adjustRightInd w:val="0"/>
        <w:rPr>
          <w:rFonts w:hint="eastAsia" w:ascii="宋体" w:cs="宋体"/>
          <w:b/>
          <w:bCs/>
          <w:color w:val="auto"/>
          <w:sz w:val="24"/>
          <w:szCs w:val="24"/>
          <w:highlight w:val="none"/>
          <w:lang w:val="en-US" w:eastAsia="zh-CN"/>
        </w:rPr>
      </w:pPr>
    </w:p>
    <w:p w14:paraId="27C49A36">
      <w:pPr>
        <w:autoSpaceDE w:val="0"/>
        <w:autoSpaceDN w:val="0"/>
        <w:adjustRightInd w:val="0"/>
        <w:rPr>
          <w:rFonts w:hint="eastAsia" w:ascii="宋体" w:cs="宋体"/>
          <w:b/>
          <w:bCs/>
          <w:color w:val="auto"/>
          <w:sz w:val="24"/>
          <w:szCs w:val="24"/>
          <w:highlight w:val="none"/>
          <w:lang w:val="en-US" w:eastAsia="zh-CN"/>
        </w:rPr>
      </w:pPr>
    </w:p>
    <w:p w14:paraId="01026B21">
      <w:pPr>
        <w:autoSpaceDE w:val="0"/>
        <w:autoSpaceDN w:val="0"/>
        <w:adjustRightInd w:val="0"/>
        <w:rPr>
          <w:rFonts w:ascii="宋体"/>
          <w:b/>
          <w:color w:val="auto"/>
          <w:sz w:val="24"/>
          <w:szCs w:val="24"/>
          <w:highlight w:val="none"/>
          <w:lang w:val="zh-CN"/>
        </w:rPr>
      </w:pPr>
      <w:r>
        <w:rPr>
          <w:rFonts w:hint="eastAsia" w:ascii="宋体" w:cs="宋体"/>
          <w:b/>
          <w:bCs/>
          <w:color w:val="auto"/>
          <w:sz w:val="24"/>
          <w:szCs w:val="24"/>
          <w:highlight w:val="none"/>
          <w:lang w:val="en-US" w:eastAsia="zh-CN"/>
        </w:rPr>
        <w:t>2</w:t>
      </w:r>
      <w:r>
        <w:rPr>
          <w:rFonts w:hint="eastAsia" w:ascii="宋体" w:cs="宋体"/>
          <w:b/>
          <w:bCs/>
          <w:color w:val="auto"/>
          <w:sz w:val="24"/>
          <w:szCs w:val="24"/>
          <w:highlight w:val="none"/>
          <w:lang w:val="zh-CN"/>
        </w:rPr>
        <w:t>、</w:t>
      </w:r>
      <w:r>
        <w:rPr>
          <w:rFonts w:hint="eastAsia" w:ascii="宋体"/>
          <w:b/>
          <w:color w:val="auto"/>
          <w:sz w:val="24"/>
          <w:szCs w:val="24"/>
          <w:highlight w:val="none"/>
          <w:lang w:val="zh-CN"/>
        </w:rPr>
        <w:t>评标方法</w:t>
      </w:r>
    </w:p>
    <w:p w14:paraId="15DA7C1D">
      <w:pPr>
        <w:autoSpaceDE w:val="0"/>
        <w:autoSpaceDN w:val="0"/>
        <w:adjustRightInd w:val="0"/>
        <w:ind w:firstLine="480"/>
        <w:rPr>
          <w:rFonts w:ascii="宋体"/>
          <w:color w:val="auto"/>
          <w:sz w:val="24"/>
          <w:szCs w:val="24"/>
          <w:highlight w:val="none"/>
          <w:lang w:val="zh-CN"/>
        </w:rPr>
      </w:pPr>
      <w:r>
        <w:rPr>
          <w:rFonts w:hint="eastAsia" w:ascii="宋体" w:cs="宋体"/>
          <w:color w:val="auto"/>
          <w:sz w:val="24"/>
          <w:szCs w:val="24"/>
          <w:highlight w:val="none"/>
          <w:lang w:val="zh-CN"/>
        </w:rPr>
        <w:t>评标委员会将只对商务和技术（符合性）审查符合采购文件要求的投标进行详细评审。</w:t>
      </w:r>
      <w:r>
        <w:rPr>
          <w:rFonts w:hint="eastAsia" w:ascii="宋体" w:eastAsia="宋体" w:cs="宋体"/>
          <w:color w:val="auto"/>
          <w:sz w:val="24"/>
          <w:szCs w:val="24"/>
          <w:highlight w:val="none"/>
          <w:lang w:val="zh-CN"/>
        </w:rPr>
        <w:t>本项目采用综合评分法评标，</w:t>
      </w:r>
      <w:r>
        <w:rPr>
          <w:rFonts w:hint="eastAsia" w:ascii="宋体" w:cs="宋体"/>
          <w:color w:val="auto"/>
          <w:sz w:val="24"/>
          <w:szCs w:val="24"/>
          <w:highlight w:val="none"/>
          <w:lang w:val="zh-CN"/>
        </w:rPr>
        <w:t>评标委员会将按下述标准评定中标人：按评审后投标人得分由高到低的顺序排列；得分相同的，按投标报价由低到高顺序排列；得分且投标报价相同的并列（中标候选人并列的，由评标委员会按照采购文件规定的方式确定中标人；采购文件未规定的，采取随机抽取的方式确定。）。投标文件满足采购文件全部实质性要求，且按照评审因素的量化指标评审得分最高的投标人为排名第一的中标候选人。</w:t>
      </w:r>
    </w:p>
    <w:p w14:paraId="22E87994">
      <w:pPr>
        <w:numPr>
          <w:ilvl w:val="0"/>
          <w:numId w:val="0"/>
        </w:numPr>
        <w:spacing w:line="440" w:lineRule="exact"/>
        <w:ind w:firstLine="480" w:firstLineChars="20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标准如下：</w:t>
      </w:r>
    </w:p>
    <w:p w14:paraId="0E14DE27">
      <w:pPr>
        <w:spacing w:line="440" w:lineRule="exact"/>
        <w:jc w:val="both"/>
        <w:rPr>
          <w:rFonts w:hint="eastAsia"/>
          <w:color w:val="auto"/>
          <w:highlight w:val="none"/>
        </w:rPr>
      </w:pPr>
      <w:r>
        <w:rPr>
          <w:rFonts w:hint="eastAsia" w:ascii="宋体" w:hAnsi="宋体" w:cs="宋体"/>
          <w:b/>
          <w:color w:val="auto"/>
          <w:sz w:val="24"/>
          <w:szCs w:val="24"/>
          <w:highlight w:val="none"/>
        </w:rPr>
        <w:t>（一）资格审查</w:t>
      </w:r>
    </w:p>
    <w:tbl>
      <w:tblPr>
        <w:tblStyle w:val="14"/>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5"/>
        <w:gridCol w:w="1762"/>
        <w:gridCol w:w="6992"/>
      </w:tblGrid>
      <w:tr w14:paraId="422D0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83" w:type="pct"/>
            <w:vMerge w:val="restart"/>
            <w:vAlign w:val="center"/>
          </w:tcPr>
          <w:p w14:paraId="6681F0EF">
            <w:pPr>
              <w:autoSpaceDE w:val="0"/>
              <w:autoSpaceDN w:val="0"/>
              <w:adjustRightInd w:val="0"/>
              <w:spacing w:line="288" w:lineRule="auto"/>
              <w:jc w:val="center"/>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序号</w:t>
            </w:r>
          </w:p>
        </w:tc>
        <w:tc>
          <w:tcPr>
            <w:tcW w:w="949" w:type="pct"/>
            <w:vMerge w:val="restart"/>
            <w:vAlign w:val="center"/>
          </w:tcPr>
          <w:p w14:paraId="61CC65E3">
            <w:pPr>
              <w:autoSpaceDE w:val="0"/>
              <w:autoSpaceDN w:val="0"/>
              <w:adjustRightInd w:val="0"/>
              <w:spacing w:line="288" w:lineRule="auto"/>
              <w:jc w:val="center"/>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评审因素</w:t>
            </w:r>
          </w:p>
        </w:tc>
        <w:tc>
          <w:tcPr>
            <w:tcW w:w="3766" w:type="pct"/>
            <w:vMerge w:val="restart"/>
            <w:vAlign w:val="center"/>
          </w:tcPr>
          <w:p w14:paraId="2FD89561">
            <w:pPr>
              <w:autoSpaceDE w:val="0"/>
              <w:autoSpaceDN w:val="0"/>
              <w:adjustRightInd w:val="0"/>
              <w:spacing w:line="288" w:lineRule="auto"/>
              <w:jc w:val="center"/>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评审标准</w:t>
            </w:r>
          </w:p>
        </w:tc>
      </w:tr>
      <w:tr w14:paraId="2C0A5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83" w:type="pct"/>
            <w:vMerge w:val="continue"/>
            <w:vAlign w:val="center"/>
          </w:tcPr>
          <w:p w14:paraId="04BBFE47">
            <w:pPr>
              <w:autoSpaceDE w:val="0"/>
              <w:autoSpaceDN w:val="0"/>
              <w:adjustRightInd w:val="0"/>
              <w:spacing w:line="288" w:lineRule="auto"/>
              <w:jc w:val="center"/>
              <w:rPr>
                <w:rFonts w:ascii="宋体" w:hAnsi="宋体" w:cs="宋体"/>
                <w:color w:val="auto"/>
                <w:sz w:val="24"/>
                <w:szCs w:val="24"/>
                <w:highlight w:val="none"/>
                <w:lang w:val="zh-CN"/>
              </w:rPr>
            </w:pPr>
          </w:p>
        </w:tc>
        <w:tc>
          <w:tcPr>
            <w:tcW w:w="949" w:type="pct"/>
            <w:vMerge w:val="continue"/>
            <w:vAlign w:val="center"/>
          </w:tcPr>
          <w:p w14:paraId="0B8C52B1">
            <w:pPr>
              <w:autoSpaceDE w:val="0"/>
              <w:autoSpaceDN w:val="0"/>
              <w:adjustRightInd w:val="0"/>
              <w:spacing w:line="288" w:lineRule="auto"/>
              <w:jc w:val="center"/>
              <w:rPr>
                <w:rFonts w:ascii="宋体" w:hAnsi="宋体" w:cs="宋体"/>
                <w:color w:val="auto"/>
                <w:sz w:val="24"/>
                <w:szCs w:val="24"/>
                <w:highlight w:val="none"/>
                <w:lang w:val="zh-CN"/>
              </w:rPr>
            </w:pPr>
          </w:p>
        </w:tc>
        <w:tc>
          <w:tcPr>
            <w:tcW w:w="3766" w:type="pct"/>
            <w:vMerge w:val="continue"/>
            <w:vAlign w:val="center"/>
          </w:tcPr>
          <w:p w14:paraId="428AE61D">
            <w:pPr>
              <w:autoSpaceDE w:val="0"/>
              <w:autoSpaceDN w:val="0"/>
              <w:adjustRightInd w:val="0"/>
              <w:spacing w:line="288" w:lineRule="auto"/>
              <w:jc w:val="center"/>
              <w:rPr>
                <w:rFonts w:ascii="宋体" w:hAnsi="宋体" w:cs="宋体"/>
                <w:color w:val="auto"/>
                <w:sz w:val="24"/>
                <w:szCs w:val="24"/>
                <w:highlight w:val="none"/>
                <w:lang w:val="zh-CN"/>
              </w:rPr>
            </w:pPr>
          </w:p>
        </w:tc>
      </w:tr>
      <w:tr w14:paraId="22A8F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 w:type="pct"/>
            <w:vAlign w:val="center"/>
          </w:tcPr>
          <w:p w14:paraId="0978C49B">
            <w:pPr>
              <w:autoSpaceDE w:val="0"/>
              <w:autoSpaceDN w:val="0"/>
              <w:adjustRightInd w:val="0"/>
              <w:spacing w:line="288" w:lineRule="auto"/>
              <w:jc w:val="center"/>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p>
        </w:tc>
        <w:tc>
          <w:tcPr>
            <w:tcW w:w="949" w:type="pct"/>
            <w:vAlign w:val="center"/>
          </w:tcPr>
          <w:p w14:paraId="300BCD81">
            <w:pPr>
              <w:spacing w:line="288"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营业执照</w:t>
            </w:r>
          </w:p>
        </w:tc>
        <w:tc>
          <w:tcPr>
            <w:tcW w:w="3766" w:type="pct"/>
            <w:vAlign w:val="center"/>
          </w:tcPr>
          <w:p w14:paraId="4053CE90">
            <w:pPr>
              <w:jc w:val="both"/>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eastAsia="zh-CN"/>
              </w:rPr>
              <w:t>投标人须具备有效的营业执照</w:t>
            </w:r>
            <w:r>
              <w:rPr>
                <w:rFonts w:hint="eastAsia" w:ascii="宋体" w:hAnsi="宋体" w:cs="宋体"/>
                <w:b/>
                <w:bCs/>
                <w:color w:val="auto"/>
                <w:sz w:val="24"/>
                <w:szCs w:val="24"/>
                <w:highlight w:val="none"/>
                <w:lang w:val="zh-CN"/>
              </w:rPr>
              <w:t>。</w:t>
            </w:r>
          </w:p>
          <w:p w14:paraId="747EE039">
            <w:pPr>
              <w:jc w:val="both"/>
              <w:rPr>
                <w:rFonts w:ascii="宋体" w:hAnsi="宋体" w:cs="宋体"/>
                <w:b/>
                <w:bCs/>
                <w:color w:val="auto"/>
                <w:sz w:val="24"/>
                <w:szCs w:val="24"/>
                <w:highlight w:val="none"/>
              </w:rPr>
            </w:pPr>
            <w:r>
              <w:rPr>
                <w:rFonts w:hint="eastAsia" w:ascii="宋体" w:hAnsi="宋体" w:cs="宋体"/>
                <w:b/>
                <w:bCs/>
                <w:color w:val="auto"/>
                <w:sz w:val="24"/>
                <w:szCs w:val="24"/>
                <w:highlight w:val="none"/>
                <w:lang w:val="zh-CN"/>
              </w:rPr>
              <w:t>投标文件内附营业执照复印件加盖公章。</w:t>
            </w:r>
          </w:p>
        </w:tc>
      </w:tr>
      <w:tr w14:paraId="754E8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 w:type="pct"/>
            <w:shd w:val="clear" w:color="auto" w:fill="auto"/>
            <w:vAlign w:val="center"/>
          </w:tcPr>
          <w:p w14:paraId="172CF48C">
            <w:pPr>
              <w:autoSpaceDE w:val="0"/>
              <w:autoSpaceDN w:val="0"/>
              <w:adjustRightInd w:val="0"/>
              <w:spacing w:line="288" w:lineRule="auto"/>
              <w:jc w:val="center"/>
              <w:rPr>
                <w:rFonts w:hint="eastAsia" w:ascii="宋体" w:hAnsi="宋体" w:eastAsia="宋体" w:cs="宋体"/>
                <w:color w:val="auto"/>
                <w:sz w:val="24"/>
                <w:szCs w:val="24"/>
                <w:highlight w:val="none"/>
                <w:lang w:val="zh-CN" w:eastAsia="zh-CN" w:bidi="ar-SA"/>
              </w:rPr>
            </w:pPr>
            <w:r>
              <w:rPr>
                <w:rFonts w:hint="eastAsia" w:ascii="宋体" w:hAnsi="宋体" w:cs="宋体"/>
                <w:color w:val="auto"/>
                <w:sz w:val="24"/>
                <w:szCs w:val="24"/>
                <w:highlight w:val="none"/>
                <w:lang w:val="zh-CN"/>
              </w:rPr>
              <w:t>2</w:t>
            </w:r>
          </w:p>
        </w:tc>
        <w:tc>
          <w:tcPr>
            <w:tcW w:w="949" w:type="pct"/>
            <w:vAlign w:val="center"/>
          </w:tcPr>
          <w:p w14:paraId="487D9828">
            <w:pPr>
              <w:spacing w:line="288"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法定代表人身份证</w:t>
            </w:r>
          </w:p>
        </w:tc>
        <w:tc>
          <w:tcPr>
            <w:tcW w:w="3766" w:type="pct"/>
            <w:vAlign w:val="top"/>
          </w:tcPr>
          <w:p w14:paraId="5ECE6C66">
            <w:pPr>
              <w:outlineLvl w:val="9"/>
              <w:rPr>
                <w:rFonts w:hint="eastAsia" w:ascii="宋体" w:hAnsi="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法定代表人身份证（双面复印件，加盖投标人公章）</w:t>
            </w:r>
          </w:p>
        </w:tc>
      </w:tr>
      <w:tr w14:paraId="6BC0E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 w:type="pct"/>
            <w:shd w:val="clear" w:color="auto" w:fill="auto"/>
            <w:vAlign w:val="center"/>
          </w:tcPr>
          <w:p w14:paraId="7FAC2C4F">
            <w:pPr>
              <w:autoSpaceDE w:val="0"/>
              <w:autoSpaceDN w:val="0"/>
              <w:adjustRightInd w:val="0"/>
              <w:spacing w:line="288" w:lineRule="auto"/>
              <w:jc w:val="center"/>
              <w:rPr>
                <w:rFonts w:hint="eastAsia" w:ascii="宋体" w:hAnsi="宋体" w:eastAsia="宋体" w:cs="宋体"/>
                <w:color w:val="auto"/>
                <w:sz w:val="24"/>
                <w:szCs w:val="24"/>
                <w:highlight w:val="none"/>
                <w:lang w:val="zh-CN" w:eastAsia="zh-CN" w:bidi="ar-SA"/>
              </w:rPr>
            </w:pPr>
            <w:r>
              <w:rPr>
                <w:rFonts w:hint="eastAsia" w:ascii="宋体" w:hAnsi="宋体" w:cs="宋体"/>
                <w:color w:val="auto"/>
                <w:sz w:val="24"/>
                <w:szCs w:val="24"/>
                <w:highlight w:val="none"/>
                <w:lang w:val="zh-CN"/>
              </w:rPr>
              <w:t>3</w:t>
            </w:r>
          </w:p>
        </w:tc>
        <w:tc>
          <w:tcPr>
            <w:tcW w:w="949" w:type="pct"/>
            <w:vAlign w:val="center"/>
          </w:tcPr>
          <w:p w14:paraId="6899B61F">
            <w:pPr>
              <w:spacing w:line="288"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法定代表人授权书</w:t>
            </w:r>
          </w:p>
        </w:tc>
        <w:tc>
          <w:tcPr>
            <w:tcW w:w="3766" w:type="pct"/>
            <w:vAlign w:val="center"/>
          </w:tcPr>
          <w:p w14:paraId="55691DDF">
            <w:pPr>
              <w:jc w:val="both"/>
              <w:rPr>
                <w:rFonts w:hint="eastAsia" w:ascii="宋体" w:hAnsi="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法定代表人授权书（按格式</w:t>
            </w:r>
            <w:r>
              <w:rPr>
                <w:rFonts w:hint="eastAsia" w:ascii="宋体" w:hAnsi="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val="zh-CN"/>
              </w:rPr>
              <w:t>提交</w:t>
            </w:r>
            <w:r>
              <w:rPr>
                <w:rFonts w:hint="eastAsia" w:ascii="宋体" w:hAnsi="宋体" w:cs="宋体"/>
                <w:b/>
                <w:bCs/>
                <w:color w:val="auto"/>
                <w:sz w:val="24"/>
                <w:szCs w:val="24"/>
                <w:highlight w:val="none"/>
                <w:lang w:val="zh-CN"/>
              </w:rPr>
              <w:t>，</w:t>
            </w:r>
            <w:r>
              <w:rPr>
                <w:rFonts w:hint="eastAsia" w:ascii="宋体" w:hAnsi="宋体" w:eastAsia="宋体" w:cs="宋体"/>
                <w:b/>
                <w:bCs/>
                <w:color w:val="auto"/>
                <w:sz w:val="24"/>
                <w:szCs w:val="24"/>
                <w:highlight w:val="none"/>
                <w:lang w:val="zh-CN"/>
              </w:rPr>
              <w:t>加盖投标人公章或有效签署）</w:t>
            </w:r>
          </w:p>
        </w:tc>
      </w:tr>
      <w:tr w14:paraId="571E6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283" w:type="pct"/>
            <w:shd w:val="clear" w:color="auto" w:fill="auto"/>
            <w:vAlign w:val="center"/>
          </w:tcPr>
          <w:p w14:paraId="000F09F8">
            <w:pPr>
              <w:autoSpaceDE w:val="0"/>
              <w:autoSpaceDN w:val="0"/>
              <w:adjustRightInd w:val="0"/>
              <w:spacing w:line="288" w:lineRule="auto"/>
              <w:jc w:val="center"/>
              <w:rPr>
                <w:rFonts w:hint="eastAsia" w:ascii="宋体" w:hAnsi="宋体" w:eastAsia="宋体" w:cs="宋体"/>
                <w:color w:val="auto"/>
                <w:sz w:val="24"/>
                <w:szCs w:val="24"/>
                <w:highlight w:val="none"/>
                <w:lang w:val="zh-CN" w:eastAsia="zh-CN" w:bidi="ar-SA"/>
              </w:rPr>
            </w:pPr>
            <w:r>
              <w:rPr>
                <w:rFonts w:hint="eastAsia" w:ascii="宋体" w:hAnsi="宋体" w:cs="宋体"/>
                <w:color w:val="auto"/>
                <w:sz w:val="24"/>
                <w:szCs w:val="24"/>
                <w:highlight w:val="none"/>
                <w:lang w:val="zh-CN"/>
              </w:rPr>
              <w:t>4</w:t>
            </w:r>
          </w:p>
        </w:tc>
        <w:tc>
          <w:tcPr>
            <w:tcW w:w="949" w:type="pct"/>
            <w:vAlign w:val="center"/>
          </w:tcPr>
          <w:p w14:paraId="1BB9046E">
            <w:pPr>
              <w:spacing w:line="288"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法定代表人的授权代理人身份证</w:t>
            </w:r>
          </w:p>
        </w:tc>
        <w:tc>
          <w:tcPr>
            <w:tcW w:w="3766" w:type="pct"/>
            <w:vAlign w:val="center"/>
          </w:tcPr>
          <w:p w14:paraId="36D13820">
            <w:pPr>
              <w:jc w:val="both"/>
              <w:rPr>
                <w:rFonts w:hint="eastAsia" w:ascii="宋体" w:hAnsi="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法定代表人的授权代理人身份证（双面复印件，加盖投标人公章）</w:t>
            </w:r>
          </w:p>
        </w:tc>
      </w:tr>
      <w:tr w14:paraId="6F9A5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 w:type="pct"/>
            <w:shd w:val="clear" w:color="auto" w:fill="auto"/>
            <w:vAlign w:val="center"/>
          </w:tcPr>
          <w:p w14:paraId="628A0C94">
            <w:pPr>
              <w:autoSpaceDE w:val="0"/>
              <w:autoSpaceDN w:val="0"/>
              <w:adjustRightInd w:val="0"/>
              <w:spacing w:line="288" w:lineRule="auto"/>
              <w:jc w:val="center"/>
              <w:rPr>
                <w:rFonts w:hint="eastAsia" w:ascii="宋体" w:hAnsi="宋体" w:eastAsia="宋体" w:cs="宋体"/>
                <w:color w:val="auto"/>
                <w:sz w:val="24"/>
                <w:szCs w:val="24"/>
                <w:highlight w:val="none"/>
                <w:lang w:val="zh-CN" w:eastAsia="zh-CN" w:bidi="ar-SA"/>
              </w:rPr>
            </w:pPr>
            <w:r>
              <w:rPr>
                <w:rFonts w:hint="eastAsia" w:ascii="宋体" w:hAnsi="宋体" w:cs="宋体"/>
                <w:color w:val="auto"/>
                <w:sz w:val="24"/>
                <w:szCs w:val="24"/>
                <w:highlight w:val="none"/>
                <w:lang w:val="en-US" w:eastAsia="zh-CN"/>
              </w:rPr>
              <w:t>5</w:t>
            </w:r>
          </w:p>
        </w:tc>
        <w:tc>
          <w:tcPr>
            <w:tcW w:w="949" w:type="pct"/>
            <w:vAlign w:val="center"/>
          </w:tcPr>
          <w:p w14:paraId="24AEA3F8">
            <w:pPr>
              <w:spacing w:line="288"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投标人的资格声明</w:t>
            </w:r>
          </w:p>
        </w:tc>
        <w:tc>
          <w:tcPr>
            <w:tcW w:w="3766" w:type="pct"/>
            <w:vAlign w:val="center"/>
          </w:tcPr>
          <w:p w14:paraId="2FF48B48">
            <w:pPr>
              <w:jc w:val="both"/>
              <w:rPr>
                <w:rFonts w:hint="eastAsia" w:ascii="宋体" w:hAnsi="宋体" w:cs="宋体"/>
                <w:b/>
                <w:bCs/>
                <w:color w:val="auto"/>
                <w:sz w:val="24"/>
                <w:szCs w:val="24"/>
                <w:highlight w:val="none"/>
                <w:lang w:val="zh-CN"/>
              </w:rPr>
            </w:pPr>
            <w:r>
              <w:rPr>
                <w:rFonts w:hint="eastAsia" w:ascii="宋体" w:hAnsi="宋体" w:eastAsia="宋体" w:cs="宋体"/>
                <w:b/>
                <w:bCs/>
                <w:color w:val="auto"/>
                <w:sz w:val="24"/>
                <w:szCs w:val="24"/>
                <w:highlight w:val="none"/>
                <w:lang w:val="en-US" w:eastAsia="zh-CN" w:bidi="ar-SA"/>
              </w:rPr>
              <w:t>投标人的资格声明</w:t>
            </w:r>
            <w:r>
              <w:rPr>
                <w:rFonts w:hint="eastAsia" w:ascii="宋体" w:hAnsi="宋体" w:eastAsia="宋体" w:cs="宋体"/>
                <w:b/>
                <w:bCs/>
                <w:color w:val="auto"/>
                <w:sz w:val="24"/>
                <w:szCs w:val="24"/>
                <w:highlight w:val="none"/>
                <w:lang w:val="zh-CN"/>
              </w:rPr>
              <w:t>（按格式</w:t>
            </w:r>
            <w:r>
              <w:rPr>
                <w:rFonts w:hint="eastAsia" w:ascii="宋体" w:hAnsi="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val="zh-CN"/>
              </w:rPr>
              <w:t>提交，加盖投标人公章或有效签署）</w:t>
            </w:r>
          </w:p>
        </w:tc>
      </w:tr>
      <w:tr w14:paraId="1F810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 w:type="pct"/>
            <w:shd w:val="clear" w:color="auto" w:fill="auto"/>
            <w:vAlign w:val="center"/>
          </w:tcPr>
          <w:p w14:paraId="56103393">
            <w:pPr>
              <w:autoSpaceDE w:val="0"/>
              <w:autoSpaceDN w:val="0"/>
              <w:adjustRightInd w:val="0"/>
              <w:spacing w:line="288" w:lineRule="auto"/>
              <w:jc w:val="center"/>
              <w:rPr>
                <w:rFonts w:hint="eastAsia" w:ascii="宋体" w:hAnsi="宋体" w:eastAsia="宋体" w:cs="宋体"/>
                <w:color w:val="auto"/>
                <w:sz w:val="24"/>
                <w:szCs w:val="24"/>
                <w:highlight w:val="none"/>
                <w:lang w:val="zh-CN" w:eastAsia="zh-CN" w:bidi="ar-SA"/>
              </w:rPr>
            </w:pPr>
            <w:r>
              <w:rPr>
                <w:rFonts w:hint="eastAsia" w:ascii="宋体" w:hAnsi="宋体" w:cs="宋体"/>
                <w:color w:val="auto"/>
                <w:sz w:val="24"/>
                <w:szCs w:val="24"/>
                <w:highlight w:val="none"/>
                <w:lang w:val="en-US" w:eastAsia="zh-CN"/>
              </w:rPr>
              <w:t>6</w:t>
            </w:r>
          </w:p>
        </w:tc>
        <w:tc>
          <w:tcPr>
            <w:tcW w:w="949" w:type="pct"/>
            <w:shd w:val="clear" w:color="auto" w:fill="auto"/>
            <w:vAlign w:val="center"/>
          </w:tcPr>
          <w:p w14:paraId="2826C62F">
            <w:pPr>
              <w:spacing w:line="288" w:lineRule="auto"/>
              <w:jc w:val="center"/>
              <w:rPr>
                <w:rFonts w:hint="default"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rPr>
              <w:t>财务状况</w:t>
            </w:r>
          </w:p>
        </w:tc>
        <w:tc>
          <w:tcPr>
            <w:tcW w:w="3766" w:type="pct"/>
            <w:shd w:val="clear" w:color="auto" w:fill="auto"/>
            <w:vAlign w:val="center"/>
          </w:tcPr>
          <w:p w14:paraId="733E8DA9">
            <w:pPr>
              <w:jc w:val="both"/>
              <w:rPr>
                <w:rFonts w:hint="default" w:ascii="宋体" w:hAnsi="宋体" w:eastAsia="宋体" w:cs="宋体"/>
                <w:b/>
                <w:bCs/>
                <w:color w:val="auto"/>
                <w:sz w:val="24"/>
                <w:szCs w:val="24"/>
                <w:highlight w:val="none"/>
                <w:lang w:val="en-US" w:eastAsia="zh-CN" w:bidi="ar-SA"/>
              </w:rPr>
            </w:pPr>
            <w:r>
              <w:rPr>
                <w:rFonts w:hint="eastAsia" w:ascii="宋体" w:hAnsi="宋体" w:cs="宋体"/>
                <w:b/>
                <w:bCs/>
                <w:color w:val="auto"/>
                <w:sz w:val="24"/>
                <w:szCs w:val="24"/>
                <w:highlight w:val="none"/>
                <w:lang w:val="zh-CN"/>
              </w:rPr>
              <w:t>近年</w:t>
            </w:r>
            <w:r>
              <w:rPr>
                <w:rFonts w:hint="eastAsia" w:ascii="宋体" w:hAnsi="宋体" w:cs="宋体"/>
                <w:b/>
                <w:bCs/>
                <w:color w:val="auto"/>
                <w:sz w:val="24"/>
                <w:szCs w:val="24"/>
                <w:highlight w:val="none"/>
                <w:lang w:val="zh-CN" w:eastAsia="zh-CN"/>
              </w:rPr>
              <w:t>（2023</w:t>
            </w:r>
            <w:r>
              <w:rPr>
                <w:rFonts w:hint="eastAsia" w:ascii="宋体" w:hAnsi="宋体" w:cs="宋体"/>
                <w:b/>
                <w:bCs/>
                <w:color w:val="auto"/>
                <w:sz w:val="24"/>
                <w:szCs w:val="24"/>
                <w:highlight w:val="none"/>
                <w:lang w:val="zh-CN"/>
              </w:rPr>
              <w:t>年）经会计师事务所</w:t>
            </w:r>
            <w:r>
              <w:rPr>
                <w:rFonts w:hint="eastAsia" w:ascii="宋体" w:hAnsi="宋体" w:cs="宋体"/>
                <w:b/>
                <w:bCs/>
                <w:color w:val="auto"/>
                <w:sz w:val="24"/>
                <w:szCs w:val="24"/>
                <w:highlight w:val="none"/>
                <w:lang w:val="en-US" w:eastAsia="zh-CN"/>
              </w:rPr>
              <w:t>出具</w:t>
            </w:r>
            <w:r>
              <w:rPr>
                <w:rFonts w:hint="eastAsia" w:ascii="宋体" w:hAnsi="宋体" w:cs="宋体"/>
                <w:b/>
                <w:bCs/>
                <w:color w:val="auto"/>
                <w:sz w:val="24"/>
                <w:szCs w:val="24"/>
                <w:highlight w:val="none"/>
                <w:lang w:val="zh-CN"/>
              </w:rPr>
              <w:t>的财务审计报告（若投标人为</w:t>
            </w:r>
            <w:r>
              <w:rPr>
                <w:rFonts w:hint="eastAsia" w:ascii="宋体" w:hAnsi="宋体" w:cs="宋体"/>
                <w:b/>
                <w:bCs/>
                <w:color w:val="auto"/>
                <w:sz w:val="24"/>
                <w:szCs w:val="24"/>
                <w:highlight w:val="none"/>
                <w:lang w:val="zh-CN" w:eastAsia="zh-CN"/>
              </w:rPr>
              <w:t>2023</w:t>
            </w:r>
            <w:r>
              <w:rPr>
                <w:rFonts w:hint="eastAsia" w:ascii="宋体" w:hAnsi="宋体" w:cs="宋体"/>
                <w:b/>
                <w:bCs/>
                <w:color w:val="auto"/>
                <w:sz w:val="24"/>
                <w:szCs w:val="24"/>
                <w:highlight w:val="none"/>
                <w:lang w:val="zh-CN"/>
              </w:rPr>
              <w:t>年以后注册成立的公司，仅需提供银行出具的资信证明即可）复印件加盖公章。</w:t>
            </w:r>
          </w:p>
        </w:tc>
      </w:tr>
      <w:tr w14:paraId="21D4D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 w:type="pct"/>
            <w:shd w:val="clear" w:color="auto" w:fill="auto"/>
            <w:vAlign w:val="center"/>
          </w:tcPr>
          <w:p w14:paraId="45679A78">
            <w:pPr>
              <w:autoSpaceDE w:val="0"/>
              <w:autoSpaceDN w:val="0"/>
              <w:adjustRightInd w:val="0"/>
              <w:spacing w:line="288" w:lineRule="auto"/>
              <w:jc w:val="center"/>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7</w:t>
            </w:r>
          </w:p>
        </w:tc>
        <w:tc>
          <w:tcPr>
            <w:tcW w:w="949" w:type="pct"/>
            <w:shd w:val="clear" w:color="auto" w:fill="auto"/>
            <w:vAlign w:val="center"/>
          </w:tcPr>
          <w:p w14:paraId="687B95AD">
            <w:pPr>
              <w:spacing w:line="288" w:lineRule="auto"/>
              <w:jc w:val="center"/>
              <w:rPr>
                <w:rFonts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rPr>
              <w:t>履约能力</w:t>
            </w:r>
          </w:p>
        </w:tc>
        <w:tc>
          <w:tcPr>
            <w:tcW w:w="3766" w:type="pct"/>
            <w:shd w:val="clear" w:color="auto" w:fill="auto"/>
            <w:vAlign w:val="center"/>
          </w:tcPr>
          <w:p w14:paraId="226421DC">
            <w:pPr>
              <w:jc w:val="both"/>
              <w:rPr>
                <w:rFonts w:ascii="宋体" w:hAnsi="宋体" w:cs="宋体"/>
                <w:b/>
                <w:bCs/>
                <w:color w:val="auto"/>
                <w:sz w:val="24"/>
                <w:szCs w:val="24"/>
                <w:highlight w:val="none"/>
              </w:rPr>
            </w:pPr>
            <w:r>
              <w:rPr>
                <w:rFonts w:hint="eastAsia" w:ascii="宋体" w:hAnsi="宋体" w:cs="宋体"/>
                <w:b/>
                <w:bCs/>
                <w:color w:val="auto"/>
                <w:sz w:val="24"/>
                <w:szCs w:val="24"/>
                <w:highlight w:val="none"/>
              </w:rPr>
              <w:t>具有履行合同所必需的设备和专业技术能力。</w:t>
            </w:r>
          </w:p>
          <w:p w14:paraId="63C1F702">
            <w:pPr>
              <w:jc w:val="both"/>
              <w:rPr>
                <w:rFonts w:ascii="宋体" w:hAnsi="宋体" w:eastAsia="宋体" w:cs="宋体"/>
                <w:b/>
                <w:bCs/>
                <w:color w:val="auto"/>
                <w:sz w:val="24"/>
                <w:szCs w:val="24"/>
                <w:highlight w:val="none"/>
                <w:lang w:val="en-US" w:eastAsia="zh-CN" w:bidi="ar-SA"/>
              </w:rPr>
            </w:pPr>
            <w:r>
              <w:rPr>
                <w:rFonts w:hint="eastAsia" w:ascii="宋体" w:hAnsi="宋体" w:cs="宋体"/>
                <w:b/>
                <w:bCs/>
                <w:color w:val="auto"/>
                <w:sz w:val="24"/>
                <w:szCs w:val="24"/>
                <w:highlight w:val="none"/>
                <w:lang w:val="zh-CN"/>
              </w:rPr>
              <w:t>投标文件内附由法定代表人或授权代表签字或盖章并加盖公章的承诺书。</w:t>
            </w:r>
          </w:p>
        </w:tc>
      </w:tr>
      <w:tr w14:paraId="01621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83" w:type="pct"/>
            <w:shd w:val="clear" w:color="auto" w:fill="auto"/>
            <w:vAlign w:val="center"/>
          </w:tcPr>
          <w:p w14:paraId="7D84117D">
            <w:pPr>
              <w:autoSpaceDE w:val="0"/>
              <w:autoSpaceDN w:val="0"/>
              <w:adjustRightInd w:val="0"/>
              <w:spacing w:line="288" w:lineRule="auto"/>
              <w:jc w:val="center"/>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8</w:t>
            </w:r>
          </w:p>
        </w:tc>
        <w:tc>
          <w:tcPr>
            <w:tcW w:w="949" w:type="pct"/>
            <w:shd w:val="clear" w:color="auto" w:fill="auto"/>
            <w:vAlign w:val="center"/>
          </w:tcPr>
          <w:p w14:paraId="6C782175">
            <w:pPr>
              <w:spacing w:line="288" w:lineRule="auto"/>
              <w:jc w:val="center"/>
              <w:rPr>
                <w:rFonts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rPr>
              <w:t>纳税及社保</w:t>
            </w:r>
          </w:p>
        </w:tc>
        <w:tc>
          <w:tcPr>
            <w:tcW w:w="3766" w:type="pct"/>
            <w:shd w:val="clear" w:color="auto" w:fill="auto"/>
            <w:vAlign w:val="center"/>
          </w:tcPr>
          <w:p w14:paraId="2379C9BA">
            <w:pPr>
              <w:jc w:val="both"/>
              <w:rPr>
                <w:rFonts w:ascii="宋体" w:hAnsi="宋体" w:cs="宋体"/>
                <w:b/>
                <w:bCs/>
                <w:color w:val="auto"/>
                <w:sz w:val="24"/>
                <w:szCs w:val="24"/>
                <w:highlight w:val="none"/>
              </w:rPr>
            </w:pPr>
            <w:r>
              <w:rPr>
                <w:rFonts w:hint="eastAsia" w:ascii="宋体" w:hAnsi="宋体" w:cs="宋体"/>
                <w:b/>
                <w:bCs/>
                <w:color w:val="auto"/>
                <w:sz w:val="24"/>
                <w:szCs w:val="24"/>
                <w:highlight w:val="none"/>
              </w:rPr>
              <w:t>具有依法缴纳税收和社会保障金的良好记录。</w:t>
            </w:r>
          </w:p>
          <w:p w14:paraId="4E2C2A2D">
            <w:pPr>
              <w:jc w:val="both"/>
              <w:rPr>
                <w:rFonts w:ascii="宋体" w:hAnsi="宋体" w:eastAsia="宋体" w:cs="宋体"/>
                <w:b/>
                <w:bCs/>
                <w:color w:val="auto"/>
                <w:sz w:val="24"/>
                <w:szCs w:val="24"/>
                <w:highlight w:val="none"/>
                <w:lang w:val="en-US" w:eastAsia="zh-CN" w:bidi="ar-SA"/>
              </w:rPr>
            </w:pPr>
            <w:r>
              <w:rPr>
                <w:rFonts w:hint="eastAsia" w:ascii="宋体" w:hAnsi="宋体" w:cs="宋体"/>
                <w:b/>
                <w:bCs/>
                <w:color w:val="auto"/>
                <w:sz w:val="24"/>
                <w:szCs w:val="24"/>
                <w:highlight w:val="none"/>
                <w:lang w:val="zh-CN"/>
              </w:rPr>
              <w:t>投标文件内附近半年内</w:t>
            </w:r>
            <w:r>
              <w:rPr>
                <w:rFonts w:hint="eastAsia" w:ascii="宋体" w:hAnsi="宋体" w:cs="宋体"/>
                <w:b/>
                <w:bCs/>
                <w:color w:val="auto"/>
                <w:sz w:val="24"/>
                <w:szCs w:val="24"/>
                <w:highlight w:val="none"/>
                <w:lang w:val="zh-CN" w:eastAsia="zh-CN"/>
              </w:rPr>
              <w:t>任意一个月</w:t>
            </w:r>
            <w:r>
              <w:rPr>
                <w:rFonts w:hint="eastAsia" w:ascii="宋体" w:hAnsi="宋体" w:cs="宋体"/>
                <w:b/>
                <w:bCs/>
                <w:color w:val="auto"/>
                <w:sz w:val="24"/>
                <w:szCs w:val="24"/>
                <w:highlight w:val="none"/>
                <w:lang w:val="zh-CN"/>
              </w:rPr>
              <w:t>纳税证明及社会保障资金缴纳证明复印件加盖公章（依法免税的，应提供其依法免税证明）。</w:t>
            </w:r>
          </w:p>
        </w:tc>
      </w:tr>
      <w:tr w14:paraId="2FD5F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 w:type="pct"/>
            <w:shd w:val="clear" w:color="auto" w:fill="auto"/>
            <w:vAlign w:val="center"/>
          </w:tcPr>
          <w:p w14:paraId="4F595A84">
            <w:pPr>
              <w:autoSpaceDE w:val="0"/>
              <w:autoSpaceDN w:val="0"/>
              <w:adjustRightInd w:val="0"/>
              <w:spacing w:line="288" w:lineRule="auto"/>
              <w:jc w:val="center"/>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9</w:t>
            </w:r>
          </w:p>
        </w:tc>
        <w:tc>
          <w:tcPr>
            <w:tcW w:w="949" w:type="pct"/>
            <w:shd w:val="clear" w:color="auto" w:fill="auto"/>
            <w:vAlign w:val="center"/>
          </w:tcPr>
          <w:p w14:paraId="40AF2399">
            <w:pPr>
              <w:autoSpaceDE w:val="0"/>
              <w:autoSpaceDN w:val="0"/>
              <w:adjustRightInd w:val="0"/>
              <w:spacing w:line="288" w:lineRule="auto"/>
              <w:jc w:val="center"/>
              <w:rPr>
                <w:rFonts w:ascii="宋体" w:hAnsi="宋体" w:eastAsia="宋体" w:cs="宋体"/>
                <w:color w:val="auto"/>
                <w:sz w:val="24"/>
                <w:szCs w:val="24"/>
                <w:highlight w:val="none"/>
                <w:lang w:val="zh-CN" w:eastAsia="zh-CN" w:bidi="ar-SA"/>
              </w:rPr>
            </w:pPr>
            <w:r>
              <w:rPr>
                <w:rFonts w:hint="eastAsia" w:ascii="宋体" w:hAnsi="宋体" w:cs="宋体"/>
                <w:color w:val="auto"/>
                <w:sz w:val="24"/>
                <w:szCs w:val="24"/>
                <w:highlight w:val="none"/>
              </w:rPr>
              <w:t>信誉要求</w:t>
            </w:r>
          </w:p>
        </w:tc>
        <w:tc>
          <w:tcPr>
            <w:tcW w:w="3766" w:type="pct"/>
            <w:shd w:val="clear" w:color="auto" w:fill="auto"/>
            <w:vAlign w:val="center"/>
          </w:tcPr>
          <w:p w14:paraId="64782441">
            <w:pPr>
              <w:adjustRightInd w:val="0"/>
              <w:spacing w:line="288" w:lineRule="auto"/>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rPr>
              <w:t>1.</w:t>
            </w:r>
            <w:r>
              <w:rPr>
                <w:rFonts w:hint="eastAsia" w:ascii="宋体" w:hAnsi="宋体" w:cs="宋体"/>
                <w:b/>
                <w:bCs/>
                <w:color w:val="auto"/>
                <w:sz w:val="24"/>
                <w:szCs w:val="24"/>
                <w:highlight w:val="none"/>
                <w:lang w:eastAsia="zh-CN"/>
              </w:rPr>
              <w:t>拒绝列入政府取消投标资格记录期间的企业或个人投标；投标人没有被责令停业、破产或被农业农村部通报质量不合格的企业。</w:t>
            </w:r>
          </w:p>
          <w:p w14:paraId="44AB11E7">
            <w:pPr>
              <w:adjustRightInd w:val="0"/>
              <w:spacing w:line="288"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2.不得为“信用中国”网站（www.creditchina.gov.cn）中列入失信被执行人和重大税收违法失信主体供应商；不得为中国政府采购网（www.ccpg.gov.cn）政府采购严重违法失信行为记录名单中被财政部门禁止参加政府采购活动的供应商（在处罚决定规定的时间和地域范围内）（详见财库[2016]125号）；</w:t>
            </w:r>
            <w:r>
              <w:rPr>
                <w:rFonts w:hint="eastAsia" w:ascii="宋体" w:hAnsi="宋体" w:cs="宋体"/>
                <w:b/>
                <w:bCs/>
                <w:color w:val="auto"/>
                <w:sz w:val="24"/>
                <w:szCs w:val="24"/>
                <w:highlight w:val="none"/>
                <w:lang w:eastAsia="zh-CN"/>
              </w:rPr>
              <w:t>在2022年至今供应商和其法定代表人在“中国裁判文书网”</w:t>
            </w:r>
            <w:r>
              <w:rPr>
                <w:rFonts w:hint="eastAsia" w:ascii="宋体" w:hAnsi="宋体" w:cs="宋体"/>
                <w:b/>
                <w:bCs/>
                <w:color w:val="auto"/>
                <w:sz w:val="24"/>
                <w:szCs w:val="24"/>
                <w:highlight w:val="none"/>
              </w:rPr>
              <w:t>(wenshu.court.gov.cn)上无行贿犯罪行为；</w:t>
            </w:r>
          </w:p>
          <w:p w14:paraId="151B0CFC">
            <w:pPr>
              <w:adjustRightInd w:val="0"/>
              <w:spacing w:line="288"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3.与采购人存在利害关系可能影响招标公正性的法人、其他组织或者个人，不得参加本项目投标；单位负责人为同一人或者存在直接控股、管理关系的不同供应商，不得参加同一合同项下的政府采购活动；</w:t>
            </w:r>
          </w:p>
          <w:p w14:paraId="0561A9BD">
            <w:pPr>
              <w:adjustRightInd w:val="0"/>
              <w:spacing w:line="288"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4.参加政府采购活动前三年内，在经营活动中没有重大违法记录。</w:t>
            </w:r>
          </w:p>
          <w:p w14:paraId="238E89BD">
            <w:pPr>
              <w:adjustRightInd w:val="0"/>
              <w:spacing w:line="288" w:lineRule="auto"/>
              <w:jc w:val="both"/>
              <w:rPr>
                <w:rFonts w:ascii="宋体" w:hAnsi="宋体" w:eastAsia="宋体" w:cs="宋体"/>
                <w:b/>
                <w:bCs/>
                <w:color w:val="auto"/>
                <w:sz w:val="24"/>
                <w:szCs w:val="24"/>
                <w:highlight w:val="none"/>
                <w:lang w:val="en-US" w:eastAsia="zh-CN" w:bidi="ar-SA"/>
              </w:rPr>
            </w:pPr>
            <w:r>
              <w:rPr>
                <w:rFonts w:hint="eastAsia" w:ascii="宋体" w:hAnsi="宋体" w:cs="宋体"/>
                <w:b/>
                <w:bCs/>
                <w:color w:val="auto"/>
                <w:sz w:val="24"/>
                <w:szCs w:val="24"/>
                <w:highlight w:val="none"/>
              </w:rPr>
              <w:t>投标文件内附由法定代表人或授权代表签字或盖章并加盖公章的承诺书。</w:t>
            </w:r>
          </w:p>
        </w:tc>
      </w:tr>
      <w:tr w14:paraId="46FAF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3" w:type="pct"/>
            <w:vAlign w:val="center"/>
          </w:tcPr>
          <w:p w14:paraId="508D049E">
            <w:pPr>
              <w:autoSpaceDE w:val="0"/>
              <w:autoSpaceDN w:val="0"/>
              <w:adjustRightInd w:val="0"/>
              <w:spacing w:line="288" w:lineRule="auto"/>
              <w:jc w:val="center"/>
              <w:rPr>
                <w:rFonts w:hint="default" w:ascii="宋体" w:hAnsi="宋体" w:eastAsia="宋体" w:cs="宋体"/>
                <w:color w:val="auto"/>
                <w:sz w:val="24"/>
                <w:szCs w:val="24"/>
                <w:highlight w:val="none"/>
                <w:lang w:val="en-US" w:eastAsia="zh-CN"/>
              </w:rPr>
            </w:pPr>
          </w:p>
        </w:tc>
        <w:tc>
          <w:tcPr>
            <w:tcW w:w="949" w:type="pct"/>
            <w:shd w:val="clear" w:color="auto" w:fill="auto"/>
            <w:vAlign w:val="center"/>
          </w:tcPr>
          <w:p w14:paraId="10EB383A">
            <w:pPr>
              <w:autoSpaceDE w:val="0"/>
              <w:autoSpaceDN w:val="0"/>
              <w:adjustRightInd w:val="0"/>
              <w:spacing w:line="288" w:lineRule="auto"/>
              <w:jc w:val="center"/>
              <w:rPr>
                <w:rFonts w:hint="eastAsia" w:ascii="宋体" w:hAnsi="宋体" w:eastAsia="宋体" w:cs="宋体"/>
                <w:color w:val="auto"/>
                <w:sz w:val="24"/>
                <w:szCs w:val="24"/>
                <w:highlight w:val="none"/>
                <w:lang w:val="zh-CN" w:eastAsia="zh-CN" w:bidi="ar-SA"/>
              </w:rPr>
            </w:pPr>
            <w:r>
              <w:rPr>
                <w:rFonts w:hint="eastAsia" w:ascii="宋体" w:hAnsi="宋体" w:cs="宋体"/>
                <w:color w:val="auto"/>
                <w:sz w:val="24"/>
                <w:szCs w:val="24"/>
                <w:highlight w:val="none"/>
                <w:lang w:val="en-US" w:eastAsia="zh-CN"/>
              </w:rPr>
              <w:t>其他</w:t>
            </w:r>
          </w:p>
        </w:tc>
        <w:tc>
          <w:tcPr>
            <w:tcW w:w="3766" w:type="pct"/>
            <w:shd w:val="clear" w:color="auto" w:fill="auto"/>
            <w:vAlign w:val="center"/>
          </w:tcPr>
          <w:p w14:paraId="1C4A4C4D">
            <w:pPr>
              <w:adjustRightInd w:val="0"/>
              <w:spacing w:line="288" w:lineRule="auto"/>
              <w:jc w:val="both"/>
              <w:rPr>
                <w:rFonts w:hint="eastAsia" w:ascii="宋体" w:hAnsi="宋体" w:eastAsia="宋体" w:cs="宋体"/>
                <w:b/>
                <w:bCs/>
                <w:color w:val="auto"/>
                <w:sz w:val="24"/>
                <w:szCs w:val="24"/>
                <w:highlight w:val="none"/>
                <w:lang w:val="en-US" w:eastAsia="zh-CN" w:bidi="ar-SA"/>
              </w:rPr>
            </w:pPr>
            <w:r>
              <w:rPr>
                <w:rFonts w:hint="eastAsia" w:ascii="宋体" w:hAnsi="宋体" w:cs="宋体"/>
                <w:b/>
                <w:bCs/>
                <w:color w:val="auto"/>
                <w:sz w:val="24"/>
                <w:szCs w:val="24"/>
                <w:highlight w:val="none"/>
                <w:lang w:val="en-US" w:eastAsia="zh-CN"/>
              </w:rPr>
              <w:t>本项目不接受联合体投标。</w:t>
            </w:r>
          </w:p>
        </w:tc>
      </w:tr>
    </w:tbl>
    <w:p w14:paraId="0407A518">
      <w:pPr>
        <w:rPr>
          <w:color w:val="auto"/>
          <w:highlight w:val="none"/>
        </w:rPr>
      </w:pPr>
      <w:r>
        <w:rPr>
          <w:rFonts w:hint="eastAsia" w:ascii="宋体" w:hAnsi="宋体" w:cs="宋体"/>
          <w:b/>
          <w:bCs/>
          <w:color w:val="auto"/>
          <w:sz w:val="24"/>
          <w:szCs w:val="24"/>
          <w:highlight w:val="none"/>
          <w:lang w:bidi="ar"/>
        </w:rPr>
        <w:t>注：上述表中任何一项不合格，审查结论为“不合格”，不进入符合性审查。</w:t>
      </w:r>
    </w:p>
    <w:p w14:paraId="260FBB17">
      <w:pPr>
        <w:rPr>
          <w:rFonts w:ascii="宋体" w:hAnsi="宋体" w:cs="宋体"/>
          <w:b/>
          <w:color w:val="auto"/>
          <w:sz w:val="21"/>
          <w:szCs w:val="21"/>
          <w:highlight w:val="none"/>
        </w:rPr>
      </w:pPr>
    </w:p>
    <w:p w14:paraId="6423D445">
      <w:pPr>
        <w:rPr>
          <w:rFonts w:ascii="宋体" w:hAnsi="宋体" w:cs="宋体"/>
          <w:b/>
          <w:color w:val="auto"/>
          <w:sz w:val="21"/>
          <w:szCs w:val="21"/>
          <w:highlight w:val="none"/>
        </w:rPr>
      </w:pPr>
    </w:p>
    <w:p w14:paraId="79A44381">
      <w:pPr>
        <w:rPr>
          <w:rFonts w:ascii="宋体" w:hAnsi="宋体" w:cs="宋体"/>
          <w:b/>
          <w:color w:val="auto"/>
          <w:sz w:val="21"/>
          <w:szCs w:val="21"/>
          <w:highlight w:val="none"/>
        </w:rPr>
      </w:pPr>
    </w:p>
    <w:p w14:paraId="1972EDC0">
      <w:pPr>
        <w:rPr>
          <w:rFonts w:ascii="宋体" w:hAnsi="宋体" w:cs="宋体"/>
          <w:b/>
          <w:color w:val="auto"/>
          <w:sz w:val="21"/>
          <w:szCs w:val="21"/>
          <w:highlight w:val="none"/>
        </w:rPr>
      </w:pPr>
    </w:p>
    <w:p w14:paraId="2F450774">
      <w:pPr>
        <w:rPr>
          <w:rFonts w:ascii="宋体" w:hAnsi="宋体" w:cs="宋体"/>
          <w:b/>
          <w:color w:val="auto"/>
          <w:sz w:val="21"/>
          <w:szCs w:val="21"/>
          <w:highlight w:val="none"/>
        </w:rPr>
      </w:pPr>
    </w:p>
    <w:p w14:paraId="550811FA">
      <w:pPr>
        <w:rPr>
          <w:rFonts w:ascii="宋体" w:hAnsi="宋体" w:cs="宋体"/>
          <w:b/>
          <w:color w:val="auto"/>
          <w:sz w:val="21"/>
          <w:szCs w:val="21"/>
          <w:highlight w:val="none"/>
        </w:rPr>
      </w:pPr>
    </w:p>
    <w:p w14:paraId="2961879F">
      <w:pPr>
        <w:rPr>
          <w:rFonts w:ascii="宋体" w:hAnsi="宋体" w:cs="宋体"/>
          <w:b/>
          <w:color w:val="auto"/>
          <w:sz w:val="21"/>
          <w:szCs w:val="21"/>
          <w:highlight w:val="none"/>
        </w:rPr>
      </w:pPr>
    </w:p>
    <w:p w14:paraId="61138E93">
      <w:pPr>
        <w:rPr>
          <w:rFonts w:ascii="宋体" w:hAnsi="宋体" w:cs="宋体"/>
          <w:b/>
          <w:color w:val="auto"/>
          <w:sz w:val="21"/>
          <w:szCs w:val="21"/>
          <w:highlight w:val="none"/>
        </w:rPr>
      </w:pPr>
    </w:p>
    <w:p w14:paraId="5D348697">
      <w:pPr>
        <w:rPr>
          <w:rFonts w:ascii="宋体" w:hAnsi="宋体" w:cs="宋体"/>
          <w:b/>
          <w:color w:val="auto"/>
          <w:sz w:val="21"/>
          <w:szCs w:val="21"/>
          <w:highlight w:val="none"/>
        </w:rPr>
      </w:pPr>
    </w:p>
    <w:p w14:paraId="00C9B4F2">
      <w:pPr>
        <w:rPr>
          <w:rFonts w:ascii="宋体" w:hAnsi="宋体" w:cs="宋体"/>
          <w:b/>
          <w:color w:val="auto"/>
          <w:sz w:val="21"/>
          <w:szCs w:val="21"/>
          <w:highlight w:val="none"/>
        </w:rPr>
      </w:pPr>
    </w:p>
    <w:p w14:paraId="17B1C440">
      <w:pPr>
        <w:rPr>
          <w:rFonts w:ascii="宋体" w:hAnsi="宋体" w:cs="宋体"/>
          <w:b/>
          <w:color w:val="auto"/>
          <w:sz w:val="21"/>
          <w:szCs w:val="21"/>
          <w:highlight w:val="none"/>
        </w:rPr>
      </w:pPr>
    </w:p>
    <w:p w14:paraId="64E5F459">
      <w:pPr>
        <w:rPr>
          <w:rFonts w:ascii="宋体" w:hAnsi="宋体" w:cs="宋体"/>
          <w:b/>
          <w:color w:val="auto"/>
          <w:sz w:val="21"/>
          <w:szCs w:val="21"/>
          <w:highlight w:val="none"/>
        </w:rPr>
      </w:pPr>
    </w:p>
    <w:p w14:paraId="549E9710">
      <w:pPr>
        <w:rPr>
          <w:rFonts w:ascii="宋体" w:hAnsi="宋体" w:cs="宋体"/>
          <w:b/>
          <w:color w:val="auto"/>
          <w:sz w:val="21"/>
          <w:szCs w:val="21"/>
          <w:highlight w:val="none"/>
        </w:rPr>
      </w:pPr>
    </w:p>
    <w:p w14:paraId="72A34174">
      <w:pPr>
        <w:rPr>
          <w:rFonts w:ascii="宋体" w:hAnsi="宋体" w:cs="宋体"/>
          <w:b/>
          <w:color w:val="auto"/>
          <w:sz w:val="21"/>
          <w:szCs w:val="21"/>
          <w:highlight w:val="none"/>
        </w:rPr>
      </w:pPr>
    </w:p>
    <w:p w14:paraId="4414808A">
      <w:pPr>
        <w:rPr>
          <w:rFonts w:ascii="宋体" w:hAnsi="宋体" w:cs="宋体"/>
          <w:b/>
          <w:color w:val="auto"/>
          <w:sz w:val="21"/>
          <w:szCs w:val="21"/>
          <w:highlight w:val="none"/>
        </w:rPr>
      </w:pPr>
    </w:p>
    <w:p w14:paraId="43D2DC06">
      <w:pPr>
        <w:rPr>
          <w:rFonts w:ascii="宋体" w:hAnsi="宋体" w:cs="宋体"/>
          <w:b/>
          <w:color w:val="auto"/>
          <w:sz w:val="21"/>
          <w:szCs w:val="21"/>
          <w:highlight w:val="none"/>
        </w:rPr>
      </w:pPr>
    </w:p>
    <w:p w14:paraId="4551C11B">
      <w:pPr>
        <w:rPr>
          <w:rFonts w:ascii="宋体" w:hAnsi="宋体" w:cs="宋体"/>
          <w:b/>
          <w:color w:val="auto"/>
          <w:sz w:val="21"/>
          <w:szCs w:val="21"/>
          <w:highlight w:val="none"/>
        </w:rPr>
      </w:pPr>
    </w:p>
    <w:p w14:paraId="7302AB81">
      <w:pPr>
        <w:rPr>
          <w:rFonts w:ascii="宋体" w:hAnsi="宋体" w:cs="宋体"/>
          <w:b/>
          <w:color w:val="auto"/>
          <w:sz w:val="21"/>
          <w:szCs w:val="21"/>
          <w:highlight w:val="none"/>
        </w:rPr>
      </w:pPr>
    </w:p>
    <w:p w14:paraId="60A98F6B">
      <w:pPr>
        <w:numPr>
          <w:ilvl w:val="0"/>
          <w:numId w:val="2"/>
        </w:numPr>
        <w:spacing w:line="440" w:lineRule="exact"/>
        <w:jc w:val="both"/>
        <w:rPr>
          <w:color w:val="auto"/>
          <w:highlight w:val="none"/>
        </w:rPr>
      </w:pPr>
      <w:r>
        <w:rPr>
          <w:rFonts w:hint="eastAsia" w:ascii="宋体" w:hAnsi="宋体" w:cs="宋体"/>
          <w:b/>
          <w:color w:val="auto"/>
          <w:sz w:val="24"/>
          <w:szCs w:val="24"/>
          <w:highlight w:val="none"/>
        </w:rPr>
        <w:t>符合性审查</w:t>
      </w:r>
    </w:p>
    <w:tbl>
      <w:tblPr>
        <w:tblStyle w:val="14"/>
        <w:tblW w:w="52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8954"/>
      </w:tblGrid>
      <w:tr w14:paraId="0F20E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414" w:type="pct"/>
            <w:vMerge w:val="restart"/>
            <w:vAlign w:val="center"/>
          </w:tcPr>
          <w:p w14:paraId="104A81D2">
            <w:pPr>
              <w:autoSpaceDE w:val="0"/>
              <w:autoSpaceDN w:val="0"/>
              <w:adjustRightInd w:val="0"/>
              <w:spacing w:line="288" w:lineRule="auto"/>
              <w:jc w:val="center"/>
              <w:rPr>
                <w:rFonts w:ascii="宋体" w:hAnsi="宋体" w:cs="宋体"/>
                <w:b/>
                <w:bCs w:val="0"/>
                <w:color w:val="auto"/>
                <w:sz w:val="24"/>
                <w:szCs w:val="24"/>
                <w:highlight w:val="none"/>
                <w:lang w:val="zh-CN"/>
              </w:rPr>
            </w:pPr>
            <w:r>
              <w:rPr>
                <w:rFonts w:hint="eastAsia" w:ascii="宋体" w:hAnsi="宋体" w:cs="宋体"/>
                <w:b/>
                <w:bCs w:val="0"/>
                <w:color w:val="auto"/>
                <w:sz w:val="24"/>
                <w:szCs w:val="24"/>
                <w:highlight w:val="none"/>
                <w:lang w:val="zh-CN"/>
              </w:rPr>
              <w:t>序号</w:t>
            </w:r>
          </w:p>
        </w:tc>
        <w:tc>
          <w:tcPr>
            <w:tcW w:w="4585" w:type="pct"/>
            <w:vMerge w:val="restart"/>
            <w:vAlign w:val="center"/>
          </w:tcPr>
          <w:p w14:paraId="1A642BF6">
            <w:pPr>
              <w:autoSpaceDE w:val="0"/>
              <w:autoSpaceDN w:val="0"/>
              <w:adjustRightInd w:val="0"/>
              <w:spacing w:line="288" w:lineRule="auto"/>
              <w:jc w:val="center"/>
              <w:rPr>
                <w:rFonts w:ascii="宋体" w:hAnsi="宋体" w:cs="宋体"/>
                <w:b/>
                <w:bCs w:val="0"/>
                <w:color w:val="auto"/>
                <w:sz w:val="24"/>
                <w:szCs w:val="24"/>
                <w:highlight w:val="none"/>
                <w:lang w:val="zh-CN"/>
              </w:rPr>
            </w:pPr>
            <w:r>
              <w:rPr>
                <w:rFonts w:hint="eastAsia" w:ascii="宋体" w:hAnsi="宋体" w:cs="宋体"/>
                <w:b/>
                <w:bCs w:val="0"/>
                <w:color w:val="auto"/>
                <w:sz w:val="24"/>
                <w:szCs w:val="24"/>
                <w:highlight w:val="none"/>
                <w:lang w:val="zh-CN"/>
              </w:rPr>
              <w:t>评审内容</w:t>
            </w:r>
          </w:p>
        </w:tc>
      </w:tr>
      <w:tr w14:paraId="6480A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414" w:type="pct"/>
            <w:vMerge w:val="continue"/>
            <w:vAlign w:val="center"/>
          </w:tcPr>
          <w:p w14:paraId="51064058">
            <w:pPr>
              <w:autoSpaceDE w:val="0"/>
              <w:autoSpaceDN w:val="0"/>
              <w:adjustRightInd w:val="0"/>
              <w:spacing w:line="288" w:lineRule="auto"/>
              <w:jc w:val="center"/>
              <w:rPr>
                <w:rFonts w:ascii="宋体" w:hAnsi="宋体" w:cs="宋体"/>
                <w:b/>
                <w:bCs w:val="0"/>
                <w:color w:val="auto"/>
                <w:sz w:val="24"/>
                <w:szCs w:val="24"/>
                <w:highlight w:val="none"/>
                <w:lang w:val="zh-CN"/>
              </w:rPr>
            </w:pPr>
          </w:p>
        </w:tc>
        <w:tc>
          <w:tcPr>
            <w:tcW w:w="4585" w:type="pct"/>
            <w:vMerge w:val="continue"/>
            <w:vAlign w:val="center"/>
          </w:tcPr>
          <w:p w14:paraId="4DB81A1D">
            <w:pPr>
              <w:autoSpaceDE w:val="0"/>
              <w:autoSpaceDN w:val="0"/>
              <w:adjustRightInd w:val="0"/>
              <w:spacing w:line="288" w:lineRule="auto"/>
              <w:jc w:val="center"/>
              <w:rPr>
                <w:rFonts w:ascii="宋体" w:hAnsi="宋体" w:cs="宋体"/>
                <w:b/>
                <w:bCs w:val="0"/>
                <w:color w:val="auto"/>
                <w:sz w:val="24"/>
                <w:szCs w:val="24"/>
                <w:highlight w:val="none"/>
                <w:lang w:val="zh-CN"/>
              </w:rPr>
            </w:pPr>
          </w:p>
        </w:tc>
      </w:tr>
      <w:tr w14:paraId="4EBC3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414" w:type="pct"/>
            <w:vAlign w:val="center"/>
          </w:tcPr>
          <w:p w14:paraId="63A7E435">
            <w:pPr>
              <w:autoSpaceDE w:val="0"/>
              <w:autoSpaceDN w:val="0"/>
              <w:adjustRightInd w:val="0"/>
              <w:spacing w:line="288" w:lineRule="auto"/>
              <w:jc w:val="center"/>
              <w:rPr>
                <w:rFonts w:ascii="宋体" w:hAnsi="宋体" w:cs="宋体"/>
                <w:b/>
                <w:bCs w:val="0"/>
                <w:color w:val="auto"/>
                <w:sz w:val="24"/>
                <w:szCs w:val="24"/>
                <w:highlight w:val="none"/>
              </w:rPr>
            </w:pPr>
            <w:r>
              <w:rPr>
                <w:rFonts w:hint="eastAsia" w:ascii="宋体" w:hAnsi="宋体" w:cs="宋体"/>
                <w:b/>
                <w:bCs w:val="0"/>
                <w:color w:val="auto"/>
                <w:sz w:val="24"/>
                <w:szCs w:val="24"/>
                <w:highlight w:val="none"/>
              </w:rPr>
              <w:t>1</w:t>
            </w:r>
          </w:p>
        </w:tc>
        <w:tc>
          <w:tcPr>
            <w:tcW w:w="4585" w:type="pct"/>
            <w:shd w:val="clear" w:color="auto" w:fill="auto"/>
            <w:vAlign w:val="center"/>
          </w:tcPr>
          <w:p w14:paraId="496600A1">
            <w:pPr>
              <w:autoSpaceDE w:val="0"/>
              <w:autoSpaceDN w:val="0"/>
              <w:adjustRightInd w:val="0"/>
              <w:spacing w:line="288" w:lineRule="auto"/>
              <w:jc w:val="both"/>
              <w:rPr>
                <w:rFonts w:hint="eastAsia" w:ascii="宋体" w:hAnsi="宋体" w:eastAsia="宋体" w:cs="宋体"/>
                <w:b/>
                <w:bCs w:val="0"/>
                <w:color w:val="auto"/>
                <w:sz w:val="24"/>
                <w:szCs w:val="24"/>
                <w:highlight w:val="none"/>
                <w:lang w:val="zh-CN" w:eastAsia="zh-CN" w:bidi="ar-SA"/>
              </w:rPr>
            </w:pPr>
            <w:r>
              <w:rPr>
                <w:rFonts w:hint="eastAsia" w:ascii="宋体" w:hAnsi="宋体" w:cs="宋体"/>
                <w:b/>
                <w:bCs w:val="0"/>
                <w:color w:val="auto"/>
                <w:sz w:val="24"/>
                <w:szCs w:val="24"/>
                <w:highlight w:val="none"/>
                <w:lang w:val="zh-CN"/>
              </w:rPr>
              <w:t>投标函</w:t>
            </w:r>
            <w:r>
              <w:rPr>
                <w:rFonts w:hint="eastAsia" w:ascii="宋体" w:hAnsi="宋体" w:cs="宋体"/>
                <w:b/>
                <w:bCs w:val="0"/>
                <w:color w:val="auto"/>
                <w:sz w:val="24"/>
                <w:szCs w:val="24"/>
                <w:highlight w:val="none"/>
                <w:lang w:val="en-US" w:eastAsia="zh-CN"/>
              </w:rPr>
              <w:t>及开标一览表</w:t>
            </w:r>
            <w:r>
              <w:rPr>
                <w:rFonts w:hint="eastAsia" w:ascii="宋体" w:hAnsi="宋体" w:cs="宋体"/>
                <w:b/>
                <w:bCs w:val="0"/>
                <w:color w:val="auto"/>
                <w:sz w:val="24"/>
                <w:szCs w:val="24"/>
                <w:highlight w:val="none"/>
                <w:lang w:val="zh-CN"/>
              </w:rPr>
              <w:t>符合采购文件要求，</w:t>
            </w:r>
            <w:r>
              <w:rPr>
                <w:rFonts w:hint="eastAsia" w:ascii="宋体" w:hAnsi="宋体" w:cs="宋体"/>
                <w:b/>
                <w:bCs w:val="0"/>
                <w:color w:val="auto"/>
                <w:sz w:val="24"/>
                <w:szCs w:val="24"/>
                <w:highlight w:val="none"/>
                <w:lang w:val="en-US" w:eastAsia="zh-CN"/>
              </w:rPr>
              <w:t>且</w:t>
            </w:r>
            <w:r>
              <w:rPr>
                <w:rFonts w:hint="eastAsia" w:ascii="宋体" w:hAnsi="宋体" w:cs="宋体"/>
                <w:b/>
                <w:bCs w:val="0"/>
                <w:snapToGrid w:val="0"/>
                <w:color w:val="auto"/>
                <w:sz w:val="24"/>
                <w:szCs w:val="24"/>
                <w:highlight w:val="none"/>
              </w:rPr>
              <w:t>投标有效期满足</w:t>
            </w:r>
            <w:r>
              <w:rPr>
                <w:rFonts w:hint="eastAsia" w:ascii="宋体" w:hAnsi="宋体" w:cs="宋体"/>
                <w:b/>
                <w:bCs w:val="0"/>
                <w:snapToGrid w:val="0"/>
                <w:color w:val="auto"/>
                <w:sz w:val="24"/>
                <w:szCs w:val="24"/>
                <w:highlight w:val="none"/>
                <w:lang w:eastAsia="zh-CN"/>
              </w:rPr>
              <w:t>采购文件</w:t>
            </w:r>
            <w:r>
              <w:rPr>
                <w:rFonts w:hint="eastAsia" w:ascii="宋体" w:hAnsi="宋体" w:cs="宋体"/>
                <w:b/>
                <w:bCs w:val="0"/>
                <w:snapToGrid w:val="0"/>
                <w:color w:val="auto"/>
                <w:sz w:val="24"/>
                <w:szCs w:val="24"/>
                <w:highlight w:val="none"/>
              </w:rPr>
              <w:t>要求</w:t>
            </w:r>
            <w:r>
              <w:rPr>
                <w:rFonts w:hint="eastAsia" w:ascii="宋体" w:hAnsi="宋体" w:cs="宋体"/>
                <w:b/>
                <w:bCs w:val="0"/>
                <w:snapToGrid w:val="0"/>
                <w:color w:val="auto"/>
                <w:sz w:val="24"/>
                <w:szCs w:val="24"/>
                <w:highlight w:val="none"/>
                <w:lang w:eastAsia="zh-CN"/>
              </w:rPr>
              <w:t>。</w:t>
            </w:r>
          </w:p>
        </w:tc>
      </w:tr>
      <w:tr w14:paraId="1C00A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414" w:type="pct"/>
            <w:vAlign w:val="center"/>
          </w:tcPr>
          <w:p w14:paraId="542950BF">
            <w:pPr>
              <w:autoSpaceDE w:val="0"/>
              <w:autoSpaceDN w:val="0"/>
              <w:adjustRightInd w:val="0"/>
              <w:spacing w:line="288" w:lineRule="auto"/>
              <w:jc w:val="center"/>
              <w:rPr>
                <w:rFonts w:ascii="宋体" w:hAnsi="宋体" w:cs="宋体"/>
                <w:b/>
                <w:bCs w:val="0"/>
                <w:color w:val="auto"/>
                <w:sz w:val="24"/>
                <w:szCs w:val="24"/>
                <w:highlight w:val="none"/>
              </w:rPr>
            </w:pPr>
            <w:r>
              <w:rPr>
                <w:rFonts w:hint="eastAsia" w:ascii="宋体" w:hAnsi="宋体" w:cs="宋体"/>
                <w:b/>
                <w:bCs w:val="0"/>
                <w:color w:val="auto"/>
                <w:sz w:val="24"/>
                <w:szCs w:val="24"/>
                <w:highlight w:val="none"/>
              </w:rPr>
              <w:t>2</w:t>
            </w:r>
          </w:p>
        </w:tc>
        <w:tc>
          <w:tcPr>
            <w:tcW w:w="4585" w:type="pct"/>
            <w:shd w:val="clear" w:color="auto" w:fill="auto"/>
            <w:vAlign w:val="center"/>
          </w:tcPr>
          <w:p w14:paraId="147CF888">
            <w:pPr>
              <w:widowControl w:val="0"/>
              <w:adjustRightInd w:val="0"/>
              <w:snapToGrid w:val="0"/>
              <w:spacing w:line="288" w:lineRule="auto"/>
              <w:jc w:val="both"/>
              <w:textAlignment w:val="baseline"/>
              <w:rPr>
                <w:rFonts w:ascii="宋体" w:hAnsi="宋体" w:eastAsia="宋体" w:cs="宋体"/>
                <w:b/>
                <w:bCs w:val="0"/>
                <w:snapToGrid w:val="0"/>
                <w:color w:val="auto"/>
                <w:sz w:val="24"/>
                <w:szCs w:val="24"/>
                <w:highlight w:val="none"/>
                <w:lang w:val="zh-CN" w:eastAsia="zh-CN" w:bidi="ar-SA"/>
              </w:rPr>
            </w:pPr>
            <w:r>
              <w:rPr>
                <w:rFonts w:hint="eastAsia" w:ascii="宋体" w:hAnsi="宋体" w:cs="宋体"/>
                <w:b/>
                <w:bCs w:val="0"/>
                <w:snapToGrid w:val="0"/>
                <w:color w:val="auto"/>
                <w:sz w:val="24"/>
                <w:szCs w:val="24"/>
                <w:highlight w:val="none"/>
              </w:rPr>
              <w:t>供应商报一个有效报价</w:t>
            </w:r>
            <w:r>
              <w:rPr>
                <w:rFonts w:hint="eastAsia" w:ascii="宋体" w:hAnsi="宋体" w:cs="宋体"/>
                <w:b/>
                <w:bCs w:val="0"/>
                <w:snapToGrid w:val="0"/>
                <w:color w:val="auto"/>
                <w:sz w:val="24"/>
                <w:szCs w:val="24"/>
                <w:highlight w:val="none"/>
                <w:lang w:eastAsia="zh-CN"/>
              </w:rPr>
              <w:t>，</w:t>
            </w:r>
            <w:r>
              <w:rPr>
                <w:rFonts w:hint="eastAsia" w:ascii="宋体" w:hAnsi="宋体" w:cs="宋体"/>
                <w:b/>
                <w:bCs w:val="0"/>
                <w:snapToGrid w:val="0"/>
                <w:color w:val="auto"/>
                <w:sz w:val="24"/>
                <w:szCs w:val="24"/>
                <w:highlight w:val="none"/>
              </w:rPr>
              <w:t>报价不超过</w:t>
            </w:r>
            <w:r>
              <w:rPr>
                <w:rFonts w:hint="eastAsia" w:ascii="宋体" w:hAnsi="宋体" w:cs="宋体"/>
                <w:b/>
                <w:bCs w:val="0"/>
                <w:color w:val="auto"/>
                <w:sz w:val="24"/>
                <w:szCs w:val="24"/>
                <w:highlight w:val="none"/>
                <w:lang w:val="zh-CN"/>
              </w:rPr>
              <w:t>预算金额</w:t>
            </w:r>
            <w:r>
              <w:rPr>
                <w:rFonts w:hint="eastAsia" w:ascii="宋体" w:hAnsi="宋体" w:cs="宋体"/>
                <w:b/>
                <w:bCs w:val="0"/>
                <w:color w:val="auto"/>
                <w:sz w:val="24"/>
                <w:szCs w:val="24"/>
                <w:highlight w:val="none"/>
                <w:lang w:val="en-US" w:eastAsia="zh-CN"/>
              </w:rPr>
              <w:t>且不低于成本</w:t>
            </w:r>
            <w:r>
              <w:rPr>
                <w:rFonts w:hint="eastAsia" w:ascii="宋体" w:hAnsi="宋体" w:cs="宋体"/>
                <w:b/>
                <w:bCs w:val="0"/>
                <w:color w:val="auto"/>
                <w:sz w:val="24"/>
                <w:szCs w:val="24"/>
                <w:highlight w:val="none"/>
                <w:lang w:val="zh-CN"/>
              </w:rPr>
              <w:t>。</w:t>
            </w:r>
          </w:p>
        </w:tc>
      </w:tr>
      <w:tr w14:paraId="37C57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414" w:type="pct"/>
            <w:vAlign w:val="center"/>
          </w:tcPr>
          <w:p w14:paraId="7BE57EF2">
            <w:pPr>
              <w:widowControl w:val="0"/>
              <w:adjustRightInd w:val="0"/>
              <w:snapToGrid w:val="0"/>
              <w:spacing w:line="288" w:lineRule="auto"/>
              <w:jc w:val="center"/>
              <w:textAlignment w:val="baseline"/>
              <w:rPr>
                <w:rFonts w:ascii="宋体" w:hAnsi="宋体" w:cs="宋体"/>
                <w:b/>
                <w:bCs w:val="0"/>
                <w:snapToGrid w:val="0"/>
                <w:color w:val="auto"/>
                <w:sz w:val="24"/>
                <w:szCs w:val="24"/>
                <w:highlight w:val="none"/>
              </w:rPr>
            </w:pPr>
            <w:r>
              <w:rPr>
                <w:rFonts w:hint="eastAsia" w:ascii="宋体" w:hAnsi="宋体" w:cs="宋体"/>
                <w:b/>
                <w:bCs w:val="0"/>
                <w:snapToGrid w:val="0"/>
                <w:color w:val="auto"/>
                <w:sz w:val="24"/>
                <w:szCs w:val="24"/>
                <w:highlight w:val="none"/>
              </w:rPr>
              <w:t>3</w:t>
            </w:r>
          </w:p>
        </w:tc>
        <w:tc>
          <w:tcPr>
            <w:tcW w:w="4585" w:type="pct"/>
            <w:shd w:val="clear" w:color="auto" w:fill="auto"/>
            <w:vAlign w:val="center"/>
          </w:tcPr>
          <w:p w14:paraId="4BDF5EDA">
            <w:pPr>
              <w:widowControl w:val="0"/>
              <w:adjustRightInd w:val="0"/>
              <w:snapToGrid w:val="0"/>
              <w:spacing w:line="288" w:lineRule="auto"/>
              <w:jc w:val="both"/>
              <w:textAlignment w:val="baseline"/>
              <w:rPr>
                <w:rFonts w:hint="eastAsia" w:ascii="宋体" w:hAnsi="宋体" w:eastAsia="宋体" w:cs="宋体"/>
                <w:b/>
                <w:bCs w:val="0"/>
                <w:snapToGrid w:val="0"/>
                <w:color w:val="auto"/>
                <w:sz w:val="24"/>
                <w:szCs w:val="24"/>
                <w:highlight w:val="none"/>
                <w:lang w:val="en-US" w:eastAsia="zh-CN" w:bidi="ar-SA"/>
              </w:rPr>
            </w:pPr>
            <w:r>
              <w:rPr>
                <w:rFonts w:hint="eastAsia" w:ascii="宋体" w:hAnsi="宋体" w:cs="宋体"/>
                <w:b/>
                <w:bCs w:val="0"/>
                <w:snapToGrid w:val="0"/>
                <w:color w:val="auto"/>
                <w:sz w:val="24"/>
                <w:szCs w:val="24"/>
                <w:highlight w:val="none"/>
              </w:rPr>
              <w:t>供应商名称与企业法人营业执照名称一致</w:t>
            </w:r>
            <w:r>
              <w:rPr>
                <w:rFonts w:hint="eastAsia" w:ascii="宋体" w:hAnsi="宋体" w:cs="宋体"/>
                <w:b/>
                <w:bCs w:val="0"/>
                <w:snapToGrid w:val="0"/>
                <w:color w:val="auto"/>
                <w:sz w:val="24"/>
                <w:szCs w:val="24"/>
                <w:highlight w:val="none"/>
                <w:lang w:eastAsia="zh-CN"/>
              </w:rPr>
              <w:t>。</w:t>
            </w:r>
          </w:p>
        </w:tc>
      </w:tr>
      <w:tr w14:paraId="4CB4F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414" w:type="pct"/>
            <w:vAlign w:val="center"/>
          </w:tcPr>
          <w:p w14:paraId="25EFD2F6">
            <w:pPr>
              <w:widowControl w:val="0"/>
              <w:adjustRightInd w:val="0"/>
              <w:snapToGrid w:val="0"/>
              <w:spacing w:line="288" w:lineRule="auto"/>
              <w:jc w:val="center"/>
              <w:textAlignment w:val="baseline"/>
              <w:rPr>
                <w:rFonts w:ascii="宋体" w:hAnsi="宋体" w:cs="宋体"/>
                <w:b/>
                <w:bCs w:val="0"/>
                <w:snapToGrid w:val="0"/>
                <w:color w:val="auto"/>
                <w:sz w:val="24"/>
                <w:szCs w:val="24"/>
                <w:highlight w:val="none"/>
              </w:rPr>
            </w:pPr>
            <w:r>
              <w:rPr>
                <w:rFonts w:hint="eastAsia" w:ascii="宋体" w:hAnsi="宋体" w:cs="宋体"/>
                <w:b/>
                <w:bCs w:val="0"/>
                <w:snapToGrid w:val="0"/>
                <w:color w:val="auto"/>
                <w:sz w:val="24"/>
                <w:szCs w:val="24"/>
                <w:highlight w:val="none"/>
              </w:rPr>
              <w:t>4</w:t>
            </w:r>
          </w:p>
        </w:tc>
        <w:tc>
          <w:tcPr>
            <w:tcW w:w="4585" w:type="pct"/>
            <w:shd w:val="clear" w:color="auto" w:fill="auto"/>
            <w:vAlign w:val="center"/>
          </w:tcPr>
          <w:p w14:paraId="66B30505">
            <w:pPr>
              <w:widowControl w:val="0"/>
              <w:adjustRightInd w:val="0"/>
              <w:snapToGrid w:val="0"/>
              <w:spacing w:line="288" w:lineRule="auto"/>
              <w:jc w:val="both"/>
              <w:textAlignment w:val="baseline"/>
              <w:rPr>
                <w:rFonts w:hint="eastAsia" w:ascii="宋体" w:hAnsi="宋体" w:eastAsia="宋体" w:cs="宋体"/>
                <w:b/>
                <w:bCs w:val="0"/>
                <w:snapToGrid w:val="0"/>
                <w:color w:val="auto"/>
                <w:sz w:val="24"/>
                <w:szCs w:val="24"/>
                <w:highlight w:val="none"/>
                <w:lang w:val="en-US" w:eastAsia="zh-CN" w:bidi="ar-SA"/>
              </w:rPr>
            </w:pPr>
            <w:r>
              <w:rPr>
                <w:rFonts w:hint="eastAsia" w:ascii="宋体" w:hAnsi="宋体" w:cs="宋体"/>
                <w:b/>
                <w:bCs w:val="0"/>
                <w:snapToGrid w:val="0"/>
                <w:color w:val="auto"/>
                <w:sz w:val="24"/>
                <w:szCs w:val="24"/>
                <w:highlight w:val="none"/>
              </w:rPr>
              <w:t>投标文件的签署及填写符合</w:t>
            </w:r>
            <w:r>
              <w:rPr>
                <w:rFonts w:hint="eastAsia" w:ascii="宋体" w:hAnsi="宋体" w:cs="宋体"/>
                <w:b/>
                <w:bCs w:val="0"/>
                <w:snapToGrid w:val="0"/>
                <w:color w:val="auto"/>
                <w:sz w:val="24"/>
                <w:szCs w:val="24"/>
                <w:highlight w:val="none"/>
                <w:lang w:eastAsia="zh-CN"/>
              </w:rPr>
              <w:t>采购文件</w:t>
            </w:r>
            <w:r>
              <w:rPr>
                <w:rFonts w:hint="eastAsia" w:ascii="宋体" w:hAnsi="宋体" w:cs="宋体"/>
                <w:b/>
                <w:bCs w:val="0"/>
                <w:snapToGrid w:val="0"/>
                <w:color w:val="auto"/>
                <w:sz w:val="24"/>
                <w:szCs w:val="24"/>
                <w:highlight w:val="none"/>
              </w:rPr>
              <w:t>的要求</w:t>
            </w:r>
            <w:r>
              <w:rPr>
                <w:rFonts w:hint="eastAsia" w:ascii="宋体" w:hAnsi="宋体" w:cs="宋体"/>
                <w:b/>
                <w:bCs w:val="0"/>
                <w:snapToGrid w:val="0"/>
                <w:color w:val="auto"/>
                <w:sz w:val="24"/>
                <w:szCs w:val="24"/>
                <w:highlight w:val="none"/>
                <w:lang w:eastAsia="zh-CN"/>
              </w:rPr>
              <w:t>。</w:t>
            </w:r>
          </w:p>
        </w:tc>
      </w:tr>
      <w:tr w14:paraId="6E3B8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414" w:type="pct"/>
            <w:vAlign w:val="center"/>
          </w:tcPr>
          <w:p w14:paraId="70E1CAE5">
            <w:pPr>
              <w:widowControl w:val="0"/>
              <w:adjustRightInd w:val="0"/>
              <w:snapToGrid w:val="0"/>
              <w:spacing w:line="288" w:lineRule="auto"/>
              <w:jc w:val="center"/>
              <w:textAlignment w:val="baseline"/>
              <w:rPr>
                <w:rFonts w:ascii="宋体" w:hAnsi="宋体" w:cs="宋体"/>
                <w:b/>
                <w:bCs w:val="0"/>
                <w:snapToGrid w:val="0"/>
                <w:color w:val="auto"/>
                <w:sz w:val="24"/>
                <w:szCs w:val="24"/>
                <w:highlight w:val="none"/>
              </w:rPr>
            </w:pPr>
            <w:r>
              <w:rPr>
                <w:rFonts w:hint="eastAsia" w:ascii="宋体" w:hAnsi="宋体" w:cs="宋体"/>
                <w:b/>
                <w:bCs w:val="0"/>
                <w:snapToGrid w:val="0"/>
                <w:color w:val="auto"/>
                <w:sz w:val="24"/>
                <w:szCs w:val="24"/>
                <w:highlight w:val="none"/>
              </w:rPr>
              <w:t>5</w:t>
            </w:r>
          </w:p>
        </w:tc>
        <w:tc>
          <w:tcPr>
            <w:tcW w:w="4585" w:type="pct"/>
            <w:shd w:val="clear" w:color="auto" w:fill="auto"/>
            <w:vAlign w:val="center"/>
          </w:tcPr>
          <w:p w14:paraId="7859E16B">
            <w:pPr>
              <w:widowControl w:val="0"/>
              <w:adjustRightInd w:val="0"/>
              <w:snapToGrid w:val="0"/>
              <w:spacing w:line="288" w:lineRule="auto"/>
              <w:jc w:val="both"/>
              <w:textAlignment w:val="baseline"/>
              <w:rPr>
                <w:rFonts w:hint="eastAsia" w:ascii="宋体" w:hAnsi="宋体" w:eastAsia="宋体" w:cs="宋体"/>
                <w:b/>
                <w:bCs w:val="0"/>
                <w:snapToGrid w:val="0"/>
                <w:color w:val="auto"/>
                <w:sz w:val="24"/>
                <w:szCs w:val="24"/>
                <w:highlight w:val="none"/>
                <w:lang w:val="en-US" w:eastAsia="zh-CN" w:bidi="ar-SA"/>
              </w:rPr>
            </w:pPr>
            <w:r>
              <w:rPr>
                <w:rFonts w:hint="eastAsia" w:ascii="宋体" w:hAnsi="宋体" w:cs="宋体"/>
                <w:b/>
                <w:bCs w:val="0"/>
                <w:snapToGrid w:val="0"/>
                <w:color w:val="auto"/>
                <w:sz w:val="24"/>
                <w:szCs w:val="24"/>
                <w:highlight w:val="none"/>
              </w:rPr>
              <w:t>合同履行期限满足</w:t>
            </w:r>
            <w:r>
              <w:rPr>
                <w:rFonts w:hint="eastAsia" w:ascii="宋体" w:hAnsi="宋体" w:cs="宋体"/>
                <w:b/>
                <w:bCs w:val="0"/>
                <w:snapToGrid w:val="0"/>
                <w:color w:val="auto"/>
                <w:sz w:val="24"/>
                <w:szCs w:val="24"/>
                <w:highlight w:val="none"/>
                <w:lang w:eastAsia="zh-CN"/>
              </w:rPr>
              <w:t>采购文件</w:t>
            </w:r>
            <w:r>
              <w:rPr>
                <w:rFonts w:hint="eastAsia" w:ascii="宋体" w:hAnsi="宋体" w:cs="宋体"/>
                <w:b/>
                <w:bCs w:val="0"/>
                <w:snapToGrid w:val="0"/>
                <w:color w:val="auto"/>
                <w:sz w:val="24"/>
                <w:szCs w:val="24"/>
                <w:highlight w:val="none"/>
              </w:rPr>
              <w:t>要求</w:t>
            </w:r>
            <w:r>
              <w:rPr>
                <w:rFonts w:hint="eastAsia" w:ascii="宋体" w:hAnsi="宋体" w:cs="宋体"/>
                <w:b/>
                <w:bCs w:val="0"/>
                <w:snapToGrid w:val="0"/>
                <w:color w:val="auto"/>
                <w:sz w:val="24"/>
                <w:szCs w:val="24"/>
                <w:highlight w:val="none"/>
                <w:lang w:eastAsia="zh-CN"/>
              </w:rPr>
              <w:t>。</w:t>
            </w:r>
          </w:p>
        </w:tc>
      </w:tr>
      <w:tr w14:paraId="1692D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414" w:type="pct"/>
            <w:vAlign w:val="center"/>
          </w:tcPr>
          <w:p w14:paraId="3BB41429">
            <w:pPr>
              <w:widowControl w:val="0"/>
              <w:adjustRightInd w:val="0"/>
              <w:snapToGrid w:val="0"/>
              <w:spacing w:line="288" w:lineRule="auto"/>
              <w:jc w:val="center"/>
              <w:textAlignment w:val="baseline"/>
              <w:rPr>
                <w:rFonts w:ascii="宋体" w:hAnsi="宋体" w:cs="宋体"/>
                <w:b/>
                <w:bCs w:val="0"/>
                <w:snapToGrid w:val="0"/>
                <w:color w:val="auto"/>
                <w:sz w:val="24"/>
                <w:szCs w:val="24"/>
                <w:highlight w:val="none"/>
              </w:rPr>
            </w:pPr>
            <w:r>
              <w:rPr>
                <w:rFonts w:hint="eastAsia" w:ascii="宋体" w:hAnsi="宋体" w:cs="宋体"/>
                <w:b/>
                <w:bCs w:val="0"/>
                <w:snapToGrid w:val="0"/>
                <w:color w:val="auto"/>
                <w:sz w:val="24"/>
                <w:szCs w:val="24"/>
                <w:highlight w:val="none"/>
              </w:rPr>
              <w:t>6</w:t>
            </w:r>
          </w:p>
        </w:tc>
        <w:tc>
          <w:tcPr>
            <w:tcW w:w="4585" w:type="pct"/>
            <w:tcBorders>
              <w:bottom w:val="single" w:color="auto" w:sz="4" w:space="0"/>
            </w:tcBorders>
            <w:shd w:val="clear" w:color="auto" w:fill="auto"/>
            <w:vAlign w:val="center"/>
          </w:tcPr>
          <w:p w14:paraId="1D860242">
            <w:pPr>
              <w:widowControl w:val="0"/>
              <w:adjustRightInd w:val="0"/>
              <w:snapToGrid w:val="0"/>
              <w:spacing w:line="288" w:lineRule="auto"/>
              <w:jc w:val="both"/>
              <w:textAlignment w:val="baseline"/>
              <w:rPr>
                <w:rFonts w:hint="eastAsia" w:ascii="宋体" w:hAnsi="宋体" w:eastAsia="宋体" w:cs="宋体"/>
                <w:b/>
                <w:bCs w:val="0"/>
                <w:snapToGrid w:val="0"/>
                <w:color w:val="auto"/>
                <w:sz w:val="24"/>
                <w:szCs w:val="24"/>
                <w:highlight w:val="none"/>
                <w:lang w:val="en-US" w:eastAsia="zh-CN" w:bidi="ar-SA"/>
              </w:rPr>
            </w:pPr>
            <w:r>
              <w:rPr>
                <w:rFonts w:hint="eastAsia" w:ascii="宋体" w:hAnsi="宋体" w:cs="宋体"/>
                <w:b/>
                <w:bCs w:val="0"/>
                <w:snapToGrid w:val="0"/>
                <w:color w:val="auto"/>
                <w:sz w:val="24"/>
                <w:szCs w:val="24"/>
                <w:highlight w:val="none"/>
              </w:rPr>
              <w:t>响应</w:t>
            </w:r>
            <w:r>
              <w:rPr>
                <w:rFonts w:hint="eastAsia" w:ascii="宋体" w:hAnsi="宋体" w:cs="宋体"/>
                <w:b/>
                <w:bCs w:val="0"/>
                <w:snapToGrid w:val="0"/>
                <w:color w:val="auto"/>
                <w:sz w:val="24"/>
                <w:szCs w:val="24"/>
                <w:highlight w:val="none"/>
                <w:lang w:eastAsia="zh-CN"/>
              </w:rPr>
              <w:t>采购文件</w:t>
            </w:r>
            <w:r>
              <w:rPr>
                <w:rFonts w:hint="eastAsia" w:ascii="宋体" w:hAnsi="宋体" w:cs="宋体"/>
                <w:b/>
                <w:bCs w:val="0"/>
                <w:snapToGrid w:val="0"/>
                <w:color w:val="auto"/>
                <w:sz w:val="24"/>
                <w:szCs w:val="24"/>
                <w:highlight w:val="none"/>
              </w:rPr>
              <w:t>规定的全部实质性条款</w:t>
            </w:r>
            <w:r>
              <w:rPr>
                <w:rFonts w:hint="eastAsia" w:ascii="宋体" w:hAnsi="宋体" w:cs="宋体"/>
                <w:b/>
                <w:bCs w:val="0"/>
                <w:snapToGrid w:val="0"/>
                <w:color w:val="auto"/>
                <w:sz w:val="24"/>
                <w:szCs w:val="24"/>
                <w:highlight w:val="none"/>
                <w:lang w:eastAsia="zh-CN"/>
              </w:rPr>
              <w:t>。</w:t>
            </w:r>
          </w:p>
        </w:tc>
      </w:tr>
      <w:tr w14:paraId="44B4F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414" w:type="pct"/>
            <w:tcBorders>
              <w:bottom w:val="single" w:color="auto" w:sz="4" w:space="0"/>
            </w:tcBorders>
            <w:vAlign w:val="center"/>
          </w:tcPr>
          <w:p w14:paraId="762F661A">
            <w:pPr>
              <w:widowControl w:val="0"/>
              <w:adjustRightInd w:val="0"/>
              <w:snapToGrid w:val="0"/>
              <w:spacing w:line="288" w:lineRule="auto"/>
              <w:jc w:val="center"/>
              <w:textAlignment w:val="baseline"/>
              <w:rPr>
                <w:rFonts w:ascii="宋体" w:hAnsi="宋体" w:cs="宋体"/>
                <w:b/>
                <w:bCs w:val="0"/>
                <w:snapToGrid w:val="0"/>
                <w:color w:val="auto"/>
                <w:sz w:val="24"/>
                <w:szCs w:val="24"/>
                <w:highlight w:val="none"/>
              </w:rPr>
            </w:pPr>
            <w:r>
              <w:rPr>
                <w:rFonts w:hint="eastAsia" w:ascii="宋体" w:hAnsi="宋体" w:cs="宋体"/>
                <w:b/>
                <w:bCs w:val="0"/>
                <w:snapToGrid w:val="0"/>
                <w:color w:val="auto"/>
                <w:sz w:val="24"/>
                <w:szCs w:val="24"/>
                <w:highlight w:val="none"/>
              </w:rPr>
              <w:t>7</w:t>
            </w:r>
          </w:p>
        </w:tc>
        <w:tc>
          <w:tcPr>
            <w:tcW w:w="4585" w:type="pct"/>
            <w:tcBorders>
              <w:bottom w:val="single" w:color="auto" w:sz="4" w:space="0"/>
            </w:tcBorders>
            <w:shd w:val="clear" w:color="auto" w:fill="auto"/>
            <w:vAlign w:val="center"/>
          </w:tcPr>
          <w:p w14:paraId="76164D5F">
            <w:pPr>
              <w:widowControl w:val="0"/>
              <w:adjustRightInd w:val="0"/>
              <w:snapToGrid w:val="0"/>
              <w:spacing w:line="288" w:lineRule="auto"/>
              <w:jc w:val="both"/>
              <w:textAlignment w:val="baseline"/>
              <w:rPr>
                <w:rFonts w:hint="default" w:ascii="宋体" w:hAnsi="宋体" w:eastAsia="宋体" w:cs="宋体"/>
                <w:b/>
                <w:bCs w:val="0"/>
                <w:snapToGrid w:val="0"/>
                <w:color w:val="auto"/>
                <w:sz w:val="24"/>
                <w:szCs w:val="24"/>
                <w:highlight w:val="none"/>
                <w:lang w:val="en-US" w:eastAsia="zh-CN" w:bidi="ar-SA"/>
              </w:rPr>
            </w:pPr>
            <w:r>
              <w:rPr>
                <w:rFonts w:hint="eastAsia" w:ascii="宋体" w:hAnsi="宋体" w:cs="宋体"/>
                <w:b/>
                <w:bCs w:val="0"/>
                <w:snapToGrid w:val="0"/>
                <w:color w:val="auto"/>
                <w:sz w:val="24"/>
                <w:szCs w:val="24"/>
                <w:highlight w:val="none"/>
              </w:rPr>
              <w:t>投标文件符合</w:t>
            </w:r>
            <w:r>
              <w:rPr>
                <w:rFonts w:hint="eastAsia" w:ascii="宋体" w:hAnsi="宋体" w:cs="宋体"/>
                <w:b/>
                <w:bCs w:val="0"/>
                <w:snapToGrid w:val="0"/>
                <w:color w:val="auto"/>
                <w:sz w:val="24"/>
                <w:szCs w:val="24"/>
                <w:highlight w:val="none"/>
                <w:lang w:val="en-US" w:eastAsia="zh-CN"/>
              </w:rPr>
              <w:t>采购文件采购需求全部内容</w:t>
            </w:r>
            <w:r>
              <w:rPr>
                <w:rFonts w:hint="eastAsia" w:ascii="宋体" w:hAnsi="宋体" w:cs="宋体"/>
                <w:b/>
                <w:bCs w:val="0"/>
                <w:snapToGrid w:val="0"/>
                <w:color w:val="auto"/>
                <w:sz w:val="24"/>
                <w:szCs w:val="24"/>
                <w:highlight w:val="none"/>
              </w:rPr>
              <w:t>，无负偏离</w:t>
            </w:r>
            <w:r>
              <w:rPr>
                <w:rFonts w:hint="eastAsia" w:ascii="宋体" w:hAnsi="宋体" w:cs="宋体"/>
                <w:b/>
                <w:bCs w:val="0"/>
                <w:snapToGrid w:val="0"/>
                <w:color w:val="auto"/>
                <w:sz w:val="24"/>
                <w:szCs w:val="24"/>
                <w:highlight w:val="none"/>
                <w:lang w:val="en-US" w:eastAsia="zh-CN"/>
              </w:rPr>
              <w:t>。</w:t>
            </w:r>
          </w:p>
        </w:tc>
      </w:tr>
      <w:tr w14:paraId="664FF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414" w:type="pct"/>
            <w:vAlign w:val="center"/>
          </w:tcPr>
          <w:p w14:paraId="4327335F">
            <w:pPr>
              <w:widowControl w:val="0"/>
              <w:adjustRightInd w:val="0"/>
              <w:snapToGrid w:val="0"/>
              <w:spacing w:line="288" w:lineRule="auto"/>
              <w:jc w:val="center"/>
              <w:textAlignment w:val="baseline"/>
              <w:rPr>
                <w:rFonts w:ascii="宋体" w:hAnsi="宋体" w:cs="宋体"/>
                <w:b/>
                <w:bCs w:val="0"/>
                <w:snapToGrid w:val="0"/>
                <w:color w:val="auto"/>
                <w:sz w:val="24"/>
                <w:szCs w:val="24"/>
                <w:highlight w:val="none"/>
              </w:rPr>
            </w:pPr>
            <w:r>
              <w:rPr>
                <w:rFonts w:hint="eastAsia" w:ascii="宋体" w:hAnsi="宋体" w:cs="宋体"/>
                <w:b/>
                <w:bCs w:val="0"/>
                <w:snapToGrid w:val="0"/>
                <w:color w:val="auto"/>
                <w:sz w:val="24"/>
                <w:szCs w:val="24"/>
                <w:highlight w:val="none"/>
              </w:rPr>
              <w:t>8</w:t>
            </w:r>
          </w:p>
        </w:tc>
        <w:tc>
          <w:tcPr>
            <w:tcW w:w="4585" w:type="pct"/>
            <w:shd w:val="clear" w:color="auto" w:fill="auto"/>
            <w:vAlign w:val="center"/>
          </w:tcPr>
          <w:p w14:paraId="51CDC11F">
            <w:pPr>
              <w:widowControl w:val="0"/>
              <w:adjustRightInd w:val="0"/>
              <w:snapToGrid w:val="0"/>
              <w:spacing w:line="288" w:lineRule="auto"/>
              <w:jc w:val="both"/>
              <w:textAlignment w:val="baseline"/>
              <w:rPr>
                <w:rFonts w:hint="default" w:ascii="宋体" w:hAnsi="宋体" w:eastAsia="宋体" w:cs="宋体"/>
                <w:b/>
                <w:bCs w:val="0"/>
                <w:snapToGrid w:val="0"/>
                <w:color w:val="auto"/>
                <w:sz w:val="24"/>
                <w:szCs w:val="24"/>
                <w:highlight w:val="none"/>
                <w:lang w:val="en-US" w:eastAsia="zh-CN" w:bidi="ar-SA"/>
              </w:rPr>
            </w:pPr>
            <w:r>
              <w:rPr>
                <w:rFonts w:hint="eastAsia" w:ascii="宋体" w:hAnsi="宋体" w:cs="宋体"/>
                <w:b/>
                <w:bCs w:val="0"/>
                <w:snapToGrid w:val="0"/>
                <w:color w:val="auto"/>
                <w:sz w:val="24"/>
                <w:szCs w:val="24"/>
                <w:highlight w:val="none"/>
                <w:lang w:eastAsia="zh-CN"/>
              </w:rPr>
              <w:t>采购文件</w:t>
            </w:r>
            <w:r>
              <w:rPr>
                <w:rFonts w:hint="eastAsia" w:ascii="宋体" w:hAnsi="宋体" w:cs="宋体"/>
                <w:b/>
                <w:bCs w:val="0"/>
                <w:snapToGrid w:val="0"/>
                <w:color w:val="auto"/>
                <w:sz w:val="24"/>
                <w:szCs w:val="24"/>
                <w:highlight w:val="none"/>
              </w:rPr>
              <w:t>规定的其他内容</w:t>
            </w:r>
          </w:p>
        </w:tc>
      </w:tr>
    </w:tbl>
    <w:p w14:paraId="1357634B">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 xml:space="preserve">                </w:t>
      </w:r>
    </w:p>
    <w:p w14:paraId="02DF84F3">
      <w:pPr>
        <w:rPr>
          <w:rFonts w:hint="eastAsia" w:ascii="宋体" w:hAnsi="宋体" w:cs="宋体"/>
          <w:b/>
          <w:bCs/>
          <w:color w:val="auto"/>
          <w:sz w:val="24"/>
          <w:szCs w:val="24"/>
          <w:highlight w:val="none"/>
          <w:lang w:bidi="ar"/>
        </w:rPr>
      </w:pPr>
      <w:r>
        <w:rPr>
          <w:rFonts w:hint="eastAsia" w:ascii="宋体" w:hAnsi="宋体" w:cs="宋体"/>
          <w:b/>
          <w:bCs/>
          <w:color w:val="auto"/>
          <w:sz w:val="24"/>
          <w:szCs w:val="24"/>
          <w:highlight w:val="none"/>
          <w:lang w:bidi="ar"/>
        </w:rPr>
        <w:t>注：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否决其投标。</w:t>
      </w:r>
    </w:p>
    <w:p w14:paraId="07CB430E">
      <w:pPr>
        <w:ind w:firstLine="482" w:firstLineChars="200"/>
        <w:rPr>
          <w:rFonts w:hint="eastAsia" w:ascii="宋体" w:hAnsi="宋体" w:cs="宋体"/>
          <w:b/>
          <w:bCs/>
          <w:color w:val="auto"/>
          <w:sz w:val="24"/>
          <w:szCs w:val="24"/>
          <w:highlight w:val="none"/>
          <w:lang w:bidi="ar"/>
        </w:rPr>
      </w:pPr>
      <w:r>
        <w:rPr>
          <w:rFonts w:hint="eastAsia" w:ascii="宋体" w:hAnsi="宋体" w:cs="宋体"/>
          <w:b/>
          <w:bCs/>
          <w:color w:val="auto"/>
          <w:sz w:val="24"/>
          <w:szCs w:val="24"/>
          <w:highlight w:val="none"/>
          <w:lang w:bidi="ar"/>
        </w:rPr>
        <w:t>上述表中任何一项不合格，审查结论为“不合格”，不进入</w:t>
      </w:r>
      <w:r>
        <w:rPr>
          <w:rFonts w:hint="eastAsia" w:ascii="宋体" w:hAnsi="宋体" w:cs="宋体"/>
          <w:b/>
          <w:bCs/>
          <w:color w:val="auto"/>
          <w:sz w:val="24"/>
          <w:szCs w:val="24"/>
          <w:highlight w:val="none"/>
          <w:lang w:val="en-US" w:eastAsia="zh-CN" w:bidi="ar"/>
        </w:rPr>
        <w:t>详细评审</w:t>
      </w:r>
      <w:r>
        <w:rPr>
          <w:rFonts w:hint="eastAsia" w:ascii="宋体" w:hAnsi="宋体" w:cs="宋体"/>
          <w:b/>
          <w:bCs/>
          <w:color w:val="auto"/>
          <w:sz w:val="24"/>
          <w:szCs w:val="24"/>
          <w:highlight w:val="none"/>
          <w:lang w:bidi="ar"/>
        </w:rPr>
        <w:t>。</w:t>
      </w:r>
    </w:p>
    <w:p w14:paraId="189C8138">
      <w:pPr>
        <w:pStyle w:val="24"/>
        <w:rPr>
          <w:rFonts w:hint="eastAsia" w:ascii="宋体" w:hAnsi="宋体" w:cs="宋体"/>
          <w:b/>
          <w:bCs/>
          <w:color w:val="auto"/>
          <w:sz w:val="24"/>
          <w:szCs w:val="24"/>
          <w:highlight w:val="none"/>
          <w:lang w:bidi="ar"/>
        </w:rPr>
      </w:pPr>
    </w:p>
    <w:p w14:paraId="7687AA4A">
      <w:pPr>
        <w:pStyle w:val="24"/>
        <w:rPr>
          <w:rFonts w:hint="eastAsia" w:ascii="宋体" w:hAnsi="宋体" w:cs="宋体"/>
          <w:b/>
          <w:color w:val="auto"/>
          <w:sz w:val="24"/>
          <w:szCs w:val="24"/>
          <w:highlight w:val="none"/>
          <w:lang w:val="en-US" w:eastAsia="zh-CN"/>
        </w:rPr>
      </w:pPr>
    </w:p>
    <w:p w14:paraId="08DDD6F1">
      <w:pPr>
        <w:pStyle w:val="24"/>
        <w:rPr>
          <w:rFonts w:hint="eastAsia" w:ascii="宋体" w:hAnsi="宋体" w:cs="宋体"/>
          <w:b/>
          <w:color w:val="auto"/>
          <w:sz w:val="24"/>
          <w:szCs w:val="24"/>
          <w:highlight w:val="none"/>
          <w:lang w:val="en-US" w:eastAsia="zh-CN"/>
        </w:rPr>
      </w:pPr>
    </w:p>
    <w:p w14:paraId="139DE38B">
      <w:pPr>
        <w:pStyle w:val="24"/>
        <w:rPr>
          <w:rFonts w:hint="eastAsia" w:ascii="宋体" w:hAnsi="宋体" w:cs="宋体"/>
          <w:b/>
          <w:color w:val="auto"/>
          <w:sz w:val="24"/>
          <w:szCs w:val="24"/>
          <w:highlight w:val="none"/>
          <w:lang w:val="en-US" w:eastAsia="zh-CN"/>
        </w:rPr>
      </w:pPr>
    </w:p>
    <w:p w14:paraId="7E7023BA">
      <w:pPr>
        <w:pStyle w:val="24"/>
        <w:rPr>
          <w:rFonts w:hint="eastAsia" w:ascii="宋体" w:hAnsi="宋体" w:cs="宋体"/>
          <w:b/>
          <w:color w:val="auto"/>
          <w:sz w:val="24"/>
          <w:szCs w:val="24"/>
          <w:highlight w:val="none"/>
          <w:lang w:val="en-US" w:eastAsia="zh-CN"/>
        </w:rPr>
      </w:pPr>
    </w:p>
    <w:p w14:paraId="03C493FA">
      <w:pPr>
        <w:pStyle w:val="24"/>
        <w:rPr>
          <w:rFonts w:hint="eastAsia" w:ascii="宋体" w:hAnsi="宋体" w:cs="宋体"/>
          <w:b/>
          <w:color w:val="auto"/>
          <w:sz w:val="24"/>
          <w:szCs w:val="24"/>
          <w:highlight w:val="none"/>
          <w:lang w:val="en-US" w:eastAsia="zh-CN"/>
        </w:rPr>
      </w:pPr>
    </w:p>
    <w:p w14:paraId="327CADA7">
      <w:pPr>
        <w:pStyle w:val="24"/>
        <w:rPr>
          <w:rFonts w:hint="eastAsia" w:ascii="宋体" w:hAnsi="宋体" w:cs="宋体"/>
          <w:b/>
          <w:color w:val="auto"/>
          <w:sz w:val="24"/>
          <w:szCs w:val="24"/>
          <w:highlight w:val="none"/>
          <w:lang w:val="en-US" w:eastAsia="zh-CN"/>
        </w:rPr>
      </w:pPr>
    </w:p>
    <w:p w14:paraId="33F0DF5E">
      <w:pPr>
        <w:pStyle w:val="24"/>
        <w:rPr>
          <w:rFonts w:hint="eastAsia" w:ascii="宋体" w:hAnsi="宋体" w:cs="宋体"/>
          <w:b/>
          <w:color w:val="auto"/>
          <w:sz w:val="24"/>
          <w:szCs w:val="24"/>
          <w:highlight w:val="none"/>
          <w:lang w:val="en-US" w:eastAsia="zh-CN"/>
        </w:rPr>
      </w:pPr>
    </w:p>
    <w:p w14:paraId="28939198">
      <w:pPr>
        <w:pStyle w:val="24"/>
        <w:rPr>
          <w:rFonts w:hint="eastAsia" w:ascii="宋体" w:hAnsi="宋体" w:cs="宋体"/>
          <w:b/>
          <w:color w:val="auto"/>
          <w:sz w:val="24"/>
          <w:szCs w:val="24"/>
          <w:highlight w:val="none"/>
          <w:lang w:val="en-US" w:eastAsia="zh-CN"/>
        </w:rPr>
      </w:pPr>
    </w:p>
    <w:p w14:paraId="40DCFBC6">
      <w:pPr>
        <w:pStyle w:val="24"/>
        <w:rPr>
          <w:rFonts w:hint="eastAsia" w:ascii="宋体" w:hAnsi="宋体" w:cs="宋体"/>
          <w:b/>
          <w:color w:val="auto"/>
          <w:sz w:val="24"/>
          <w:szCs w:val="24"/>
          <w:highlight w:val="none"/>
          <w:lang w:val="en-US" w:eastAsia="zh-CN"/>
        </w:rPr>
      </w:pPr>
    </w:p>
    <w:p w14:paraId="162C8A20">
      <w:pPr>
        <w:pStyle w:val="24"/>
        <w:rPr>
          <w:rFonts w:hint="eastAsia" w:ascii="宋体" w:hAnsi="宋体" w:cs="宋体"/>
          <w:b/>
          <w:color w:val="auto"/>
          <w:sz w:val="24"/>
          <w:szCs w:val="24"/>
          <w:highlight w:val="none"/>
          <w:lang w:val="en-US" w:eastAsia="zh-CN"/>
        </w:rPr>
      </w:pPr>
    </w:p>
    <w:p w14:paraId="0E641F8D">
      <w:pPr>
        <w:pStyle w:val="24"/>
        <w:rPr>
          <w:rFonts w:hint="eastAsia" w:ascii="宋体" w:hAnsi="宋体" w:cs="宋体"/>
          <w:b/>
          <w:color w:val="auto"/>
          <w:sz w:val="24"/>
          <w:szCs w:val="24"/>
          <w:highlight w:val="none"/>
          <w:lang w:val="en-US" w:eastAsia="zh-CN"/>
        </w:rPr>
      </w:pPr>
    </w:p>
    <w:p w14:paraId="0DEDB2B9">
      <w:pPr>
        <w:pStyle w:val="24"/>
        <w:rPr>
          <w:rFonts w:hint="eastAsia" w:ascii="宋体" w:hAnsi="宋体" w:cs="宋体"/>
          <w:b/>
          <w:color w:val="auto"/>
          <w:sz w:val="24"/>
          <w:szCs w:val="24"/>
          <w:highlight w:val="none"/>
          <w:lang w:val="en-US" w:eastAsia="zh-CN"/>
        </w:rPr>
      </w:pPr>
    </w:p>
    <w:p w14:paraId="54FB643A">
      <w:pPr>
        <w:pStyle w:val="24"/>
        <w:rPr>
          <w:rFonts w:hint="eastAsia" w:ascii="宋体" w:hAnsi="宋体" w:cs="宋体"/>
          <w:b/>
          <w:color w:val="auto"/>
          <w:sz w:val="24"/>
          <w:szCs w:val="24"/>
          <w:highlight w:val="none"/>
          <w:lang w:val="en-US" w:eastAsia="zh-CN"/>
        </w:rPr>
      </w:pPr>
    </w:p>
    <w:p w14:paraId="7253EA4B">
      <w:pPr>
        <w:pStyle w:val="24"/>
        <w:rPr>
          <w:rFonts w:ascii="宋体" w:hAnsi="宋体"/>
          <w:color w:val="auto"/>
          <w:sz w:val="30"/>
          <w:szCs w:val="30"/>
          <w:highlight w:val="none"/>
        </w:rPr>
      </w:pPr>
      <w:r>
        <w:rPr>
          <w:rFonts w:hint="eastAsia" w:ascii="宋体" w:hAnsi="宋体" w:cs="宋体"/>
          <w:b/>
          <w:color w:val="auto"/>
          <w:sz w:val="24"/>
          <w:szCs w:val="24"/>
          <w:highlight w:val="none"/>
          <w:lang w:val="en-US" w:eastAsia="zh-CN"/>
        </w:rPr>
        <w:t>（三）详细评审表</w:t>
      </w:r>
    </w:p>
    <w:tbl>
      <w:tblPr>
        <w:tblStyle w:val="14"/>
        <w:tblW w:w="10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4"/>
        <w:gridCol w:w="1489"/>
        <w:gridCol w:w="703"/>
        <w:gridCol w:w="7699"/>
      </w:tblGrid>
      <w:tr w14:paraId="243EE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34" w:type="dxa"/>
            <w:noWrap w:val="0"/>
            <w:tcMar>
              <w:top w:w="0" w:type="dxa"/>
              <w:left w:w="108" w:type="dxa"/>
              <w:bottom w:w="0" w:type="dxa"/>
              <w:right w:w="108" w:type="dxa"/>
            </w:tcMar>
            <w:vAlign w:val="center"/>
          </w:tcPr>
          <w:p w14:paraId="3461CD0E">
            <w:pPr>
              <w:keepNext w:val="0"/>
              <w:keepLines w:val="0"/>
              <w:pageBreakBefore w:val="0"/>
              <w:widowControl/>
              <w:kinsoku/>
              <w:wordWrap/>
              <w:overflowPunct/>
              <w:topLinePunct w:val="0"/>
              <w:bidi w:val="0"/>
              <w:adjustRightInd w:val="0"/>
              <w:snapToGrid w:val="0"/>
              <w:spacing w:line="240" w:lineRule="auto"/>
              <w:ind w:left="0" w:leftChars="0" w:firstLine="0" w:firstLineChars="0"/>
              <w:jc w:val="center"/>
              <w:textAlignment w:val="auto"/>
              <w:rPr>
                <w:rFonts w:hint="eastAsia" w:ascii="宋体" w:hAnsi="宋体" w:eastAsia="宋体" w:cs="宋体"/>
                <w:b/>
                <w:color w:val="auto"/>
                <w:kern w:val="21"/>
                <w:sz w:val="24"/>
                <w:szCs w:val="24"/>
                <w:highlight w:val="none"/>
              </w:rPr>
            </w:pPr>
            <w:r>
              <w:rPr>
                <w:rFonts w:hint="eastAsia" w:ascii="宋体" w:hAnsi="宋体" w:eastAsia="宋体" w:cs="宋体"/>
                <w:b/>
                <w:color w:val="auto"/>
                <w:kern w:val="21"/>
                <w:sz w:val="24"/>
                <w:szCs w:val="24"/>
                <w:highlight w:val="none"/>
              </w:rPr>
              <w:t>序</w:t>
            </w:r>
          </w:p>
          <w:p w14:paraId="1FF690C6">
            <w:pPr>
              <w:keepNext w:val="0"/>
              <w:keepLines w:val="0"/>
              <w:pageBreakBefore w:val="0"/>
              <w:widowControl/>
              <w:kinsoku/>
              <w:wordWrap/>
              <w:overflowPunct/>
              <w:topLinePunct w:val="0"/>
              <w:bidi w:val="0"/>
              <w:adjustRightInd w:val="0"/>
              <w:snapToGrid w:val="0"/>
              <w:spacing w:line="240" w:lineRule="auto"/>
              <w:ind w:left="0" w:leftChars="0" w:firstLine="0" w:firstLineChars="0"/>
              <w:jc w:val="center"/>
              <w:textAlignment w:val="auto"/>
              <w:rPr>
                <w:rFonts w:hint="eastAsia" w:ascii="宋体" w:hAnsi="宋体" w:eastAsia="宋体" w:cs="宋体"/>
                <w:b/>
                <w:color w:val="auto"/>
                <w:kern w:val="21"/>
                <w:sz w:val="24"/>
                <w:szCs w:val="24"/>
                <w:highlight w:val="none"/>
              </w:rPr>
            </w:pPr>
            <w:r>
              <w:rPr>
                <w:rFonts w:hint="eastAsia" w:ascii="宋体" w:hAnsi="宋体" w:eastAsia="宋体" w:cs="宋体"/>
                <w:b/>
                <w:color w:val="auto"/>
                <w:kern w:val="21"/>
                <w:sz w:val="24"/>
                <w:szCs w:val="24"/>
                <w:highlight w:val="none"/>
              </w:rPr>
              <w:t>号</w:t>
            </w:r>
          </w:p>
        </w:tc>
        <w:tc>
          <w:tcPr>
            <w:tcW w:w="1489" w:type="dxa"/>
            <w:noWrap w:val="0"/>
            <w:tcMar>
              <w:top w:w="0" w:type="dxa"/>
              <w:left w:w="108" w:type="dxa"/>
              <w:bottom w:w="0" w:type="dxa"/>
              <w:right w:w="108" w:type="dxa"/>
            </w:tcMar>
            <w:vAlign w:val="center"/>
          </w:tcPr>
          <w:p w14:paraId="2BBAC321">
            <w:pPr>
              <w:keepNext w:val="0"/>
              <w:keepLines w:val="0"/>
              <w:pageBreakBefore w:val="0"/>
              <w:widowControl/>
              <w:kinsoku/>
              <w:wordWrap/>
              <w:overflowPunct/>
              <w:topLinePunct w:val="0"/>
              <w:bidi w:val="0"/>
              <w:adjustRightInd w:val="0"/>
              <w:snapToGrid w:val="0"/>
              <w:spacing w:line="240" w:lineRule="auto"/>
              <w:ind w:left="0" w:leftChars="0" w:firstLine="0" w:firstLineChars="0"/>
              <w:jc w:val="center"/>
              <w:textAlignment w:val="auto"/>
              <w:rPr>
                <w:rFonts w:hint="eastAsia" w:ascii="宋体" w:hAnsi="宋体" w:eastAsia="宋体" w:cs="宋体"/>
                <w:b/>
                <w:color w:val="auto"/>
                <w:kern w:val="21"/>
                <w:sz w:val="24"/>
                <w:szCs w:val="24"/>
                <w:highlight w:val="none"/>
              </w:rPr>
            </w:pPr>
            <w:r>
              <w:rPr>
                <w:rFonts w:hint="eastAsia" w:ascii="宋体" w:hAnsi="宋体" w:eastAsia="宋体" w:cs="宋体"/>
                <w:b/>
                <w:color w:val="auto"/>
                <w:kern w:val="21"/>
                <w:sz w:val="24"/>
                <w:szCs w:val="24"/>
                <w:highlight w:val="none"/>
              </w:rPr>
              <w:t>评分项目</w:t>
            </w:r>
          </w:p>
        </w:tc>
        <w:tc>
          <w:tcPr>
            <w:tcW w:w="703" w:type="dxa"/>
            <w:noWrap w:val="0"/>
            <w:tcMar>
              <w:top w:w="0" w:type="dxa"/>
              <w:left w:w="108" w:type="dxa"/>
              <w:bottom w:w="0" w:type="dxa"/>
              <w:right w:w="108" w:type="dxa"/>
            </w:tcMar>
            <w:vAlign w:val="center"/>
          </w:tcPr>
          <w:p w14:paraId="6DCCB9CF">
            <w:pPr>
              <w:keepNext w:val="0"/>
              <w:keepLines w:val="0"/>
              <w:pageBreakBefore w:val="0"/>
              <w:widowControl/>
              <w:kinsoku/>
              <w:wordWrap/>
              <w:overflowPunct/>
              <w:topLinePunct w:val="0"/>
              <w:bidi w:val="0"/>
              <w:adjustRightInd w:val="0"/>
              <w:snapToGrid w:val="0"/>
              <w:spacing w:line="240" w:lineRule="auto"/>
              <w:ind w:left="0" w:leftChars="0" w:firstLine="0" w:firstLineChars="0"/>
              <w:jc w:val="center"/>
              <w:textAlignment w:val="auto"/>
              <w:rPr>
                <w:rFonts w:hint="eastAsia" w:ascii="宋体" w:hAnsi="宋体" w:eastAsia="宋体" w:cs="宋体"/>
                <w:b/>
                <w:color w:val="auto"/>
                <w:kern w:val="21"/>
                <w:sz w:val="24"/>
                <w:szCs w:val="24"/>
                <w:highlight w:val="none"/>
              </w:rPr>
            </w:pPr>
            <w:r>
              <w:rPr>
                <w:rFonts w:hint="eastAsia" w:ascii="宋体" w:hAnsi="宋体" w:eastAsia="宋体" w:cs="宋体"/>
                <w:b/>
                <w:color w:val="auto"/>
                <w:kern w:val="21"/>
                <w:sz w:val="24"/>
                <w:szCs w:val="24"/>
                <w:highlight w:val="none"/>
              </w:rPr>
              <w:t>基准</w:t>
            </w:r>
          </w:p>
          <w:p w14:paraId="3A0E3565">
            <w:pPr>
              <w:keepNext w:val="0"/>
              <w:keepLines w:val="0"/>
              <w:pageBreakBefore w:val="0"/>
              <w:widowControl/>
              <w:kinsoku/>
              <w:wordWrap/>
              <w:overflowPunct/>
              <w:topLinePunct w:val="0"/>
              <w:bidi w:val="0"/>
              <w:adjustRightInd w:val="0"/>
              <w:snapToGrid w:val="0"/>
              <w:spacing w:line="240" w:lineRule="auto"/>
              <w:ind w:left="0" w:leftChars="0" w:firstLine="0" w:firstLineChars="0"/>
              <w:jc w:val="center"/>
              <w:textAlignment w:val="auto"/>
              <w:rPr>
                <w:rFonts w:hint="eastAsia" w:ascii="宋体" w:hAnsi="宋体" w:eastAsia="宋体" w:cs="宋体"/>
                <w:b/>
                <w:color w:val="auto"/>
                <w:kern w:val="21"/>
                <w:sz w:val="24"/>
                <w:szCs w:val="24"/>
                <w:highlight w:val="none"/>
              </w:rPr>
            </w:pPr>
            <w:r>
              <w:rPr>
                <w:rFonts w:hint="eastAsia" w:ascii="宋体" w:hAnsi="宋体" w:eastAsia="宋体" w:cs="宋体"/>
                <w:b/>
                <w:color w:val="auto"/>
                <w:kern w:val="21"/>
                <w:sz w:val="24"/>
                <w:szCs w:val="24"/>
                <w:highlight w:val="none"/>
              </w:rPr>
              <w:t>分值</w:t>
            </w:r>
          </w:p>
        </w:tc>
        <w:tc>
          <w:tcPr>
            <w:tcW w:w="7699" w:type="dxa"/>
            <w:noWrap w:val="0"/>
            <w:tcMar>
              <w:top w:w="0" w:type="dxa"/>
              <w:left w:w="108" w:type="dxa"/>
              <w:bottom w:w="0" w:type="dxa"/>
              <w:right w:w="108" w:type="dxa"/>
            </w:tcMar>
            <w:vAlign w:val="center"/>
          </w:tcPr>
          <w:p w14:paraId="234B4159">
            <w:pPr>
              <w:keepNext w:val="0"/>
              <w:keepLines w:val="0"/>
              <w:pageBreakBefore w:val="0"/>
              <w:widowControl/>
              <w:kinsoku/>
              <w:wordWrap/>
              <w:overflowPunct/>
              <w:topLinePunct w:val="0"/>
              <w:bidi w:val="0"/>
              <w:adjustRightInd w:val="0"/>
              <w:snapToGrid w:val="0"/>
              <w:spacing w:line="240" w:lineRule="auto"/>
              <w:ind w:left="0" w:leftChars="0" w:firstLine="0" w:firstLineChars="0"/>
              <w:jc w:val="center"/>
              <w:textAlignment w:val="auto"/>
              <w:rPr>
                <w:rFonts w:hint="eastAsia" w:ascii="宋体" w:hAnsi="宋体" w:eastAsia="宋体" w:cs="宋体"/>
                <w:b/>
                <w:color w:val="auto"/>
                <w:kern w:val="21"/>
                <w:sz w:val="24"/>
                <w:szCs w:val="24"/>
                <w:highlight w:val="none"/>
              </w:rPr>
            </w:pPr>
            <w:r>
              <w:rPr>
                <w:rFonts w:hint="eastAsia" w:ascii="宋体" w:hAnsi="宋体" w:eastAsia="宋体" w:cs="宋体"/>
                <w:b/>
                <w:color w:val="auto"/>
                <w:kern w:val="21"/>
                <w:sz w:val="24"/>
                <w:szCs w:val="24"/>
                <w:highlight w:val="none"/>
              </w:rPr>
              <w:t>评分标准</w:t>
            </w:r>
          </w:p>
        </w:tc>
      </w:tr>
      <w:tr w14:paraId="241A8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1" w:hRule="atLeast"/>
          <w:jc w:val="center"/>
        </w:trPr>
        <w:tc>
          <w:tcPr>
            <w:tcW w:w="534" w:type="dxa"/>
            <w:noWrap w:val="0"/>
            <w:tcMar>
              <w:top w:w="0" w:type="dxa"/>
              <w:left w:w="108" w:type="dxa"/>
              <w:bottom w:w="0" w:type="dxa"/>
              <w:right w:w="108" w:type="dxa"/>
            </w:tcMar>
            <w:vAlign w:val="center"/>
          </w:tcPr>
          <w:p w14:paraId="24785A4E">
            <w:pPr>
              <w:keepNext w:val="0"/>
              <w:keepLines w:val="0"/>
              <w:pageBreakBefore w:val="0"/>
              <w:widowControl/>
              <w:kinsoku/>
              <w:wordWrap/>
              <w:overflowPunct/>
              <w:topLinePunct w:val="0"/>
              <w:bidi w:val="0"/>
              <w:adjustRightInd w:val="0"/>
              <w:snapToGrid w:val="0"/>
              <w:spacing w:line="240" w:lineRule="auto"/>
              <w:ind w:left="0" w:leftChars="0" w:firstLine="0" w:firstLineChars="0"/>
              <w:jc w:val="center"/>
              <w:textAlignment w:val="auto"/>
              <w:rPr>
                <w:rFonts w:hint="eastAsia" w:ascii="宋体" w:hAnsi="宋体" w:eastAsia="宋体" w:cs="宋体"/>
                <w:color w:val="auto"/>
                <w:kern w:val="21"/>
                <w:sz w:val="24"/>
                <w:szCs w:val="24"/>
                <w:highlight w:val="none"/>
              </w:rPr>
            </w:pPr>
            <w:r>
              <w:rPr>
                <w:rFonts w:hint="eastAsia" w:ascii="宋体" w:hAnsi="宋体" w:eastAsia="宋体" w:cs="宋体"/>
                <w:color w:val="auto"/>
                <w:kern w:val="21"/>
                <w:sz w:val="24"/>
                <w:szCs w:val="24"/>
                <w:highlight w:val="none"/>
              </w:rPr>
              <w:t>1</w:t>
            </w:r>
          </w:p>
        </w:tc>
        <w:tc>
          <w:tcPr>
            <w:tcW w:w="1489" w:type="dxa"/>
            <w:noWrap w:val="0"/>
            <w:tcMar>
              <w:top w:w="0" w:type="dxa"/>
              <w:left w:w="108" w:type="dxa"/>
              <w:bottom w:w="0" w:type="dxa"/>
              <w:right w:w="108" w:type="dxa"/>
            </w:tcMar>
            <w:vAlign w:val="center"/>
          </w:tcPr>
          <w:p w14:paraId="1D808721">
            <w:pPr>
              <w:keepNext w:val="0"/>
              <w:keepLines w:val="0"/>
              <w:pageBreakBefore w:val="0"/>
              <w:widowControl/>
              <w:kinsoku/>
              <w:wordWrap/>
              <w:overflowPunct/>
              <w:topLinePunct w:val="0"/>
              <w:bidi w:val="0"/>
              <w:adjustRightInd w:val="0"/>
              <w:snapToGrid w:val="0"/>
              <w:spacing w:line="240" w:lineRule="auto"/>
              <w:ind w:left="0" w:leftChars="0" w:firstLine="0" w:firstLineChars="0"/>
              <w:jc w:val="center"/>
              <w:textAlignment w:val="auto"/>
              <w:rPr>
                <w:rFonts w:hint="eastAsia" w:ascii="宋体" w:hAnsi="宋体" w:eastAsia="宋体" w:cs="宋体"/>
                <w:color w:val="auto"/>
                <w:kern w:val="21"/>
                <w:sz w:val="24"/>
                <w:szCs w:val="24"/>
                <w:highlight w:val="none"/>
              </w:rPr>
            </w:pPr>
            <w:r>
              <w:rPr>
                <w:rFonts w:hint="eastAsia" w:ascii="宋体" w:hAnsi="宋体" w:eastAsia="宋体" w:cs="宋体"/>
                <w:color w:val="auto"/>
                <w:kern w:val="21"/>
                <w:sz w:val="24"/>
                <w:szCs w:val="24"/>
                <w:highlight w:val="none"/>
              </w:rPr>
              <w:t>价格因素分</w:t>
            </w:r>
          </w:p>
          <w:p w14:paraId="0305AEE4">
            <w:pPr>
              <w:keepNext w:val="0"/>
              <w:keepLines w:val="0"/>
              <w:pageBreakBefore w:val="0"/>
              <w:widowControl/>
              <w:kinsoku/>
              <w:wordWrap/>
              <w:overflowPunct/>
              <w:topLinePunct w:val="0"/>
              <w:bidi w:val="0"/>
              <w:adjustRightInd w:val="0"/>
              <w:snapToGrid w:val="0"/>
              <w:spacing w:line="240" w:lineRule="auto"/>
              <w:ind w:left="0" w:leftChars="0" w:firstLine="0" w:firstLineChars="0"/>
              <w:jc w:val="center"/>
              <w:textAlignment w:val="auto"/>
              <w:rPr>
                <w:rFonts w:hint="eastAsia" w:ascii="宋体" w:hAnsi="宋体" w:eastAsia="宋体" w:cs="宋体"/>
                <w:color w:val="auto"/>
                <w:kern w:val="21"/>
                <w:sz w:val="24"/>
                <w:szCs w:val="24"/>
                <w:highlight w:val="none"/>
              </w:rPr>
            </w:pPr>
            <w:r>
              <w:rPr>
                <w:rFonts w:hint="eastAsia" w:ascii="宋体" w:hAnsi="宋体" w:eastAsia="宋体" w:cs="宋体"/>
                <w:color w:val="auto"/>
                <w:kern w:val="21"/>
                <w:sz w:val="24"/>
                <w:szCs w:val="24"/>
                <w:highlight w:val="none"/>
              </w:rPr>
              <w:t>(</w:t>
            </w:r>
            <w:r>
              <w:rPr>
                <w:rFonts w:hint="eastAsia" w:ascii="宋体" w:hAnsi="宋体" w:eastAsia="宋体" w:cs="宋体"/>
                <w:color w:val="auto"/>
                <w:kern w:val="21"/>
                <w:sz w:val="24"/>
                <w:szCs w:val="24"/>
                <w:highlight w:val="none"/>
                <w:lang w:val="en-US" w:eastAsia="zh-CN"/>
              </w:rPr>
              <w:t>30</w:t>
            </w:r>
            <w:r>
              <w:rPr>
                <w:rFonts w:hint="eastAsia" w:ascii="宋体" w:hAnsi="宋体" w:eastAsia="宋体" w:cs="宋体"/>
                <w:color w:val="auto"/>
                <w:kern w:val="21"/>
                <w:sz w:val="24"/>
                <w:szCs w:val="24"/>
                <w:highlight w:val="none"/>
              </w:rPr>
              <w:t>分)</w:t>
            </w:r>
          </w:p>
        </w:tc>
        <w:tc>
          <w:tcPr>
            <w:tcW w:w="703" w:type="dxa"/>
            <w:noWrap w:val="0"/>
            <w:tcMar>
              <w:top w:w="0" w:type="dxa"/>
              <w:left w:w="108" w:type="dxa"/>
              <w:bottom w:w="0" w:type="dxa"/>
              <w:right w:w="108" w:type="dxa"/>
            </w:tcMar>
            <w:vAlign w:val="center"/>
          </w:tcPr>
          <w:p w14:paraId="5ECF56DE">
            <w:pPr>
              <w:keepNext w:val="0"/>
              <w:keepLines w:val="0"/>
              <w:pageBreakBefore w:val="0"/>
              <w:widowControl/>
              <w:kinsoku/>
              <w:wordWrap/>
              <w:overflowPunct/>
              <w:topLinePunct w:val="0"/>
              <w:bidi w:val="0"/>
              <w:adjustRightInd w:val="0"/>
              <w:snapToGrid w:val="0"/>
              <w:spacing w:line="240" w:lineRule="auto"/>
              <w:ind w:left="0" w:leftChars="0" w:firstLine="0" w:firstLineChars="0"/>
              <w:jc w:val="center"/>
              <w:textAlignment w:val="auto"/>
              <w:rPr>
                <w:rFonts w:hint="eastAsia" w:ascii="宋体" w:hAnsi="宋体" w:eastAsia="宋体" w:cs="宋体"/>
                <w:color w:val="auto"/>
                <w:kern w:val="21"/>
                <w:sz w:val="24"/>
                <w:szCs w:val="24"/>
                <w:highlight w:val="none"/>
              </w:rPr>
            </w:pPr>
            <w:r>
              <w:rPr>
                <w:rFonts w:hint="eastAsia" w:ascii="宋体" w:hAnsi="宋体" w:eastAsia="宋体" w:cs="宋体"/>
                <w:color w:val="auto"/>
                <w:kern w:val="21"/>
                <w:sz w:val="24"/>
                <w:szCs w:val="24"/>
                <w:highlight w:val="none"/>
                <w:lang w:val="en-US" w:eastAsia="zh-CN"/>
              </w:rPr>
              <w:t>30</w:t>
            </w:r>
            <w:r>
              <w:rPr>
                <w:rFonts w:hint="eastAsia" w:ascii="宋体" w:hAnsi="宋体" w:eastAsia="宋体" w:cs="宋体"/>
                <w:color w:val="auto"/>
                <w:kern w:val="21"/>
                <w:sz w:val="24"/>
                <w:szCs w:val="24"/>
                <w:highlight w:val="none"/>
              </w:rPr>
              <w:t>分</w:t>
            </w:r>
          </w:p>
        </w:tc>
        <w:tc>
          <w:tcPr>
            <w:tcW w:w="7699" w:type="dxa"/>
            <w:noWrap w:val="0"/>
            <w:tcMar>
              <w:top w:w="0" w:type="dxa"/>
              <w:left w:w="108" w:type="dxa"/>
              <w:bottom w:w="0" w:type="dxa"/>
              <w:right w:w="108" w:type="dxa"/>
            </w:tcMar>
            <w:vAlign w:val="center"/>
          </w:tcPr>
          <w:p w14:paraId="4AA347F5">
            <w:pPr>
              <w:keepNext w:val="0"/>
              <w:keepLines w:val="0"/>
              <w:pageBreakBefore w:val="0"/>
              <w:widowControl/>
              <w:kinsoku/>
              <w:wordWrap/>
              <w:overflowPunct/>
              <w:topLinePunct w:val="0"/>
              <w:bidi w:val="0"/>
              <w:adjustRightInd w:val="0"/>
              <w:snapToGrid w:val="0"/>
              <w:spacing w:line="240" w:lineRule="auto"/>
              <w:ind w:left="0" w:leftChars="0" w:firstLine="0" w:firstLineChars="0"/>
              <w:jc w:val="both"/>
              <w:textAlignment w:val="auto"/>
              <w:rPr>
                <w:rFonts w:hint="eastAsia" w:ascii="宋体" w:hAnsi="宋体" w:eastAsia="宋体" w:cs="宋体"/>
                <w:color w:val="auto"/>
                <w:kern w:val="21"/>
                <w:sz w:val="24"/>
                <w:szCs w:val="24"/>
                <w:highlight w:val="none"/>
              </w:rPr>
            </w:pPr>
            <w:r>
              <w:rPr>
                <w:rFonts w:hint="eastAsia" w:ascii="宋体" w:hAnsi="宋体" w:eastAsia="宋体" w:cs="宋体"/>
                <w:color w:val="auto"/>
                <w:sz w:val="24"/>
                <w:szCs w:val="24"/>
                <w:highlight w:val="none"/>
              </w:rPr>
              <w:t>投标报价得分：以按照</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规定修正后的所有合格投标人的评标价的最低价作为评分基准价。投标人的价格分按下式计算：价格分=（评分基准价/评标价）×</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 xml:space="preserve"> 。</w:t>
            </w:r>
          </w:p>
        </w:tc>
      </w:tr>
      <w:tr w14:paraId="21A3A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1" w:hRule="atLeast"/>
          <w:jc w:val="center"/>
        </w:trPr>
        <w:tc>
          <w:tcPr>
            <w:tcW w:w="534" w:type="dxa"/>
            <w:vMerge w:val="restart"/>
            <w:noWrap w:val="0"/>
            <w:tcMar>
              <w:top w:w="0" w:type="dxa"/>
              <w:left w:w="108" w:type="dxa"/>
              <w:bottom w:w="0" w:type="dxa"/>
              <w:right w:w="108" w:type="dxa"/>
            </w:tcMar>
            <w:vAlign w:val="center"/>
          </w:tcPr>
          <w:p w14:paraId="2F6C911A">
            <w:pPr>
              <w:keepNext w:val="0"/>
              <w:keepLines w:val="0"/>
              <w:pageBreakBefore w:val="0"/>
              <w:widowControl/>
              <w:kinsoku/>
              <w:wordWrap/>
              <w:overflowPunct/>
              <w:topLinePunct w:val="0"/>
              <w:bidi w:val="0"/>
              <w:adjustRightInd w:val="0"/>
              <w:snapToGrid w:val="0"/>
              <w:spacing w:line="240" w:lineRule="auto"/>
              <w:ind w:left="0" w:leftChars="0" w:firstLine="0" w:firstLineChars="0"/>
              <w:jc w:val="center"/>
              <w:textAlignment w:val="auto"/>
              <w:rPr>
                <w:rFonts w:hint="eastAsia" w:ascii="宋体" w:hAnsi="宋体" w:eastAsia="宋体" w:cs="宋体"/>
                <w:color w:val="auto"/>
                <w:kern w:val="21"/>
                <w:sz w:val="24"/>
                <w:szCs w:val="24"/>
                <w:highlight w:val="none"/>
              </w:rPr>
            </w:pPr>
            <w:r>
              <w:rPr>
                <w:rFonts w:hint="eastAsia" w:ascii="宋体" w:hAnsi="宋体" w:eastAsia="宋体" w:cs="宋体"/>
                <w:color w:val="auto"/>
                <w:kern w:val="21"/>
                <w:sz w:val="24"/>
                <w:szCs w:val="24"/>
                <w:highlight w:val="none"/>
              </w:rPr>
              <w:t>2</w:t>
            </w:r>
          </w:p>
        </w:tc>
        <w:tc>
          <w:tcPr>
            <w:tcW w:w="1489" w:type="dxa"/>
            <w:vMerge w:val="restart"/>
            <w:noWrap w:val="0"/>
            <w:tcMar>
              <w:top w:w="0" w:type="dxa"/>
              <w:left w:w="108" w:type="dxa"/>
              <w:bottom w:w="0" w:type="dxa"/>
              <w:right w:w="108" w:type="dxa"/>
            </w:tcMar>
            <w:vAlign w:val="center"/>
          </w:tcPr>
          <w:p w14:paraId="031A369D">
            <w:pPr>
              <w:keepNext w:val="0"/>
              <w:keepLines w:val="0"/>
              <w:pageBreakBefore w:val="0"/>
              <w:widowControl/>
              <w:kinsoku/>
              <w:wordWrap/>
              <w:overflowPunct/>
              <w:topLinePunct w:val="0"/>
              <w:bidi w:val="0"/>
              <w:adjustRightInd w:val="0"/>
              <w:snapToGrid w:val="0"/>
              <w:spacing w:line="240" w:lineRule="auto"/>
              <w:ind w:left="0" w:leftChars="0" w:firstLine="0" w:firstLineChars="0"/>
              <w:jc w:val="center"/>
              <w:textAlignment w:val="auto"/>
              <w:rPr>
                <w:rFonts w:hint="eastAsia" w:ascii="宋体" w:hAnsi="宋体" w:eastAsia="宋体" w:cs="宋体"/>
                <w:color w:val="auto"/>
                <w:kern w:val="21"/>
                <w:sz w:val="24"/>
                <w:szCs w:val="24"/>
                <w:highlight w:val="none"/>
              </w:rPr>
            </w:pPr>
            <w:r>
              <w:rPr>
                <w:rFonts w:hint="eastAsia" w:ascii="宋体" w:hAnsi="宋体" w:eastAsia="宋体" w:cs="宋体"/>
                <w:color w:val="auto"/>
                <w:kern w:val="21"/>
                <w:sz w:val="24"/>
                <w:szCs w:val="24"/>
                <w:highlight w:val="none"/>
              </w:rPr>
              <w:t>商务因素分(</w:t>
            </w:r>
            <w:r>
              <w:rPr>
                <w:rFonts w:hint="eastAsia" w:ascii="宋体" w:hAnsi="宋体" w:eastAsia="宋体" w:cs="宋体"/>
                <w:color w:val="auto"/>
                <w:kern w:val="21"/>
                <w:sz w:val="24"/>
                <w:szCs w:val="24"/>
                <w:highlight w:val="none"/>
                <w:lang w:val="en-US" w:eastAsia="zh-CN"/>
              </w:rPr>
              <w:t>16</w:t>
            </w:r>
            <w:r>
              <w:rPr>
                <w:rFonts w:hint="eastAsia" w:ascii="宋体" w:hAnsi="宋体" w:eastAsia="宋体" w:cs="宋体"/>
                <w:color w:val="auto"/>
                <w:kern w:val="21"/>
                <w:sz w:val="24"/>
                <w:szCs w:val="24"/>
                <w:highlight w:val="none"/>
              </w:rPr>
              <w:t>分)</w:t>
            </w:r>
          </w:p>
          <w:p w14:paraId="3C594718">
            <w:pPr>
              <w:keepNext w:val="0"/>
              <w:keepLines w:val="0"/>
              <w:pageBreakBefore w:val="0"/>
              <w:widowControl/>
              <w:kinsoku/>
              <w:wordWrap/>
              <w:overflowPunct/>
              <w:topLinePunct w:val="0"/>
              <w:bidi w:val="0"/>
              <w:adjustRightInd w:val="0"/>
              <w:snapToGrid w:val="0"/>
              <w:spacing w:line="240" w:lineRule="auto"/>
              <w:ind w:left="0" w:leftChars="0" w:firstLine="0" w:firstLineChars="0"/>
              <w:jc w:val="center"/>
              <w:textAlignment w:val="auto"/>
              <w:rPr>
                <w:rFonts w:hint="eastAsia" w:ascii="宋体" w:hAnsi="宋体" w:eastAsia="宋体" w:cs="宋体"/>
                <w:color w:val="auto"/>
                <w:kern w:val="21"/>
                <w:sz w:val="24"/>
                <w:szCs w:val="24"/>
                <w:highlight w:val="none"/>
              </w:rPr>
            </w:pPr>
          </w:p>
        </w:tc>
        <w:tc>
          <w:tcPr>
            <w:tcW w:w="703" w:type="dxa"/>
            <w:noWrap w:val="0"/>
            <w:tcMar>
              <w:top w:w="0" w:type="dxa"/>
              <w:left w:w="108" w:type="dxa"/>
              <w:bottom w:w="0" w:type="dxa"/>
              <w:right w:w="108" w:type="dxa"/>
            </w:tcMar>
            <w:vAlign w:val="center"/>
          </w:tcPr>
          <w:p w14:paraId="28EAEFC0">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val="0"/>
                <w:bCs w:val="0"/>
                <w:color w:val="auto"/>
                <w:kern w:val="21"/>
                <w:sz w:val="24"/>
                <w:szCs w:val="24"/>
                <w:highlight w:val="none"/>
                <w:lang w:val="en-US" w:eastAsia="zh-CN"/>
              </w:rPr>
            </w:pPr>
            <w:r>
              <w:rPr>
                <w:rFonts w:hint="eastAsia" w:ascii="宋体" w:hAnsi="宋体" w:eastAsia="宋体" w:cs="宋体"/>
                <w:b w:val="0"/>
                <w:bCs w:val="0"/>
                <w:color w:val="auto"/>
                <w:kern w:val="21"/>
                <w:sz w:val="24"/>
                <w:szCs w:val="24"/>
                <w:highlight w:val="none"/>
                <w:lang w:val="en-US" w:eastAsia="zh-CN"/>
              </w:rPr>
              <w:t>1分</w:t>
            </w:r>
          </w:p>
        </w:tc>
        <w:tc>
          <w:tcPr>
            <w:tcW w:w="7699" w:type="dxa"/>
            <w:noWrap w:val="0"/>
            <w:tcMar>
              <w:top w:w="0" w:type="dxa"/>
              <w:left w:w="108" w:type="dxa"/>
              <w:bottom w:w="0" w:type="dxa"/>
              <w:right w:w="108" w:type="dxa"/>
            </w:tcMar>
            <w:vAlign w:val="center"/>
          </w:tcPr>
          <w:p w14:paraId="3E7A7693">
            <w:pPr>
              <w:pStyle w:val="19"/>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trike w:val="0"/>
                <w:dstrike w:val="0"/>
                <w:color w:val="auto"/>
                <w:kern w:val="21"/>
                <w:sz w:val="24"/>
                <w:szCs w:val="24"/>
                <w:highlight w:val="none"/>
              </w:rPr>
            </w:pPr>
            <w:r>
              <w:rPr>
                <w:rFonts w:hint="eastAsia" w:ascii="宋体" w:hAnsi="宋体" w:eastAsia="宋体" w:cs="宋体"/>
                <w:strike w:val="0"/>
                <w:dstrike w:val="0"/>
                <w:color w:val="auto"/>
                <w:kern w:val="21"/>
                <w:sz w:val="24"/>
                <w:szCs w:val="24"/>
                <w:highlight w:val="none"/>
              </w:rPr>
              <w:t>投标人具备消防设施工程专业承包二级</w:t>
            </w:r>
            <w:r>
              <w:rPr>
                <w:rFonts w:hint="eastAsia" w:ascii="宋体" w:hAnsi="宋体" w:cs="宋体"/>
                <w:strike w:val="0"/>
                <w:dstrike w:val="0"/>
                <w:color w:val="auto"/>
                <w:kern w:val="21"/>
                <w:sz w:val="24"/>
                <w:szCs w:val="24"/>
                <w:highlight w:val="none"/>
                <w:lang w:val="en-US" w:eastAsia="zh-CN"/>
              </w:rPr>
              <w:t>及以上</w:t>
            </w:r>
            <w:r>
              <w:rPr>
                <w:rFonts w:hint="eastAsia" w:ascii="宋体" w:hAnsi="宋体" w:eastAsia="宋体" w:cs="宋体"/>
                <w:strike w:val="0"/>
                <w:dstrike w:val="0"/>
                <w:color w:val="auto"/>
                <w:kern w:val="21"/>
                <w:sz w:val="24"/>
                <w:szCs w:val="24"/>
                <w:highlight w:val="none"/>
                <w:lang w:val="en-US" w:eastAsia="zh-CN"/>
              </w:rPr>
              <w:t>资质</w:t>
            </w:r>
            <w:r>
              <w:rPr>
                <w:rFonts w:hint="eastAsia" w:ascii="宋体" w:hAnsi="宋体" w:eastAsia="宋体" w:cs="宋体"/>
                <w:strike w:val="0"/>
                <w:dstrike w:val="0"/>
                <w:color w:val="auto"/>
                <w:kern w:val="21"/>
                <w:sz w:val="24"/>
                <w:szCs w:val="24"/>
                <w:highlight w:val="none"/>
              </w:rPr>
              <w:t>得1分。</w:t>
            </w:r>
          </w:p>
          <w:p w14:paraId="5471158D">
            <w:pPr>
              <w:pStyle w:val="19"/>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 w:val="0"/>
                <w:bCs w:val="0"/>
                <w:color w:val="auto"/>
                <w:kern w:val="21"/>
                <w:sz w:val="24"/>
                <w:szCs w:val="24"/>
                <w:highlight w:val="none"/>
              </w:rPr>
            </w:pPr>
            <w:r>
              <w:rPr>
                <w:rFonts w:hint="eastAsia" w:ascii="宋体" w:hAnsi="宋体" w:eastAsia="宋体" w:cs="宋体"/>
                <w:strike w:val="0"/>
                <w:dstrike w:val="0"/>
                <w:color w:val="auto"/>
                <w:kern w:val="21"/>
                <w:sz w:val="24"/>
                <w:szCs w:val="24"/>
                <w:highlight w:val="none"/>
              </w:rPr>
              <w:t>以上提供证书复印件加盖投标人公章，</w:t>
            </w:r>
            <w:r>
              <w:rPr>
                <w:rFonts w:hint="eastAsia" w:ascii="宋体" w:hAnsi="宋体" w:eastAsia="宋体" w:cs="宋体"/>
                <w:strike w:val="0"/>
                <w:dstrike w:val="0"/>
                <w:color w:val="auto"/>
                <w:kern w:val="21"/>
                <w:sz w:val="24"/>
                <w:szCs w:val="24"/>
                <w:highlight w:val="none"/>
                <w:lang w:val="en-US" w:eastAsia="zh-CN"/>
              </w:rPr>
              <w:t>每提供一项得1分，最高得1分。</w:t>
            </w:r>
          </w:p>
        </w:tc>
      </w:tr>
      <w:tr w14:paraId="23968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3" w:hRule="atLeast"/>
          <w:jc w:val="center"/>
        </w:trPr>
        <w:tc>
          <w:tcPr>
            <w:tcW w:w="534" w:type="dxa"/>
            <w:vMerge w:val="continue"/>
            <w:noWrap w:val="0"/>
            <w:tcMar>
              <w:top w:w="0" w:type="dxa"/>
              <w:left w:w="108" w:type="dxa"/>
              <w:bottom w:w="0" w:type="dxa"/>
              <w:right w:w="108" w:type="dxa"/>
            </w:tcMar>
            <w:vAlign w:val="center"/>
          </w:tcPr>
          <w:p w14:paraId="51DDB9CF">
            <w:pPr>
              <w:keepNext w:val="0"/>
              <w:keepLines w:val="0"/>
              <w:pageBreakBefore w:val="0"/>
              <w:widowControl/>
              <w:kinsoku/>
              <w:wordWrap/>
              <w:overflowPunct/>
              <w:topLinePunct w:val="0"/>
              <w:bidi w:val="0"/>
              <w:adjustRightInd w:val="0"/>
              <w:snapToGrid w:val="0"/>
              <w:spacing w:line="240" w:lineRule="auto"/>
              <w:ind w:left="0" w:leftChars="0" w:firstLine="0" w:firstLineChars="0"/>
              <w:jc w:val="center"/>
              <w:textAlignment w:val="auto"/>
              <w:rPr>
                <w:rFonts w:hint="eastAsia" w:ascii="宋体" w:hAnsi="宋体" w:eastAsia="宋体" w:cs="宋体"/>
                <w:color w:val="auto"/>
                <w:kern w:val="21"/>
                <w:sz w:val="24"/>
                <w:szCs w:val="24"/>
                <w:highlight w:val="none"/>
              </w:rPr>
            </w:pPr>
          </w:p>
        </w:tc>
        <w:tc>
          <w:tcPr>
            <w:tcW w:w="1489" w:type="dxa"/>
            <w:vMerge w:val="continue"/>
            <w:noWrap w:val="0"/>
            <w:tcMar>
              <w:top w:w="0" w:type="dxa"/>
              <w:left w:w="108" w:type="dxa"/>
              <w:bottom w:w="0" w:type="dxa"/>
              <w:right w:w="108" w:type="dxa"/>
            </w:tcMar>
            <w:vAlign w:val="center"/>
          </w:tcPr>
          <w:p w14:paraId="7FFC82F2">
            <w:pPr>
              <w:keepNext w:val="0"/>
              <w:keepLines w:val="0"/>
              <w:pageBreakBefore w:val="0"/>
              <w:widowControl/>
              <w:kinsoku/>
              <w:wordWrap/>
              <w:overflowPunct/>
              <w:topLinePunct w:val="0"/>
              <w:bidi w:val="0"/>
              <w:adjustRightInd w:val="0"/>
              <w:snapToGrid w:val="0"/>
              <w:spacing w:line="240" w:lineRule="auto"/>
              <w:ind w:left="0" w:leftChars="0" w:firstLine="0" w:firstLineChars="0"/>
              <w:jc w:val="center"/>
              <w:textAlignment w:val="auto"/>
              <w:rPr>
                <w:rFonts w:hint="eastAsia" w:ascii="宋体" w:hAnsi="宋体" w:eastAsia="宋体" w:cs="宋体"/>
                <w:color w:val="auto"/>
                <w:kern w:val="21"/>
                <w:sz w:val="24"/>
                <w:szCs w:val="24"/>
                <w:highlight w:val="none"/>
              </w:rPr>
            </w:pPr>
          </w:p>
        </w:tc>
        <w:tc>
          <w:tcPr>
            <w:tcW w:w="703" w:type="dxa"/>
            <w:noWrap w:val="0"/>
            <w:tcMar>
              <w:top w:w="0" w:type="dxa"/>
              <w:left w:w="108" w:type="dxa"/>
              <w:bottom w:w="0" w:type="dxa"/>
              <w:right w:w="108" w:type="dxa"/>
            </w:tcMar>
            <w:vAlign w:val="center"/>
          </w:tcPr>
          <w:p w14:paraId="5CD5FADE">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val="0"/>
                <w:bCs w:val="0"/>
                <w:color w:val="auto"/>
                <w:kern w:val="21"/>
                <w:sz w:val="24"/>
                <w:szCs w:val="24"/>
                <w:highlight w:val="none"/>
                <w:lang w:val="en-US" w:eastAsia="zh-CN" w:bidi="ar-SA"/>
              </w:rPr>
            </w:pPr>
            <w:r>
              <w:rPr>
                <w:rFonts w:hint="eastAsia" w:ascii="宋体" w:hAnsi="宋体" w:eastAsia="宋体" w:cs="宋体"/>
                <w:b w:val="0"/>
                <w:bCs w:val="0"/>
                <w:color w:val="auto"/>
                <w:kern w:val="21"/>
                <w:sz w:val="24"/>
                <w:szCs w:val="24"/>
                <w:highlight w:val="none"/>
                <w:lang w:val="en-US" w:eastAsia="zh-CN" w:bidi="ar-SA"/>
              </w:rPr>
              <w:t>8分</w:t>
            </w:r>
          </w:p>
        </w:tc>
        <w:tc>
          <w:tcPr>
            <w:tcW w:w="7699" w:type="dxa"/>
            <w:noWrap w:val="0"/>
            <w:tcMar>
              <w:top w:w="0" w:type="dxa"/>
              <w:left w:w="108" w:type="dxa"/>
              <w:bottom w:w="0" w:type="dxa"/>
              <w:right w:w="108" w:type="dxa"/>
            </w:tcMar>
            <w:vAlign w:val="center"/>
          </w:tcPr>
          <w:p w14:paraId="14253274">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 w:val="0"/>
                <w:bCs w:val="0"/>
                <w:color w:val="auto"/>
                <w:kern w:val="21"/>
                <w:sz w:val="24"/>
                <w:szCs w:val="24"/>
                <w:highlight w:val="none"/>
                <w:lang w:val="en-US" w:eastAsia="zh-CN" w:bidi="ar-SA"/>
              </w:rPr>
            </w:pPr>
            <w:r>
              <w:rPr>
                <w:rFonts w:hint="eastAsia" w:ascii="宋体" w:hAnsi="宋体" w:eastAsia="宋体" w:cs="宋体"/>
                <w:b w:val="0"/>
                <w:bCs w:val="0"/>
                <w:color w:val="auto"/>
                <w:kern w:val="21"/>
                <w:sz w:val="24"/>
                <w:szCs w:val="24"/>
                <w:highlight w:val="none"/>
              </w:rPr>
              <w:t>投标人近三年（202</w:t>
            </w:r>
            <w:r>
              <w:rPr>
                <w:rFonts w:hint="eastAsia" w:ascii="宋体" w:hAnsi="宋体" w:eastAsia="宋体" w:cs="宋体"/>
                <w:b w:val="0"/>
                <w:bCs w:val="0"/>
                <w:color w:val="auto"/>
                <w:kern w:val="21"/>
                <w:sz w:val="24"/>
                <w:szCs w:val="24"/>
                <w:highlight w:val="none"/>
                <w:lang w:val="en-US" w:eastAsia="zh-CN"/>
              </w:rPr>
              <w:t>2</w:t>
            </w:r>
            <w:r>
              <w:rPr>
                <w:rFonts w:hint="eastAsia" w:ascii="宋体" w:hAnsi="宋体" w:eastAsia="宋体" w:cs="宋体"/>
                <w:b w:val="0"/>
                <w:bCs w:val="0"/>
                <w:color w:val="auto"/>
                <w:kern w:val="21"/>
                <w:sz w:val="24"/>
                <w:szCs w:val="24"/>
                <w:highlight w:val="none"/>
              </w:rPr>
              <w:t>年</w:t>
            </w:r>
            <w:r>
              <w:rPr>
                <w:rFonts w:hint="eastAsia" w:ascii="宋体" w:hAnsi="宋体" w:eastAsia="宋体" w:cs="宋体"/>
                <w:b w:val="0"/>
                <w:bCs w:val="0"/>
                <w:color w:val="auto"/>
                <w:kern w:val="21"/>
                <w:sz w:val="24"/>
                <w:szCs w:val="24"/>
                <w:highlight w:val="none"/>
                <w:lang w:val="en-US" w:eastAsia="zh-CN"/>
              </w:rPr>
              <w:t>1月1日</w:t>
            </w:r>
            <w:r>
              <w:rPr>
                <w:rFonts w:hint="eastAsia" w:ascii="宋体" w:hAnsi="宋体" w:eastAsia="宋体" w:cs="宋体"/>
                <w:b w:val="0"/>
                <w:bCs w:val="0"/>
                <w:color w:val="auto"/>
                <w:kern w:val="21"/>
                <w:sz w:val="24"/>
                <w:szCs w:val="24"/>
                <w:highlight w:val="none"/>
              </w:rPr>
              <w:t>至今）类似</w:t>
            </w:r>
            <w:r>
              <w:rPr>
                <w:rFonts w:hint="eastAsia" w:ascii="宋体" w:hAnsi="宋体" w:eastAsia="宋体" w:cs="宋体"/>
                <w:b w:val="0"/>
                <w:bCs w:val="0"/>
                <w:color w:val="auto"/>
                <w:kern w:val="21"/>
                <w:sz w:val="24"/>
                <w:szCs w:val="24"/>
                <w:highlight w:val="none"/>
                <w:lang w:val="en-US" w:eastAsia="zh-CN"/>
              </w:rPr>
              <w:t>业绩</w:t>
            </w:r>
            <w:r>
              <w:rPr>
                <w:rFonts w:hint="eastAsia" w:ascii="宋体" w:hAnsi="宋体" w:eastAsia="宋体" w:cs="宋体"/>
                <w:b w:val="0"/>
                <w:bCs w:val="0"/>
                <w:color w:val="auto"/>
                <w:kern w:val="21"/>
                <w:sz w:val="24"/>
                <w:szCs w:val="24"/>
                <w:highlight w:val="none"/>
              </w:rPr>
              <w:t>，每提供1个得</w:t>
            </w:r>
            <w:r>
              <w:rPr>
                <w:rFonts w:hint="eastAsia" w:ascii="宋体" w:hAnsi="宋体" w:eastAsia="宋体" w:cs="宋体"/>
                <w:b w:val="0"/>
                <w:bCs w:val="0"/>
                <w:color w:val="auto"/>
                <w:kern w:val="21"/>
                <w:sz w:val="24"/>
                <w:szCs w:val="24"/>
                <w:highlight w:val="none"/>
                <w:lang w:val="en-US" w:eastAsia="zh-CN"/>
              </w:rPr>
              <w:t>2</w:t>
            </w:r>
            <w:r>
              <w:rPr>
                <w:rFonts w:hint="eastAsia" w:ascii="宋体" w:hAnsi="宋体" w:eastAsia="宋体" w:cs="宋体"/>
                <w:b w:val="0"/>
                <w:bCs w:val="0"/>
                <w:color w:val="auto"/>
                <w:kern w:val="21"/>
                <w:sz w:val="24"/>
                <w:szCs w:val="24"/>
                <w:highlight w:val="none"/>
              </w:rPr>
              <w:t>分，最高得</w:t>
            </w:r>
            <w:r>
              <w:rPr>
                <w:rFonts w:hint="eastAsia" w:ascii="宋体" w:hAnsi="宋体" w:eastAsia="宋体" w:cs="宋体"/>
                <w:b w:val="0"/>
                <w:bCs w:val="0"/>
                <w:color w:val="auto"/>
                <w:kern w:val="21"/>
                <w:sz w:val="24"/>
                <w:szCs w:val="24"/>
                <w:highlight w:val="none"/>
                <w:lang w:val="en-US" w:eastAsia="zh-CN"/>
              </w:rPr>
              <w:t>8</w:t>
            </w:r>
            <w:r>
              <w:rPr>
                <w:rFonts w:hint="eastAsia" w:ascii="宋体" w:hAnsi="宋体" w:eastAsia="宋体" w:cs="宋体"/>
                <w:b w:val="0"/>
                <w:bCs w:val="0"/>
                <w:color w:val="auto"/>
                <w:kern w:val="21"/>
                <w:sz w:val="24"/>
                <w:szCs w:val="24"/>
                <w:highlight w:val="none"/>
              </w:rPr>
              <w:t>分。（</w:t>
            </w:r>
            <w:r>
              <w:rPr>
                <w:rFonts w:hint="eastAsia" w:ascii="宋体" w:hAnsi="宋体" w:eastAsia="宋体" w:cs="宋体"/>
                <w:b w:val="0"/>
                <w:bCs w:val="0"/>
                <w:strike w:val="0"/>
                <w:dstrike w:val="0"/>
                <w:color w:val="auto"/>
                <w:kern w:val="21"/>
                <w:sz w:val="24"/>
                <w:szCs w:val="24"/>
                <w:highlight w:val="none"/>
                <w:lang w:val="en-US" w:eastAsia="zh-CN"/>
              </w:rPr>
              <w:t>提供</w:t>
            </w:r>
            <w:r>
              <w:rPr>
                <w:rFonts w:hint="eastAsia" w:ascii="宋体" w:hAnsi="宋体" w:eastAsia="宋体" w:cs="宋体"/>
                <w:b w:val="0"/>
                <w:bCs w:val="0"/>
                <w:color w:val="auto"/>
                <w:kern w:val="21"/>
                <w:sz w:val="24"/>
                <w:szCs w:val="24"/>
                <w:highlight w:val="none"/>
              </w:rPr>
              <w:t>中标通知书或合同复印件加盖</w:t>
            </w:r>
            <w:r>
              <w:rPr>
                <w:rFonts w:hint="eastAsia" w:ascii="宋体" w:hAnsi="宋体" w:eastAsia="宋体" w:cs="宋体"/>
                <w:b w:val="0"/>
                <w:bCs w:val="0"/>
                <w:color w:val="auto"/>
                <w:kern w:val="21"/>
                <w:sz w:val="24"/>
                <w:szCs w:val="24"/>
                <w:highlight w:val="none"/>
                <w:lang w:val="en-US" w:eastAsia="zh-CN"/>
              </w:rPr>
              <w:t>投标人</w:t>
            </w:r>
            <w:r>
              <w:rPr>
                <w:rFonts w:hint="eastAsia" w:ascii="宋体" w:hAnsi="宋体" w:eastAsia="宋体" w:cs="宋体"/>
                <w:b w:val="0"/>
                <w:bCs w:val="0"/>
                <w:color w:val="auto"/>
                <w:kern w:val="21"/>
                <w:sz w:val="24"/>
                <w:szCs w:val="24"/>
                <w:highlight w:val="none"/>
              </w:rPr>
              <w:t>公章，否则不予计分）</w:t>
            </w:r>
          </w:p>
        </w:tc>
      </w:tr>
      <w:tr w14:paraId="414E3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1" w:hRule="atLeast"/>
          <w:jc w:val="center"/>
        </w:trPr>
        <w:tc>
          <w:tcPr>
            <w:tcW w:w="534" w:type="dxa"/>
            <w:vMerge w:val="continue"/>
            <w:noWrap w:val="0"/>
            <w:tcMar>
              <w:top w:w="0" w:type="dxa"/>
              <w:left w:w="108" w:type="dxa"/>
              <w:bottom w:w="0" w:type="dxa"/>
              <w:right w:w="108" w:type="dxa"/>
            </w:tcMar>
            <w:vAlign w:val="center"/>
          </w:tcPr>
          <w:p w14:paraId="7E926A3D">
            <w:pPr>
              <w:keepNext w:val="0"/>
              <w:keepLines w:val="0"/>
              <w:pageBreakBefore w:val="0"/>
              <w:widowControl/>
              <w:kinsoku/>
              <w:wordWrap/>
              <w:overflowPunct/>
              <w:topLinePunct w:val="0"/>
              <w:bidi w:val="0"/>
              <w:adjustRightInd w:val="0"/>
              <w:snapToGrid w:val="0"/>
              <w:spacing w:line="240" w:lineRule="auto"/>
              <w:ind w:left="0" w:leftChars="0" w:firstLine="0" w:firstLineChars="0"/>
              <w:jc w:val="center"/>
              <w:textAlignment w:val="auto"/>
              <w:rPr>
                <w:rFonts w:hint="eastAsia" w:ascii="宋体" w:hAnsi="宋体" w:eastAsia="宋体" w:cs="宋体"/>
                <w:color w:val="auto"/>
                <w:kern w:val="21"/>
                <w:sz w:val="24"/>
                <w:szCs w:val="24"/>
                <w:highlight w:val="none"/>
              </w:rPr>
            </w:pPr>
          </w:p>
        </w:tc>
        <w:tc>
          <w:tcPr>
            <w:tcW w:w="1489" w:type="dxa"/>
            <w:vMerge w:val="continue"/>
            <w:noWrap w:val="0"/>
            <w:tcMar>
              <w:top w:w="0" w:type="dxa"/>
              <w:left w:w="108" w:type="dxa"/>
              <w:bottom w:w="0" w:type="dxa"/>
              <w:right w:w="108" w:type="dxa"/>
            </w:tcMar>
            <w:vAlign w:val="center"/>
          </w:tcPr>
          <w:p w14:paraId="0AD495E0">
            <w:pPr>
              <w:keepNext w:val="0"/>
              <w:keepLines w:val="0"/>
              <w:pageBreakBefore w:val="0"/>
              <w:widowControl/>
              <w:kinsoku/>
              <w:wordWrap/>
              <w:overflowPunct/>
              <w:topLinePunct w:val="0"/>
              <w:bidi w:val="0"/>
              <w:adjustRightInd w:val="0"/>
              <w:snapToGrid w:val="0"/>
              <w:spacing w:line="240" w:lineRule="auto"/>
              <w:ind w:left="0" w:leftChars="0" w:firstLine="0" w:firstLineChars="0"/>
              <w:jc w:val="center"/>
              <w:textAlignment w:val="auto"/>
              <w:rPr>
                <w:rFonts w:hint="eastAsia" w:ascii="宋体" w:hAnsi="宋体" w:eastAsia="宋体" w:cs="宋体"/>
                <w:color w:val="auto"/>
                <w:kern w:val="21"/>
                <w:sz w:val="24"/>
                <w:szCs w:val="24"/>
                <w:highlight w:val="none"/>
              </w:rPr>
            </w:pPr>
          </w:p>
        </w:tc>
        <w:tc>
          <w:tcPr>
            <w:tcW w:w="703" w:type="dxa"/>
            <w:noWrap w:val="0"/>
            <w:tcMar>
              <w:top w:w="0" w:type="dxa"/>
              <w:left w:w="108" w:type="dxa"/>
              <w:bottom w:w="0" w:type="dxa"/>
              <w:right w:w="108" w:type="dxa"/>
            </w:tcMar>
            <w:vAlign w:val="center"/>
          </w:tcPr>
          <w:p w14:paraId="7AF48ADA">
            <w:pPr>
              <w:keepNext w:val="0"/>
              <w:keepLines w:val="0"/>
              <w:pageBreakBefore w:val="0"/>
              <w:kinsoku/>
              <w:wordWrap/>
              <w:overflowPunct/>
              <w:topLinePunct w:val="0"/>
              <w:bidi w:val="0"/>
              <w:adjustRightInd w:val="0"/>
              <w:snapToGrid w:val="0"/>
              <w:spacing w:line="240" w:lineRule="auto"/>
              <w:ind w:left="0" w:leftChars="0" w:firstLine="0" w:firstLineChars="0"/>
              <w:jc w:val="center"/>
              <w:textAlignment w:val="auto"/>
              <w:rPr>
                <w:rFonts w:hint="eastAsia" w:ascii="宋体" w:hAnsi="宋体" w:eastAsia="宋体" w:cs="宋体"/>
                <w:color w:val="auto"/>
                <w:kern w:val="21"/>
                <w:sz w:val="24"/>
                <w:szCs w:val="24"/>
                <w:highlight w:val="none"/>
                <w:lang w:val="en-US" w:eastAsia="zh-CN" w:bidi="ar-SA"/>
              </w:rPr>
            </w:pPr>
            <w:r>
              <w:rPr>
                <w:rFonts w:hint="eastAsia" w:ascii="宋体" w:hAnsi="宋体" w:eastAsia="宋体" w:cs="宋体"/>
                <w:color w:val="auto"/>
                <w:kern w:val="21"/>
                <w:sz w:val="24"/>
                <w:szCs w:val="24"/>
                <w:highlight w:val="none"/>
                <w:lang w:val="en-US" w:eastAsia="zh-CN" w:bidi="ar-SA"/>
              </w:rPr>
              <w:t>7分</w:t>
            </w:r>
          </w:p>
        </w:tc>
        <w:tc>
          <w:tcPr>
            <w:tcW w:w="7699" w:type="dxa"/>
            <w:noWrap w:val="0"/>
            <w:tcMar>
              <w:top w:w="0" w:type="dxa"/>
              <w:left w:w="108" w:type="dxa"/>
              <w:bottom w:w="0" w:type="dxa"/>
              <w:right w:w="108" w:type="dxa"/>
            </w:tcMar>
            <w:vAlign w:val="center"/>
          </w:tcPr>
          <w:p w14:paraId="17505771">
            <w:pPr>
              <w:keepNext w:val="0"/>
              <w:keepLines w:val="0"/>
              <w:pageBreakBefore w:val="0"/>
              <w:numPr>
                <w:ilvl w:val="0"/>
                <w:numId w:val="0"/>
              </w:numPr>
              <w:kinsoku/>
              <w:wordWrap/>
              <w:overflowPunct/>
              <w:topLinePunct w:val="0"/>
              <w:bidi w:val="0"/>
              <w:adjustRightInd w:val="0"/>
              <w:snapToGrid w:val="0"/>
              <w:spacing w:line="240" w:lineRule="auto"/>
              <w:ind w:left="0" w:leftChars="0" w:firstLine="0" w:firstLineChars="0"/>
              <w:jc w:val="both"/>
              <w:textAlignment w:val="auto"/>
              <w:rPr>
                <w:rFonts w:hint="eastAsia" w:ascii="宋体" w:hAnsi="宋体" w:eastAsia="宋体" w:cs="宋体"/>
                <w:strike w:val="0"/>
                <w:dstrike w:val="0"/>
                <w:color w:val="auto"/>
                <w:kern w:val="21"/>
                <w:sz w:val="24"/>
                <w:szCs w:val="24"/>
                <w:highlight w:val="none"/>
                <w:lang w:val="en-US" w:eastAsia="zh-CN"/>
              </w:rPr>
            </w:pPr>
            <w:r>
              <w:rPr>
                <w:rFonts w:hint="eastAsia" w:ascii="宋体" w:hAnsi="宋体" w:eastAsia="宋体" w:cs="宋体"/>
                <w:strike w:val="0"/>
                <w:dstrike w:val="0"/>
                <w:color w:val="auto"/>
                <w:kern w:val="21"/>
                <w:sz w:val="24"/>
                <w:szCs w:val="24"/>
                <w:highlight w:val="none"/>
                <w:lang w:val="en-US" w:eastAsia="zh-CN" w:bidi="ar-SA"/>
              </w:rPr>
              <w:t>1.</w:t>
            </w:r>
            <w:r>
              <w:rPr>
                <w:rFonts w:hint="eastAsia" w:ascii="宋体" w:hAnsi="宋体" w:eastAsia="宋体" w:cs="宋体"/>
                <w:strike w:val="0"/>
                <w:dstrike w:val="0"/>
                <w:color w:val="auto"/>
                <w:kern w:val="21"/>
                <w:sz w:val="24"/>
                <w:szCs w:val="24"/>
                <w:highlight w:val="none"/>
              </w:rPr>
              <w:t>投标人拟派项目管理团队配备机电工程师配合项目实施，具备机电工程</w:t>
            </w:r>
            <w:r>
              <w:rPr>
                <w:rFonts w:hint="eastAsia" w:ascii="宋体" w:hAnsi="宋体" w:eastAsia="宋体" w:cs="宋体"/>
                <w:strike w:val="0"/>
                <w:dstrike w:val="0"/>
                <w:color w:val="auto"/>
                <w:kern w:val="21"/>
                <w:sz w:val="24"/>
                <w:szCs w:val="24"/>
                <w:highlight w:val="none"/>
                <w:lang w:val="en-US" w:eastAsia="zh-CN"/>
              </w:rPr>
              <w:t>二级</w:t>
            </w:r>
            <w:r>
              <w:rPr>
                <w:rFonts w:hint="eastAsia" w:ascii="宋体" w:hAnsi="宋体" w:cs="宋体"/>
                <w:strike w:val="0"/>
                <w:dstrike w:val="0"/>
                <w:color w:val="auto"/>
                <w:kern w:val="21"/>
                <w:sz w:val="24"/>
                <w:szCs w:val="24"/>
                <w:highlight w:val="none"/>
                <w:lang w:val="en-US" w:eastAsia="zh-CN"/>
              </w:rPr>
              <w:t>及以上</w:t>
            </w:r>
            <w:r>
              <w:rPr>
                <w:rFonts w:hint="eastAsia" w:ascii="宋体" w:hAnsi="宋体" w:eastAsia="宋体" w:cs="宋体"/>
                <w:strike w:val="0"/>
                <w:dstrike w:val="0"/>
                <w:color w:val="auto"/>
                <w:kern w:val="21"/>
                <w:sz w:val="24"/>
                <w:szCs w:val="24"/>
                <w:highlight w:val="none"/>
                <w:lang w:val="en-US" w:eastAsia="zh-CN"/>
              </w:rPr>
              <w:t>建造师及</w:t>
            </w:r>
            <w:r>
              <w:rPr>
                <w:rFonts w:hint="eastAsia" w:ascii="宋体" w:hAnsi="宋体" w:eastAsia="宋体" w:cs="宋体"/>
                <w:strike w:val="0"/>
                <w:dstrike w:val="0"/>
                <w:color w:val="auto"/>
                <w:kern w:val="21"/>
                <w:sz w:val="24"/>
                <w:szCs w:val="24"/>
                <w:highlight w:val="none"/>
              </w:rPr>
              <w:t>中级</w:t>
            </w:r>
            <w:r>
              <w:rPr>
                <w:rFonts w:hint="eastAsia" w:ascii="宋体" w:hAnsi="宋体" w:cs="宋体"/>
                <w:strike w:val="0"/>
                <w:dstrike w:val="0"/>
                <w:color w:val="auto"/>
                <w:kern w:val="21"/>
                <w:sz w:val="24"/>
                <w:szCs w:val="24"/>
                <w:highlight w:val="none"/>
                <w:lang w:val="en-US" w:eastAsia="zh-CN"/>
              </w:rPr>
              <w:t>及以上</w:t>
            </w:r>
            <w:r>
              <w:rPr>
                <w:rFonts w:hint="eastAsia" w:ascii="宋体" w:hAnsi="宋体" w:eastAsia="宋体" w:cs="宋体"/>
                <w:strike w:val="0"/>
                <w:dstrike w:val="0"/>
                <w:color w:val="auto"/>
                <w:kern w:val="21"/>
                <w:sz w:val="24"/>
                <w:szCs w:val="24"/>
                <w:highlight w:val="none"/>
              </w:rPr>
              <w:t>工程师职称，提供</w:t>
            </w:r>
            <w:r>
              <w:rPr>
                <w:rFonts w:hint="eastAsia" w:ascii="宋体" w:hAnsi="宋体" w:eastAsia="宋体" w:cs="宋体"/>
                <w:strike w:val="0"/>
                <w:dstrike w:val="0"/>
                <w:color w:val="auto"/>
                <w:kern w:val="21"/>
                <w:sz w:val="24"/>
                <w:szCs w:val="24"/>
                <w:highlight w:val="none"/>
                <w:lang w:val="en-US" w:eastAsia="zh-CN"/>
              </w:rPr>
              <w:t>一项得1分，最高2分。</w:t>
            </w:r>
          </w:p>
          <w:p w14:paraId="285497A7">
            <w:pPr>
              <w:keepNext w:val="0"/>
              <w:keepLines w:val="0"/>
              <w:pageBreakBefore w:val="0"/>
              <w:numPr>
                <w:ilvl w:val="0"/>
                <w:numId w:val="0"/>
              </w:numPr>
              <w:kinsoku/>
              <w:wordWrap/>
              <w:overflowPunct/>
              <w:topLinePunct w:val="0"/>
              <w:bidi w:val="0"/>
              <w:adjustRightInd w:val="0"/>
              <w:snapToGrid w:val="0"/>
              <w:spacing w:line="240" w:lineRule="auto"/>
              <w:ind w:left="0" w:leftChars="0" w:firstLine="0" w:firstLineChars="0"/>
              <w:jc w:val="both"/>
              <w:textAlignment w:val="auto"/>
              <w:rPr>
                <w:rFonts w:hint="eastAsia" w:ascii="宋体" w:hAnsi="宋体" w:eastAsia="宋体" w:cs="宋体"/>
                <w:strike w:val="0"/>
                <w:dstrike w:val="0"/>
                <w:color w:val="auto"/>
                <w:kern w:val="21"/>
                <w:sz w:val="24"/>
                <w:szCs w:val="24"/>
                <w:highlight w:val="none"/>
                <w:lang w:val="en-US"/>
              </w:rPr>
            </w:pPr>
            <w:r>
              <w:rPr>
                <w:rFonts w:hint="eastAsia" w:ascii="宋体" w:hAnsi="宋体" w:eastAsia="宋体" w:cs="宋体"/>
                <w:strike w:val="0"/>
                <w:dstrike w:val="0"/>
                <w:color w:val="auto"/>
                <w:kern w:val="21"/>
                <w:sz w:val="24"/>
                <w:szCs w:val="24"/>
                <w:highlight w:val="none"/>
                <w:lang w:val="en-US" w:eastAsia="zh-CN"/>
              </w:rPr>
              <w:t>2.</w:t>
            </w:r>
            <w:r>
              <w:rPr>
                <w:rFonts w:hint="eastAsia" w:ascii="宋体" w:hAnsi="宋体" w:eastAsia="宋体" w:cs="宋体"/>
                <w:strike w:val="0"/>
                <w:dstrike w:val="0"/>
                <w:color w:val="auto"/>
                <w:kern w:val="21"/>
                <w:sz w:val="24"/>
                <w:szCs w:val="24"/>
                <w:highlight w:val="none"/>
              </w:rPr>
              <w:t>投标人项目管理团队配备质量员、材料员、资料员、安全员</w:t>
            </w:r>
            <w:r>
              <w:rPr>
                <w:rFonts w:hint="eastAsia" w:ascii="宋体" w:hAnsi="宋体" w:eastAsia="宋体" w:cs="宋体"/>
                <w:strike w:val="0"/>
                <w:dstrike w:val="0"/>
                <w:color w:val="auto"/>
                <w:kern w:val="21"/>
                <w:sz w:val="24"/>
                <w:szCs w:val="24"/>
                <w:highlight w:val="none"/>
                <w:lang w:eastAsia="zh-CN"/>
              </w:rPr>
              <w:t>、</w:t>
            </w:r>
            <w:r>
              <w:rPr>
                <w:rFonts w:hint="eastAsia" w:ascii="宋体" w:hAnsi="宋体" w:eastAsia="宋体" w:cs="宋体"/>
                <w:strike w:val="0"/>
                <w:dstrike w:val="0"/>
                <w:color w:val="auto"/>
                <w:kern w:val="21"/>
                <w:sz w:val="24"/>
                <w:szCs w:val="24"/>
                <w:highlight w:val="none"/>
                <w:lang w:val="en-US" w:eastAsia="zh-CN"/>
              </w:rPr>
              <w:t>施工员</w:t>
            </w:r>
            <w:r>
              <w:rPr>
                <w:rFonts w:hint="eastAsia" w:ascii="宋体" w:hAnsi="宋体" w:eastAsia="宋体" w:cs="宋体"/>
                <w:strike w:val="0"/>
                <w:dstrike w:val="0"/>
                <w:color w:val="auto"/>
                <w:kern w:val="21"/>
                <w:sz w:val="24"/>
                <w:szCs w:val="24"/>
                <w:highlight w:val="none"/>
              </w:rPr>
              <w:t>等人员</w:t>
            </w:r>
            <w:r>
              <w:rPr>
                <w:rFonts w:hint="eastAsia" w:ascii="宋体" w:hAnsi="宋体" w:eastAsia="宋体" w:cs="宋体"/>
                <w:strike w:val="0"/>
                <w:dstrike w:val="0"/>
                <w:color w:val="auto"/>
                <w:kern w:val="21"/>
                <w:sz w:val="24"/>
                <w:szCs w:val="24"/>
                <w:highlight w:val="none"/>
                <w:lang w:eastAsia="zh-CN"/>
              </w:rPr>
              <w:t>，</w:t>
            </w:r>
            <w:r>
              <w:rPr>
                <w:rFonts w:hint="eastAsia" w:ascii="宋体" w:hAnsi="宋体" w:eastAsia="宋体" w:cs="宋体"/>
                <w:strike w:val="0"/>
                <w:dstrike w:val="0"/>
                <w:color w:val="auto"/>
                <w:kern w:val="21"/>
                <w:sz w:val="24"/>
                <w:szCs w:val="24"/>
                <w:highlight w:val="none"/>
                <w:lang w:val="en-US" w:eastAsia="zh-CN"/>
              </w:rPr>
              <w:t>每提供一</w:t>
            </w:r>
            <w:bookmarkStart w:id="122" w:name="OLE_LINK23"/>
            <w:r>
              <w:rPr>
                <w:rFonts w:hint="eastAsia" w:ascii="宋体" w:hAnsi="宋体" w:eastAsia="宋体" w:cs="宋体"/>
                <w:strike w:val="0"/>
                <w:dstrike w:val="0"/>
                <w:color w:val="auto"/>
                <w:kern w:val="21"/>
                <w:sz w:val="24"/>
                <w:szCs w:val="24"/>
                <w:highlight w:val="none"/>
                <w:lang w:val="en-US" w:eastAsia="zh-CN"/>
              </w:rPr>
              <w:t>种证书得1分</w:t>
            </w:r>
            <w:bookmarkEnd w:id="122"/>
            <w:r>
              <w:rPr>
                <w:rFonts w:hint="eastAsia" w:ascii="宋体" w:hAnsi="宋体" w:eastAsia="宋体" w:cs="宋体"/>
                <w:strike w:val="0"/>
                <w:dstrike w:val="0"/>
                <w:color w:val="auto"/>
                <w:kern w:val="21"/>
                <w:sz w:val="24"/>
                <w:szCs w:val="24"/>
                <w:highlight w:val="none"/>
                <w:lang w:val="en-US" w:eastAsia="zh-CN"/>
              </w:rPr>
              <w:t>，最高得5分。</w:t>
            </w:r>
          </w:p>
          <w:p w14:paraId="517381E3">
            <w:pPr>
              <w:keepNext w:val="0"/>
              <w:keepLines w:val="0"/>
              <w:pageBreakBefore w:val="0"/>
              <w:kinsoku/>
              <w:wordWrap/>
              <w:overflowPunct/>
              <w:topLinePunct w:val="0"/>
              <w:bidi w:val="0"/>
              <w:adjustRightInd w:val="0"/>
              <w:snapToGrid w:val="0"/>
              <w:spacing w:line="240" w:lineRule="auto"/>
              <w:ind w:left="0" w:leftChars="0" w:firstLine="0" w:firstLineChars="0"/>
              <w:jc w:val="both"/>
              <w:textAlignment w:val="auto"/>
              <w:rPr>
                <w:rFonts w:hint="eastAsia" w:ascii="宋体" w:hAnsi="宋体" w:eastAsia="宋体" w:cs="宋体"/>
                <w:strike w:val="0"/>
                <w:dstrike w:val="0"/>
                <w:color w:val="auto"/>
                <w:kern w:val="21"/>
                <w:sz w:val="24"/>
                <w:szCs w:val="24"/>
                <w:highlight w:val="none"/>
                <w:lang w:val="en-US" w:eastAsia="zh-CN" w:bidi="ar-SA"/>
              </w:rPr>
            </w:pPr>
            <w:r>
              <w:rPr>
                <w:rFonts w:hint="eastAsia" w:ascii="宋体" w:hAnsi="宋体" w:eastAsia="宋体" w:cs="宋体"/>
                <w:strike w:val="0"/>
                <w:dstrike w:val="0"/>
                <w:color w:val="auto"/>
                <w:kern w:val="21"/>
                <w:sz w:val="24"/>
                <w:szCs w:val="24"/>
                <w:highlight w:val="none"/>
              </w:rPr>
              <w:t>附相应人员的职称证书或岗位证证书</w:t>
            </w:r>
            <w:bookmarkStart w:id="123" w:name="OLE_LINK22"/>
            <w:r>
              <w:rPr>
                <w:rFonts w:hint="eastAsia" w:ascii="宋体" w:hAnsi="宋体" w:eastAsia="宋体" w:cs="宋体"/>
                <w:strike w:val="0"/>
                <w:dstrike w:val="0"/>
                <w:color w:val="auto"/>
                <w:kern w:val="21"/>
                <w:sz w:val="24"/>
                <w:szCs w:val="24"/>
                <w:highlight w:val="none"/>
              </w:rPr>
              <w:t>复印件加盖投标人公章</w:t>
            </w:r>
            <w:bookmarkEnd w:id="123"/>
            <w:r>
              <w:rPr>
                <w:rFonts w:hint="eastAsia" w:ascii="宋体" w:hAnsi="宋体" w:eastAsia="宋体" w:cs="宋体"/>
                <w:b w:val="0"/>
                <w:bCs w:val="0"/>
                <w:color w:val="auto"/>
                <w:kern w:val="21"/>
                <w:sz w:val="24"/>
                <w:szCs w:val="24"/>
                <w:highlight w:val="none"/>
              </w:rPr>
              <w:t>，</w:t>
            </w:r>
            <w:r>
              <w:rPr>
                <w:rFonts w:hint="eastAsia" w:ascii="宋体" w:hAnsi="宋体" w:eastAsia="宋体" w:cs="宋体"/>
                <w:b w:val="0"/>
                <w:bCs w:val="0"/>
                <w:color w:val="auto"/>
                <w:kern w:val="21"/>
                <w:sz w:val="24"/>
                <w:szCs w:val="24"/>
                <w:highlight w:val="none"/>
                <w:lang w:val="en-US" w:eastAsia="zh-CN"/>
              </w:rPr>
              <w:t>不提供不得分</w:t>
            </w:r>
            <w:r>
              <w:rPr>
                <w:rFonts w:hint="eastAsia" w:ascii="宋体" w:hAnsi="宋体" w:eastAsia="宋体" w:cs="宋体"/>
                <w:strike w:val="0"/>
                <w:dstrike w:val="0"/>
                <w:color w:val="auto"/>
                <w:kern w:val="21"/>
                <w:sz w:val="24"/>
                <w:szCs w:val="24"/>
                <w:highlight w:val="none"/>
                <w:lang w:eastAsia="zh-CN"/>
              </w:rPr>
              <w:t>。</w:t>
            </w:r>
          </w:p>
        </w:tc>
      </w:tr>
      <w:tr w14:paraId="0F71A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60" w:hRule="atLeast"/>
          <w:jc w:val="center"/>
        </w:trPr>
        <w:tc>
          <w:tcPr>
            <w:tcW w:w="534" w:type="dxa"/>
            <w:vMerge w:val="restart"/>
            <w:noWrap w:val="0"/>
            <w:tcMar>
              <w:top w:w="0" w:type="dxa"/>
              <w:left w:w="108" w:type="dxa"/>
              <w:bottom w:w="0" w:type="dxa"/>
              <w:right w:w="108" w:type="dxa"/>
            </w:tcMar>
            <w:vAlign w:val="center"/>
          </w:tcPr>
          <w:p w14:paraId="3804A8D7">
            <w:pPr>
              <w:keepNext w:val="0"/>
              <w:keepLines w:val="0"/>
              <w:pageBreakBefore w:val="0"/>
              <w:widowControl/>
              <w:kinsoku/>
              <w:wordWrap/>
              <w:overflowPunct/>
              <w:topLinePunct w:val="0"/>
              <w:bidi w:val="0"/>
              <w:adjustRightInd w:val="0"/>
              <w:snapToGrid w:val="0"/>
              <w:spacing w:line="240" w:lineRule="auto"/>
              <w:ind w:left="0" w:leftChars="0" w:firstLine="0" w:firstLineChars="0"/>
              <w:jc w:val="center"/>
              <w:textAlignment w:val="auto"/>
              <w:rPr>
                <w:rFonts w:hint="eastAsia" w:ascii="宋体" w:hAnsi="宋体" w:eastAsia="宋体" w:cs="宋体"/>
                <w:color w:val="auto"/>
                <w:kern w:val="21"/>
                <w:sz w:val="24"/>
                <w:szCs w:val="24"/>
                <w:highlight w:val="none"/>
              </w:rPr>
            </w:pPr>
            <w:r>
              <w:rPr>
                <w:rFonts w:hint="eastAsia" w:ascii="宋体" w:hAnsi="宋体" w:eastAsia="宋体" w:cs="宋体"/>
                <w:color w:val="auto"/>
                <w:kern w:val="21"/>
                <w:sz w:val="24"/>
                <w:szCs w:val="24"/>
                <w:highlight w:val="none"/>
              </w:rPr>
              <w:t>3</w:t>
            </w:r>
          </w:p>
        </w:tc>
        <w:tc>
          <w:tcPr>
            <w:tcW w:w="1489" w:type="dxa"/>
            <w:vMerge w:val="restart"/>
            <w:noWrap w:val="0"/>
            <w:tcMar>
              <w:top w:w="0" w:type="dxa"/>
              <w:left w:w="108" w:type="dxa"/>
              <w:bottom w:w="0" w:type="dxa"/>
              <w:right w:w="108" w:type="dxa"/>
            </w:tcMar>
            <w:vAlign w:val="center"/>
          </w:tcPr>
          <w:p w14:paraId="040CCA73">
            <w:pPr>
              <w:keepNext w:val="0"/>
              <w:keepLines w:val="0"/>
              <w:pageBreakBefore w:val="0"/>
              <w:widowControl/>
              <w:kinsoku/>
              <w:wordWrap/>
              <w:overflowPunct/>
              <w:topLinePunct w:val="0"/>
              <w:bidi w:val="0"/>
              <w:adjustRightInd w:val="0"/>
              <w:snapToGrid w:val="0"/>
              <w:spacing w:line="240" w:lineRule="auto"/>
              <w:ind w:left="0" w:leftChars="0" w:firstLine="0" w:firstLineChars="0"/>
              <w:jc w:val="center"/>
              <w:textAlignment w:val="auto"/>
              <w:rPr>
                <w:rFonts w:hint="eastAsia" w:ascii="宋体" w:hAnsi="宋体" w:eastAsia="宋体" w:cs="宋体"/>
                <w:color w:val="auto"/>
                <w:kern w:val="21"/>
                <w:sz w:val="24"/>
                <w:szCs w:val="24"/>
                <w:highlight w:val="none"/>
              </w:rPr>
            </w:pPr>
            <w:r>
              <w:rPr>
                <w:rFonts w:hint="eastAsia" w:ascii="宋体" w:hAnsi="宋体" w:eastAsia="宋体" w:cs="宋体"/>
                <w:color w:val="auto"/>
                <w:kern w:val="21"/>
                <w:sz w:val="24"/>
                <w:szCs w:val="24"/>
                <w:highlight w:val="none"/>
              </w:rPr>
              <w:t>技术因素分(</w:t>
            </w:r>
            <w:r>
              <w:rPr>
                <w:rFonts w:hint="eastAsia" w:ascii="宋体" w:hAnsi="宋体" w:eastAsia="宋体" w:cs="宋体"/>
                <w:color w:val="auto"/>
                <w:kern w:val="21"/>
                <w:sz w:val="24"/>
                <w:szCs w:val="24"/>
                <w:highlight w:val="none"/>
                <w:lang w:val="en-US" w:eastAsia="zh-CN"/>
              </w:rPr>
              <w:t>42</w:t>
            </w:r>
            <w:r>
              <w:rPr>
                <w:rFonts w:hint="eastAsia" w:ascii="宋体" w:hAnsi="宋体" w:eastAsia="宋体" w:cs="宋体"/>
                <w:color w:val="auto"/>
                <w:kern w:val="21"/>
                <w:sz w:val="24"/>
                <w:szCs w:val="24"/>
                <w:highlight w:val="none"/>
              </w:rPr>
              <w:t>分)</w:t>
            </w:r>
          </w:p>
          <w:p w14:paraId="560E969E">
            <w:pPr>
              <w:keepNext w:val="0"/>
              <w:keepLines w:val="0"/>
              <w:pageBreakBefore w:val="0"/>
              <w:widowControl/>
              <w:kinsoku/>
              <w:wordWrap/>
              <w:overflowPunct/>
              <w:topLinePunct w:val="0"/>
              <w:bidi w:val="0"/>
              <w:adjustRightInd w:val="0"/>
              <w:snapToGrid w:val="0"/>
              <w:spacing w:line="240" w:lineRule="auto"/>
              <w:ind w:left="0" w:leftChars="0" w:firstLine="0" w:firstLineChars="0"/>
              <w:jc w:val="center"/>
              <w:textAlignment w:val="auto"/>
              <w:rPr>
                <w:rFonts w:hint="eastAsia" w:ascii="宋体" w:hAnsi="宋体" w:eastAsia="宋体" w:cs="宋体"/>
                <w:color w:val="auto"/>
                <w:kern w:val="21"/>
                <w:sz w:val="24"/>
                <w:szCs w:val="24"/>
                <w:highlight w:val="none"/>
              </w:rPr>
            </w:pPr>
          </w:p>
        </w:tc>
        <w:tc>
          <w:tcPr>
            <w:tcW w:w="703" w:type="dxa"/>
            <w:noWrap w:val="0"/>
            <w:tcMar>
              <w:top w:w="0" w:type="dxa"/>
              <w:left w:w="108" w:type="dxa"/>
              <w:bottom w:w="0" w:type="dxa"/>
              <w:right w:w="108" w:type="dxa"/>
            </w:tcMar>
            <w:vAlign w:val="center"/>
          </w:tcPr>
          <w:p w14:paraId="2054807A">
            <w:pPr>
              <w:keepNext w:val="0"/>
              <w:keepLines w:val="0"/>
              <w:pageBreakBefore w:val="0"/>
              <w:widowControl/>
              <w:kinsoku/>
              <w:wordWrap/>
              <w:overflowPunct/>
              <w:topLinePunct w:val="0"/>
              <w:bidi w:val="0"/>
              <w:adjustRightInd w:val="0"/>
              <w:snapToGrid w:val="0"/>
              <w:spacing w:line="240" w:lineRule="auto"/>
              <w:ind w:left="0" w:leftChars="0" w:firstLine="0" w:firstLineChars="0"/>
              <w:jc w:val="center"/>
              <w:textAlignment w:val="auto"/>
              <w:rPr>
                <w:rFonts w:hint="eastAsia" w:ascii="宋体" w:hAnsi="宋体" w:eastAsia="宋体" w:cs="宋体"/>
                <w:color w:val="auto"/>
                <w:kern w:val="21"/>
                <w:sz w:val="24"/>
                <w:szCs w:val="24"/>
                <w:highlight w:val="none"/>
                <w:lang w:val="en-US" w:eastAsia="zh-CN"/>
              </w:rPr>
            </w:pPr>
            <w:r>
              <w:rPr>
                <w:rFonts w:hint="eastAsia" w:ascii="宋体" w:hAnsi="宋体" w:eastAsia="宋体" w:cs="宋体"/>
                <w:color w:val="auto"/>
                <w:kern w:val="21"/>
                <w:sz w:val="24"/>
                <w:szCs w:val="24"/>
                <w:highlight w:val="none"/>
                <w:lang w:val="en-US" w:eastAsia="zh-CN"/>
              </w:rPr>
              <w:t>28分</w:t>
            </w:r>
          </w:p>
          <w:p w14:paraId="6019C149">
            <w:pPr>
              <w:keepNext w:val="0"/>
              <w:keepLines w:val="0"/>
              <w:pageBreakBefore w:val="0"/>
              <w:widowControl/>
              <w:kinsoku/>
              <w:wordWrap/>
              <w:overflowPunct/>
              <w:topLinePunct w:val="0"/>
              <w:bidi w:val="0"/>
              <w:adjustRightInd w:val="0"/>
              <w:snapToGrid w:val="0"/>
              <w:spacing w:line="240" w:lineRule="auto"/>
              <w:ind w:left="0" w:leftChars="0" w:firstLine="0" w:firstLineChars="0"/>
              <w:jc w:val="center"/>
              <w:textAlignment w:val="auto"/>
              <w:rPr>
                <w:rFonts w:hint="eastAsia" w:ascii="宋体" w:hAnsi="宋体" w:eastAsia="宋体" w:cs="宋体"/>
                <w:color w:val="auto"/>
                <w:kern w:val="21"/>
                <w:sz w:val="24"/>
                <w:szCs w:val="24"/>
                <w:highlight w:val="none"/>
              </w:rPr>
            </w:pPr>
          </w:p>
        </w:tc>
        <w:tc>
          <w:tcPr>
            <w:tcW w:w="7699" w:type="dxa"/>
            <w:noWrap w:val="0"/>
            <w:tcMar>
              <w:top w:w="0" w:type="dxa"/>
              <w:left w:w="108" w:type="dxa"/>
              <w:bottom w:w="0" w:type="dxa"/>
              <w:right w:w="108" w:type="dxa"/>
            </w:tcMar>
            <w:vAlign w:val="center"/>
          </w:tcPr>
          <w:p w14:paraId="64D7240F">
            <w:pPr>
              <w:keepNext w:val="0"/>
              <w:keepLines w:val="0"/>
              <w:pageBreakBefore w:val="0"/>
              <w:numPr>
                <w:ilvl w:val="0"/>
                <w:numId w:val="0"/>
              </w:numPr>
              <w:kinsoku/>
              <w:wordWrap/>
              <w:overflowPunct/>
              <w:topLinePunct w:val="0"/>
              <w:bidi w:val="0"/>
              <w:adjustRightInd w:val="0"/>
              <w:snapToGrid w:val="0"/>
              <w:spacing w:line="240" w:lineRule="auto"/>
              <w:ind w:left="0" w:leftChars="0" w:firstLine="0" w:firstLineChars="0"/>
              <w:jc w:val="both"/>
              <w:textAlignment w:val="auto"/>
              <w:rPr>
                <w:rFonts w:hint="eastAsia" w:ascii="宋体" w:hAnsi="宋体" w:eastAsia="宋体" w:cs="宋体"/>
                <w:strike w:val="0"/>
                <w:dstrike w:val="0"/>
                <w:color w:val="auto"/>
                <w:kern w:val="21"/>
                <w:sz w:val="24"/>
                <w:szCs w:val="24"/>
                <w:highlight w:val="none"/>
                <w:lang w:val="en-US" w:eastAsia="zh-CN"/>
              </w:rPr>
            </w:pPr>
            <w:bookmarkStart w:id="156" w:name="_GoBack"/>
            <w:bookmarkStart w:id="124" w:name="OLE_LINK9"/>
            <w:r>
              <w:rPr>
                <w:rFonts w:hint="eastAsia" w:ascii="宋体" w:hAnsi="宋体" w:eastAsia="宋体" w:cs="宋体"/>
                <w:strike w:val="0"/>
                <w:dstrike w:val="0"/>
                <w:color w:val="auto"/>
                <w:kern w:val="21"/>
                <w:sz w:val="24"/>
                <w:szCs w:val="24"/>
                <w:highlight w:val="none"/>
                <w:lang w:val="en-US" w:eastAsia="zh-CN"/>
              </w:rPr>
              <w:t xml:space="preserve">点型光电感烟火灾探测器： </w:t>
            </w:r>
            <w:bookmarkStart w:id="125" w:name="OLE_LINK2"/>
          </w:p>
          <w:bookmarkEnd w:id="125"/>
          <w:p w14:paraId="338B6753">
            <w:pPr>
              <w:keepNext w:val="0"/>
              <w:keepLines w:val="0"/>
              <w:pageBreakBefore w:val="0"/>
              <w:numPr>
                <w:ilvl w:val="0"/>
                <w:numId w:val="0"/>
              </w:numPr>
              <w:kinsoku/>
              <w:wordWrap/>
              <w:overflowPunct/>
              <w:topLinePunct w:val="0"/>
              <w:bidi w:val="0"/>
              <w:adjustRightInd w:val="0"/>
              <w:snapToGrid w:val="0"/>
              <w:spacing w:line="240" w:lineRule="auto"/>
              <w:ind w:left="0" w:leftChars="0" w:firstLine="0" w:firstLineChars="0"/>
              <w:jc w:val="both"/>
              <w:textAlignment w:val="auto"/>
              <w:rPr>
                <w:rFonts w:hint="eastAsia" w:ascii="宋体" w:hAnsi="宋体" w:eastAsia="宋体" w:cs="宋体"/>
                <w:strike w:val="0"/>
                <w:dstrike w:val="0"/>
                <w:color w:val="auto"/>
                <w:kern w:val="21"/>
                <w:sz w:val="24"/>
                <w:szCs w:val="24"/>
                <w:highlight w:val="none"/>
                <w:lang w:val="en-US" w:eastAsia="zh-CN"/>
              </w:rPr>
            </w:pPr>
            <w:r>
              <w:rPr>
                <w:rFonts w:hint="eastAsia" w:ascii="宋体" w:hAnsi="宋体" w:eastAsia="宋体" w:cs="宋体"/>
                <w:strike w:val="0"/>
                <w:dstrike w:val="0"/>
                <w:color w:val="auto"/>
                <w:kern w:val="21"/>
                <w:sz w:val="24"/>
                <w:szCs w:val="24"/>
                <w:highlight w:val="none"/>
                <w:lang w:val="en-US" w:eastAsia="zh-CN"/>
              </w:rPr>
              <w:t>1.通过电源参数波动试验响应阈值在</w:t>
            </w:r>
            <w:bookmarkStart w:id="126" w:name="OLE_LINK7"/>
            <w:r>
              <w:rPr>
                <w:rFonts w:hint="eastAsia" w:ascii="宋体" w:hAnsi="宋体" w:eastAsia="宋体" w:cs="宋体"/>
                <w:strike w:val="0"/>
                <w:dstrike w:val="0"/>
                <w:color w:val="auto"/>
                <w:kern w:val="21"/>
                <w:sz w:val="24"/>
                <w:szCs w:val="24"/>
                <w:highlight w:val="none"/>
                <w:lang w:val="en-US" w:eastAsia="zh-CN"/>
              </w:rPr>
              <w:t>0.103～0.116之间</w:t>
            </w:r>
            <w:bookmarkEnd w:id="126"/>
            <w:r>
              <w:rPr>
                <w:rFonts w:hint="eastAsia" w:ascii="宋体" w:hAnsi="宋体" w:eastAsia="宋体" w:cs="宋体"/>
                <w:strike w:val="0"/>
                <w:dstrike w:val="0"/>
                <w:color w:val="auto"/>
                <w:kern w:val="21"/>
                <w:sz w:val="24"/>
                <w:szCs w:val="24"/>
                <w:highlight w:val="none"/>
                <w:lang w:val="en-US" w:eastAsia="zh-CN"/>
              </w:rPr>
              <w:t>，比值≥1.04；提供具有此参数的第三方检测机构出具的检验报告；</w:t>
            </w:r>
          </w:p>
          <w:p w14:paraId="378B2A9F">
            <w:pPr>
              <w:keepNext w:val="0"/>
              <w:keepLines w:val="0"/>
              <w:pageBreakBefore w:val="0"/>
              <w:numPr>
                <w:ilvl w:val="0"/>
                <w:numId w:val="0"/>
              </w:numPr>
              <w:kinsoku/>
              <w:wordWrap/>
              <w:overflowPunct/>
              <w:topLinePunct w:val="0"/>
              <w:bidi w:val="0"/>
              <w:adjustRightInd w:val="0"/>
              <w:snapToGrid w:val="0"/>
              <w:spacing w:line="240" w:lineRule="auto"/>
              <w:ind w:left="0" w:leftChars="0" w:firstLine="0" w:firstLineChars="0"/>
              <w:jc w:val="both"/>
              <w:textAlignment w:val="auto"/>
              <w:rPr>
                <w:rFonts w:hint="eastAsia" w:ascii="宋体" w:hAnsi="宋体" w:eastAsia="宋体" w:cs="宋体"/>
                <w:strike w:val="0"/>
                <w:dstrike w:val="0"/>
                <w:color w:val="auto"/>
                <w:kern w:val="21"/>
                <w:sz w:val="24"/>
                <w:szCs w:val="24"/>
                <w:highlight w:val="none"/>
                <w:lang w:val="en-US" w:eastAsia="zh-CN"/>
              </w:rPr>
            </w:pPr>
            <w:r>
              <w:rPr>
                <w:rFonts w:hint="eastAsia" w:ascii="宋体" w:hAnsi="宋体" w:eastAsia="宋体" w:cs="宋体"/>
                <w:strike w:val="0"/>
                <w:dstrike w:val="0"/>
                <w:color w:val="auto"/>
                <w:kern w:val="21"/>
                <w:sz w:val="24"/>
                <w:szCs w:val="24"/>
                <w:highlight w:val="none"/>
                <w:lang w:val="en-US" w:eastAsia="zh-CN"/>
              </w:rPr>
              <w:t>2.高温试验响应阈值≥0.111（环后），</w:t>
            </w:r>
            <w:bookmarkStart w:id="127" w:name="OLE_LINK11"/>
            <w:r>
              <w:rPr>
                <w:rFonts w:hint="eastAsia" w:ascii="宋体" w:hAnsi="宋体" w:eastAsia="宋体" w:cs="宋体"/>
                <w:strike w:val="0"/>
                <w:dstrike w:val="0"/>
                <w:color w:val="auto"/>
                <w:kern w:val="21"/>
                <w:sz w:val="24"/>
                <w:szCs w:val="24"/>
                <w:highlight w:val="none"/>
                <w:lang w:val="en-US" w:eastAsia="zh-CN"/>
              </w:rPr>
              <w:t>比值≥1.08</w:t>
            </w:r>
            <w:bookmarkEnd w:id="127"/>
            <w:r>
              <w:rPr>
                <w:rFonts w:hint="eastAsia" w:ascii="宋体" w:hAnsi="宋体" w:eastAsia="宋体" w:cs="宋体"/>
                <w:strike w:val="0"/>
                <w:dstrike w:val="0"/>
                <w:color w:val="auto"/>
                <w:kern w:val="21"/>
                <w:sz w:val="24"/>
                <w:szCs w:val="24"/>
                <w:highlight w:val="none"/>
                <w:lang w:val="en-US" w:eastAsia="zh-CN"/>
              </w:rPr>
              <w:t>；提供</w:t>
            </w:r>
            <w:bookmarkStart w:id="128" w:name="OLE_LINK10"/>
            <w:r>
              <w:rPr>
                <w:rFonts w:hint="eastAsia" w:ascii="宋体" w:hAnsi="宋体" w:eastAsia="宋体" w:cs="宋体"/>
                <w:strike w:val="0"/>
                <w:dstrike w:val="0"/>
                <w:color w:val="auto"/>
                <w:kern w:val="21"/>
                <w:sz w:val="24"/>
                <w:szCs w:val="24"/>
                <w:highlight w:val="none"/>
                <w:lang w:val="en-US" w:eastAsia="zh-CN"/>
              </w:rPr>
              <w:t>具有此参数的</w:t>
            </w:r>
            <w:bookmarkEnd w:id="128"/>
            <w:r>
              <w:rPr>
                <w:rFonts w:hint="eastAsia" w:ascii="宋体" w:hAnsi="宋体" w:eastAsia="宋体" w:cs="宋体"/>
                <w:strike w:val="0"/>
                <w:dstrike w:val="0"/>
                <w:color w:val="auto"/>
                <w:kern w:val="21"/>
                <w:sz w:val="24"/>
                <w:szCs w:val="24"/>
                <w:highlight w:val="none"/>
                <w:lang w:val="en-US" w:eastAsia="zh-CN"/>
              </w:rPr>
              <w:t>第三方检测机构出具的检验报告；</w:t>
            </w:r>
          </w:p>
          <w:p w14:paraId="08B5C542">
            <w:pPr>
              <w:keepNext w:val="0"/>
              <w:keepLines w:val="0"/>
              <w:pageBreakBefore w:val="0"/>
              <w:numPr>
                <w:ilvl w:val="0"/>
                <w:numId w:val="0"/>
              </w:numPr>
              <w:kinsoku/>
              <w:wordWrap/>
              <w:overflowPunct/>
              <w:topLinePunct w:val="0"/>
              <w:bidi w:val="0"/>
              <w:adjustRightInd w:val="0"/>
              <w:snapToGrid w:val="0"/>
              <w:spacing w:line="240" w:lineRule="auto"/>
              <w:ind w:left="0" w:leftChars="0" w:firstLine="0" w:firstLineChars="0"/>
              <w:jc w:val="both"/>
              <w:textAlignment w:val="auto"/>
              <w:rPr>
                <w:rFonts w:hint="eastAsia" w:ascii="宋体" w:hAnsi="宋体" w:eastAsia="宋体" w:cs="宋体"/>
                <w:strike w:val="0"/>
                <w:dstrike w:val="0"/>
                <w:color w:val="auto"/>
                <w:kern w:val="21"/>
                <w:sz w:val="24"/>
                <w:szCs w:val="24"/>
                <w:highlight w:val="none"/>
                <w:lang w:val="en-US" w:eastAsia="zh-CN"/>
              </w:rPr>
            </w:pPr>
            <w:r>
              <w:rPr>
                <w:rFonts w:hint="eastAsia" w:ascii="宋体" w:hAnsi="宋体" w:eastAsia="宋体" w:cs="宋体"/>
                <w:strike w:val="0"/>
                <w:dstrike w:val="0"/>
                <w:color w:val="auto"/>
                <w:kern w:val="21"/>
                <w:sz w:val="24"/>
                <w:szCs w:val="24"/>
                <w:highlight w:val="none"/>
                <w:lang w:val="en-US" w:eastAsia="zh-CN"/>
              </w:rPr>
              <w:t>3.浪涌（冲击）抗扰度试验响应阈值(m)≥0.119(环后)，比值 ≥1.03，提供具有此参数的第三方检测机构出具的检验报告。</w:t>
            </w:r>
          </w:p>
          <w:p w14:paraId="7C6A0C75">
            <w:pPr>
              <w:keepNext w:val="0"/>
              <w:keepLines w:val="0"/>
              <w:pageBreakBefore w:val="0"/>
              <w:numPr>
                <w:ilvl w:val="0"/>
                <w:numId w:val="0"/>
              </w:numPr>
              <w:kinsoku/>
              <w:wordWrap/>
              <w:overflowPunct/>
              <w:topLinePunct w:val="0"/>
              <w:bidi w:val="0"/>
              <w:adjustRightInd w:val="0"/>
              <w:snapToGrid w:val="0"/>
              <w:spacing w:line="240" w:lineRule="auto"/>
              <w:ind w:left="0" w:leftChars="0" w:firstLine="0" w:firstLineChars="0"/>
              <w:jc w:val="both"/>
              <w:textAlignment w:val="auto"/>
              <w:rPr>
                <w:rFonts w:hint="eastAsia" w:ascii="宋体" w:hAnsi="宋体" w:eastAsia="宋体" w:cs="宋体"/>
                <w:strike w:val="0"/>
                <w:dstrike w:val="0"/>
                <w:color w:val="auto"/>
                <w:kern w:val="21"/>
                <w:sz w:val="24"/>
                <w:szCs w:val="24"/>
                <w:highlight w:val="none"/>
                <w:lang w:val="en-US" w:eastAsia="zh-CN"/>
              </w:rPr>
            </w:pPr>
            <w:r>
              <w:rPr>
                <w:rFonts w:hint="eastAsia" w:ascii="宋体" w:hAnsi="宋体" w:eastAsia="宋体" w:cs="宋体"/>
                <w:strike w:val="0"/>
                <w:dstrike w:val="0"/>
                <w:color w:val="auto"/>
                <w:kern w:val="21"/>
                <w:sz w:val="24"/>
                <w:szCs w:val="24"/>
                <w:highlight w:val="none"/>
                <w:lang w:val="en-US" w:eastAsia="zh-CN"/>
              </w:rPr>
              <w:t xml:space="preserve">巡更棒： </w:t>
            </w:r>
          </w:p>
          <w:p w14:paraId="1584E82D">
            <w:pPr>
              <w:keepNext w:val="0"/>
              <w:keepLines w:val="0"/>
              <w:pageBreakBefore w:val="0"/>
              <w:numPr>
                <w:ilvl w:val="0"/>
                <w:numId w:val="0"/>
              </w:numPr>
              <w:kinsoku/>
              <w:wordWrap/>
              <w:overflowPunct/>
              <w:topLinePunct w:val="0"/>
              <w:bidi w:val="0"/>
              <w:adjustRightInd w:val="0"/>
              <w:snapToGrid w:val="0"/>
              <w:spacing w:line="240" w:lineRule="auto"/>
              <w:ind w:left="0" w:leftChars="0" w:firstLine="0" w:firstLineChars="0"/>
              <w:jc w:val="both"/>
              <w:textAlignment w:val="auto"/>
              <w:rPr>
                <w:rFonts w:hint="eastAsia" w:ascii="宋体" w:hAnsi="宋体" w:eastAsia="宋体" w:cs="宋体"/>
                <w:strike w:val="0"/>
                <w:dstrike w:val="0"/>
                <w:color w:val="auto"/>
                <w:kern w:val="21"/>
                <w:sz w:val="24"/>
                <w:szCs w:val="24"/>
                <w:highlight w:val="none"/>
                <w:lang w:val="en-US" w:eastAsia="zh-CN"/>
              </w:rPr>
            </w:pPr>
            <w:r>
              <w:rPr>
                <w:rFonts w:hint="eastAsia" w:ascii="宋体" w:hAnsi="宋体" w:eastAsia="宋体" w:cs="宋体"/>
                <w:strike w:val="0"/>
                <w:dstrike w:val="0"/>
                <w:color w:val="auto"/>
                <w:kern w:val="21"/>
                <w:sz w:val="24"/>
                <w:szCs w:val="24"/>
                <w:highlight w:val="none"/>
                <w:lang w:val="en-US" w:eastAsia="zh-CN"/>
              </w:rPr>
              <w:t>1.使用过程中，采集信息应能存储</w:t>
            </w:r>
            <w:bookmarkStart w:id="129" w:name="OLE_LINK12"/>
            <w:r>
              <w:rPr>
                <w:rFonts w:hint="eastAsia" w:ascii="宋体" w:hAnsi="宋体" w:eastAsia="宋体" w:cs="宋体"/>
                <w:strike w:val="0"/>
                <w:dstrike w:val="0"/>
                <w:color w:val="auto"/>
                <w:kern w:val="21"/>
                <w:sz w:val="24"/>
                <w:szCs w:val="24"/>
                <w:highlight w:val="none"/>
                <w:lang w:val="en-US" w:eastAsia="zh-CN"/>
              </w:rPr>
              <w:t>≥4000</w:t>
            </w:r>
            <w:bookmarkEnd w:id="129"/>
            <w:r>
              <w:rPr>
                <w:rFonts w:hint="eastAsia" w:ascii="宋体" w:hAnsi="宋体" w:eastAsia="宋体" w:cs="宋体"/>
                <w:strike w:val="0"/>
                <w:dstrike w:val="0"/>
                <w:color w:val="auto"/>
                <w:kern w:val="21"/>
                <w:sz w:val="24"/>
                <w:szCs w:val="24"/>
                <w:highlight w:val="none"/>
                <w:lang w:val="en-US" w:eastAsia="zh-CN"/>
              </w:rPr>
              <w:t>条的巡查信息；识读装置宜具有巡查信息存储功能，存储容量由产品标准规定；采集装置在换电池或掉电时，所存储的巡查信息不应丢失，保存时间≥10天。系统应对正常和异常巡查信息进行记录，每条巡查记录应准确反映时间、地点、人员信息。提供具有此参数的第三方检测机构出具的检验报告；</w:t>
            </w:r>
          </w:p>
          <w:p w14:paraId="50F51C6F">
            <w:pPr>
              <w:keepNext w:val="0"/>
              <w:keepLines w:val="0"/>
              <w:pageBreakBefore w:val="0"/>
              <w:numPr>
                <w:ilvl w:val="0"/>
                <w:numId w:val="0"/>
              </w:numPr>
              <w:kinsoku/>
              <w:wordWrap/>
              <w:overflowPunct/>
              <w:topLinePunct w:val="0"/>
              <w:bidi w:val="0"/>
              <w:adjustRightInd w:val="0"/>
              <w:snapToGrid w:val="0"/>
              <w:spacing w:line="240" w:lineRule="auto"/>
              <w:ind w:left="0" w:leftChars="0" w:firstLine="0" w:firstLineChars="0"/>
              <w:jc w:val="both"/>
              <w:textAlignment w:val="auto"/>
              <w:rPr>
                <w:rFonts w:hint="eastAsia" w:ascii="宋体" w:hAnsi="宋体" w:eastAsia="宋体" w:cs="宋体"/>
                <w:strike w:val="0"/>
                <w:dstrike w:val="0"/>
                <w:color w:val="auto"/>
                <w:kern w:val="21"/>
                <w:sz w:val="24"/>
                <w:szCs w:val="24"/>
                <w:highlight w:val="none"/>
                <w:lang w:val="en-US" w:eastAsia="zh-CN"/>
              </w:rPr>
            </w:pPr>
            <w:r>
              <w:rPr>
                <w:rFonts w:hint="eastAsia" w:ascii="宋体" w:hAnsi="宋体" w:eastAsia="宋体" w:cs="宋体"/>
                <w:strike w:val="0"/>
                <w:dstrike w:val="0"/>
                <w:color w:val="auto"/>
                <w:kern w:val="21"/>
                <w:sz w:val="24"/>
                <w:szCs w:val="24"/>
                <w:highlight w:val="none"/>
                <w:lang w:val="en-US" w:eastAsia="zh-CN"/>
              </w:rPr>
              <w:t>2.产品具备防爆检验证明，以确保产品使用的安全性，提供证明文件。</w:t>
            </w:r>
          </w:p>
          <w:p w14:paraId="691DBF09">
            <w:pPr>
              <w:keepNext w:val="0"/>
              <w:keepLines w:val="0"/>
              <w:pageBreakBefore w:val="0"/>
              <w:numPr>
                <w:ilvl w:val="0"/>
                <w:numId w:val="0"/>
              </w:numPr>
              <w:kinsoku/>
              <w:wordWrap/>
              <w:overflowPunct/>
              <w:topLinePunct w:val="0"/>
              <w:bidi w:val="0"/>
              <w:adjustRightInd w:val="0"/>
              <w:snapToGrid w:val="0"/>
              <w:spacing w:line="240" w:lineRule="auto"/>
              <w:ind w:left="0" w:leftChars="0" w:firstLine="0" w:firstLineChars="0"/>
              <w:jc w:val="both"/>
              <w:textAlignment w:val="auto"/>
              <w:rPr>
                <w:rFonts w:hint="eastAsia" w:ascii="宋体" w:hAnsi="宋体" w:eastAsia="宋体" w:cs="宋体"/>
                <w:strike w:val="0"/>
                <w:dstrike w:val="0"/>
                <w:color w:val="auto"/>
                <w:kern w:val="21"/>
                <w:sz w:val="24"/>
                <w:szCs w:val="24"/>
                <w:highlight w:val="none"/>
                <w:lang w:val="en-US" w:eastAsia="zh-CN"/>
              </w:rPr>
            </w:pPr>
            <w:r>
              <w:rPr>
                <w:rFonts w:hint="eastAsia" w:ascii="宋体" w:hAnsi="宋体" w:eastAsia="宋体" w:cs="宋体"/>
                <w:strike w:val="0"/>
                <w:dstrike w:val="0"/>
                <w:color w:val="auto"/>
                <w:kern w:val="21"/>
                <w:sz w:val="24"/>
                <w:szCs w:val="24"/>
                <w:highlight w:val="none"/>
                <w:lang w:val="en-US" w:eastAsia="zh-CN"/>
              </w:rPr>
              <w:t xml:space="preserve">报警提示音箱： </w:t>
            </w:r>
          </w:p>
          <w:p w14:paraId="28E70D94">
            <w:pPr>
              <w:keepNext w:val="0"/>
              <w:keepLines w:val="0"/>
              <w:pageBreakBefore w:val="0"/>
              <w:numPr>
                <w:ilvl w:val="0"/>
                <w:numId w:val="0"/>
              </w:numPr>
              <w:kinsoku/>
              <w:wordWrap/>
              <w:overflowPunct/>
              <w:topLinePunct w:val="0"/>
              <w:bidi w:val="0"/>
              <w:adjustRightInd w:val="0"/>
              <w:snapToGrid w:val="0"/>
              <w:spacing w:line="240" w:lineRule="auto"/>
              <w:ind w:left="0" w:leftChars="0" w:firstLine="0" w:firstLineChars="0"/>
              <w:jc w:val="both"/>
              <w:textAlignment w:val="auto"/>
              <w:rPr>
                <w:rFonts w:hint="eastAsia" w:ascii="宋体" w:hAnsi="宋体" w:eastAsia="宋体" w:cs="宋体"/>
                <w:strike w:val="0"/>
                <w:dstrike w:val="0"/>
                <w:color w:val="auto"/>
                <w:kern w:val="21"/>
                <w:sz w:val="24"/>
                <w:szCs w:val="24"/>
                <w:highlight w:val="none"/>
                <w:lang w:val="en-US" w:eastAsia="zh-CN"/>
              </w:rPr>
            </w:pPr>
            <w:r>
              <w:rPr>
                <w:rFonts w:hint="eastAsia" w:ascii="宋体" w:hAnsi="宋体" w:eastAsia="宋体" w:cs="宋体"/>
                <w:strike w:val="0"/>
                <w:dstrike w:val="0"/>
                <w:color w:val="auto"/>
                <w:kern w:val="21"/>
                <w:sz w:val="24"/>
                <w:szCs w:val="24"/>
                <w:highlight w:val="none"/>
                <w:lang w:val="en-US" w:eastAsia="zh-CN"/>
              </w:rPr>
              <w:t>1.</w:t>
            </w:r>
            <w:bookmarkStart w:id="130" w:name="OLE_LINK4"/>
            <w:r>
              <w:rPr>
                <w:rFonts w:hint="eastAsia" w:ascii="宋体" w:hAnsi="宋体" w:eastAsia="宋体" w:cs="宋体"/>
                <w:strike w:val="0"/>
                <w:dstrike w:val="0"/>
                <w:color w:val="auto"/>
                <w:kern w:val="21"/>
                <w:sz w:val="24"/>
                <w:szCs w:val="24"/>
                <w:highlight w:val="none"/>
                <w:lang w:val="en-US" w:eastAsia="zh-CN"/>
              </w:rPr>
              <w:t>带LED显示屏</w:t>
            </w:r>
            <w:bookmarkEnd w:id="130"/>
            <w:r>
              <w:rPr>
                <w:rFonts w:hint="eastAsia" w:ascii="宋体" w:hAnsi="宋体" w:eastAsia="宋体" w:cs="宋体"/>
                <w:strike w:val="0"/>
                <w:dstrike w:val="0"/>
                <w:color w:val="auto"/>
                <w:kern w:val="21"/>
                <w:sz w:val="24"/>
                <w:szCs w:val="24"/>
                <w:highlight w:val="none"/>
                <w:lang w:val="en-US" w:eastAsia="zh-CN"/>
              </w:rPr>
              <w:t>，未播放音频时显示当前时钟，播放音频时显示实时播放时长；提供具有此参数的第三方检测机构出具的检测报告；</w:t>
            </w:r>
          </w:p>
          <w:p w14:paraId="388E080E">
            <w:pPr>
              <w:keepNext w:val="0"/>
              <w:keepLines w:val="0"/>
              <w:pageBreakBefore w:val="0"/>
              <w:numPr>
                <w:ilvl w:val="0"/>
                <w:numId w:val="0"/>
              </w:numPr>
              <w:kinsoku/>
              <w:wordWrap/>
              <w:overflowPunct/>
              <w:topLinePunct w:val="0"/>
              <w:bidi w:val="0"/>
              <w:adjustRightInd w:val="0"/>
              <w:snapToGrid w:val="0"/>
              <w:spacing w:line="240" w:lineRule="auto"/>
              <w:ind w:left="0" w:leftChars="0" w:firstLine="0" w:firstLineChars="0"/>
              <w:jc w:val="both"/>
              <w:textAlignment w:val="auto"/>
              <w:rPr>
                <w:rFonts w:hint="eastAsia" w:ascii="宋体" w:hAnsi="宋体" w:eastAsia="宋体" w:cs="宋体"/>
                <w:strike w:val="0"/>
                <w:dstrike w:val="0"/>
                <w:color w:val="auto"/>
                <w:kern w:val="21"/>
                <w:sz w:val="24"/>
                <w:szCs w:val="24"/>
                <w:highlight w:val="none"/>
                <w:lang w:val="en-US" w:eastAsia="zh-CN"/>
              </w:rPr>
            </w:pPr>
            <w:r>
              <w:rPr>
                <w:rFonts w:hint="eastAsia" w:ascii="宋体" w:hAnsi="宋体" w:eastAsia="宋体" w:cs="宋体"/>
                <w:strike w:val="0"/>
                <w:dstrike w:val="0"/>
                <w:color w:val="auto"/>
                <w:kern w:val="21"/>
                <w:sz w:val="24"/>
                <w:szCs w:val="24"/>
                <w:highlight w:val="none"/>
                <w:lang w:val="en-US" w:eastAsia="zh-CN"/>
              </w:rPr>
              <w:t>2.具有消防短路联动触发输入接口</w:t>
            </w:r>
            <w:bookmarkStart w:id="131" w:name="OLE_LINK3"/>
            <w:r>
              <w:rPr>
                <w:rFonts w:hint="eastAsia" w:ascii="宋体" w:hAnsi="宋体" w:eastAsia="宋体" w:cs="宋体"/>
                <w:strike w:val="0"/>
                <w:dstrike w:val="0"/>
                <w:color w:val="auto"/>
                <w:kern w:val="21"/>
                <w:sz w:val="24"/>
                <w:szCs w:val="24"/>
                <w:highlight w:val="none"/>
                <w:lang w:val="en-US" w:eastAsia="zh-CN"/>
              </w:rPr>
              <w:t>≥1路</w:t>
            </w:r>
            <w:bookmarkEnd w:id="131"/>
            <w:r>
              <w:rPr>
                <w:rFonts w:hint="eastAsia" w:ascii="宋体" w:hAnsi="宋体" w:eastAsia="宋体" w:cs="宋体"/>
                <w:strike w:val="0"/>
                <w:dstrike w:val="0"/>
                <w:color w:val="auto"/>
                <w:kern w:val="21"/>
                <w:sz w:val="24"/>
                <w:szCs w:val="24"/>
                <w:highlight w:val="none"/>
                <w:lang w:val="en-US" w:eastAsia="zh-CN"/>
              </w:rPr>
              <w:t>，提供第三方检测机构出具的检验报告；</w:t>
            </w:r>
          </w:p>
          <w:p w14:paraId="7506F932">
            <w:pPr>
              <w:keepNext w:val="0"/>
              <w:keepLines w:val="0"/>
              <w:pageBreakBefore w:val="0"/>
              <w:numPr>
                <w:ilvl w:val="0"/>
                <w:numId w:val="0"/>
              </w:numPr>
              <w:kinsoku/>
              <w:wordWrap/>
              <w:overflowPunct/>
              <w:topLinePunct w:val="0"/>
              <w:bidi w:val="0"/>
              <w:adjustRightInd w:val="0"/>
              <w:snapToGrid w:val="0"/>
              <w:spacing w:line="240" w:lineRule="auto"/>
              <w:ind w:left="0" w:leftChars="0" w:firstLine="0" w:firstLineChars="0"/>
              <w:jc w:val="both"/>
              <w:textAlignment w:val="auto"/>
              <w:rPr>
                <w:rFonts w:hint="eastAsia" w:ascii="宋体" w:hAnsi="宋体" w:eastAsia="宋体" w:cs="宋体"/>
                <w:strike w:val="0"/>
                <w:dstrike w:val="0"/>
                <w:color w:val="auto"/>
                <w:kern w:val="21"/>
                <w:sz w:val="24"/>
                <w:szCs w:val="24"/>
                <w:highlight w:val="none"/>
                <w:lang w:val="en-US" w:eastAsia="zh-CN"/>
              </w:rPr>
            </w:pPr>
            <w:r>
              <w:rPr>
                <w:rFonts w:hint="eastAsia" w:ascii="宋体" w:hAnsi="宋体" w:eastAsia="宋体" w:cs="宋体"/>
                <w:strike w:val="0"/>
                <w:dstrike w:val="0"/>
                <w:color w:val="auto"/>
                <w:kern w:val="21"/>
                <w:sz w:val="24"/>
                <w:szCs w:val="24"/>
                <w:highlight w:val="none"/>
                <w:lang w:val="en-US" w:eastAsia="zh-CN"/>
              </w:rPr>
              <w:t>3.支持</w:t>
            </w:r>
            <w:bookmarkStart w:id="132" w:name="OLE_LINK5"/>
            <w:r>
              <w:rPr>
                <w:rFonts w:hint="eastAsia" w:ascii="宋体" w:hAnsi="宋体" w:eastAsia="宋体" w:cs="宋体"/>
                <w:strike w:val="0"/>
                <w:dstrike w:val="0"/>
                <w:color w:val="auto"/>
                <w:kern w:val="21"/>
                <w:sz w:val="24"/>
                <w:szCs w:val="24"/>
                <w:highlight w:val="none"/>
                <w:lang w:val="en-US" w:eastAsia="zh-CN"/>
              </w:rPr>
              <w:t>TCP/UDP/ARP/HTTP</w:t>
            </w:r>
            <w:bookmarkEnd w:id="132"/>
            <w:r>
              <w:rPr>
                <w:rFonts w:hint="eastAsia" w:ascii="宋体" w:hAnsi="宋体" w:eastAsia="宋体" w:cs="宋体"/>
                <w:strike w:val="0"/>
                <w:dstrike w:val="0"/>
                <w:color w:val="auto"/>
                <w:kern w:val="21"/>
                <w:sz w:val="24"/>
                <w:szCs w:val="24"/>
                <w:highlight w:val="none"/>
                <w:lang w:val="en-US" w:eastAsia="zh-CN"/>
              </w:rPr>
              <w:t>等多种网络传输协议，</w:t>
            </w:r>
            <w:bookmarkStart w:id="133" w:name="OLE_LINK13"/>
            <w:r>
              <w:rPr>
                <w:rFonts w:hint="eastAsia" w:ascii="宋体" w:hAnsi="宋体" w:eastAsia="宋体" w:cs="宋体"/>
                <w:strike w:val="0"/>
                <w:dstrike w:val="0"/>
                <w:color w:val="auto"/>
                <w:kern w:val="21"/>
                <w:sz w:val="24"/>
                <w:szCs w:val="24"/>
                <w:highlight w:val="none"/>
                <w:lang w:val="en-US" w:eastAsia="zh-CN"/>
              </w:rPr>
              <w:t>支持跨交换机</w:t>
            </w:r>
            <w:bookmarkEnd w:id="133"/>
            <w:r>
              <w:rPr>
                <w:rFonts w:hint="eastAsia" w:ascii="宋体" w:hAnsi="宋体" w:eastAsia="宋体" w:cs="宋体"/>
                <w:strike w:val="0"/>
                <w:dstrike w:val="0"/>
                <w:color w:val="auto"/>
                <w:kern w:val="21"/>
                <w:sz w:val="24"/>
                <w:szCs w:val="24"/>
                <w:highlight w:val="none"/>
                <w:lang w:val="en-US" w:eastAsia="zh-CN"/>
              </w:rPr>
              <w:t>、路由器、互联网连接功能；提供具有此参数的第三方检测机构出具的检验报告；</w:t>
            </w:r>
          </w:p>
          <w:p w14:paraId="37468614">
            <w:pPr>
              <w:keepNext w:val="0"/>
              <w:keepLines w:val="0"/>
              <w:pageBreakBefore w:val="0"/>
              <w:numPr>
                <w:ilvl w:val="0"/>
                <w:numId w:val="0"/>
              </w:numPr>
              <w:kinsoku/>
              <w:wordWrap/>
              <w:overflowPunct/>
              <w:topLinePunct w:val="0"/>
              <w:bidi w:val="0"/>
              <w:adjustRightInd w:val="0"/>
              <w:snapToGrid w:val="0"/>
              <w:spacing w:line="240" w:lineRule="auto"/>
              <w:ind w:left="0" w:leftChars="0" w:firstLine="0" w:firstLineChars="0"/>
              <w:jc w:val="both"/>
              <w:textAlignment w:val="auto"/>
              <w:rPr>
                <w:rFonts w:hint="eastAsia" w:ascii="宋体" w:hAnsi="宋体" w:eastAsia="宋体" w:cs="宋体"/>
                <w:strike w:val="0"/>
                <w:dstrike w:val="0"/>
                <w:color w:val="auto"/>
                <w:kern w:val="21"/>
                <w:sz w:val="24"/>
                <w:szCs w:val="24"/>
                <w:highlight w:val="none"/>
                <w:lang w:val="en-US" w:eastAsia="zh-CN"/>
              </w:rPr>
            </w:pPr>
            <w:r>
              <w:rPr>
                <w:rFonts w:hint="eastAsia" w:ascii="宋体" w:hAnsi="宋体" w:eastAsia="宋体" w:cs="宋体"/>
                <w:strike w:val="0"/>
                <w:dstrike w:val="0"/>
                <w:color w:val="auto"/>
                <w:kern w:val="21"/>
                <w:sz w:val="24"/>
                <w:szCs w:val="24"/>
                <w:highlight w:val="none"/>
                <w:lang w:val="en-US" w:eastAsia="zh-CN"/>
              </w:rPr>
              <w:t xml:space="preserve">工作站： </w:t>
            </w:r>
          </w:p>
          <w:p w14:paraId="7B79DD42">
            <w:pPr>
              <w:keepNext w:val="0"/>
              <w:keepLines w:val="0"/>
              <w:pageBreakBefore w:val="0"/>
              <w:numPr>
                <w:ilvl w:val="0"/>
                <w:numId w:val="0"/>
              </w:numPr>
              <w:kinsoku/>
              <w:wordWrap/>
              <w:overflowPunct/>
              <w:topLinePunct w:val="0"/>
              <w:bidi w:val="0"/>
              <w:adjustRightInd w:val="0"/>
              <w:snapToGrid w:val="0"/>
              <w:spacing w:line="240" w:lineRule="auto"/>
              <w:ind w:left="0" w:leftChars="0" w:firstLine="0" w:firstLineChars="0"/>
              <w:jc w:val="both"/>
              <w:textAlignment w:val="auto"/>
              <w:rPr>
                <w:rFonts w:hint="eastAsia" w:ascii="宋体" w:hAnsi="宋体" w:eastAsia="宋体" w:cs="宋体"/>
                <w:strike w:val="0"/>
                <w:dstrike w:val="0"/>
                <w:color w:val="auto"/>
                <w:kern w:val="21"/>
                <w:sz w:val="24"/>
                <w:szCs w:val="24"/>
                <w:highlight w:val="none"/>
                <w:lang w:val="en-US" w:eastAsia="zh-CN"/>
              </w:rPr>
            </w:pPr>
            <w:r>
              <w:rPr>
                <w:rFonts w:hint="eastAsia" w:ascii="宋体" w:hAnsi="宋体" w:eastAsia="宋体" w:cs="宋体"/>
                <w:strike w:val="0"/>
                <w:dstrike w:val="0"/>
                <w:color w:val="auto"/>
                <w:kern w:val="21"/>
                <w:sz w:val="24"/>
                <w:szCs w:val="24"/>
                <w:highlight w:val="none"/>
                <w:lang w:val="en-US" w:eastAsia="zh-CN"/>
              </w:rPr>
              <w:t>1.显示屏：具备低蓝光护眼功能的证明文件。</w:t>
            </w:r>
          </w:p>
          <w:p w14:paraId="60F58B3A">
            <w:pPr>
              <w:keepNext w:val="0"/>
              <w:keepLines w:val="0"/>
              <w:pageBreakBefore w:val="0"/>
              <w:numPr>
                <w:ilvl w:val="0"/>
                <w:numId w:val="0"/>
              </w:numPr>
              <w:kinsoku/>
              <w:wordWrap/>
              <w:overflowPunct/>
              <w:topLinePunct w:val="0"/>
              <w:bidi w:val="0"/>
              <w:adjustRightInd w:val="0"/>
              <w:snapToGrid w:val="0"/>
              <w:spacing w:line="240" w:lineRule="auto"/>
              <w:ind w:left="0" w:leftChars="0" w:firstLine="0" w:firstLineChars="0"/>
              <w:jc w:val="both"/>
              <w:textAlignment w:val="auto"/>
              <w:rPr>
                <w:rFonts w:hint="eastAsia" w:ascii="宋体" w:hAnsi="宋体" w:eastAsia="宋体" w:cs="宋体"/>
                <w:strike w:val="0"/>
                <w:dstrike w:val="0"/>
                <w:color w:val="auto"/>
                <w:kern w:val="21"/>
                <w:sz w:val="24"/>
                <w:szCs w:val="24"/>
                <w:highlight w:val="none"/>
                <w:lang w:val="en-US" w:eastAsia="zh-CN"/>
              </w:rPr>
            </w:pPr>
            <w:r>
              <w:rPr>
                <w:rFonts w:hint="eastAsia" w:ascii="宋体" w:hAnsi="宋体" w:eastAsia="宋体" w:cs="宋体"/>
                <w:strike w:val="0"/>
                <w:dstrike w:val="0"/>
                <w:color w:val="auto"/>
                <w:kern w:val="21"/>
                <w:sz w:val="24"/>
                <w:szCs w:val="24"/>
                <w:highlight w:val="none"/>
                <w:lang w:val="en-US" w:eastAsia="zh-CN"/>
              </w:rPr>
              <w:t>2.具有抗压检测报告，对计算机保护罩施加</w:t>
            </w:r>
            <w:bookmarkStart w:id="134" w:name="OLE_LINK18"/>
            <w:r>
              <w:rPr>
                <w:rFonts w:hint="eastAsia" w:ascii="宋体" w:hAnsi="宋体" w:eastAsia="宋体" w:cs="宋体"/>
                <w:strike w:val="0"/>
                <w:dstrike w:val="0"/>
                <w:color w:val="auto"/>
                <w:kern w:val="21"/>
                <w:sz w:val="24"/>
                <w:szCs w:val="24"/>
                <w:highlight w:val="none"/>
                <w:lang w:val="en-US" w:eastAsia="zh-CN"/>
              </w:rPr>
              <w:t>≥300N</w:t>
            </w:r>
            <w:bookmarkEnd w:id="134"/>
            <w:r>
              <w:rPr>
                <w:rFonts w:hint="eastAsia" w:ascii="宋体" w:hAnsi="宋体" w:eastAsia="宋体" w:cs="宋体"/>
                <w:strike w:val="0"/>
                <w:dstrike w:val="0"/>
                <w:color w:val="auto"/>
                <w:kern w:val="21"/>
                <w:sz w:val="24"/>
                <w:szCs w:val="24"/>
                <w:highlight w:val="none"/>
                <w:lang w:val="en-US" w:eastAsia="zh-CN"/>
              </w:rPr>
              <w:t>恒定作用力5秒，外壳保护罩不应受损。提供检测机构出具的检测报告。</w:t>
            </w:r>
          </w:p>
          <w:p w14:paraId="6F750632">
            <w:pPr>
              <w:keepNext w:val="0"/>
              <w:keepLines w:val="0"/>
              <w:pageBreakBefore w:val="0"/>
              <w:numPr>
                <w:ilvl w:val="0"/>
                <w:numId w:val="0"/>
              </w:numPr>
              <w:kinsoku/>
              <w:wordWrap/>
              <w:overflowPunct/>
              <w:topLinePunct w:val="0"/>
              <w:bidi w:val="0"/>
              <w:adjustRightInd w:val="0"/>
              <w:snapToGrid w:val="0"/>
              <w:spacing w:line="240" w:lineRule="auto"/>
              <w:ind w:left="0" w:leftChars="0" w:firstLine="0" w:firstLineChars="0"/>
              <w:jc w:val="both"/>
              <w:textAlignment w:val="auto"/>
              <w:rPr>
                <w:rFonts w:hint="eastAsia" w:ascii="宋体" w:hAnsi="宋体" w:eastAsia="宋体" w:cs="宋体"/>
                <w:strike w:val="0"/>
                <w:dstrike w:val="0"/>
                <w:color w:val="auto"/>
                <w:kern w:val="21"/>
                <w:sz w:val="24"/>
                <w:szCs w:val="24"/>
                <w:highlight w:val="none"/>
                <w:lang w:val="en-US" w:eastAsia="zh-CN"/>
              </w:rPr>
            </w:pPr>
            <w:bookmarkStart w:id="135" w:name="OLE_LINK8"/>
            <w:r>
              <w:rPr>
                <w:rFonts w:hint="eastAsia" w:ascii="宋体" w:hAnsi="宋体" w:eastAsia="宋体" w:cs="宋体"/>
                <w:strike w:val="0"/>
                <w:dstrike w:val="0"/>
                <w:color w:val="auto"/>
                <w:kern w:val="21"/>
                <w:sz w:val="24"/>
                <w:szCs w:val="24"/>
                <w:highlight w:val="none"/>
                <w:lang w:val="en-US" w:eastAsia="zh-CN"/>
              </w:rPr>
              <w:t>上述须提供</w:t>
            </w:r>
            <w:bookmarkEnd w:id="135"/>
            <w:r>
              <w:rPr>
                <w:rFonts w:hint="eastAsia" w:ascii="宋体" w:hAnsi="宋体" w:eastAsia="宋体" w:cs="宋体"/>
                <w:strike w:val="0"/>
                <w:dstrike w:val="0"/>
                <w:color w:val="auto"/>
                <w:kern w:val="21"/>
                <w:sz w:val="24"/>
                <w:szCs w:val="24"/>
                <w:highlight w:val="none"/>
                <w:lang w:val="en-US" w:eastAsia="zh-CN"/>
              </w:rPr>
              <w:t>第三方检测机构出具的检测报告复印件，并加盖投标人公章，每提供一项得1分，最多得10分。</w:t>
            </w:r>
          </w:p>
          <w:p w14:paraId="76A715C0">
            <w:pPr>
              <w:keepNext w:val="0"/>
              <w:keepLines w:val="0"/>
              <w:pageBreakBefore w:val="0"/>
              <w:numPr>
                <w:ilvl w:val="0"/>
                <w:numId w:val="0"/>
              </w:numPr>
              <w:kinsoku/>
              <w:wordWrap/>
              <w:overflowPunct/>
              <w:topLinePunct w:val="0"/>
              <w:bidi w:val="0"/>
              <w:adjustRightInd w:val="0"/>
              <w:snapToGrid w:val="0"/>
              <w:spacing w:line="240" w:lineRule="auto"/>
              <w:ind w:left="0" w:leftChars="0" w:firstLine="0" w:firstLineChars="0"/>
              <w:jc w:val="both"/>
              <w:textAlignment w:val="auto"/>
              <w:rPr>
                <w:rFonts w:hint="eastAsia" w:ascii="宋体" w:hAnsi="宋体" w:eastAsia="宋体" w:cs="宋体"/>
                <w:strike w:val="0"/>
                <w:dstrike w:val="0"/>
                <w:color w:val="auto"/>
                <w:kern w:val="21"/>
                <w:sz w:val="24"/>
                <w:szCs w:val="24"/>
                <w:highlight w:val="none"/>
                <w:lang w:val="en-US" w:eastAsia="zh-CN"/>
              </w:rPr>
            </w:pPr>
            <w:bookmarkStart w:id="136" w:name="OLE_LINK15"/>
            <w:r>
              <w:rPr>
                <w:rFonts w:hint="eastAsia" w:ascii="宋体" w:hAnsi="宋体" w:eastAsia="宋体" w:cs="宋体"/>
                <w:strike w:val="0"/>
                <w:dstrike w:val="0"/>
                <w:color w:val="auto"/>
                <w:kern w:val="21"/>
                <w:sz w:val="24"/>
                <w:szCs w:val="24"/>
                <w:highlight w:val="none"/>
                <w:lang w:val="en-US" w:eastAsia="zh-CN"/>
              </w:rPr>
              <w:t>PDU电源管理设备：</w:t>
            </w:r>
          </w:p>
          <w:p w14:paraId="4411A932">
            <w:pPr>
              <w:keepNext w:val="0"/>
              <w:keepLines w:val="0"/>
              <w:pageBreakBefore w:val="0"/>
              <w:numPr>
                <w:ilvl w:val="0"/>
                <w:numId w:val="0"/>
              </w:numPr>
              <w:kinsoku/>
              <w:wordWrap/>
              <w:overflowPunct/>
              <w:topLinePunct w:val="0"/>
              <w:bidi w:val="0"/>
              <w:adjustRightInd w:val="0"/>
              <w:snapToGrid w:val="0"/>
              <w:spacing w:line="240" w:lineRule="auto"/>
              <w:ind w:left="0" w:leftChars="0" w:firstLine="0" w:firstLineChars="0"/>
              <w:jc w:val="both"/>
              <w:textAlignment w:val="auto"/>
              <w:rPr>
                <w:rFonts w:hint="eastAsia" w:ascii="宋体" w:hAnsi="宋体" w:eastAsia="宋体" w:cs="宋体"/>
                <w:strike w:val="0"/>
                <w:dstrike w:val="0"/>
                <w:color w:val="auto"/>
                <w:kern w:val="21"/>
                <w:sz w:val="24"/>
                <w:szCs w:val="24"/>
                <w:highlight w:val="none"/>
                <w:lang w:val="en-US" w:eastAsia="zh-CN"/>
              </w:rPr>
            </w:pPr>
            <w:r>
              <w:rPr>
                <w:rFonts w:hint="eastAsia" w:ascii="宋体" w:hAnsi="宋体" w:eastAsia="宋体" w:cs="宋体"/>
                <w:strike w:val="0"/>
                <w:dstrike w:val="0"/>
                <w:color w:val="auto"/>
                <w:kern w:val="21"/>
                <w:sz w:val="24"/>
                <w:szCs w:val="24"/>
                <w:highlight w:val="none"/>
                <w:lang w:val="en-US" w:eastAsia="zh-CN"/>
              </w:rPr>
              <w:t>1.支持</w:t>
            </w:r>
            <w:bookmarkStart w:id="137" w:name="OLE_LINK6"/>
            <w:r>
              <w:rPr>
                <w:rFonts w:hint="eastAsia" w:ascii="宋体" w:hAnsi="宋体" w:eastAsia="宋体" w:cs="宋体"/>
                <w:strike w:val="0"/>
                <w:dstrike w:val="0"/>
                <w:color w:val="auto"/>
                <w:kern w:val="21"/>
                <w:sz w:val="24"/>
                <w:szCs w:val="24"/>
                <w:highlight w:val="none"/>
                <w:lang w:val="en-US" w:eastAsia="zh-CN"/>
              </w:rPr>
              <w:t>TCP/IP</w:t>
            </w:r>
            <w:bookmarkEnd w:id="137"/>
            <w:r>
              <w:rPr>
                <w:rFonts w:hint="eastAsia" w:ascii="宋体" w:hAnsi="宋体" w:eastAsia="宋体" w:cs="宋体"/>
                <w:strike w:val="0"/>
                <w:dstrike w:val="0"/>
                <w:color w:val="auto"/>
                <w:kern w:val="21"/>
                <w:sz w:val="24"/>
                <w:szCs w:val="24"/>
                <w:highlight w:val="none"/>
                <w:lang w:val="en-US" w:eastAsia="zh-CN"/>
              </w:rPr>
              <w:t>网络和串口控制</w:t>
            </w:r>
            <w:bookmarkEnd w:id="136"/>
            <w:r>
              <w:rPr>
                <w:rFonts w:hint="eastAsia" w:ascii="宋体" w:hAnsi="宋体" w:eastAsia="宋体" w:cs="宋体"/>
                <w:strike w:val="0"/>
                <w:dstrike w:val="0"/>
                <w:color w:val="auto"/>
                <w:kern w:val="21"/>
                <w:sz w:val="24"/>
                <w:szCs w:val="24"/>
                <w:highlight w:val="none"/>
                <w:lang w:val="en-US" w:eastAsia="zh-CN"/>
              </w:rPr>
              <w:t>，可通过软件开启/关闭任意电源输出接口，输出接口支持定时开启/关闭功能；</w:t>
            </w:r>
          </w:p>
          <w:p w14:paraId="4673495F">
            <w:pPr>
              <w:keepNext w:val="0"/>
              <w:keepLines w:val="0"/>
              <w:pageBreakBefore w:val="0"/>
              <w:numPr>
                <w:ilvl w:val="0"/>
                <w:numId w:val="0"/>
              </w:numPr>
              <w:kinsoku/>
              <w:wordWrap/>
              <w:overflowPunct/>
              <w:topLinePunct w:val="0"/>
              <w:bidi w:val="0"/>
              <w:adjustRightInd w:val="0"/>
              <w:snapToGrid w:val="0"/>
              <w:spacing w:line="240" w:lineRule="auto"/>
              <w:ind w:left="0" w:leftChars="0" w:firstLine="0" w:firstLineChars="0"/>
              <w:jc w:val="both"/>
              <w:textAlignment w:val="auto"/>
              <w:rPr>
                <w:rFonts w:hint="eastAsia" w:ascii="宋体" w:hAnsi="宋体" w:eastAsia="宋体" w:cs="宋体"/>
                <w:strike w:val="0"/>
                <w:dstrike w:val="0"/>
                <w:color w:val="auto"/>
                <w:kern w:val="21"/>
                <w:sz w:val="24"/>
                <w:szCs w:val="24"/>
                <w:highlight w:val="none"/>
                <w:lang w:val="en-US" w:eastAsia="zh-CN"/>
              </w:rPr>
            </w:pPr>
            <w:r>
              <w:rPr>
                <w:rFonts w:hint="eastAsia" w:ascii="宋体" w:hAnsi="宋体" w:eastAsia="宋体" w:cs="宋体"/>
                <w:strike w:val="0"/>
                <w:dstrike w:val="0"/>
                <w:color w:val="auto"/>
                <w:kern w:val="21"/>
                <w:sz w:val="24"/>
                <w:szCs w:val="24"/>
                <w:highlight w:val="none"/>
                <w:lang w:val="en-US" w:eastAsia="zh-CN"/>
              </w:rPr>
              <w:t>2.通过软件或按键同时开启或关闭全部输出接口时，</w:t>
            </w:r>
            <w:bookmarkStart w:id="138" w:name="OLE_LINK16"/>
            <w:r>
              <w:rPr>
                <w:rFonts w:hint="eastAsia" w:ascii="宋体" w:hAnsi="宋体" w:eastAsia="宋体" w:cs="宋体"/>
                <w:strike w:val="0"/>
                <w:dstrike w:val="0"/>
                <w:color w:val="auto"/>
                <w:kern w:val="21"/>
                <w:sz w:val="24"/>
                <w:szCs w:val="24"/>
                <w:highlight w:val="none"/>
                <w:lang w:val="en-US" w:eastAsia="zh-CN"/>
              </w:rPr>
              <w:t>输出接口逐一开启或关闭</w:t>
            </w:r>
            <w:bookmarkEnd w:id="138"/>
            <w:r>
              <w:rPr>
                <w:rFonts w:hint="eastAsia" w:ascii="宋体" w:hAnsi="宋体" w:eastAsia="宋体" w:cs="宋体"/>
                <w:strike w:val="0"/>
                <w:dstrike w:val="0"/>
                <w:color w:val="auto"/>
                <w:kern w:val="21"/>
                <w:sz w:val="24"/>
                <w:szCs w:val="24"/>
                <w:highlight w:val="none"/>
                <w:lang w:val="en-US" w:eastAsia="zh-CN"/>
              </w:rPr>
              <w:t>，间隔时间为1s；</w:t>
            </w:r>
            <w:bookmarkStart w:id="139" w:name="OLE_LINK14"/>
          </w:p>
          <w:p w14:paraId="3F06E226">
            <w:pPr>
              <w:keepNext w:val="0"/>
              <w:keepLines w:val="0"/>
              <w:pageBreakBefore w:val="0"/>
              <w:numPr>
                <w:ilvl w:val="0"/>
                <w:numId w:val="0"/>
              </w:numPr>
              <w:kinsoku/>
              <w:wordWrap/>
              <w:overflowPunct/>
              <w:topLinePunct w:val="0"/>
              <w:bidi w:val="0"/>
              <w:adjustRightInd w:val="0"/>
              <w:snapToGrid w:val="0"/>
              <w:spacing w:line="240" w:lineRule="auto"/>
              <w:ind w:left="0" w:leftChars="0" w:firstLine="0" w:firstLineChars="0"/>
              <w:jc w:val="both"/>
              <w:textAlignment w:val="auto"/>
              <w:rPr>
                <w:rFonts w:hint="eastAsia" w:ascii="宋体" w:hAnsi="宋体" w:eastAsia="宋体" w:cs="宋体"/>
                <w:strike w:val="0"/>
                <w:dstrike w:val="0"/>
                <w:color w:val="auto"/>
                <w:kern w:val="21"/>
                <w:sz w:val="24"/>
                <w:szCs w:val="24"/>
                <w:highlight w:val="none"/>
                <w:lang w:val="en-US" w:eastAsia="zh-CN"/>
              </w:rPr>
            </w:pPr>
            <w:r>
              <w:rPr>
                <w:rFonts w:hint="eastAsia" w:ascii="宋体" w:hAnsi="宋体" w:eastAsia="宋体" w:cs="宋体"/>
                <w:strike w:val="0"/>
                <w:dstrike w:val="0"/>
                <w:color w:val="auto"/>
                <w:kern w:val="21"/>
                <w:sz w:val="24"/>
                <w:szCs w:val="24"/>
                <w:highlight w:val="none"/>
                <w:lang w:val="en-US" w:eastAsia="zh-CN"/>
              </w:rPr>
              <w:t>3.抗电强度试验</w:t>
            </w:r>
            <w:bookmarkEnd w:id="139"/>
            <w:r>
              <w:rPr>
                <w:rFonts w:hint="eastAsia" w:ascii="宋体" w:hAnsi="宋体" w:eastAsia="宋体" w:cs="宋体"/>
                <w:strike w:val="0"/>
                <w:dstrike w:val="0"/>
                <w:color w:val="auto"/>
                <w:kern w:val="21"/>
                <w:sz w:val="24"/>
                <w:szCs w:val="24"/>
                <w:highlight w:val="none"/>
                <w:lang w:val="en-US" w:eastAsia="zh-CN"/>
              </w:rPr>
              <w:t>：安全防范报警设备的电源插头或电源引入端与外壳裸露金属部件之间，应能承受45Hz～65Hz交流电压的抗电强度试验，历时1min应无击穿和飞弧现象。</w:t>
            </w:r>
          </w:p>
          <w:p w14:paraId="2CC382DF">
            <w:pPr>
              <w:keepNext w:val="0"/>
              <w:keepLines w:val="0"/>
              <w:pageBreakBefore w:val="0"/>
              <w:numPr>
                <w:ilvl w:val="0"/>
                <w:numId w:val="0"/>
              </w:numPr>
              <w:kinsoku/>
              <w:wordWrap/>
              <w:overflowPunct/>
              <w:topLinePunct w:val="0"/>
              <w:bidi w:val="0"/>
              <w:adjustRightInd w:val="0"/>
              <w:snapToGrid w:val="0"/>
              <w:spacing w:line="240" w:lineRule="auto"/>
              <w:ind w:left="0" w:leftChars="0" w:firstLine="0" w:firstLineChars="0"/>
              <w:jc w:val="both"/>
              <w:textAlignment w:val="auto"/>
              <w:rPr>
                <w:rFonts w:hint="eastAsia" w:ascii="宋体" w:hAnsi="宋体" w:eastAsia="宋体" w:cs="宋体"/>
                <w:strike w:val="0"/>
                <w:dstrike w:val="0"/>
                <w:color w:val="auto"/>
                <w:kern w:val="21"/>
                <w:sz w:val="24"/>
                <w:szCs w:val="24"/>
                <w:highlight w:val="none"/>
                <w:lang w:val="en-US" w:eastAsia="zh-CN"/>
              </w:rPr>
            </w:pPr>
            <w:r>
              <w:rPr>
                <w:rFonts w:hint="eastAsia" w:ascii="宋体" w:hAnsi="宋体" w:eastAsia="宋体" w:cs="宋体"/>
                <w:strike w:val="0"/>
                <w:dstrike w:val="0"/>
                <w:color w:val="auto"/>
                <w:kern w:val="21"/>
                <w:sz w:val="24"/>
                <w:szCs w:val="24"/>
                <w:highlight w:val="none"/>
                <w:lang w:val="en-US" w:eastAsia="zh-CN"/>
              </w:rPr>
              <w:t>上述须提供提第三方检测机构出具的检测报告，每提供一项得3分，最高得分9分。</w:t>
            </w:r>
          </w:p>
          <w:bookmarkEnd w:id="124"/>
          <w:p w14:paraId="09A8E3D3">
            <w:pPr>
              <w:keepNext w:val="0"/>
              <w:keepLines w:val="0"/>
              <w:pageBreakBefore w:val="0"/>
              <w:numPr>
                <w:ilvl w:val="0"/>
                <w:numId w:val="0"/>
              </w:numPr>
              <w:kinsoku/>
              <w:wordWrap/>
              <w:overflowPunct/>
              <w:topLinePunct w:val="0"/>
              <w:bidi w:val="0"/>
              <w:adjustRightInd w:val="0"/>
              <w:snapToGrid w:val="0"/>
              <w:spacing w:line="240" w:lineRule="auto"/>
              <w:ind w:left="0" w:leftChars="0" w:firstLine="0" w:firstLineChars="0"/>
              <w:jc w:val="both"/>
              <w:textAlignment w:val="auto"/>
              <w:rPr>
                <w:rFonts w:hint="eastAsia" w:ascii="宋体" w:hAnsi="宋体" w:eastAsia="宋体" w:cs="宋体"/>
                <w:strike w:val="0"/>
                <w:dstrike w:val="0"/>
                <w:color w:val="auto"/>
                <w:kern w:val="21"/>
                <w:sz w:val="24"/>
                <w:szCs w:val="24"/>
                <w:highlight w:val="none"/>
                <w:lang w:val="en-US" w:eastAsia="zh-CN"/>
              </w:rPr>
            </w:pPr>
            <w:r>
              <w:rPr>
                <w:rFonts w:hint="eastAsia" w:ascii="宋体" w:hAnsi="宋体" w:eastAsia="宋体" w:cs="宋体"/>
                <w:strike w:val="0"/>
                <w:dstrike w:val="0"/>
                <w:color w:val="auto"/>
                <w:kern w:val="21"/>
                <w:sz w:val="24"/>
                <w:szCs w:val="24"/>
                <w:highlight w:val="none"/>
                <w:lang w:val="en-US" w:eastAsia="zh-CN"/>
              </w:rPr>
              <w:t>智能云教室：</w:t>
            </w:r>
          </w:p>
          <w:p w14:paraId="31D64F21">
            <w:pPr>
              <w:keepNext w:val="0"/>
              <w:keepLines w:val="0"/>
              <w:pageBreakBefore w:val="0"/>
              <w:numPr>
                <w:ilvl w:val="0"/>
                <w:numId w:val="0"/>
              </w:numPr>
              <w:kinsoku/>
              <w:wordWrap/>
              <w:overflowPunct/>
              <w:topLinePunct w:val="0"/>
              <w:bidi w:val="0"/>
              <w:adjustRightInd w:val="0"/>
              <w:snapToGrid w:val="0"/>
              <w:spacing w:line="240" w:lineRule="auto"/>
              <w:ind w:left="0" w:leftChars="0" w:firstLine="0" w:firstLineChars="0"/>
              <w:jc w:val="both"/>
              <w:textAlignment w:val="auto"/>
              <w:rPr>
                <w:rFonts w:hint="eastAsia" w:ascii="宋体" w:hAnsi="宋体" w:eastAsia="宋体" w:cs="宋体"/>
                <w:strike w:val="0"/>
                <w:dstrike w:val="0"/>
                <w:color w:val="auto"/>
                <w:kern w:val="21"/>
                <w:sz w:val="24"/>
                <w:szCs w:val="24"/>
                <w:highlight w:val="none"/>
                <w:lang w:val="en-US" w:eastAsia="zh-CN"/>
              </w:rPr>
            </w:pPr>
            <w:r>
              <w:rPr>
                <w:rFonts w:hint="eastAsia" w:ascii="宋体" w:hAnsi="宋体" w:eastAsia="宋体" w:cs="宋体"/>
                <w:strike w:val="0"/>
                <w:dstrike w:val="0"/>
                <w:color w:val="auto"/>
                <w:kern w:val="21"/>
                <w:sz w:val="24"/>
                <w:szCs w:val="24"/>
                <w:highlight w:val="none"/>
                <w:lang w:val="en-US" w:eastAsia="zh-CN"/>
              </w:rPr>
              <w:t>1.系统快照无数量限制，且镜像库中的分区镜像可由任何</w:t>
            </w:r>
            <w:bookmarkStart w:id="140" w:name="OLE_LINK19"/>
            <w:r>
              <w:rPr>
                <w:rFonts w:hint="eastAsia" w:ascii="宋体" w:hAnsi="宋体" w:eastAsia="宋体" w:cs="宋体"/>
                <w:strike w:val="0"/>
                <w:dstrike w:val="0"/>
                <w:color w:val="auto"/>
                <w:kern w:val="21"/>
                <w:sz w:val="24"/>
                <w:szCs w:val="24"/>
                <w:highlight w:val="none"/>
                <w:lang w:val="en-US" w:eastAsia="zh-CN"/>
              </w:rPr>
              <w:t>系统调用</w:t>
            </w:r>
            <w:bookmarkEnd w:id="140"/>
            <w:r>
              <w:rPr>
                <w:rFonts w:hint="eastAsia" w:ascii="宋体" w:hAnsi="宋体" w:eastAsia="宋体" w:cs="宋体"/>
                <w:strike w:val="0"/>
                <w:dstrike w:val="0"/>
                <w:color w:val="auto"/>
                <w:kern w:val="21"/>
                <w:sz w:val="24"/>
                <w:szCs w:val="24"/>
                <w:highlight w:val="none"/>
                <w:lang w:val="en-US" w:eastAsia="zh-CN"/>
              </w:rPr>
              <w:t>，支持同一分区镜像供多个系统使用，达到分区共享目的，无论系统镜像如何变化，数据镜像可保持一致。</w:t>
            </w:r>
          </w:p>
          <w:p w14:paraId="4EA56C1E">
            <w:pPr>
              <w:keepNext w:val="0"/>
              <w:keepLines w:val="0"/>
              <w:pageBreakBefore w:val="0"/>
              <w:numPr>
                <w:ilvl w:val="0"/>
                <w:numId w:val="0"/>
              </w:numPr>
              <w:kinsoku/>
              <w:wordWrap/>
              <w:overflowPunct/>
              <w:topLinePunct w:val="0"/>
              <w:bidi w:val="0"/>
              <w:adjustRightInd w:val="0"/>
              <w:snapToGrid w:val="0"/>
              <w:spacing w:line="240" w:lineRule="auto"/>
              <w:ind w:left="0" w:leftChars="0" w:firstLine="0" w:firstLineChars="0"/>
              <w:jc w:val="both"/>
              <w:textAlignment w:val="auto"/>
              <w:rPr>
                <w:rFonts w:hint="eastAsia" w:ascii="宋体" w:hAnsi="宋体" w:eastAsia="宋体" w:cs="宋体"/>
                <w:strike w:val="0"/>
                <w:dstrike w:val="0"/>
                <w:color w:val="auto"/>
                <w:kern w:val="21"/>
                <w:sz w:val="24"/>
                <w:szCs w:val="24"/>
                <w:highlight w:val="none"/>
                <w:lang w:val="en-US" w:eastAsia="zh-CN"/>
              </w:rPr>
            </w:pPr>
            <w:r>
              <w:rPr>
                <w:rFonts w:hint="eastAsia" w:ascii="宋体" w:hAnsi="宋体" w:eastAsia="宋体" w:cs="宋体"/>
                <w:strike w:val="0"/>
                <w:dstrike w:val="0"/>
                <w:color w:val="auto"/>
                <w:kern w:val="21"/>
                <w:sz w:val="24"/>
                <w:szCs w:val="24"/>
                <w:highlight w:val="none"/>
                <w:lang w:val="en-US" w:eastAsia="zh-CN"/>
              </w:rPr>
              <w:t>2.部署过程中，根据管理策略自动修改</w:t>
            </w:r>
            <w:bookmarkStart w:id="141" w:name="OLE_LINK20"/>
            <w:r>
              <w:rPr>
                <w:rFonts w:hint="eastAsia" w:ascii="宋体" w:hAnsi="宋体" w:eastAsia="宋体" w:cs="宋体"/>
                <w:strike w:val="0"/>
                <w:dstrike w:val="0"/>
                <w:color w:val="auto"/>
                <w:kern w:val="21"/>
                <w:sz w:val="24"/>
                <w:szCs w:val="24"/>
                <w:highlight w:val="none"/>
                <w:lang w:val="en-US" w:eastAsia="zh-CN"/>
              </w:rPr>
              <w:t>IP地址和计算机名称</w:t>
            </w:r>
            <w:bookmarkEnd w:id="141"/>
            <w:r>
              <w:rPr>
                <w:rFonts w:hint="eastAsia" w:ascii="宋体" w:hAnsi="宋体" w:eastAsia="宋体" w:cs="宋体"/>
                <w:strike w:val="0"/>
                <w:dstrike w:val="0"/>
                <w:color w:val="auto"/>
                <w:kern w:val="21"/>
                <w:sz w:val="24"/>
                <w:szCs w:val="24"/>
                <w:highlight w:val="none"/>
                <w:lang w:val="en-US" w:eastAsia="zh-CN"/>
              </w:rPr>
              <w:t>。</w:t>
            </w:r>
          </w:p>
          <w:p w14:paraId="4639A03B">
            <w:pPr>
              <w:keepNext w:val="0"/>
              <w:keepLines w:val="0"/>
              <w:pageBreakBefore w:val="0"/>
              <w:numPr>
                <w:ilvl w:val="0"/>
                <w:numId w:val="0"/>
              </w:numPr>
              <w:kinsoku/>
              <w:wordWrap/>
              <w:overflowPunct/>
              <w:topLinePunct w:val="0"/>
              <w:bidi w:val="0"/>
              <w:adjustRightInd w:val="0"/>
              <w:snapToGrid w:val="0"/>
              <w:spacing w:line="240" w:lineRule="auto"/>
              <w:ind w:left="0" w:leftChars="0" w:firstLine="0" w:firstLineChars="0"/>
              <w:jc w:val="both"/>
              <w:textAlignment w:val="auto"/>
              <w:rPr>
                <w:rFonts w:hint="eastAsia" w:ascii="宋体" w:hAnsi="宋体" w:eastAsia="宋体" w:cs="宋体"/>
                <w:strike w:val="0"/>
                <w:dstrike w:val="0"/>
                <w:color w:val="auto"/>
                <w:kern w:val="21"/>
                <w:sz w:val="24"/>
                <w:szCs w:val="24"/>
                <w:highlight w:val="none"/>
                <w:lang w:val="en-US" w:eastAsia="zh-CN"/>
              </w:rPr>
            </w:pPr>
            <w:r>
              <w:rPr>
                <w:rFonts w:hint="eastAsia" w:ascii="宋体" w:hAnsi="宋体" w:eastAsia="宋体" w:cs="宋体"/>
                <w:strike w:val="0"/>
                <w:dstrike w:val="0"/>
                <w:color w:val="auto"/>
                <w:kern w:val="21"/>
                <w:sz w:val="24"/>
                <w:szCs w:val="24"/>
                <w:highlight w:val="none"/>
                <w:lang w:val="en-US" w:eastAsia="zh-CN"/>
              </w:rPr>
              <w:t>3.服务端软件支持一键简易升级，原有机房客户端软件无需升级，即可实现不同软件版本的客户端统一管理。</w:t>
            </w:r>
          </w:p>
          <w:p w14:paraId="53D35BB6">
            <w:pPr>
              <w:keepNext w:val="0"/>
              <w:keepLines w:val="0"/>
              <w:pageBreakBefore w:val="0"/>
              <w:numPr>
                <w:ilvl w:val="0"/>
                <w:numId w:val="0"/>
              </w:numPr>
              <w:kinsoku/>
              <w:wordWrap/>
              <w:overflowPunct/>
              <w:topLinePunct w:val="0"/>
              <w:bidi w:val="0"/>
              <w:adjustRightInd w:val="0"/>
              <w:snapToGrid w:val="0"/>
              <w:spacing w:line="240" w:lineRule="auto"/>
              <w:ind w:left="0" w:leftChars="0" w:firstLine="0" w:firstLineChars="0"/>
              <w:jc w:val="both"/>
              <w:textAlignment w:val="auto"/>
              <w:rPr>
                <w:rFonts w:hint="eastAsia" w:ascii="宋体" w:hAnsi="宋体" w:eastAsia="宋体" w:cs="宋体"/>
                <w:color w:val="auto"/>
                <w:kern w:val="21"/>
                <w:sz w:val="24"/>
                <w:szCs w:val="24"/>
                <w:highlight w:val="none"/>
                <w:lang w:val="en-US" w:eastAsia="zh-CN"/>
              </w:rPr>
            </w:pPr>
            <w:r>
              <w:rPr>
                <w:rFonts w:hint="eastAsia" w:ascii="宋体" w:hAnsi="宋体" w:eastAsia="宋体" w:cs="宋体"/>
                <w:strike w:val="0"/>
                <w:dstrike w:val="0"/>
                <w:color w:val="auto"/>
                <w:kern w:val="21"/>
                <w:sz w:val="24"/>
                <w:szCs w:val="24"/>
                <w:highlight w:val="none"/>
                <w:lang w:val="en-US" w:eastAsia="zh-CN"/>
              </w:rPr>
              <w:t>提供功能性截图并加盖投标人公章，每提供一项得3分，最高得分9分。</w:t>
            </w:r>
            <w:bookmarkEnd w:id="156"/>
          </w:p>
        </w:tc>
      </w:tr>
      <w:tr w14:paraId="7381C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jc w:val="center"/>
        </w:trPr>
        <w:tc>
          <w:tcPr>
            <w:tcW w:w="534" w:type="dxa"/>
            <w:vMerge w:val="continue"/>
            <w:noWrap w:val="0"/>
            <w:tcMar>
              <w:top w:w="0" w:type="dxa"/>
              <w:left w:w="108" w:type="dxa"/>
              <w:bottom w:w="0" w:type="dxa"/>
              <w:right w:w="108" w:type="dxa"/>
            </w:tcMar>
            <w:vAlign w:val="center"/>
          </w:tcPr>
          <w:p w14:paraId="18FA42AF">
            <w:pPr>
              <w:keepNext w:val="0"/>
              <w:keepLines w:val="0"/>
              <w:pageBreakBefore w:val="0"/>
              <w:widowControl/>
              <w:kinsoku/>
              <w:wordWrap/>
              <w:overflowPunct/>
              <w:topLinePunct w:val="0"/>
              <w:bidi w:val="0"/>
              <w:adjustRightInd w:val="0"/>
              <w:snapToGrid w:val="0"/>
              <w:spacing w:line="240" w:lineRule="auto"/>
              <w:ind w:left="0" w:leftChars="0" w:firstLine="0" w:firstLineChars="0"/>
              <w:jc w:val="both"/>
              <w:textAlignment w:val="auto"/>
              <w:rPr>
                <w:rFonts w:hint="eastAsia" w:ascii="宋体" w:hAnsi="宋体" w:eastAsia="宋体" w:cs="宋体"/>
                <w:color w:val="auto"/>
                <w:kern w:val="21"/>
                <w:sz w:val="24"/>
                <w:szCs w:val="24"/>
                <w:highlight w:val="none"/>
              </w:rPr>
            </w:pPr>
          </w:p>
        </w:tc>
        <w:tc>
          <w:tcPr>
            <w:tcW w:w="1489" w:type="dxa"/>
            <w:vMerge w:val="continue"/>
            <w:noWrap w:val="0"/>
            <w:tcMar>
              <w:top w:w="0" w:type="dxa"/>
              <w:left w:w="108" w:type="dxa"/>
              <w:bottom w:w="0" w:type="dxa"/>
              <w:right w:w="108" w:type="dxa"/>
            </w:tcMar>
            <w:vAlign w:val="center"/>
          </w:tcPr>
          <w:p w14:paraId="41C2F9EF">
            <w:pPr>
              <w:keepNext w:val="0"/>
              <w:keepLines w:val="0"/>
              <w:pageBreakBefore w:val="0"/>
              <w:widowControl/>
              <w:kinsoku/>
              <w:wordWrap/>
              <w:overflowPunct/>
              <w:topLinePunct w:val="0"/>
              <w:bidi w:val="0"/>
              <w:adjustRightInd w:val="0"/>
              <w:snapToGrid w:val="0"/>
              <w:spacing w:line="240" w:lineRule="auto"/>
              <w:ind w:left="0" w:leftChars="0" w:firstLine="0" w:firstLineChars="0"/>
              <w:jc w:val="both"/>
              <w:textAlignment w:val="auto"/>
              <w:rPr>
                <w:rFonts w:hint="eastAsia" w:ascii="宋体" w:hAnsi="宋体" w:eastAsia="宋体" w:cs="宋体"/>
                <w:color w:val="auto"/>
                <w:kern w:val="21"/>
                <w:sz w:val="24"/>
                <w:szCs w:val="24"/>
                <w:highlight w:val="none"/>
              </w:rPr>
            </w:pPr>
          </w:p>
        </w:tc>
        <w:tc>
          <w:tcPr>
            <w:tcW w:w="703" w:type="dxa"/>
            <w:noWrap w:val="0"/>
            <w:tcMar>
              <w:top w:w="0" w:type="dxa"/>
              <w:left w:w="108" w:type="dxa"/>
              <w:bottom w:w="0" w:type="dxa"/>
              <w:right w:w="108" w:type="dxa"/>
            </w:tcMar>
            <w:vAlign w:val="center"/>
          </w:tcPr>
          <w:p w14:paraId="14550506">
            <w:pPr>
              <w:keepNext w:val="0"/>
              <w:keepLines w:val="0"/>
              <w:pageBreakBefore w:val="0"/>
              <w:kinsoku/>
              <w:wordWrap/>
              <w:overflowPunct/>
              <w:topLinePunct w:val="0"/>
              <w:bidi w:val="0"/>
              <w:adjustRightInd w:val="0"/>
              <w:snapToGrid w:val="0"/>
              <w:spacing w:line="240" w:lineRule="auto"/>
              <w:ind w:left="0" w:leftChars="0" w:firstLine="0" w:firstLineChars="0"/>
              <w:jc w:val="center"/>
              <w:textAlignment w:val="auto"/>
              <w:rPr>
                <w:rFonts w:hint="eastAsia" w:ascii="宋体" w:hAnsi="宋体" w:eastAsia="宋体" w:cs="宋体"/>
                <w:bCs/>
                <w:color w:val="auto"/>
                <w:kern w:val="21"/>
                <w:sz w:val="24"/>
                <w:szCs w:val="24"/>
                <w:highlight w:val="none"/>
                <w:lang w:val="en-US" w:eastAsia="zh-CN"/>
              </w:rPr>
            </w:pPr>
            <w:r>
              <w:rPr>
                <w:rFonts w:hint="eastAsia" w:ascii="宋体" w:hAnsi="宋体" w:eastAsia="宋体" w:cs="宋体"/>
                <w:bCs/>
                <w:color w:val="auto"/>
                <w:kern w:val="21"/>
                <w:sz w:val="24"/>
                <w:szCs w:val="24"/>
                <w:highlight w:val="none"/>
                <w:lang w:val="en-US" w:eastAsia="zh-CN"/>
              </w:rPr>
              <w:t>6分</w:t>
            </w:r>
          </w:p>
        </w:tc>
        <w:tc>
          <w:tcPr>
            <w:tcW w:w="7699" w:type="dxa"/>
            <w:noWrap w:val="0"/>
            <w:tcMar>
              <w:top w:w="0" w:type="dxa"/>
              <w:left w:w="108" w:type="dxa"/>
              <w:bottom w:w="0" w:type="dxa"/>
              <w:right w:w="108" w:type="dxa"/>
            </w:tcMar>
            <w:vAlign w:val="center"/>
          </w:tcPr>
          <w:p w14:paraId="7502034D">
            <w:pPr>
              <w:keepNext w:val="0"/>
              <w:keepLines w:val="0"/>
              <w:pageBreakBefore w:val="0"/>
              <w:kinsoku/>
              <w:wordWrap/>
              <w:overflowPunct/>
              <w:topLinePunct w:val="0"/>
              <w:bidi w:val="0"/>
              <w:adjustRightInd w:val="0"/>
              <w:snapToGrid w:val="0"/>
              <w:spacing w:line="240" w:lineRule="auto"/>
              <w:ind w:left="0" w:leftChars="0" w:firstLine="0" w:firstLineChars="0"/>
              <w:jc w:val="both"/>
              <w:textAlignment w:val="auto"/>
              <w:rPr>
                <w:rFonts w:hint="eastAsia" w:ascii="宋体" w:hAnsi="宋体" w:eastAsia="宋体" w:cs="宋体"/>
                <w:bCs/>
                <w:color w:val="auto"/>
                <w:kern w:val="21"/>
                <w:sz w:val="24"/>
                <w:szCs w:val="24"/>
                <w:highlight w:val="none"/>
                <w:lang w:val="en-US" w:eastAsia="zh-CN"/>
              </w:rPr>
            </w:pPr>
            <w:r>
              <w:rPr>
                <w:rFonts w:hint="eastAsia" w:ascii="宋体" w:hAnsi="宋体" w:eastAsia="宋体" w:cs="宋体"/>
                <w:bCs/>
                <w:color w:val="auto"/>
                <w:kern w:val="21"/>
                <w:sz w:val="24"/>
                <w:szCs w:val="24"/>
                <w:highlight w:val="none"/>
              </w:rPr>
              <w:t>1.安全措施</w:t>
            </w:r>
            <w:r>
              <w:rPr>
                <w:rFonts w:hint="eastAsia" w:ascii="宋体" w:hAnsi="宋体" w:eastAsia="宋体" w:cs="宋体"/>
                <w:bCs/>
                <w:color w:val="auto"/>
                <w:kern w:val="21"/>
                <w:sz w:val="24"/>
                <w:szCs w:val="24"/>
                <w:highlight w:val="none"/>
                <w:lang w:eastAsia="zh-CN"/>
              </w:rPr>
              <w:t>；</w:t>
            </w:r>
            <w:r>
              <w:rPr>
                <w:rFonts w:hint="eastAsia" w:ascii="宋体" w:hAnsi="宋体" w:eastAsia="宋体" w:cs="宋体"/>
                <w:bCs/>
                <w:color w:val="auto"/>
                <w:kern w:val="21"/>
                <w:sz w:val="24"/>
                <w:szCs w:val="24"/>
                <w:highlight w:val="none"/>
                <w:lang w:val="en-US" w:eastAsia="zh-CN"/>
              </w:rPr>
              <w:t>2.</w:t>
            </w:r>
            <w:r>
              <w:rPr>
                <w:rFonts w:hint="eastAsia" w:ascii="宋体" w:hAnsi="宋体" w:eastAsia="宋体" w:cs="宋体"/>
                <w:bCs/>
                <w:color w:val="auto"/>
                <w:kern w:val="21"/>
                <w:sz w:val="24"/>
                <w:szCs w:val="24"/>
                <w:highlight w:val="none"/>
              </w:rPr>
              <w:t>人员保障；</w:t>
            </w:r>
            <w:r>
              <w:rPr>
                <w:rFonts w:hint="eastAsia" w:ascii="宋体" w:hAnsi="宋体" w:eastAsia="宋体" w:cs="宋体"/>
                <w:bCs/>
                <w:color w:val="auto"/>
                <w:kern w:val="21"/>
                <w:sz w:val="24"/>
                <w:szCs w:val="24"/>
                <w:highlight w:val="none"/>
                <w:lang w:val="en-US" w:eastAsia="zh-CN"/>
              </w:rPr>
              <w:t>3.</w:t>
            </w:r>
            <w:r>
              <w:rPr>
                <w:rFonts w:hint="eastAsia" w:ascii="宋体" w:hAnsi="宋体" w:eastAsia="宋体" w:cs="宋体"/>
                <w:bCs/>
                <w:color w:val="auto"/>
                <w:kern w:val="21"/>
                <w:sz w:val="24"/>
                <w:szCs w:val="24"/>
                <w:highlight w:val="none"/>
              </w:rPr>
              <w:t>安装调试</w:t>
            </w:r>
            <w:r>
              <w:rPr>
                <w:rFonts w:hint="eastAsia" w:ascii="宋体" w:hAnsi="宋体" w:eastAsia="宋体" w:cs="宋体"/>
                <w:bCs/>
                <w:color w:val="auto"/>
                <w:kern w:val="21"/>
                <w:sz w:val="24"/>
                <w:szCs w:val="24"/>
                <w:highlight w:val="none"/>
                <w:lang w:val="en-US" w:eastAsia="zh-CN"/>
              </w:rPr>
              <w:t>；4.</w:t>
            </w:r>
            <w:r>
              <w:rPr>
                <w:rFonts w:hint="eastAsia" w:ascii="宋体" w:hAnsi="宋体" w:eastAsia="宋体" w:cs="宋体"/>
                <w:bCs/>
                <w:color w:val="auto"/>
                <w:kern w:val="21"/>
                <w:sz w:val="24"/>
                <w:szCs w:val="24"/>
                <w:highlight w:val="none"/>
              </w:rPr>
              <w:t>进度安排</w:t>
            </w:r>
            <w:r>
              <w:rPr>
                <w:rFonts w:hint="eastAsia" w:ascii="宋体" w:hAnsi="宋体" w:eastAsia="宋体" w:cs="宋体"/>
                <w:bCs/>
                <w:color w:val="auto"/>
                <w:kern w:val="21"/>
                <w:sz w:val="24"/>
                <w:szCs w:val="24"/>
                <w:highlight w:val="none"/>
                <w:lang w:eastAsia="zh-CN"/>
              </w:rPr>
              <w:t>；</w:t>
            </w:r>
            <w:r>
              <w:rPr>
                <w:rFonts w:hint="eastAsia" w:ascii="宋体" w:hAnsi="宋体" w:eastAsia="宋体" w:cs="宋体"/>
                <w:bCs/>
                <w:color w:val="auto"/>
                <w:kern w:val="21"/>
                <w:sz w:val="24"/>
                <w:szCs w:val="24"/>
                <w:highlight w:val="none"/>
                <w:lang w:val="en-US" w:eastAsia="zh-CN"/>
              </w:rPr>
              <w:t>5.各阶段设备材料管理；6.</w:t>
            </w:r>
            <w:r>
              <w:rPr>
                <w:rFonts w:hint="eastAsia" w:ascii="宋体" w:hAnsi="宋体" w:eastAsia="宋体" w:cs="宋体"/>
                <w:bCs/>
                <w:color w:val="auto"/>
                <w:kern w:val="21"/>
                <w:sz w:val="24"/>
                <w:szCs w:val="24"/>
                <w:highlight w:val="none"/>
              </w:rPr>
              <w:t>施工现场秩序管理</w:t>
            </w:r>
            <w:r>
              <w:rPr>
                <w:rFonts w:hint="eastAsia" w:ascii="宋体" w:hAnsi="宋体" w:eastAsia="宋体" w:cs="宋体"/>
                <w:bCs/>
                <w:color w:val="auto"/>
                <w:kern w:val="21"/>
                <w:sz w:val="24"/>
                <w:szCs w:val="24"/>
                <w:highlight w:val="none"/>
                <w:lang w:eastAsia="zh-CN"/>
              </w:rPr>
              <w:t>；</w:t>
            </w:r>
            <w:r>
              <w:rPr>
                <w:rFonts w:hint="eastAsia" w:ascii="宋体" w:hAnsi="宋体" w:eastAsia="宋体" w:cs="宋体"/>
                <w:bCs/>
                <w:color w:val="auto"/>
                <w:kern w:val="21"/>
                <w:sz w:val="24"/>
                <w:szCs w:val="24"/>
                <w:highlight w:val="none"/>
              </w:rPr>
              <w:t>以上每提供一项得</w:t>
            </w:r>
            <w:r>
              <w:rPr>
                <w:rFonts w:hint="eastAsia" w:ascii="宋体" w:hAnsi="宋体" w:eastAsia="宋体" w:cs="宋体"/>
                <w:bCs/>
                <w:color w:val="auto"/>
                <w:kern w:val="21"/>
                <w:sz w:val="24"/>
                <w:szCs w:val="24"/>
                <w:highlight w:val="none"/>
                <w:lang w:val="en-US" w:eastAsia="zh-CN"/>
              </w:rPr>
              <w:t>1</w:t>
            </w:r>
            <w:r>
              <w:rPr>
                <w:rFonts w:hint="eastAsia" w:ascii="宋体" w:hAnsi="宋体" w:eastAsia="宋体" w:cs="宋体"/>
                <w:bCs/>
                <w:color w:val="auto"/>
                <w:kern w:val="21"/>
                <w:sz w:val="24"/>
                <w:szCs w:val="24"/>
                <w:highlight w:val="none"/>
              </w:rPr>
              <w:t>分，最高得</w:t>
            </w:r>
            <w:r>
              <w:rPr>
                <w:rFonts w:hint="eastAsia" w:ascii="宋体" w:hAnsi="宋体" w:eastAsia="宋体" w:cs="宋体"/>
                <w:bCs/>
                <w:color w:val="auto"/>
                <w:kern w:val="21"/>
                <w:sz w:val="24"/>
                <w:szCs w:val="24"/>
                <w:highlight w:val="none"/>
                <w:lang w:val="en-US" w:eastAsia="zh-CN"/>
              </w:rPr>
              <w:t>6</w:t>
            </w:r>
            <w:r>
              <w:rPr>
                <w:rFonts w:hint="eastAsia" w:ascii="宋体" w:hAnsi="宋体" w:eastAsia="宋体" w:cs="宋体"/>
                <w:bCs/>
                <w:color w:val="auto"/>
                <w:kern w:val="21"/>
                <w:sz w:val="24"/>
                <w:szCs w:val="24"/>
                <w:highlight w:val="none"/>
              </w:rPr>
              <w:t>分。</w:t>
            </w:r>
          </w:p>
        </w:tc>
      </w:tr>
      <w:tr w14:paraId="7907F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jc w:val="center"/>
        </w:trPr>
        <w:tc>
          <w:tcPr>
            <w:tcW w:w="534" w:type="dxa"/>
            <w:vMerge w:val="continue"/>
            <w:noWrap w:val="0"/>
            <w:tcMar>
              <w:top w:w="0" w:type="dxa"/>
              <w:left w:w="108" w:type="dxa"/>
              <w:bottom w:w="0" w:type="dxa"/>
              <w:right w:w="108" w:type="dxa"/>
            </w:tcMar>
            <w:vAlign w:val="center"/>
          </w:tcPr>
          <w:p w14:paraId="04FA5811">
            <w:pPr>
              <w:keepNext w:val="0"/>
              <w:keepLines w:val="0"/>
              <w:pageBreakBefore w:val="0"/>
              <w:widowControl/>
              <w:kinsoku/>
              <w:wordWrap/>
              <w:overflowPunct/>
              <w:topLinePunct w:val="0"/>
              <w:bidi w:val="0"/>
              <w:adjustRightInd w:val="0"/>
              <w:snapToGrid w:val="0"/>
              <w:spacing w:line="240" w:lineRule="auto"/>
              <w:ind w:left="0" w:leftChars="0" w:firstLine="0" w:firstLineChars="0"/>
              <w:jc w:val="both"/>
              <w:textAlignment w:val="auto"/>
              <w:rPr>
                <w:rFonts w:hint="eastAsia" w:ascii="宋体" w:hAnsi="宋体" w:eastAsia="宋体" w:cs="宋体"/>
                <w:color w:val="auto"/>
                <w:kern w:val="21"/>
                <w:sz w:val="24"/>
                <w:szCs w:val="24"/>
                <w:highlight w:val="none"/>
              </w:rPr>
            </w:pPr>
          </w:p>
        </w:tc>
        <w:tc>
          <w:tcPr>
            <w:tcW w:w="1489" w:type="dxa"/>
            <w:vMerge w:val="continue"/>
            <w:noWrap w:val="0"/>
            <w:tcMar>
              <w:top w:w="0" w:type="dxa"/>
              <w:left w:w="108" w:type="dxa"/>
              <w:bottom w:w="0" w:type="dxa"/>
              <w:right w:w="108" w:type="dxa"/>
            </w:tcMar>
            <w:vAlign w:val="center"/>
          </w:tcPr>
          <w:p w14:paraId="0861BEB1">
            <w:pPr>
              <w:keepNext w:val="0"/>
              <w:keepLines w:val="0"/>
              <w:pageBreakBefore w:val="0"/>
              <w:widowControl/>
              <w:kinsoku/>
              <w:wordWrap/>
              <w:overflowPunct/>
              <w:topLinePunct w:val="0"/>
              <w:bidi w:val="0"/>
              <w:adjustRightInd w:val="0"/>
              <w:snapToGrid w:val="0"/>
              <w:spacing w:line="240" w:lineRule="auto"/>
              <w:ind w:left="0" w:leftChars="0" w:firstLine="0" w:firstLineChars="0"/>
              <w:jc w:val="both"/>
              <w:textAlignment w:val="auto"/>
              <w:rPr>
                <w:rFonts w:hint="eastAsia" w:ascii="宋体" w:hAnsi="宋体" w:eastAsia="宋体" w:cs="宋体"/>
                <w:color w:val="auto"/>
                <w:kern w:val="21"/>
                <w:sz w:val="24"/>
                <w:szCs w:val="24"/>
                <w:highlight w:val="none"/>
              </w:rPr>
            </w:pPr>
          </w:p>
        </w:tc>
        <w:tc>
          <w:tcPr>
            <w:tcW w:w="703" w:type="dxa"/>
            <w:noWrap w:val="0"/>
            <w:tcMar>
              <w:top w:w="0" w:type="dxa"/>
              <w:left w:w="108" w:type="dxa"/>
              <w:bottom w:w="0" w:type="dxa"/>
              <w:right w:w="108" w:type="dxa"/>
            </w:tcMar>
            <w:vAlign w:val="center"/>
          </w:tcPr>
          <w:p w14:paraId="6114B27E">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kern w:val="21"/>
                <w:sz w:val="24"/>
                <w:szCs w:val="24"/>
                <w:highlight w:val="none"/>
                <w:lang w:val="en-US" w:eastAsia="zh-CN" w:bidi="ar-SA"/>
              </w:rPr>
            </w:pPr>
            <w:r>
              <w:rPr>
                <w:rFonts w:hint="eastAsia" w:ascii="宋体" w:hAnsi="宋体" w:eastAsia="宋体" w:cs="宋体"/>
                <w:color w:val="auto"/>
                <w:kern w:val="21"/>
                <w:sz w:val="24"/>
                <w:szCs w:val="24"/>
                <w:highlight w:val="none"/>
                <w:lang w:val="en-US" w:eastAsia="zh-CN" w:bidi="ar-SA"/>
              </w:rPr>
              <w:t>4分</w:t>
            </w:r>
          </w:p>
        </w:tc>
        <w:tc>
          <w:tcPr>
            <w:tcW w:w="7699" w:type="dxa"/>
            <w:noWrap w:val="0"/>
            <w:tcMar>
              <w:top w:w="0" w:type="dxa"/>
              <w:left w:w="108" w:type="dxa"/>
              <w:bottom w:w="0" w:type="dxa"/>
              <w:right w:w="108" w:type="dxa"/>
            </w:tcMar>
            <w:vAlign w:val="center"/>
          </w:tcPr>
          <w:p w14:paraId="14C2739C">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color w:val="auto"/>
                <w:kern w:val="21"/>
                <w:sz w:val="24"/>
                <w:szCs w:val="24"/>
                <w:highlight w:val="none"/>
                <w:lang w:val="en-US" w:eastAsia="zh-CN" w:bidi="ar"/>
              </w:rPr>
            </w:pPr>
            <w:r>
              <w:rPr>
                <w:rFonts w:hint="eastAsia" w:ascii="宋体" w:hAnsi="宋体" w:eastAsia="宋体" w:cs="宋体"/>
                <w:color w:val="auto"/>
                <w:kern w:val="21"/>
                <w:sz w:val="24"/>
                <w:szCs w:val="24"/>
                <w:highlight w:val="none"/>
                <w:lang w:val="en-US" w:eastAsia="zh-CN" w:bidi="ar"/>
              </w:rPr>
              <w:t>提供的应急措施方案包括：</w:t>
            </w:r>
          </w:p>
          <w:p w14:paraId="41BC036B">
            <w:pPr>
              <w:keepNext w:val="0"/>
              <w:keepLines w:val="0"/>
              <w:pageBreakBefore w:val="0"/>
              <w:widowControl w:val="0"/>
              <w:numPr>
                <w:ilvl w:val="0"/>
                <w:numId w:val="0"/>
              </w:numPr>
              <w:suppressLineNumbers w:val="0"/>
              <w:kinsoku/>
              <w:wordWrap/>
              <w:overflowPunct/>
              <w:topLinePunct w:val="0"/>
              <w:bidi w:val="0"/>
              <w:adjustRightInd w:val="0"/>
              <w:snapToGrid w:val="0"/>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color w:val="auto"/>
                <w:kern w:val="21"/>
                <w:sz w:val="24"/>
                <w:szCs w:val="24"/>
                <w:highlight w:val="none"/>
                <w:lang w:val="en-US" w:eastAsia="zh-CN" w:bidi="ar"/>
              </w:rPr>
            </w:pPr>
            <w:r>
              <w:rPr>
                <w:rFonts w:hint="eastAsia" w:ascii="宋体" w:hAnsi="宋体" w:eastAsia="宋体" w:cs="宋体"/>
                <w:color w:val="auto"/>
                <w:kern w:val="21"/>
                <w:sz w:val="24"/>
                <w:szCs w:val="24"/>
                <w:highlight w:val="none"/>
                <w:lang w:val="en-US" w:eastAsia="zh-CN" w:bidi="ar"/>
              </w:rPr>
              <w:t>1.项目过程中可能发生的各类突发事件的分析；2.应急保障机构的设置；3.具体的应急措施；4.应急过后的解决方案。针</w:t>
            </w:r>
            <w:r>
              <w:rPr>
                <w:rFonts w:hint="eastAsia" w:ascii="宋体" w:hAnsi="宋体" w:cs="宋体"/>
                <w:color w:val="auto"/>
                <w:kern w:val="21"/>
                <w:sz w:val="24"/>
                <w:szCs w:val="24"/>
                <w:highlight w:val="none"/>
                <w:lang w:val="en-US" w:eastAsia="zh-CN" w:bidi="ar"/>
              </w:rPr>
              <w:t>对</w:t>
            </w:r>
            <w:r>
              <w:rPr>
                <w:rFonts w:hint="eastAsia" w:ascii="宋体" w:hAnsi="宋体" w:eastAsia="宋体" w:cs="宋体"/>
                <w:color w:val="auto"/>
                <w:kern w:val="21"/>
                <w:sz w:val="24"/>
                <w:szCs w:val="24"/>
                <w:highlight w:val="none"/>
                <w:lang w:val="en-US" w:eastAsia="zh-CN" w:bidi="ar"/>
              </w:rPr>
              <w:t>上述条件</w:t>
            </w:r>
            <w:r>
              <w:rPr>
                <w:rFonts w:hint="eastAsia" w:ascii="宋体" w:hAnsi="宋体" w:cs="宋体"/>
                <w:color w:val="auto"/>
                <w:kern w:val="21"/>
                <w:sz w:val="24"/>
                <w:szCs w:val="24"/>
                <w:highlight w:val="none"/>
                <w:lang w:val="en-US" w:eastAsia="zh-CN" w:bidi="ar"/>
              </w:rPr>
              <w:t>为</w:t>
            </w:r>
            <w:r>
              <w:rPr>
                <w:rFonts w:hint="eastAsia" w:ascii="宋体" w:hAnsi="宋体" w:eastAsia="宋体" w:cs="宋体"/>
                <w:color w:val="auto"/>
                <w:kern w:val="21"/>
                <w:sz w:val="24"/>
                <w:szCs w:val="24"/>
                <w:highlight w:val="none"/>
                <w:lang w:val="en-US" w:eastAsia="zh-CN" w:bidi="ar"/>
              </w:rPr>
              <w:t>可能发生的紧急情况制定应急保障预案。</w:t>
            </w:r>
          </w:p>
          <w:p w14:paraId="0BAAC20D">
            <w:pPr>
              <w:keepNext w:val="0"/>
              <w:keepLines w:val="0"/>
              <w:pageBreakBefore w:val="0"/>
              <w:widowControl w:val="0"/>
              <w:numPr>
                <w:ilvl w:val="0"/>
                <w:numId w:val="0"/>
              </w:numPr>
              <w:suppressLineNumbers w:val="0"/>
              <w:kinsoku/>
              <w:wordWrap/>
              <w:overflowPunct/>
              <w:topLinePunct w:val="0"/>
              <w:bidi w:val="0"/>
              <w:adjustRightInd w:val="0"/>
              <w:snapToGrid w:val="0"/>
              <w:spacing w:before="0" w:beforeAutospacing="0" w:after="0" w:afterAutospacing="0" w:line="240" w:lineRule="auto"/>
              <w:ind w:leftChars="0" w:right="0" w:rightChars="0"/>
              <w:jc w:val="both"/>
              <w:textAlignment w:val="auto"/>
              <w:rPr>
                <w:rFonts w:hint="eastAsia" w:ascii="宋体" w:hAnsi="宋体" w:eastAsia="宋体" w:cs="宋体"/>
                <w:color w:val="auto"/>
                <w:kern w:val="21"/>
                <w:sz w:val="24"/>
                <w:szCs w:val="24"/>
                <w:highlight w:val="none"/>
                <w:lang w:val="en-US" w:eastAsia="zh-CN" w:bidi="ar-SA"/>
              </w:rPr>
            </w:pPr>
            <w:r>
              <w:rPr>
                <w:rFonts w:hint="eastAsia" w:ascii="宋体" w:hAnsi="宋体" w:eastAsia="宋体" w:cs="宋体"/>
                <w:color w:val="auto"/>
                <w:kern w:val="21"/>
                <w:sz w:val="24"/>
                <w:szCs w:val="24"/>
                <w:highlight w:val="none"/>
                <w:lang w:val="en-US" w:eastAsia="zh-CN"/>
              </w:rPr>
              <w:t>以上每提供一项得1分，最多得4分。</w:t>
            </w:r>
          </w:p>
        </w:tc>
      </w:tr>
      <w:tr w14:paraId="2DE64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jc w:val="center"/>
        </w:trPr>
        <w:tc>
          <w:tcPr>
            <w:tcW w:w="534" w:type="dxa"/>
            <w:vMerge w:val="continue"/>
            <w:noWrap w:val="0"/>
            <w:tcMar>
              <w:top w:w="0" w:type="dxa"/>
              <w:left w:w="108" w:type="dxa"/>
              <w:bottom w:w="0" w:type="dxa"/>
              <w:right w:w="108" w:type="dxa"/>
            </w:tcMar>
            <w:vAlign w:val="center"/>
          </w:tcPr>
          <w:p w14:paraId="14C40A92">
            <w:pPr>
              <w:keepNext w:val="0"/>
              <w:keepLines w:val="0"/>
              <w:pageBreakBefore w:val="0"/>
              <w:widowControl/>
              <w:kinsoku/>
              <w:wordWrap/>
              <w:overflowPunct/>
              <w:topLinePunct w:val="0"/>
              <w:bidi w:val="0"/>
              <w:adjustRightInd w:val="0"/>
              <w:snapToGrid w:val="0"/>
              <w:spacing w:line="240" w:lineRule="auto"/>
              <w:ind w:left="0" w:leftChars="0" w:firstLine="0" w:firstLineChars="0"/>
              <w:jc w:val="both"/>
              <w:textAlignment w:val="auto"/>
              <w:rPr>
                <w:rFonts w:hint="eastAsia" w:ascii="宋体" w:hAnsi="宋体" w:eastAsia="宋体" w:cs="宋体"/>
                <w:color w:val="auto"/>
                <w:kern w:val="21"/>
                <w:sz w:val="24"/>
                <w:szCs w:val="24"/>
                <w:highlight w:val="none"/>
              </w:rPr>
            </w:pPr>
          </w:p>
        </w:tc>
        <w:tc>
          <w:tcPr>
            <w:tcW w:w="1489" w:type="dxa"/>
            <w:vMerge w:val="continue"/>
            <w:noWrap w:val="0"/>
            <w:tcMar>
              <w:top w:w="0" w:type="dxa"/>
              <w:left w:w="108" w:type="dxa"/>
              <w:bottom w:w="0" w:type="dxa"/>
              <w:right w:w="108" w:type="dxa"/>
            </w:tcMar>
            <w:vAlign w:val="center"/>
          </w:tcPr>
          <w:p w14:paraId="257F14B9">
            <w:pPr>
              <w:keepNext w:val="0"/>
              <w:keepLines w:val="0"/>
              <w:pageBreakBefore w:val="0"/>
              <w:widowControl/>
              <w:kinsoku/>
              <w:wordWrap/>
              <w:overflowPunct/>
              <w:topLinePunct w:val="0"/>
              <w:bidi w:val="0"/>
              <w:adjustRightInd w:val="0"/>
              <w:snapToGrid w:val="0"/>
              <w:spacing w:line="240" w:lineRule="auto"/>
              <w:ind w:left="0" w:leftChars="0" w:firstLine="0" w:firstLineChars="0"/>
              <w:jc w:val="both"/>
              <w:textAlignment w:val="auto"/>
              <w:rPr>
                <w:rFonts w:hint="eastAsia" w:ascii="宋体" w:hAnsi="宋体" w:eastAsia="宋体" w:cs="宋体"/>
                <w:color w:val="auto"/>
                <w:kern w:val="21"/>
                <w:sz w:val="24"/>
                <w:szCs w:val="24"/>
                <w:highlight w:val="none"/>
              </w:rPr>
            </w:pPr>
          </w:p>
        </w:tc>
        <w:tc>
          <w:tcPr>
            <w:tcW w:w="703" w:type="dxa"/>
            <w:noWrap w:val="0"/>
            <w:tcMar>
              <w:top w:w="0" w:type="dxa"/>
              <w:left w:w="108" w:type="dxa"/>
              <w:bottom w:w="0" w:type="dxa"/>
              <w:right w:w="108" w:type="dxa"/>
            </w:tcMar>
            <w:vAlign w:val="center"/>
          </w:tcPr>
          <w:p w14:paraId="1768808C">
            <w:pPr>
              <w:keepNext w:val="0"/>
              <w:keepLines w:val="0"/>
              <w:pageBreakBefore w:val="0"/>
              <w:kinsoku/>
              <w:wordWrap/>
              <w:overflowPunct/>
              <w:topLinePunct w:val="0"/>
              <w:bidi w:val="0"/>
              <w:adjustRightInd w:val="0"/>
              <w:snapToGrid w:val="0"/>
              <w:spacing w:line="240" w:lineRule="auto"/>
              <w:ind w:left="0" w:leftChars="0" w:firstLine="0" w:firstLineChars="0"/>
              <w:jc w:val="center"/>
              <w:textAlignment w:val="auto"/>
              <w:rPr>
                <w:rFonts w:hint="eastAsia" w:ascii="宋体" w:hAnsi="宋体" w:eastAsia="宋体" w:cs="宋体"/>
                <w:color w:val="auto"/>
                <w:kern w:val="21"/>
                <w:sz w:val="24"/>
                <w:szCs w:val="24"/>
                <w:highlight w:val="none"/>
                <w:lang w:val="en-US" w:eastAsia="zh-CN" w:bidi="ar-SA"/>
              </w:rPr>
            </w:pPr>
            <w:r>
              <w:rPr>
                <w:rFonts w:hint="eastAsia" w:ascii="宋体" w:hAnsi="宋体" w:eastAsia="宋体" w:cs="宋体"/>
                <w:color w:val="auto"/>
                <w:kern w:val="21"/>
                <w:sz w:val="24"/>
                <w:szCs w:val="24"/>
                <w:highlight w:val="none"/>
                <w:lang w:val="en-US" w:eastAsia="zh-CN" w:bidi="ar-SA"/>
              </w:rPr>
              <w:t>4分</w:t>
            </w:r>
          </w:p>
        </w:tc>
        <w:tc>
          <w:tcPr>
            <w:tcW w:w="7699" w:type="dxa"/>
            <w:noWrap w:val="0"/>
            <w:tcMar>
              <w:top w:w="0" w:type="dxa"/>
              <w:left w:w="108" w:type="dxa"/>
              <w:bottom w:w="0" w:type="dxa"/>
              <w:right w:w="108" w:type="dxa"/>
            </w:tcMar>
            <w:vAlign w:val="center"/>
          </w:tcPr>
          <w:p w14:paraId="00F5019A">
            <w:pPr>
              <w:keepNext w:val="0"/>
              <w:keepLines w:val="0"/>
              <w:pageBreakBefore w:val="0"/>
              <w:kinsoku/>
              <w:wordWrap/>
              <w:overflowPunct/>
              <w:topLinePunct w:val="0"/>
              <w:bidi w:val="0"/>
              <w:adjustRightInd w:val="0"/>
              <w:snapToGrid w:val="0"/>
              <w:spacing w:line="240" w:lineRule="auto"/>
              <w:ind w:left="0" w:leftChars="0" w:firstLine="0" w:firstLineChars="0"/>
              <w:jc w:val="both"/>
              <w:textAlignment w:val="auto"/>
              <w:rPr>
                <w:rFonts w:hint="eastAsia" w:ascii="宋体" w:hAnsi="宋体" w:eastAsia="宋体" w:cs="宋体"/>
                <w:color w:val="auto"/>
                <w:kern w:val="21"/>
                <w:sz w:val="24"/>
                <w:szCs w:val="24"/>
                <w:highlight w:val="none"/>
                <w:lang w:val="en-US" w:eastAsia="zh-CN"/>
              </w:rPr>
            </w:pPr>
            <w:r>
              <w:rPr>
                <w:rFonts w:hint="eastAsia" w:ascii="宋体" w:hAnsi="宋体" w:eastAsia="宋体" w:cs="宋体"/>
                <w:color w:val="auto"/>
                <w:kern w:val="21"/>
                <w:sz w:val="24"/>
                <w:szCs w:val="24"/>
                <w:highlight w:val="none"/>
                <w:lang w:val="en-US" w:eastAsia="zh-CN"/>
              </w:rPr>
              <w:t>配送方案包括：</w:t>
            </w:r>
          </w:p>
          <w:p w14:paraId="1FC022E2">
            <w:pPr>
              <w:keepNext w:val="0"/>
              <w:keepLines w:val="0"/>
              <w:pageBreakBefore w:val="0"/>
              <w:numPr>
                <w:ilvl w:val="0"/>
                <w:numId w:val="0"/>
              </w:numPr>
              <w:kinsoku/>
              <w:wordWrap/>
              <w:overflowPunct/>
              <w:topLinePunct w:val="0"/>
              <w:bidi w:val="0"/>
              <w:adjustRightInd w:val="0"/>
              <w:snapToGrid w:val="0"/>
              <w:spacing w:line="240" w:lineRule="auto"/>
              <w:ind w:left="0" w:leftChars="0" w:firstLine="0" w:firstLineChars="0"/>
              <w:jc w:val="both"/>
              <w:textAlignment w:val="auto"/>
              <w:rPr>
                <w:rFonts w:hint="eastAsia" w:ascii="宋体" w:hAnsi="宋体" w:eastAsia="宋体" w:cs="宋体"/>
                <w:color w:val="auto"/>
                <w:kern w:val="21"/>
                <w:sz w:val="24"/>
                <w:szCs w:val="24"/>
                <w:highlight w:val="none"/>
                <w:lang w:val="en-US" w:eastAsia="zh-CN"/>
              </w:rPr>
            </w:pPr>
            <w:r>
              <w:rPr>
                <w:rFonts w:hint="eastAsia" w:ascii="宋体" w:hAnsi="宋体" w:eastAsia="宋体" w:cs="宋体"/>
                <w:color w:val="auto"/>
                <w:kern w:val="21"/>
                <w:sz w:val="24"/>
                <w:szCs w:val="24"/>
                <w:highlight w:val="none"/>
                <w:lang w:val="en-US" w:eastAsia="zh-CN" w:bidi="ar-SA"/>
              </w:rPr>
              <w:t>1.</w:t>
            </w:r>
            <w:r>
              <w:rPr>
                <w:rFonts w:hint="eastAsia" w:ascii="宋体" w:hAnsi="宋体" w:eastAsia="宋体" w:cs="宋体"/>
                <w:color w:val="auto"/>
                <w:kern w:val="21"/>
                <w:sz w:val="24"/>
                <w:szCs w:val="24"/>
                <w:highlight w:val="none"/>
                <w:lang w:val="en-US" w:eastAsia="zh-CN"/>
              </w:rPr>
              <w:t>运输分拣包装方案；2.配送管理措施；3.货物配送车辆消毒措施；4.运输安全保证措施。</w:t>
            </w:r>
          </w:p>
          <w:p w14:paraId="46894971">
            <w:pPr>
              <w:keepNext w:val="0"/>
              <w:keepLines w:val="0"/>
              <w:pageBreakBefore w:val="0"/>
              <w:numPr>
                <w:ilvl w:val="0"/>
                <w:numId w:val="0"/>
              </w:numPr>
              <w:kinsoku/>
              <w:wordWrap/>
              <w:overflowPunct/>
              <w:topLinePunct w:val="0"/>
              <w:bidi w:val="0"/>
              <w:adjustRightInd w:val="0"/>
              <w:snapToGrid w:val="0"/>
              <w:spacing w:line="240" w:lineRule="auto"/>
              <w:ind w:leftChars="0"/>
              <w:jc w:val="both"/>
              <w:textAlignment w:val="auto"/>
              <w:rPr>
                <w:rFonts w:hint="eastAsia" w:ascii="宋体" w:hAnsi="宋体" w:eastAsia="宋体" w:cs="宋体"/>
                <w:color w:val="auto"/>
                <w:kern w:val="21"/>
                <w:sz w:val="24"/>
                <w:szCs w:val="24"/>
                <w:highlight w:val="none"/>
                <w:lang w:val="zh-CN" w:eastAsia="zh-CN" w:bidi="ar-SA"/>
              </w:rPr>
            </w:pPr>
            <w:r>
              <w:rPr>
                <w:rFonts w:hint="eastAsia" w:ascii="宋体" w:hAnsi="宋体" w:eastAsia="宋体" w:cs="宋体"/>
                <w:color w:val="auto"/>
                <w:kern w:val="21"/>
                <w:sz w:val="24"/>
                <w:szCs w:val="24"/>
                <w:highlight w:val="none"/>
                <w:lang w:val="en-US" w:eastAsia="zh-CN"/>
              </w:rPr>
              <w:t>以上每提供一项得1分，最多得4分。</w:t>
            </w:r>
          </w:p>
        </w:tc>
      </w:tr>
      <w:tr w14:paraId="01A2F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jc w:val="center"/>
        </w:trPr>
        <w:tc>
          <w:tcPr>
            <w:tcW w:w="534" w:type="dxa"/>
            <w:vMerge w:val="restart"/>
            <w:noWrap w:val="0"/>
            <w:tcMar>
              <w:top w:w="0" w:type="dxa"/>
              <w:left w:w="108" w:type="dxa"/>
              <w:bottom w:w="0" w:type="dxa"/>
              <w:right w:w="108" w:type="dxa"/>
            </w:tcMar>
            <w:vAlign w:val="center"/>
          </w:tcPr>
          <w:p w14:paraId="77AD9C98">
            <w:pPr>
              <w:keepNext w:val="0"/>
              <w:keepLines w:val="0"/>
              <w:pageBreakBefore w:val="0"/>
              <w:widowControl/>
              <w:kinsoku/>
              <w:wordWrap/>
              <w:overflowPunct/>
              <w:topLinePunct w:val="0"/>
              <w:bidi w:val="0"/>
              <w:adjustRightInd w:val="0"/>
              <w:snapToGrid w:val="0"/>
              <w:spacing w:line="240" w:lineRule="auto"/>
              <w:ind w:left="0" w:leftChars="0" w:firstLine="0" w:firstLineChars="0"/>
              <w:jc w:val="center"/>
              <w:textAlignment w:val="auto"/>
              <w:rPr>
                <w:rFonts w:hint="eastAsia" w:ascii="宋体" w:hAnsi="宋体" w:eastAsia="宋体" w:cs="宋体"/>
                <w:color w:val="auto"/>
                <w:kern w:val="21"/>
                <w:sz w:val="24"/>
                <w:szCs w:val="24"/>
                <w:highlight w:val="none"/>
              </w:rPr>
            </w:pPr>
            <w:r>
              <w:rPr>
                <w:rFonts w:hint="eastAsia" w:ascii="宋体" w:hAnsi="宋体" w:eastAsia="宋体" w:cs="宋体"/>
                <w:color w:val="auto"/>
                <w:kern w:val="21"/>
                <w:sz w:val="24"/>
                <w:szCs w:val="24"/>
                <w:highlight w:val="none"/>
              </w:rPr>
              <w:t>4</w:t>
            </w:r>
          </w:p>
        </w:tc>
        <w:tc>
          <w:tcPr>
            <w:tcW w:w="1489" w:type="dxa"/>
            <w:vMerge w:val="restart"/>
            <w:noWrap w:val="0"/>
            <w:tcMar>
              <w:top w:w="0" w:type="dxa"/>
              <w:left w:w="108" w:type="dxa"/>
              <w:bottom w:w="0" w:type="dxa"/>
              <w:right w:w="108" w:type="dxa"/>
            </w:tcMar>
            <w:vAlign w:val="center"/>
          </w:tcPr>
          <w:p w14:paraId="5951400C">
            <w:pPr>
              <w:keepNext w:val="0"/>
              <w:keepLines w:val="0"/>
              <w:pageBreakBefore w:val="0"/>
              <w:kinsoku/>
              <w:wordWrap/>
              <w:overflowPunct/>
              <w:topLinePunct w:val="0"/>
              <w:bidi w:val="0"/>
              <w:adjustRightInd w:val="0"/>
              <w:snapToGrid w:val="0"/>
              <w:spacing w:line="240" w:lineRule="auto"/>
              <w:ind w:left="0" w:leftChars="0" w:firstLine="0" w:firstLineChars="0"/>
              <w:jc w:val="center"/>
              <w:textAlignment w:val="auto"/>
              <w:rPr>
                <w:rFonts w:hint="eastAsia" w:ascii="宋体" w:hAnsi="宋体" w:eastAsia="宋体" w:cs="宋体"/>
                <w:color w:val="auto"/>
                <w:kern w:val="21"/>
                <w:sz w:val="24"/>
                <w:szCs w:val="24"/>
                <w:highlight w:val="none"/>
                <w:lang w:val="zh-CN"/>
              </w:rPr>
            </w:pPr>
            <w:r>
              <w:rPr>
                <w:rFonts w:hint="eastAsia" w:ascii="宋体" w:hAnsi="宋体" w:eastAsia="宋体" w:cs="宋体"/>
                <w:color w:val="auto"/>
                <w:kern w:val="21"/>
                <w:sz w:val="24"/>
                <w:szCs w:val="24"/>
                <w:highlight w:val="none"/>
                <w:lang w:val="zh-CN"/>
              </w:rPr>
              <w:t>售后服务</w:t>
            </w:r>
          </w:p>
          <w:p w14:paraId="5D7F375A">
            <w:pPr>
              <w:keepNext w:val="0"/>
              <w:keepLines w:val="0"/>
              <w:pageBreakBefore w:val="0"/>
              <w:kinsoku/>
              <w:wordWrap/>
              <w:overflowPunct/>
              <w:topLinePunct w:val="0"/>
              <w:bidi w:val="0"/>
              <w:adjustRightInd w:val="0"/>
              <w:snapToGrid w:val="0"/>
              <w:spacing w:line="240" w:lineRule="auto"/>
              <w:ind w:left="0" w:leftChars="0" w:firstLine="0" w:firstLineChars="0"/>
              <w:jc w:val="center"/>
              <w:textAlignment w:val="auto"/>
              <w:rPr>
                <w:rFonts w:hint="eastAsia" w:ascii="宋体" w:hAnsi="宋体" w:eastAsia="宋体" w:cs="宋体"/>
                <w:color w:val="auto"/>
                <w:kern w:val="21"/>
                <w:sz w:val="24"/>
                <w:szCs w:val="24"/>
                <w:highlight w:val="none"/>
              </w:rPr>
            </w:pPr>
            <w:r>
              <w:rPr>
                <w:rFonts w:hint="eastAsia" w:ascii="宋体" w:hAnsi="宋体" w:eastAsia="宋体" w:cs="宋体"/>
                <w:color w:val="auto"/>
                <w:kern w:val="21"/>
                <w:sz w:val="24"/>
                <w:szCs w:val="24"/>
                <w:highlight w:val="none"/>
                <w:lang w:val="zh-CN"/>
              </w:rPr>
              <w:t>因素</w:t>
            </w:r>
            <w:r>
              <w:rPr>
                <w:rFonts w:hint="eastAsia" w:ascii="宋体" w:hAnsi="宋体" w:eastAsia="宋体" w:cs="宋体"/>
                <w:color w:val="auto"/>
                <w:kern w:val="21"/>
                <w:sz w:val="24"/>
                <w:szCs w:val="24"/>
                <w:highlight w:val="none"/>
              </w:rPr>
              <w:t>分</w:t>
            </w:r>
          </w:p>
          <w:p w14:paraId="0DA42079">
            <w:pPr>
              <w:keepNext w:val="0"/>
              <w:keepLines w:val="0"/>
              <w:pageBreakBefore w:val="0"/>
              <w:kinsoku/>
              <w:wordWrap/>
              <w:overflowPunct/>
              <w:topLinePunct w:val="0"/>
              <w:bidi w:val="0"/>
              <w:adjustRightInd w:val="0"/>
              <w:snapToGrid w:val="0"/>
              <w:spacing w:line="240" w:lineRule="auto"/>
              <w:ind w:left="0" w:leftChars="0" w:firstLine="0" w:firstLineChars="0"/>
              <w:jc w:val="center"/>
              <w:textAlignment w:val="auto"/>
              <w:rPr>
                <w:rFonts w:hint="eastAsia" w:ascii="宋体" w:hAnsi="宋体" w:eastAsia="宋体" w:cs="宋体"/>
                <w:color w:val="auto"/>
                <w:kern w:val="21"/>
                <w:sz w:val="24"/>
                <w:szCs w:val="24"/>
                <w:highlight w:val="none"/>
              </w:rPr>
            </w:pPr>
            <w:r>
              <w:rPr>
                <w:rFonts w:hint="eastAsia" w:ascii="宋体" w:hAnsi="宋体" w:eastAsia="宋体" w:cs="宋体"/>
                <w:color w:val="auto"/>
                <w:kern w:val="21"/>
                <w:sz w:val="24"/>
                <w:szCs w:val="24"/>
                <w:highlight w:val="none"/>
              </w:rPr>
              <w:t>（</w:t>
            </w:r>
            <w:r>
              <w:rPr>
                <w:rFonts w:hint="eastAsia" w:ascii="宋体" w:hAnsi="宋体" w:eastAsia="宋体" w:cs="宋体"/>
                <w:color w:val="auto"/>
                <w:kern w:val="21"/>
                <w:sz w:val="24"/>
                <w:szCs w:val="24"/>
                <w:highlight w:val="none"/>
                <w:lang w:val="en-US" w:eastAsia="zh-CN"/>
              </w:rPr>
              <w:t>12</w:t>
            </w:r>
            <w:r>
              <w:rPr>
                <w:rFonts w:hint="eastAsia" w:ascii="宋体" w:hAnsi="宋体" w:eastAsia="宋体" w:cs="宋体"/>
                <w:color w:val="auto"/>
                <w:kern w:val="21"/>
                <w:sz w:val="24"/>
                <w:szCs w:val="24"/>
                <w:highlight w:val="none"/>
              </w:rPr>
              <w:t>分）</w:t>
            </w:r>
          </w:p>
        </w:tc>
        <w:tc>
          <w:tcPr>
            <w:tcW w:w="703" w:type="dxa"/>
            <w:noWrap w:val="0"/>
            <w:tcMar>
              <w:top w:w="0" w:type="dxa"/>
              <w:left w:w="108" w:type="dxa"/>
              <w:bottom w:w="0" w:type="dxa"/>
              <w:right w:w="108" w:type="dxa"/>
            </w:tcMar>
            <w:vAlign w:val="center"/>
          </w:tcPr>
          <w:p w14:paraId="54B3C2B8">
            <w:pPr>
              <w:keepNext w:val="0"/>
              <w:keepLines w:val="0"/>
              <w:pageBreakBefore w:val="0"/>
              <w:kinsoku/>
              <w:wordWrap/>
              <w:overflowPunct/>
              <w:topLinePunct w:val="0"/>
              <w:bidi w:val="0"/>
              <w:adjustRightInd w:val="0"/>
              <w:snapToGrid w:val="0"/>
              <w:spacing w:line="240" w:lineRule="auto"/>
              <w:ind w:left="0" w:leftChars="0" w:firstLine="0" w:firstLineChars="0"/>
              <w:jc w:val="center"/>
              <w:textAlignment w:val="auto"/>
              <w:rPr>
                <w:rFonts w:hint="eastAsia" w:ascii="宋体" w:hAnsi="宋体" w:eastAsia="宋体" w:cs="宋体"/>
                <w:color w:val="auto"/>
                <w:kern w:val="21"/>
                <w:sz w:val="24"/>
                <w:szCs w:val="24"/>
                <w:highlight w:val="none"/>
                <w:lang w:val="en-US" w:eastAsia="zh-CN" w:bidi="ar-SA"/>
              </w:rPr>
            </w:pPr>
            <w:r>
              <w:rPr>
                <w:rFonts w:hint="eastAsia" w:ascii="宋体" w:hAnsi="宋体" w:eastAsia="宋体" w:cs="宋体"/>
                <w:color w:val="auto"/>
                <w:kern w:val="21"/>
                <w:sz w:val="24"/>
                <w:szCs w:val="24"/>
                <w:highlight w:val="none"/>
                <w:lang w:val="en-US" w:eastAsia="zh-CN"/>
              </w:rPr>
              <w:t>3</w:t>
            </w:r>
            <w:r>
              <w:rPr>
                <w:rFonts w:hint="eastAsia" w:ascii="宋体" w:hAnsi="宋体" w:eastAsia="宋体" w:cs="宋体"/>
                <w:color w:val="auto"/>
                <w:kern w:val="21"/>
                <w:sz w:val="24"/>
                <w:szCs w:val="24"/>
                <w:highlight w:val="none"/>
              </w:rPr>
              <w:t>分</w:t>
            </w:r>
          </w:p>
        </w:tc>
        <w:tc>
          <w:tcPr>
            <w:tcW w:w="7699" w:type="dxa"/>
            <w:noWrap w:val="0"/>
            <w:tcMar>
              <w:top w:w="0" w:type="dxa"/>
              <w:left w:w="108" w:type="dxa"/>
              <w:bottom w:w="0" w:type="dxa"/>
              <w:right w:w="108" w:type="dxa"/>
            </w:tcMar>
            <w:vAlign w:val="center"/>
          </w:tcPr>
          <w:p w14:paraId="6E256922">
            <w:pPr>
              <w:keepNext w:val="0"/>
              <w:keepLines w:val="0"/>
              <w:pageBreakBefore w:val="0"/>
              <w:kinsoku/>
              <w:wordWrap/>
              <w:overflowPunct/>
              <w:topLinePunct w:val="0"/>
              <w:bidi w:val="0"/>
              <w:adjustRightInd w:val="0"/>
              <w:snapToGrid w:val="0"/>
              <w:spacing w:line="240" w:lineRule="auto"/>
              <w:ind w:left="0" w:leftChars="0" w:firstLine="0" w:firstLineChars="0"/>
              <w:jc w:val="both"/>
              <w:textAlignment w:val="auto"/>
              <w:rPr>
                <w:rFonts w:hint="eastAsia" w:ascii="宋体" w:hAnsi="宋体" w:eastAsia="宋体" w:cs="宋体"/>
                <w:color w:val="auto"/>
                <w:kern w:val="21"/>
                <w:sz w:val="24"/>
                <w:szCs w:val="24"/>
                <w:highlight w:val="none"/>
                <w:lang w:val="en-US" w:eastAsia="zh-CN"/>
              </w:rPr>
            </w:pPr>
            <w:r>
              <w:rPr>
                <w:rFonts w:hint="eastAsia" w:ascii="宋体" w:hAnsi="宋体" w:eastAsia="宋体" w:cs="宋体"/>
                <w:color w:val="auto"/>
                <w:kern w:val="21"/>
                <w:sz w:val="24"/>
                <w:szCs w:val="24"/>
                <w:highlight w:val="none"/>
                <w:lang w:val="en-US" w:eastAsia="zh-CN"/>
              </w:rPr>
              <w:t>售后能力包括：</w:t>
            </w:r>
          </w:p>
          <w:p w14:paraId="65FDEE19">
            <w:pPr>
              <w:keepNext w:val="0"/>
              <w:keepLines w:val="0"/>
              <w:pageBreakBefore w:val="0"/>
              <w:kinsoku/>
              <w:wordWrap/>
              <w:overflowPunct/>
              <w:topLinePunct w:val="0"/>
              <w:bidi w:val="0"/>
              <w:adjustRightInd w:val="0"/>
              <w:snapToGrid w:val="0"/>
              <w:spacing w:line="240" w:lineRule="auto"/>
              <w:ind w:left="0" w:leftChars="0" w:firstLine="0" w:firstLineChars="0"/>
              <w:jc w:val="both"/>
              <w:textAlignment w:val="auto"/>
              <w:rPr>
                <w:rFonts w:hint="eastAsia" w:ascii="宋体" w:hAnsi="宋体" w:eastAsia="宋体" w:cs="宋体"/>
                <w:color w:val="auto"/>
                <w:kern w:val="21"/>
                <w:sz w:val="24"/>
                <w:szCs w:val="24"/>
                <w:highlight w:val="none"/>
                <w:lang w:val="en-US" w:eastAsia="zh-CN" w:bidi="ar-SA"/>
              </w:rPr>
            </w:pPr>
            <w:r>
              <w:rPr>
                <w:rFonts w:hint="eastAsia" w:ascii="宋体" w:hAnsi="宋体" w:eastAsia="宋体" w:cs="宋体"/>
                <w:color w:val="auto"/>
                <w:kern w:val="21"/>
                <w:sz w:val="24"/>
                <w:szCs w:val="24"/>
                <w:highlight w:val="none"/>
                <w:lang w:val="en-US" w:eastAsia="zh-CN"/>
              </w:rPr>
              <w:t>1.</w:t>
            </w:r>
            <w:r>
              <w:rPr>
                <w:rFonts w:hint="eastAsia" w:ascii="宋体" w:hAnsi="宋体" w:eastAsia="宋体" w:cs="宋体"/>
                <w:color w:val="auto"/>
                <w:kern w:val="21"/>
                <w:sz w:val="24"/>
                <w:szCs w:val="24"/>
                <w:highlight w:val="none"/>
              </w:rPr>
              <w:t>本项目配备专</w:t>
            </w:r>
            <w:r>
              <w:rPr>
                <w:rFonts w:hint="eastAsia" w:ascii="宋体" w:hAnsi="宋体" w:eastAsia="宋体" w:cs="宋体"/>
                <w:color w:val="auto"/>
                <w:kern w:val="21"/>
                <w:sz w:val="24"/>
                <w:szCs w:val="24"/>
                <w:highlight w:val="none"/>
                <w:lang w:val="en-US" w:eastAsia="zh-CN"/>
              </w:rPr>
              <w:t>职</w:t>
            </w:r>
            <w:r>
              <w:rPr>
                <w:rFonts w:hint="eastAsia" w:ascii="宋体" w:hAnsi="宋体" w:eastAsia="宋体" w:cs="宋体"/>
                <w:color w:val="auto"/>
                <w:kern w:val="21"/>
                <w:sz w:val="24"/>
                <w:szCs w:val="24"/>
                <w:highlight w:val="none"/>
              </w:rPr>
              <w:t>的售后服务人员</w:t>
            </w:r>
            <w:r>
              <w:rPr>
                <w:rFonts w:hint="eastAsia" w:ascii="宋体" w:hAnsi="宋体" w:eastAsia="宋体" w:cs="宋体"/>
                <w:color w:val="auto"/>
                <w:kern w:val="21"/>
                <w:sz w:val="24"/>
                <w:szCs w:val="24"/>
                <w:highlight w:val="none"/>
                <w:lang w:val="en-US" w:eastAsia="zh-CN"/>
              </w:rPr>
              <w:t>；2.驻场服务时间；3.备品备件管理</w:t>
            </w:r>
            <w:r>
              <w:rPr>
                <w:rFonts w:hint="eastAsia" w:ascii="宋体" w:hAnsi="宋体" w:eastAsia="宋体" w:cs="宋体"/>
                <w:color w:val="auto"/>
                <w:kern w:val="21"/>
                <w:sz w:val="24"/>
                <w:szCs w:val="24"/>
                <w:highlight w:val="none"/>
                <w:lang w:val="en-US" w:eastAsia="zh-CN" w:bidi="ar"/>
              </w:rPr>
              <w:t>。</w:t>
            </w:r>
            <w:r>
              <w:rPr>
                <w:rFonts w:hint="eastAsia" w:ascii="宋体" w:hAnsi="宋体" w:eastAsia="宋体" w:cs="宋体"/>
                <w:color w:val="auto"/>
                <w:kern w:val="21"/>
                <w:sz w:val="24"/>
                <w:szCs w:val="24"/>
                <w:highlight w:val="none"/>
                <w:lang w:val="en-US" w:eastAsia="zh-CN"/>
              </w:rPr>
              <w:t>以上每提供一项得1分，最多得3分。</w:t>
            </w:r>
          </w:p>
        </w:tc>
      </w:tr>
      <w:tr w14:paraId="0E2BB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534" w:type="dxa"/>
            <w:vMerge w:val="continue"/>
            <w:noWrap w:val="0"/>
            <w:tcMar>
              <w:top w:w="0" w:type="dxa"/>
              <w:left w:w="108" w:type="dxa"/>
              <w:bottom w:w="0" w:type="dxa"/>
              <w:right w:w="108" w:type="dxa"/>
            </w:tcMar>
            <w:vAlign w:val="center"/>
          </w:tcPr>
          <w:p w14:paraId="5912EFFE">
            <w:pPr>
              <w:keepNext w:val="0"/>
              <w:keepLines w:val="0"/>
              <w:pageBreakBefore w:val="0"/>
              <w:widowControl/>
              <w:kinsoku/>
              <w:wordWrap/>
              <w:overflowPunct/>
              <w:topLinePunct w:val="0"/>
              <w:bidi w:val="0"/>
              <w:adjustRightInd w:val="0"/>
              <w:snapToGrid w:val="0"/>
              <w:spacing w:line="240" w:lineRule="auto"/>
              <w:ind w:left="0" w:leftChars="0" w:firstLine="0" w:firstLineChars="0"/>
              <w:jc w:val="both"/>
              <w:textAlignment w:val="auto"/>
              <w:rPr>
                <w:rFonts w:hint="eastAsia" w:ascii="宋体" w:hAnsi="宋体" w:eastAsia="宋体" w:cs="宋体"/>
                <w:color w:val="auto"/>
                <w:kern w:val="21"/>
                <w:sz w:val="24"/>
                <w:szCs w:val="24"/>
                <w:highlight w:val="none"/>
              </w:rPr>
            </w:pPr>
          </w:p>
        </w:tc>
        <w:tc>
          <w:tcPr>
            <w:tcW w:w="1489" w:type="dxa"/>
            <w:vMerge w:val="continue"/>
            <w:noWrap w:val="0"/>
            <w:tcMar>
              <w:top w:w="0" w:type="dxa"/>
              <w:left w:w="108" w:type="dxa"/>
              <w:bottom w:w="0" w:type="dxa"/>
              <w:right w:w="108" w:type="dxa"/>
            </w:tcMar>
            <w:vAlign w:val="center"/>
          </w:tcPr>
          <w:p w14:paraId="4CE75FDA">
            <w:pPr>
              <w:keepNext w:val="0"/>
              <w:keepLines w:val="0"/>
              <w:pageBreakBefore w:val="0"/>
              <w:kinsoku/>
              <w:wordWrap/>
              <w:overflowPunct/>
              <w:topLinePunct w:val="0"/>
              <w:bidi w:val="0"/>
              <w:adjustRightInd w:val="0"/>
              <w:snapToGrid w:val="0"/>
              <w:spacing w:line="240" w:lineRule="auto"/>
              <w:ind w:left="0" w:leftChars="0" w:firstLine="0" w:firstLineChars="0"/>
              <w:jc w:val="both"/>
              <w:textAlignment w:val="auto"/>
              <w:rPr>
                <w:rFonts w:hint="eastAsia" w:ascii="宋体" w:hAnsi="宋体" w:eastAsia="宋体" w:cs="宋体"/>
                <w:color w:val="auto"/>
                <w:kern w:val="21"/>
                <w:sz w:val="24"/>
                <w:szCs w:val="24"/>
                <w:highlight w:val="none"/>
              </w:rPr>
            </w:pPr>
          </w:p>
        </w:tc>
        <w:tc>
          <w:tcPr>
            <w:tcW w:w="703" w:type="dxa"/>
            <w:noWrap w:val="0"/>
            <w:tcMar>
              <w:top w:w="0" w:type="dxa"/>
              <w:left w:w="108" w:type="dxa"/>
              <w:bottom w:w="0" w:type="dxa"/>
              <w:right w:w="108" w:type="dxa"/>
            </w:tcMar>
            <w:vAlign w:val="center"/>
          </w:tcPr>
          <w:p w14:paraId="1D0F1ADF">
            <w:pPr>
              <w:keepNext w:val="0"/>
              <w:keepLines w:val="0"/>
              <w:pageBreakBefore w:val="0"/>
              <w:kinsoku/>
              <w:wordWrap/>
              <w:overflowPunct/>
              <w:topLinePunct w:val="0"/>
              <w:bidi w:val="0"/>
              <w:adjustRightInd w:val="0"/>
              <w:snapToGrid w:val="0"/>
              <w:spacing w:line="240" w:lineRule="auto"/>
              <w:ind w:left="0" w:leftChars="0" w:firstLine="0" w:firstLineChars="0"/>
              <w:jc w:val="center"/>
              <w:textAlignment w:val="auto"/>
              <w:rPr>
                <w:rFonts w:hint="eastAsia" w:ascii="宋体" w:hAnsi="宋体" w:eastAsia="宋体" w:cs="宋体"/>
                <w:color w:val="auto"/>
                <w:kern w:val="21"/>
                <w:sz w:val="24"/>
                <w:szCs w:val="24"/>
                <w:highlight w:val="none"/>
                <w:lang w:val="en-US" w:eastAsia="zh-CN" w:bidi="ar-SA"/>
              </w:rPr>
            </w:pPr>
            <w:r>
              <w:rPr>
                <w:rFonts w:hint="eastAsia" w:ascii="宋体" w:hAnsi="宋体" w:eastAsia="宋体" w:cs="宋体"/>
                <w:bCs/>
                <w:color w:val="auto"/>
                <w:kern w:val="21"/>
                <w:sz w:val="24"/>
                <w:szCs w:val="24"/>
                <w:highlight w:val="none"/>
                <w:lang w:val="en-US" w:eastAsia="zh-CN"/>
              </w:rPr>
              <w:t>6</w:t>
            </w:r>
            <w:r>
              <w:rPr>
                <w:rFonts w:hint="eastAsia" w:ascii="宋体" w:hAnsi="宋体" w:eastAsia="宋体" w:cs="宋体"/>
                <w:bCs/>
                <w:color w:val="auto"/>
                <w:kern w:val="21"/>
                <w:sz w:val="24"/>
                <w:szCs w:val="24"/>
                <w:highlight w:val="none"/>
                <w:lang w:val="zh-CN"/>
              </w:rPr>
              <w:t>分</w:t>
            </w:r>
          </w:p>
        </w:tc>
        <w:tc>
          <w:tcPr>
            <w:tcW w:w="7699" w:type="dxa"/>
            <w:noWrap w:val="0"/>
            <w:tcMar>
              <w:top w:w="0" w:type="dxa"/>
              <w:left w:w="108" w:type="dxa"/>
              <w:bottom w:w="0" w:type="dxa"/>
              <w:right w:w="108" w:type="dxa"/>
            </w:tcMar>
            <w:vAlign w:val="center"/>
          </w:tcPr>
          <w:p w14:paraId="7DAEEAC1">
            <w:pPr>
              <w:keepNext w:val="0"/>
              <w:keepLines w:val="0"/>
              <w:pageBreakBefore w:val="0"/>
              <w:kinsoku/>
              <w:wordWrap/>
              <w:overflowPunct/>
              <w:topLinePunct w:val="0"/>
              <w:bidi w:val="0"/>
              <w:adjustRightInd w:val="0"/>
              <w:snapToGrid w:val="0"/>
              <w:spacing w:line="240" w:lineRule="auto"/>
              <w:ind w:left="0" w:leftChars="0" w:firstLine="0" w:firstLineChars="0"/>
              <w:jc w:val="both"/>
              <w:textAlignment w:val="auto"/>
              <w:rPr>
                <w:rFonts w:hint="eastAsia" w:ascii="宋体" w:hAnsi="宋体" w:eastAsia="宋体" w:cs="宋体"/>
                <w:color w:val="auto"/>
                <w:kern w:val="21"/>
                <w:sz w:val="24"/>
                <w:szCs w:val="24"/>
                <w:highlight w:val="none"/>
                <w:lang w:val="en-US" w:eastAsia="zh-CN" w:bidi="ar-SA"/>
              </w:rPr>
            </w:pPr>
            <w:r>
              <w:rPr>
                <w:rFonts w:hint="eastAsia" w:ascii="宋体" w:hAnsi="宋体" w:eastAsia="宋体" w:cs="宋体"/>
                <w:bCs/>
                <w:color w:val="auto"/>
                <w:kern w:val="21"/>
                <w:sz w:val="24"/>
                <w:szCs w:val="24"/>
                <w:highlight w:val="none"/>
              </w:rPr>
              <w:t>售后服务方案：</w:t>
            </w:r>
            <w:r>
              <w:rPr>
                <w:rFonts w:hint="eastAsia" w:ascii="宋体" w:hAnsi="宋体" w:eastAsia="宋体" w:cs="宋体"/>
                <w:bCs/>
                <w:color w:val="auto"/>
                <w:kern w:val="21"/>
                <w:sz w:val="24"/>
                <w:szCs w:val="24"/>
                <w:highlight w:val="none"/>
                <w:lang w:val="en-US" w:eastAsia="zh-CN"/>
              </w:rPr>
              <w:t>1.</w:t>
            </w:r>
            <w:r>
              <w:rPr>
                <w:rFonts w:hint="eastAsia" w:ascii="宋体" w:hAnsi="宋体" w:eastAsia="宋体" w:cs="宋体"/>
                <w:bCs/>
                <w:color w:val="auto"/>
                <w:kern w:val="21"/>
                <w:sz w:val="24"/>
                <w:szCs w:val="24"/>
                <w:highlight w:val="none"/>
              </w:rPr>
              <w:t>现场服务包括响应时间（≤2小时）</w:t>
            </w:r>
            <w:r>
              <w:rPr>
                <w:rFonts w:hint="eastAsia" w:ascii="宋体" w:hAnsi="宋体" w:eastAsia="宋体" w:cs="宋体"/>
                <w:bCs/>
                <w:color w:val="auto"/>
                <w:kern w:val="21"/>
                <w:sz w:val="24"/>
                <w:szCs w:val="24"/>
                <w:highlight w:val="none"/>
                <w:lang w:eastAsia="zh-CN"/>
              </w:rPr>
              <w:t>；</w:t>
            </w:r>
            <w:r>
              <w:rPr>
                <w:rFonts w:hint="eastAsia" w:ascii="宋体" w:hAnsi="宋体" w:eastAsia="宋体" w:cs="宋体"/>
                <w:bCs/>
                <w:color w:val="auto"/>
                <w:kern w:val="21"/>
                <w:sz w:val="24"/>
                <w:szCs w:val="24"/>
                <w:highlight w:val="none"/>
                <w:lang w:val="en-US" w:eastAsia="zh-CN"/>
              </w:rPr>
              <w:t>2.</w:t>
            </w:r>
            <w:r>
              <w:rPr>
                <w:rFonts w:hint="eastAsia" w:ascii="宋体" w:hAnsi="宋体" w:eastAsia="宋体" w:cs="宋体"/>
                <w:bCs/>
                <w:color w:val="auto"/>
                <w:kern w:val="21"/>
                <w:sz w:val="24"/>
                <w:szCs w:val="24"/>
                <w:highlight w:val="none"/>
              </w:rPr>
              <w:t>咨询指导</w:t>
            </w:r>
            <w:r>
              <w:rPr>
                <w:rFonts w:hint="eastAsia" w:ascii="宋体" w:hAnsi="宋体" w:eastAsia="宋体" w:cs="宋体"/>
                <w:bCs/>
                <w:color w:val="auto"/>
                <w:kern w:val="21"/>
                <w:sz w:val="24"/>
                <w:szCs w:val="24"/>
                <w:highlight w:val="none"/>
                <w:lang w:eastAsia="zh-CN"/>
              </w:rPr>
              <w:t>；</w:t>
            </w:r>
            <w:r>
              <w:rPr>
                <w:rFonts w:hint="eastAsia" w:ascii="宋体" w:hAnsi="宋体" w:eastAsia="宋体" w:cs="宋体"/>
                <w:bCs/>
                <w:color w:val="auto"/>
                <w:kern w:val="21"/>
                <w:sz w:val="24"/>
                <w:szCs w:val="24"/>
                <w:highlight w:val="none"/>
                <w:lang w:val="en-US" w:eastAsia="zh-CN"/>
              </w:rPr>
              <w:t>3.</w:t>
            </w:r>
            <w:r>
              <w:rPr>
                <w:rFonts w:hint="eastAsia" w:ascii="宋体" w:hAnsi="宋体" w:eastAsia="宋体" w:cs="宋体"/>
                <w:bCs/>
                <w:color w:val="auto"/>
                <w:kern w:val="21"/>
                <w:sz w:val="24"/>
                <w:szCs w:val="24"/>
                <w:highlight w:val="none"/>
              </w:rPr>
              <w:t>日常巡检</w:t>
            </w:r>
            <w:r>
              <w:rPr>
                <w:rFonts w:hint="eastAsia" w:ascii="宋体" w:hAnsi="宋体" w:eastAsia="宋体" w:cs="宋体"/>
                <w:bCs/>
                <w:color w:val="auto"/>
                <w:kern w:val="21"/>
                <w:sz w:val="24"/>
                <w:szCs w:val="24"/>
                <w:highlight w:val="none"/>
                <w:lang w:eastAsia="zh-CN"/>
              </w:rPr>
              <w:t>；</w:t>
            </w:r>
            <w:r>
              <w:rPr>
                <w:rFonts w:hint="eastAsia" w:ascii="宋体" w:hAnsi="宋体" w:eastAsia="宋体" w:cs="宋体"/>
                <w:bCs/>
                <w:color w:val="auto"/>
                <w:kern w:val="21"/>
                <w:sz w:val="24"/>
                <w:szCs w:val="24"/>
                <w:highlight w:val="none"/>
                <w:lang w:val="en-US" w:eastAsia="zh-CN"/>
              </w:rPr>
              <w:t>4.</w:t>
            </w:r>
            <w:r>
              <w:rPr>
                <w:rFonts w:hint="eastAsia" w:ascii="宋体" w:hAnsi="宋体" w:eastAsia="宋体" w:cs="宋体"/>
                <w:bCs/>
                <w:color w:val="auto"/>
                <w:kern w:val="21"/>
                <w:sz w:val="24"/>
                <w:szCs w:val="24"/>
                <w:highlight w:val="none"/>
              </w:rPr>
              <w:t>应急措施</w:t>
            </w:r>
            <w:r>
              <w:rPr>
                <w:rFonts w:hint="eastAsia" w:ascii="宋体" w:hAnsi="宋体" w:eastAsia="宋体" w:cs="宋体"/>
                <w:bCs/>
                <w:color w:val="auto"/>
                <w:kern w:val="21"/>
                <w:sz w:val="24"/>
                <w:szCs w:val="24"/>
                <w:highlight w:val="none"/>
                <w:lang w:eastAsia="zh-CN"/>
              </w:rPr>
              <w:t>；</w:t>
            </w:r>
            <w:r>
              <w:rPr>
                <w:rFonts w:hint="eastAsia" w:ascii="宋体" w:hAnsi="宋体" w:eastAsia="宋体" w:cs="宋体"/>
                <w:bCs/>
                <w:color w:val="auto"/>
                <w:kern w:val="21"/>
                <w:sz w:val="24"/>
                <w:szCs w:val="24"/>
                <w:highlight w:val="none"/>
                <w:lang w:val="en-US" w:eastAsia="zh-CN"/>
              </w:rPr>
              <w:t>5.</w:t>
            </w:r>
            <w:r>
              <w:rPr>
                <w:rFonts w:hint="eastAsia" w:ascii="宋体" w:hAnsi="宋体" w:eastAsia="宋体" w:cs="宋体"/>
                <w:bCs/>
                <w:color w:val="auto"/>
                <w:kern w:val="21"/>
                <w:sz w:val="24"/>
                <w:szCs w:val="24"/>
                <w:highlight w:val="none"/>
              </w:rPr>
              <w:t>人员安排</w:t>
            </w:r>
            <w:r>
              <w:rPr>
                <w:rFonts w:hint="eastAsia" w:ascii="宋体" w:hAnsi="宋体" w:eastAsia="宋体" w:cs="宋体"/>
                <w:bCs/>
                <w:color w:val="auto"/>
                <w:kern w:val="21"/>
                <w:sz w:val="24"/>
                <w:szCs w:val="24"/>
                <w:highlight w:val="none"/>
                <w:lang w:eastAsia="zh-CN"/>
              </w:rPr>
              <w:t>；</w:t>
            </w:r>
            <w:r>
              <w:rPr>
                <w:rFonts w:hint="eastAsia" w:ascii="宋体" w:hAnsi="宋体" w:eastAsia="宋体" w:cs="宋体"/>
                <w:bCs/>
                <w:color w:val="auto"/>
                <w:kern w:val="21"/>
                <w:sz w:val="24"/>
                <w:szCs w:val="24"/>
                <w:highlight w:val="none"/>
                <w:lang w:val="en-US" w:eastAsia="zh-CN"/>
              </w:rPr>
              <w:t>6.</w:t>
            </w:r>
            <w:r>
              <w:rPr>
                <w:rFonts w:hint="eastAsia" w:ascii="宋体" w:hAnsi="宋体" w:eastAsia="宋体" w:cs="宋体"/>
                <w:bCs/>
                <w:color w:val="auto"/>
                <w:kern w:val="21"/>
                <w:sz w:val="24"/>
                <w:szCs w:val="24"/>
                <w:highlight w:val="none"/>
              </w:rPr>
              <w:t>质保期外的维修措施。以上每提供一项得</w:t>
            </w:r>
            <w:r>
              <w:rPr>
                <w:rFonts w:hint="eastAsia" w:ascii="宋体" w:hAnsi="宋体" w:eastAsia="宋体" w:cs="宋体"/>
                <w:bCs/>
                <w:color w:val="auto"/>
                <w:kern w:val="21"/>
                <w:sz w:val="24"/>
                <w:szCs w:val="24"/>
                <w:highlight w:val="none"/>
                <w:lang w:val="en-US" w:eastAsia="zh-CN"/>
              </w:rPr>
              <w:t>1</w:t>
            </w:r>
            <w:r>
              <w:rPr>
                <w:rFonts w:hint="eastAsia" w:ascii="宋体" w:hAnsi="宋体" w:eastAsia="宋体" w:cs="宋体"/>
                <w:bCs/>
                <w:color w:val="auto"/>
                <w:kern w:val="21"/>
                <w:sz w:val="24"/>
                <w:szCs w:val="24"/>
                <w:highlight w:val="none"/>
              </w:rPr>
              <w:t>分，最高得</w:t>
            </w:r>
            <w:r>
              <w:rPr>
                <w:rFonts w:hint="eastAsia" w:ascii="宋体" w:hAnsi="宋体" w:eastAsia="宋体" w:cs="宋体"/>
                <w:bCs/>
                <w:color w:val="auto"/>
                <w:kern w:val="21"/>
                <w:sz w:val="24"/>
                <w:szCs w:val="24"/>
                <w:highlight w:val="none"/>
                <w:lang w:val="en-US" w:eastAsia="zh-CN"/>
              </w:rPr>
              <w:t>6</w:t>
            </w:r>
            <w:r>
              <w:rPr>
                <w:rFonts w:hint="eastAsia" w:ascii="宋体" w:hAnsi="宋体" w:eastAsia="宋体" w:cs="宋体"/>
                <w:bCs/>
                <w:color w:val="auto"/>
                <w:kern w:val="21"/>
                <w:sz w:val="24"/>
                <w:szCs w:val="24"/>
                <w:highlight w:val="none"/>
              </w:rPr>
              <w:t>分。（提供承诺函并加盖投标人公章）</w:t>
            </w:r>
          </w:p>
        </w:tc>
      </w:tr>
      <w:tr w14:paraId="3F1FE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4" w:type="dxa"/>
            <w:vMerge w:val="continue"/>
            <w:noWrap w:val="0"/>
            <w:tcMar>
              <w:top w:w="0" w:type="dxa"/>
              <w:left w:w="108" w:type="dxa"/>
              <w:bottom w:w="0" w:type="dxa"/>
              <w:right w:w="108" w:type="dxa"/>
            </w:tcMar>
            <w:vAlign w:val="center"/>
          </w:tcPr>
          <w:p w14:paraId="2DA0BF16">
            <w:pPr>
              <w:keepNext w:val="0"/>
              <w:keepLines w:val="0"/>
              <w:pageBreakBefore w:val="0"/>
              <w:widowControl/>
              <w:kinsoku/>
              <w:wordWrap/>
              <w:overflowPunct/>
              <w:topLinePunct w:val="0"/>
              <w:bidi w:val="0"/>
              <w:adjustRightInd w:val="0"/>
              <w:snapToGrid w:val="0"/>
              <w:spacing w:line="240" w:lineRule="auto"/>
              <w:ind w:left="0" w:leftChars="0" w:firstLine="0" w:firstLineChars="0"/>
              <w:jc w:val="both"/>
              <w:textAlignment w:val="auto"/>
              <w:rPr>
                <w:rFonts w:hint="eastAsia" w:ascii="宋体" w:hAnsi="宋体" w:eastAsia="宋体" w:cs="宋体"/>
                <w:color w:val="auto"/>
                <w:kern w:val="21"/>
                <w:sz w:val="24"/>
                <w:szCs w:val="24"/>
                <w:highlight w:val="none"/>
              </w:rPr>
            </w:pPr>
          </w:p>
        </w:tc>
        <w:tc>
          <w:tcPr>
            <w:tcW w:w="1489" w:type="dxa"/>
            <w:vMerge w:val="continue"/>
            <w:noWrap w:val="0"/>
            <w:tcMar>
              <w:top w:w="0" w:type="dxa"/>
              <w:left w:w="108" w:type="dxa"/>
              <w:bottom w:w="0" w:type="dxa"/>
              <w:right w:w="108" w:type="dxa"/>
            </w:tcMar>
            <w:vAlign w:val="center"/>
          </w:tcPr>
          <w:p w14:paraId="38E06E77">
            <w:pPr>
              <w:keepNext w:val="0"/>
              <w:keepLines w:val="0"/>
              <w:pageBreakBefore w:val="0"/>
              <w:kinsoku/>
              <w:wordWrap/>
              <w:overflowPunct/>
              <w:topLinePunct w:val="0"/>
              <w:bidi w:val="0"/>
              <w:adjustRightInd w:val="0"/>
              <w:snapToGrid w:val="0"/>
              <w:spacing w:line="240" w:lineRule="auto"/>
              <w:ind w:left="0" w:leftChars="0" w:firstLine="0" w:firstLineChars="0"/>
              <w:jc w:val="both"/>
              <w:textAlignment w:val="auto"/>
              <w:rPr>
                <w:rFonts w:hint="eastAsia" w:ascii="宋体" w:hAnsi="宋体" w:eastAsia="宋体" w:cs="宋体"/>
                <w:color w:val="auto"/>
                <w:kern w:val="21"/>
                <w:sz w:val="24"/>
                <w:szCs w:val="24"/>
                <w:highlight w:val="none"/>
              </w:rPr>
            </w:pPr>
          </w:p>
        </w:tc>
        <w:tc>
          <w:tcPr>
            <w:tcW w:w="703" w:type="dxa"/>
            <w:noWrap w:val="0"/>
            <w:tcMar>
              <w:top w:w="0" w:type="dxa"/>
              <w:left w:w="108" w:type="dxa"/>
              <w:bottom w:w="0" w:type="dxa"/>
              <w:right w:w="108" w:type="dxa"/>
            </w:tcMar>
            <w:vAlign w:val="center"/>
          </w:tcPr>
          <w:p w14:paraId="377A072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kern w:val="21"/>
                <w:sz w:val="24"/>
                <w:szCs w:val="24"/>
                <w:highlight w:val="none"/>
                <w:lang w:val="en-US" w:eastAsia="zh-CN" w:bidi="ar"/>
              </w:rPr>
            </w:pPr>
            <w:r>
              <w:rPr>
                <w:rFonts w:hint="eastAsia" w:ascii="宋体" w:hAnsi="宋体" w:eastAsia="宋体" w:cs="宋体"/>
                <w:color w:val="auto"/>
                <w:kern w:val="21"/>
                <w:sz w:val="24"/>
                <w:szCs w:val="24"/>
                <w:highlight w:val="none"/>
                <w:lang w:val="en-US" w:eastAsia="zh-CN"/>
              </w:rPr>
              <w:t>3</w:t>
            </w:r>
            <w:r>
              <w:rPr>
                <w:rFonts w:hint="eastAsia" w:ascii="宋体" w:hAnsi="宋体" w:eastAsia="宋体" w:cs="宋体"/>
                <w:color w:val="auto"/>
                <w:kern w:val="21"/>
                <w:sz w:val="24"/>
                <w:szCs w:val="24"/>
                <w:highlight w:val="none"/>
                <w:lang w:val="en-US" w:eastAsia="zh-CN" w:bidi="ar"/>
              </w:rPr>
              <w:t>分</w:t>
            </w:r>
          </w:p>
        </w:tc>
        <w:tc>
          <w:tcPr>
            <w:tcW w:w="7699" w:type="dxa"/>
            <w:noWrap w:val="0"/>
            <w:tcMar>
              <w:top w:w="0" w:type="dxa"/>
              <w:left w:w="108" w:type="dxa"/>
              <w:bottom w:w="0" w:type="dxa"/>
              <w:right w:w="108" w:type="dxa"/>
            </w:tcMar>
            <w:vAlign w:val="center"/>
          </w:tcPr>
          <w:p w14:paraId="1FEC9347">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color w:val="auto"/>
                <w:kern w:val="21"/>
                <w:sz w:val="24"/>
                <w:szCs w:val="24"/>
                <w:highlight w:val="none"/>
                <w:lang w:val="en-US" w:eastAsia="zh-CN" w:bidi="ar-SA"/>
              </w:rPr>
            </w:pPr>
            <w:r>
              <w:rPr>
                <w:rFonts w:hint="eastAsia" w:ascii="宋体" w:hAnsi="宋体" w:cs="宋体"/>
                <w:color w:val="auto"/>
                <w:kern w:val="21"/>
                <w:sz w:val="24"/>
                <w:szCs w:val="24"/>
                <w:highlight w:val="none"/>
                <w:lang w:val="en-US" w:eastAsia="zh-CN"/>
              </w:rPr>
              <w:t>质量保证期</w:t>
            </w:r>
            <w:r>
              <w:rPr>
                <w:rFonts w:hint="eastAsia" w:ascii="宋体" w:hAnsi="宋体" w:eastAsia="宋体" w:cs="宋体"/>
                <w:color w:val="auto"/>
                <w:kern w:val="21"/>
                <w:sz w:val="24"/>
                <w:szCs w:val="24"/>
                <w:highlight w:val="none"/>
              </w:rPr>
              <w:t>在满足采购需求的基础上，每增加一年得</w:t>
            </w:r>
            <w:r>
              <w:rPr>
                <w:rFonts w:hint="eastAsia" w:ascii="宋体" w:hAnsi="宋体" w:eastAsia="宋体" w:cs="宋体"/>
                <w:color w:val="auto"/>
                <w:kern w:val="21"/>
                <w:sz w:val="24"/>
                <w:szCs w:val="24"/>
                <w:highlight w:val="none"/>
                <w:lang w:val="en-US" w:eastAsia="zh-CN"/>
              </w:rPr>
              <w:t>1</w:t>
            </w:r>
            <w:r>
              <w:rPr>
                <w:rFonts w:hint="eastAsia" w:ascii="宋体" w:hAnsi="宋体" w:eastAsia="宋体" w:cs="宋体"/>
                <w:color w:val="auto"/>
                <w:kern w:val="21"/>
                <w:sz w:val="24"/>
                <w:szCs w:val="24"/>
                <w:highlight w:val="none"/>
              </w:rPr>
              <w:t>分，满分</w:t>
            </w:r>
            <w:r>
              <w:rPr>
                <w:rFonts w:hint="eastAsia" w:ascii="宋体" w:hAnsi="宋体" w:eastAsia="宋体" w:cs="宋体"/>
                <w:color w:val="auto"/>
                <w:kern w:val="21"/>
                <w:sz w:val="24"/>
                <w:szCs w:val="24"/>
                <w:highlight w:val="none"/>
                <w:lang w:val="en-US" w:eastAsia="zh-CN"/>
              </w:rPr>
              <w:t>3</w:t>
            </w:r>
            <w:r>
              <w:rPr>
                <w:rFonts w:hint="eastAsia" w:ascii="宋体" w:hAnsi="宋体" w:eastAsia="宋体" w:cs="宋体"/>
                <w:color w:val="auto"/>
                <w:kern w:val="21"/>
                <w:sz w:val="24"/>
                <w:szCs w:val="24"/>
                <w:highlight w:val="none"/>
              </w:rPr>
              <w:t>分。</w:t>
            </w:r>
            <w:r>
              <w:rPr>
                <w:rFonts w:hint="eastAsia" w:ascii="宋体" w:hAnsi="宋体" w:eastAsia="宋体" w:cs="宋体"/>
                <w:b w:val="0"/>
                <w:bCs w:val="0"/>
                <w:color w:val="auto"/>
                <w:kern w:val="21"/>
                <w:sz w:val="24"/>
                <w:szCs w:val="24"/>
                <w:highlight w:val="none"/>
                <w:lang w:eastAsia="zh-CN"/>
              </w:rPr>
              <w:t>（</w:t>
            </w:r>
            <w:r>
              <w:rPr>
                <w:rFonts w:hint="eastAsia" w:ascii="宋体" w:hAnsi="宋体" w:eastAsia="宋体" w:cs="宋体"/>
                <w:b w:val="0"/>
                <w:bCs w:val="0"/>
                <w:color w:val="auto"/>
                <w:kern w:val="21"/>
                <w:sz w:val="24"/>
                <w:szCs w:val="24"/>
                <w:highlight w:val="none"/>
                <w:lang w:val="en-US" w:eastAsia="zh-CN"/>
              </w:rPr>
              <w:t>投标</w:t>
            </w:r>
            <w:r>
              <w:rPr>
                <w:rFonts w:hint="eastAsia" w:ascii="宋体" w:hAnsi="宋体" w:eastAsia="宋体" w:cs="宋体"/>
                <w:b w:val="0"/>
                <w:bCs w:val="0"/>
                <w:color w:val="auto"/>
                <w:kern w:val="21"/>
                <w:sz w:val="24"/>
                <w:szCs w:val="24"/>
                <w:highlight w:val="none"/>
              </w:rPr>
              <w:t>文件内附由法定代表人或授权代表签字的承诺函并加盖公章）</w:t>
            </w:r>
            <w:r>
              <w:rPr>
                <w:rFonts w:hint="eastAsia" w:ascii="宋体" w:hAnsi="宋体" w:eastAsia="宋体" w:cs="宋体"/>
                <w:b w:val="0"/>
                <w:bCs w:val="0"/>
                <w:color w:val="auto"/>
                <w:kern w:val="21"/>
                <w:sz w:val="24"/>
                <w:szCs w:val="24"/>
                <w:highlight w:val="none"/>
                <w:lang w:eastAsia="zh-CN"/>
              </w:rPr>
              <w:t>。</w:t>
            </w:r>
          </w:p>
        </w:tc>
      </w:tr>
    </w:tbl>
    <w:p w14:paraId="1759EFAB">
      <w:pPr>
        <w:spacing w:line="240" w:lineRule="auto"/>
        <w:ind w:firstLine="470" w:firstLineChars="196"/>
        <w:rPr>
          <w:rFonts w:hint="eastAsia" w:ascii="宋体" w:hAnsi="宋体" w:eastAsia="宋体" w:cs="宋体"/>
          <w:color w:val="auto"/>
          <w:sz w:val="24"/>
          <w:szCs w:val="24"/>
          <w:highlight w:val="none"/>
        </w:rPr>
      </w:pPr>
    </w:p>
    <w:p w14:paraId="223BA616">
      <w:pPr>
        <w:spacing w:line="240" w:lineRule="auto"/>
        <w:ind w:firstLine="472" w:firstLineChars="196"/>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)政府采购政策：</w:t>
      </w:r>
    </w:p>
    <w:p w14:paraId="6D69313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bCs/>
          <w:color w:val="auto"/>
          <w:sz w:val="24"/>
          <w:szCs w:val="24"/>
          <w:highlight w:val="none"/>
        </w:rPr>
      </w:pPr>
      <w:r>
        <w:rPr>
          <w:rFonts w:hint="eastAsia" w:ascii="宋体" w:hAnsi="宋体" w:cs="宋体"/>
          <w:color w:val="auto"/>
          <w:sz w:val="24"/>
          <w:szCs w:val="24"/>
          <w:highlight w:val="none"/>
        </w:rPr>
        <w:t>1.根据《政府采购促进中小企业发展管理办法》（财库〔2020〕46号文件）、《财政部关于进一步加大政府采购支持中小企业力度的通知》（财库〔2022〕19号）文件的规定，</w:t>
      </w:r>
      <w:r>
        <w:rPr>
          <w:rFonts w:hint="eastAsia" w:ascii="宋体" w:hAnsi="宋体" w:cs="宋体"/>
          <w:b/>
          <w:bCs/>
          <w:color w:val="auto"/>
          <w:sz w:val="24"/>
          <w:szCs w:val="24"/>
          <w:highlight w:val="none"/>
        </w:rPr>
        <w:t>本项目为非专门面向中小企业的项目，对于小型或微型企业（含监狱企业、残疾人福利性单位）参与本项目投标的，给予10%的价格扣除。（注：小型或微型企业需提供中小企业声明函，价格扣除后作为评标价格</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zh-CN"/>
        </w:rPr>
        <w:t>专门面向中小企业采购的项目或者采购包，不再执行价格评审优惠的扶持政策。</w:t>
      </w:r>
      <w:r>
        <w:rPr>
          <w:rFonts w:hint="eastAsia" w:ascii="宋体" w:hAnsi="宋体" w:cs="宋体"/>
          <w:b/>
          <w:bCs/>
          <w:color w:val="auto"/>
          <w:sz w:val="24"/>
          <w:szCs w:val="24"/>
          <w:highlight w:val="none"/>
        </w:rPr>
        <w:t>）</w:t>
      </w:r>
    </w:p>
    <w:p w14:paraId="76A2AD2B">
      <w:pPr>
        <w:autoSpaceDE w:val="0"/>
        <w:autoSpaceDN w:val="0"/>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按照财政部《关于政府采购支持监狱企业发展有关问题的通知》（财库[2014]68号）的规定，在政府采购活动中，监狱企业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 </w:t>
      </w:r>
    </w:p>
    <w:p w14:paraId="02205479">
      <w:pPr>
        <w:autoSpaceDE w:val="0"/>
        <w:autoSpaceDN w:val="0"/>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按照《三部门联合发布关于促进残疾人就业政府采购政策的通知》（财库〔2017〕141号）的规定，在政府采购活动中，残疾人福利性单位视同小型、微型企业，享受预留份额、评审中价格扣除等促进中小企业发展的政府采购政策。符合条件的残疾人福利性单位在参加政府采购活动时，应当提供财库〔2017〕141号文规定的《残疾人福利性单位声明函》，并对声明的真实性负责。残疾人福利性单位属于小型、微型企业的，不重复享受政策。</w:t>
      </w:r>
    </w:p>
    <w:p w14:paraId="4790A110">
      <w:pPr>
        <w:autoSpaceDE w:val="0"/>
        <w:autoSpaceDN w:val="0"/>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对于列入财政部、生态环境部发布的《环境标志产品政府采购品目清单》要求的产品，对其投标价格给予3%的价格扣除，并按照扣除后的价格参加排序。采购项目或者分包中既包含环境标志产品也包含非环境标志产品的，只对列入《环境标志产品政府采购品目清单》要求的产品按其在总报价中所占的比例给予价格扣除，投标文件中需提供认证证明，认证机构须在市场监管总局公布的名录内《详见市场监管总局关于发布参与实施政府采购节能产品、环境标志产品认证机构名录的公告（2019 年第 16 号文件）》；</w:t>
      </w:r>
    </w:p>
    <w:p w14:paraId="66CAAFE3">
      <w:pPr>
        <w:autoSpaceDE w:val="0"/>
        <w:autoSpaceDN w:val="0"/>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3.对财政部、发展改革委发布的《节能产品政府采购品目清单》但不属于国家强制采购的产品，对其投标价格给予3%的价格扣除，并按照扣除后的价格参加排序。采购项目或者分包中既包含节能产品也包含非节能产品的，只对列入《节能产品政府采购品目清单》但不属于国家强制采购的产品按其在总报价中所占的比例给予价格扣除，投标文件中需提供认证证明，认证机构须在市场监管总局公布的名录内《详见市场监管总局关于发布参与实施政府采购节能产品、环境标志产品认证机构名录的公告（2019 年第 16 号文件）》。” </w:t>
      </w:r>
    </w:p>
    <w:p w14:paraId="0664A525">
      <w:pPr>
        <w:autoSpaceDE w:val="0"/>
        <w:autoSpaceDN w:val="0"/>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对于列入财政部、国家发改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14:paraId="330BB09B">
      <w:pPr>
        <w:jc w:val="left"/>
        <w:outlineLvl w:val="1"/>
        <w:rPr>
          <w:rFonts w:hint="eastAsia" w:ascii="宋体" w:hAnsi="宋体" w:eastAsia="宋体" w:cs="宋体"/>
          <w:b/>
          <w:bCs/>
          <w:color w:val="auto"/>
          <w:sz w:val="32"/>
          <w:szCs w:val="32"/>
          <w:highlight w:val="none"/>
          <w:lang w:val="en-US" w:eastAsia="zh-CN"/>
        </w:rPr>
      </w:pPr>
      <w:r>
        <w:rPr>
          <w:rFonts w:hint="eastAsia" w:ascii="宋体" w:hAnsi="宋体" w:cs="宋体"/>
          <w:color w:val="auto"/>
          <w:sz w:val="24"/>
          <w:szCs w:val="24"/>
          <w:highlight w:val="none"/>
        </w:rPr>
        <w:t>5.投标产品同时列入上述多个清单的，将上述规定的价格扣除比例叠加后计算价格扣除。</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32"/>
          <w:szCs w:val="32"/>
          <w:highlight w:val="none"/>
          <w:lang w:val="en-US" w:eastAsia="zh-CN"/>
        </w:rPr>
        <w:t>、其他要求</w:t>
      </w:r>
    </w:p>
    <w:p w14:paraId="45A7F8D7">
      <w:pPr>
        <w:ind w:firstLine="472" w:firstLineChars="196"/>
        <w:outlineLvl w:val="9"/>
        <w:rPr>
          <w:rFonts w:hint="eastAsia" w:ascii="宋体" w:hAnsi="宋体" w:eastAsia="宋体" w:cs="宋体"/>
          <w:b/>
          <w:bCs/>
          <w:color w:val="auto"/>
          <w:sz w:val="24"/>
          <w:szCs w:val="24"/>
          <w:highlight w:val="none"/>
          <w:lang w:val="zh-CN"/>
        </w:rPr>
      </w:pP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val="zh-CN"/>
        </w:rPr>
        <w:t>履约保证金</w:t>
      </w:r>
    </w:p>
    <w:p w14:paraId="0064707B">
      <w:pPr>
        <w:ind w:firstLine="480"/>
        <w:outlineLvl w:val="9"/>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lang w:val="zh-CN"/>
        </w:rPr>
        <w:t>在签署合同之前，供应商须向</w:t>
      </w:r>
      <w:r>
        <w:rPr>
          <w:rFonts w:hint="eastAsia" w:ascii="宋体" w:hAnsi="宋体" w:cs="宋体"/>
          <w:color w:val="auto"/>
          <w:sz w:val="24"/>
          <w:highlight w:val="none"/>
          <w:lang w:val="en-US" w:eastAsia="zh-CN"/>
        </w:rPr>
        <w:t>长春师范大学</w:t>
      </w:r>
      <w:r>
        <w:rPr>
          <w:rFonts w:hint="eastAsia" w:ascii="宋体" w:hAnsi="宋体" w:eastAsia="宋体" w:cs="宋体"/>
          <w:color w:val="auto"/>
          <w:sz w:val="24"/>
          <w:szCs w:val="24"/>
          <w:highlight w:val="none"/>
          <w:lang w:val="zh-CN"/>
        </w:rPr>
        <w:t>提交</w:t>
      </w:r>
      <w:r>
        <w:rPr>
          <w:rFonts w:hint="eastAsia" w:ascii="宋体" w:hAnsi="宋体" w:eastAsia="宋体" w:cs="宋体"/>
          <w:color w:val="auto"/>
          <w:sz w:val="24"/>
          <w:szCs w:val="24"/>
          <w:highlight w:val="none"/>
          <w:lang w:val="en-US" w:eastAsia="zh-CN"/>
        </w:rPr>
        <w:t>中标金额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zh-CN"/>
        </w:rPr>
        <w:t>的履约保证金，</w:t>
      </w:r>
      <w:r>
        <w:rPr>
          <w:rFonts w:hint="eastAsia" w:ascii="宋体" w:hAnsi="宋体" w:eastAsia="宋体" w:cs="宋体"/>
          <w:color w:val="auto"/>
          <w:sz w:val="24"/>
          <w:szCs w:val="24"/>
          <w:highlight w:val="none"/>
          <w:lang w:val="en-US" w:eastAsia="zh-CN"/>
        </w:rPr>
        <w:t>具体金额按合同约定</w:t>
      </w:r>
      <w:r>
        <w:rPr>
          <w:rFonts w:hint="eastAsia" w:ascii="宋体" w:hAnsi="宋体" w:eastAsia="宋体" w:cs="宋体"/>
          <w:color w:val="auto"/>
          <w:sz w:val="24"/>
          <w:szCs w:val="24"/>
          <w:highlight w:val="none"/>
          <w:lang w:val="zh-CN"/>
        </w:rPr>
        <w:t>（人民币，取整数位到百元）。履约保证金应当以支票、汇票、本票或者保函等非现金形式提交。</w:t>
      </w:r>
    </w:p>
    <w:p w14:paraId="60D4BEE6">
      <w:pPr>
        <w:ind w:firstLine="480"/>
        <w:outlineLvl w:val="9"/>
        <w:rPr>
          <w:rFonts w:hint="eastAsia" w:ascii="宋体" w:hAnsi="宋体" w:eastAsia="宋体" w:cs="宋体"/>
          <w:b/>
          <w:bCs/>
          <w:color w:val="auto"/>
          <w:sz w:val="24"/>
          <w:szCs w:val="24"/>
          <w:highlight w:val="none"/>
          <w:lang w:val="zh-CN"/>
        </w:rPr>
      </w:pP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val="zh-CN"/>
        </w:rPr>
        <w:t>履约保证金的有效期到供应商提供服务之日止，不计利息。</w:t>
      </w:r>
    </w:p>
    <w:p w14:paraId="675B0F32">
      <w:pPr>
        <w:ind w:firstLine="480"/>
        <w:outlineLvl w:val="9"/>
        <w:rPr>
          <w:rFonts w:hint="eastAsia" w:ascii="宋体" w:hAnsi="宋体" w:eastAsia="宋体" w:cs="宋体"/>
          <w:color w:val="auto"/>
          <w:sz w:val="24"/>
          <w:szCs w:val="32"/>
          <w:highlight w:val="none"/>
          <w:lang w:val="en-US" w:eastAsia="zh-CN"/>
        </w:rPr>
      </w:pP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zh-CN"/>
        </w:rPr>
        <w:t>付款条件、方式</w:t>
      </w:r>
      <w:r>
        <w:rPr>
          <w:rFonts w:hint="eastAsia" w:ascii="宋体" w:hAnsi="宋体" w:cs="宋体"/>
          <w:b/>
          <w:bCs/>
          <w:color w:val="auto"/>
          <w:sz w:val="24"/>
          <w:szCs w:val="24"/>
          <w:highlight w:val="none"/>
          <w:lang w:val="zh-CN"/>
        </w:rPr>
        <w:t>：</w:t>
      </w:r>
      <w:r>
        <w:rPr>
          <w:rFonts w:hint="eastAsia" w:ascii="宋体" w:hAnsi="宋体" w:eastAsia="宋体" w:cs="宋体"/>
          <w:color w:val="auto"/>
          <w:sz w:val="24"/>
          <w:szCs w:val="32"/>
          <w:highlight w:val="none"/>
          <w:lang w:val="en-US" w:eastAsia="zh-CN"/>
        </w:rPr>
        <w:t>双方协商按</w:t>
      </w:r>
      <w:r>
        <w:rPr>
          <w:rFonts w:hint="eastAsia" w:ascii="宋体" w:hAnsi="宋体" w:cs="宋体"/>
          <w:color w:val="auto"/>
          <w:sz w:val="24"/>
          <w:szCs w:val="32"/>
          <w:highlight w:val="none"/>
          <w:lang w:val="en-US" w:eastAsia="zh-CN"/>
        </w:rPr>
        <w:t>实际签订</w:t>
      </w:r>
      <w:r>
        <w:rPr>
          <w:rFonts w:hint="eastAsia" w:ascii="宋体" w:hAnsi="宋体" w:eastAsia="宋体" w:cs="宋体"/>
          <w:color w:val="auto"/>
          <w:sz w:val="24"/>
          <w:szCs w:val="32"/>
          <w:highlight w:val="none"/>
          <w:lang w:val="en-US" w:eastAsia="zh-CN"/>
        </w:rPr>
        <w:t>合同执行</w:t>
      </w:r>
      <w:r>
        <w:rPr>
          <w:rFonts w:hint="eastAsia" w:ascii="宋体" w:hAnsi="宋体" w:eastAsia="宋体" w:cs="宋体"/>
          <w:color w:val="auto"/>
          <w:sz w:val="24"/>
          <w:szCs w:val="24"/>
          <w:highlight w:val="none"/>
          <w:lang w:val="zh-CN"/>
        </w:rPr>
        <w:t>。</w:t>
      </w:r>
    </w:p>
    <w:p w14:paraId="45FBA567">
      <w:pPr>
        <w:ind w:firstLine="480" w:firstLineChars="200"/>
        <w:outlineLvl w:val="9"/>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3</w:t>
      </w:r>
      <w:r>
        <w:rPr>
          <w:rFonts w:hint="eastAsia" w:ascii="宋体" w:hAnsi="宋体" w:eastAsia="宋体" w:cs="宋体"/>
          <w:bCs/>
          <w:color w:val="auto"/>
          <w:sz w:val="24"/>
          <w:highlight w:val="none"/>
          <w:lang w:val="en-US" w:eastAsia="zh-CN"/>
        </w:rPr>
        <w:t>.</w:t>
      </w:r>
      <w:r>
        <w:rPr>
          <w:rFonts w:hint="eastAsia" w:ascii="宋体" w:hAnsi="宋体" w:eastAsia="宋体" w:cs="宋体"/>
          <w:bCs/>
          <w:color w:val="auto"/>
          <w:sz w:val="24"/>
          <w:highlight w:val="none"/>
        </w:rPr>
        <w:t>本项目开标前不接受报价变更（折扣或涨价）声明。</w:t>
      </w:r>
    </w:p>
    <w:p w14:paraId="2D2ABFE4">
      <w:pPr>
        <w:ind w:firstLine="480" w:firstLineChars="200"/>
        <w:jc w:val="both"/>
        <w:outlineLvl w:val="9"/>
        <w:rPr>
          <w:rFonts w:hint="eastAsia" w:ascii="宋体" w:hAnsi="宋体" w:eastAsia="宋体" w:cs="宋体"/>
          <w:b/>
          <w:bCs/>
          <w:color w:val="auto"/>
          <w:sz w:val="32"/>
          <w:szCs w:val="32"/>
          <w:highlight w:val="none"/>
          <w:lang w:val="zh-CN"/>
        </w:rPr>
      </w:pPr>
      <w:r>
        <w:rPr>
          <w:rFonts w:hint="eastAsia" w:ascii="宋体" w:hAnsi="宋体" w:cs="黑体"/>
          <w:bCs/>
          <w:color w:val="auto"/>
          <w:sz w:val="24"/>
          <w:highlight w:val="none"/>
          <w:lang w:val="en-US" w:eastAsia="zh-CN"/>
        </w:rPr>
        <w:t>4.执行发改价格[2015]299号文件收取招标代理服务费,由中标单位支付，代理服务费</w:t>
      </w:r>
      <w:r>
        <w:rPr>
          <w:rFonts w:hint="default" w:ascii="宋体" w:hAnsi="宋体" w:eastAsia="宋体" w:cs="宋体"/>
          <w:color w:val="auto"/>
          <w:kern w:val="2"/>
          <w:sz w:val="24"/>
          <w:szCs w:val="24"/>
          <w:highlight w:val="none"/>
          <w:lang w:val="en-US" w:eastAsia="zh-CN" w:bidi="ar-SA"/>
        </w:rPr>
        <w:t>收费按差额定律累计法的计算按折扣比例</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中标金额100万以下部分</w:t>
      </w:r>
      <w:r>
        <w:rPr>
          <w:rFonts w:hint="default" w:ascii="Arial" w:hAnsi="Arial" w:eastAsia="宋体" w:cs="Arial"/>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1.</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,中标金额100万-500万部分</w:t>
      </w:r>
      <w:r>
        <w:rPr>
          <w:rFonts w:hint="default" w:ascii="Arial" w:hAnsi="Arial" w:eastAsia="宋体" w:cs="Arial"/>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1.</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，计算结果总和</w:t>
      </w:r>
      <w:r>
        <w:rPr>
          <w:rFonts w:hint="default" w:ascii="Arial" w:hAnsi="Arial" w:eastAsia="宋体" w:cs="Arial"/>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0.7</w:t>
      </w:r>
      <w:r>
        <w:rPr>
          <w:rFonts w:hint="eastAsia" w:ascii="宋体" w:hAnsi="宋体" w:eastAsia="宋体" w:cs="宋体"/>
          <w:color w:val="auto"/>
          <w:kern w:val="2"/>
          <w:sz w:val="24"/>
          <w:szCs w:val="24"/>
          <w:highlight w:val="none"/>
          <w:lang w:val="en-US" w:eastAsia="zh-CN" w:bidi="ar-SA"/>
        </w:rPr>
        <w:t>）</w:t>
      </w:r>
      <w:r>
        <w:rPr>
          <w:rFonts w:hint="default" w:ascii="宋体" w:hAnsi="宋体" w:eastAsia="宋体" w:cs="宋体"/>
          <w:color w:val="auto"/>
          <w:kern w:val="2"/>
          <w:sz w:val="24"/>
          <w:szCs w:val="24"/>
          <w:highlight w:val="none"/>
          <w:lang w:val="en-US" w:eastAsia="zh-CN" w:bidi="ar-SA"/>
        </w:rPr>
        <w:t>收取</w:t>
      </w:r>
      <w:r>
        <w:rPr>
          <w:rFonts w:hint="eastAsia" w:ascii="宋体" w:hAnsi="宋体" w:cs="黑体"/>
          <w:bCs/>
          <w:color w:val="auto"/>
          <w:sz w:val="24"/>
          <w:highlight w:val="none"/>
          <w:lang w:val="en-US" w:eastAsia="zh-CN"/>
        </w:rPr>
        <w:t>。中标供应商应在中标公示结束后、中标通知书发出前将本项目代理服务费一次性支付给采购代理机构。</w:t>
      </w:r>
    </w:p>
    <w:p w14:paraId="3DE4FC2E">
      <w:pPr>
        <w:ind w:firstLine="960" w:firstLineChars="400"/>
        <w:outlineLvl w:val="9"/>
        <w:rPr>
          <w:rFonts w:ascii="宋体"/>
          <w:bCs/>
          <w:color w:val="auto"/>
          <w:sz w:val="24"/>
          <w:szCs w:val="24"/>
          <w:highlight w:val="none"/>
          <w:lang w:val="zh-CN"/>
        </w:rPr>
      </w:pPr>
    </w:p>
    <w:p w14:paraId="6C99EEA9">
      <w:pPr>
        <w:rPr>
          <w:rFonts w:ascii="宋体"/>
          <w:color w:val="auto"/>
          <w:sz w:val="24"/>
          <w:szCs w:val="24"/>
          <w:highlight w:val="none"/>
          <w:lang w:val="zh-CN"/>
        </w:rPr>
      </w:pPr>
    </w:p>
    <w:p w14:paraId="6F8912F7">
      <w:pPr>
        <w:rPr>
          <w:rFonts w:ascii="宋体"/>
          <w:color w:val="auto"/>
          <w:sz w:val="24"/>
          <w:szCs w:val="24"/>
          <w:highlight w:val="none"/>
          <w:lang w:val="zh-CN"/>
        </w:rPr>
      </w:pPr>
    </w:p>
    <w:p w14:paraId="6EA2E0CB">
      <w:pPr>
        <w:rPr>
          <w:rFonts w:ascii="宋体"/>
          <w:color w:val="auto"/>
          <w:sz w:val="24"/>
          <w:szCs w:val="24"/>
          <w:highlight w:val="none"/>
          <w:lang w:val="zh-CN"/>
        </w:rPr>
      </w:pPr>
    </w:p>
    <w:p w14:paraId="324766F2">
      <w:pPr>
        <w:rPr>
          <w:rFonts w:ascii="宋体"/>
          <w:color w:val="auto"/>
          <w:sz w:val="24"/>
          <w:szCs w:val="24"/>
          <w:highlight w:val="none"/>
          <w:lang w:val="zh-CN"/>
        </w:rPr>
      </w:pPr>
    </w:p>
    <w:p w14:paraId="00EF9C47">
      <w:pPr>
        <w:rPr>
          <w:rFonts w:ascii="宋体"/>
          <w:color w:val="auto"/>
          <w:sz w:val="24"/>
          <w:szCs w:val="24"/>
          <w:highlight w:val="none"/>
          <w:lang w:val="zh-CN"/>
        </w:rPr>
      </w:pPr>
    </w:p>
    <w:p w14:paraId="6D2A9731">
      <w:pPr>
        <w:rPr>
          <w:rFonts w:ascii="宋体"/>
          <w:color w:val="auto"/>
          <w:sz w:val="24"/>
          <w:szCs w:val="24"/>
          <w:highlight w:val="none"/>
          <w:lang w:val="zh-CN"/>
        </w:rPr>
      </w:pPr>
    </w:p>
    <w:p w14:paraId="1A8D42FF">
      <w:pPr>
        <w:jc w:val="center"/>
        <w:outlineLvl w:val="0"/>
        <w:rPr>
          <w:rFonts w:ascii="黑体" w:eastAsia="黑体"/>
          <w:b/>
          <w:bCs/>
          <w:color w:val="auto"/>
          <w:sz w:val="32"/>
          <w:szCs w:val="32"/>
          <w:highlight w:val="none"/>
          <w:lang w:val="zh-CN"/>
        </w:rPr>
      </w:pPr>
      <w:bookmarkStart w:id="142" w:name="_Toc9401"/>
      <w:bookmarkStart w:id="143" w:name="_Toc10989"/>
      <w:bookmarkStart w:id="144" w:name="_Toc27156"/>
      <w:r>
        <w:rPr>
          <w:rFonts w:hint="eastAsia" w:ascii="黑体" w:eastAsia="黑体" w:cs="黑体"/>
          <w:b/>
          <w:bCs/>
          <w:color w:val="auto"/>
          <w:sz w:val="32"/>
          <w:szCs w:val="32"/>
          <w:highlight w:val="none"/>
          <w:lang w:val="zh-CN"/>
        </w:rPr>
        <w:t>第三章</w:t>
      </w:r>
      <w:r>
        <w:rPr>
          <w:rFonts w:ascii="黑体" w:eastAsia="黑体" w:cs="黑体"/>
          <w:b/>
          <w:bCs/>
          <w:color w:val="auto"/>
          <w:sz w:val="32"/>
          <w:szCs w:val="32"/>
          <w:highlight w:val="none"/>
          <w:lang w:val="zh-CN"/>
        </w:rPr>
        <w:t xml:space="preserve">  </w:t>
      </w:r>
      <w:r>
        <w:rPr>
          <w:rFonts w:hint="eastAsia" w:ascii="黑体" w:eastAsia="黑体" w:cs="黑体"/>
          <w:b/>
          <w:bCs/>
          <w:color w:val="auto"/>
          <w:sz w:val="32"/>
          <w:szCs w:val="32"/>
          <w:highlight w:val="none"/>
          <w:lang w:val="zh-CN"/>
        </w:rPr>
        <w:t>投标文件构成、要求及格式</w:t>
      </w:r>
      <w:bookmarkEnd w:id="142"/>
      <w:bookmarkEnd w:id="143"/>
      <w:bookmarkEnd w:id="144"/>
    </w:p>
    <w:p w14:paraId="6294C6D8">
      <w:pPr>
        <w:rPr>
          <w:rFonts w:ascii="宋体"/>
          <w:b/>
          <w:bCs/>
          <w:color w:val="auto"/>
          <w:highlight w:val="none"/>
          <w:lang w:val="zh-CN"/>
        </w:rPr>
      </w:pPr>
    </w:p>
    <w:p w14:paraId="5F64ABC6">
      <w:pPr>
        <w:rPr>
          <w:rFonts w:ascii="黑体" w:eastAsia="黑体" w:cs="黑体"/>
          <w:b/>
          <w:bCs/>
          <w:color w:val="auto"/>
          <w:sz w:val="24"/>
          <w:szCs w:val="24"/>
          <w:highlight w:val="none"/>
          <w:lang w:val="zh-CN"/>
        </w:rPr>
      </w:pPr>
      <w:r>
        <w:rPr>
          <w:rFonts w:hint="eastAsia" w:ascii="黑体" w:eastAsia="黑体" w:cs="黑体"/>
          <w:b/>
          <w:bCs/>
          <w:color w:val="auto"/>
          <w:sz w:val="24"/>
          <w:szCs w:val="24"/>
          <w:highlight w:val="none"/>
          <w:lang w:val="zh-CN"/>
        </w:rPr>
        <w:t>声明</w:t>
      </w:r>
      <w:r>
        <w:rPr>
          <w:rFonts w:ascii="黑体" w:eastAsia="黑体" w:cs="黑体"/>
          <w:b/>
          <w:bCs/>
          <w:color w:val="auto"/>
          <w:sz w:val="24"/>
          <w:szCs w:val="24"/>
          <w:highlight w:val="none"/>
          <w:lang w:val="zh-CN"/>
        </w:rPr>
        <w:t>:</w:t>
      </w:r>
    </w:p>
    <w:p w14:paraId="6DAA90A8">
      <w:pPr>
        <w:ind w:firstLine="482"/>
        <w:rPr>
          <w:rFonts w:ascii="宋体"/>
          <w:color w:val="auto"/>
          <w:sz w:val="24"/>
          <w:szCs w:val="24"/>
          <w:highlight w:val="none"/>
          <w:lang w:val="zh-CN"/>
        </w:rPr>
      </w:pPr>
      <w:r>
        <w:rPr>
          <w:rFonts w:hint="eastAsia" w:ascii="宋体" w:hAnsi="宋体"/>
          <w:color w:val="auto"/>
          <w:sz w:val="24"/>
          <w:szCs w:val="24"/>
          <w:highlight w:val="none"/>
        </w:rPr>
        <w:t>1.</w:t>
      </w:r>
      <w:r>
        <w:rPr>
          <w:rFonts w:hint="eastAsia" w:ascii="宋体" w:hAnsi="宋体" w:cs="宋体"/>
          <w:color w:val="auto"/>
          <w:sz w:val="24"/>
          <w:szCs w:val="24"/>
          <w:highlight w:val="none"/>
          <w:lang w:val="zh-CN"/>
        </w:rPr>
        <w:t>如果要求提交的资格证明文件需要进行年检或更换的，但在投标时因当地有关管理部门尚未开展年检或更换的工作，使投标人不能提交经年检或合格的资格文件，投标人应提交相关管理机关出具的有效证明文件。</w:t>
      </w:r>
    </w:p>
    <w:p w14:paraId="6E83FD80">
      <w:pPr>
        <w:ind w:firstLine="480"/>
        <w:rPr>
          <w:rFonts w:ascii="宋体" w:cs="宋体"/>
          <w:color w:val="auto"/>
          <w:sz w:val="24"/>
          <w:szCs w:val="24"/>
          <w:highlight w:val="none"/>
          <w:lang w:val="zh-CN"/>
        </w:rPr>
      </w:pPr>
      <w:r>
        <w:rPr>
          <w:rFonts w:hint="eastAsia" w:ascii="宋体" w:cs="宋体"/>
          <w:color w:val="auto"/>
          <w:sz w:val="24"/>
          <w:szCs w:val="24"/>
          <w:highlight w:val="none"/>
          <w:lang w:val="en-US" w:eastAsia="zh-CN"/>
        </w:rPr>
        <w:t>2</w:t>
      </w:r>
      <w:r>
        <w:rPr>
          <w:rFonts w:hint="eastAsia" w:ascii="宋体" w:cs="宋体"/>
          <w:color w:val="auto"/>
          <w:sz w:val="24"/>
          <w:szCs w:val="24"/>
          <w:highlight w:val="none"/>
          <w:lang w:val="zh-CN"/>
        </w:rPr>
        <w:t>.评标委员会将根据投标人提交的文件资料和自己的判断，决定投标人履行合同的合格性及能力。</w:t>
      </w:r>
    </w:p>
    <w:p w14:paraId="71BFF63A">
      <w:pPr>
        <w:numPr>
          <w:ilvl w:val="0"/>
          <w:numId w:val="0"/>
        </w:numPr>
        <w:jc w:val="center"/>
        <w:outlineLvl w:val="1"/>
        <w:rPr>
          <w:rFonts w:ascii="宋体"/>
          <w:b/>
          <w:bCs/>
          <w:color w:val="auto"/>
          <w:sz w:val="24"/>
          <w:szCs w:val="24"/>
          <w:highlight w:val="none"/>
          <w:lang w:val="zh-CN"/>
        </w:rPr>
      </w:pPr>
      <w:r>
        <w:rPr>
          <w:rFonts w:hint="eastAsia" w:ascii="黑体" w:hAnsi="Copperplate Gothic Bold" w:eastAsia="黑体" w:cs="黑体"/>
          <w:b/>
          <w:bCs/>
          <w:color w:val="auto"/>
          <w:sz w:val="32"/>
          <w:szCs w:val="32"/>
          <w:highlight w:val="none"/>
          <w:lang w:val="zh-CN" w:eastAsia="zh-CN" w:bidi="ar-SA"/>
        </w:rPr>
        <w:t>第一部分</w:t>
      </w:r>
      <w:r>
        <w:rPr>
          <w:rFonts w:hint="eastAsia" w:ascii="黑体" w:eastAsia="黑体" w:cs="黑体"/>
          <w:b/>
          <w:bCs/>
          <w:color w:val="auto"/>
          <w:sz w:val="32"/>
          <w:szCs w:val="32"/>
          <w:highlight w:val="none"/>
          <w:lang w:val="en-US" w:eastAsia="zh-CN" w:bidi="ar-SA"/>
        </w:rPr>
        <w:t xml:space="preserve"> </w:t>
      </w:r>
      <w:r>
        <w:rPr>
          <w:rFonts w:ascii="黑体" w:eastAsia="黑体" w:cs="黑体"/>
          <w:b/>
          <w:bCs/>
          <w:color w:val="auto"/>
          <w:sz w:val="32"/>
          <w:szCs w:val="32"/>
          <w:highlight w:val="none"/>
          <w:lang w:val="zh-CN"/>
        </w:rPr>
        <w:t xml:space="preserve"> </w:t>
      </w:r>
      <w:bookmarkStart w:id="145" w:name="_Toc8221"/>
      <w:r>
        <w:rPr>
          <w:rFonts w:hint="eastAsia" w:ascii="黑体" w:eastAsia="黑体" w:cs="黑体"/>
          <w:b/>
          <w:bCs/>
          <w:color w:val="auto"/>
          <w:sz w:val="32"/>
          <w:szCs w:val="32"/>
          <w:highlight w:val="none"/>
          <w:lang w:val="zh-CN"/>
        </w:rPr>
        <w:t>资格审查文件</w:t>
      </w:r>
      <w:bookmarkEnd w:id="145"/>
    </w:p>
    <w:p w14:paraId="4D0D7B15">
      <w:pPr>
        <w:rPr>
          <w:rFonts w:ascii="黑体" w:eastAsia="黑体"/>
          <w:b/>
          <w:bCs/>
          <w:color w:val="auto"/>
          <w:sz w:val="24"/>
          <w:szCs w:val="24"/>
          <w:highlight w:val="none"/>
          <w:lang w:val="zh-CN"/>
        </w:rPr>
      </w:pPr>
      <w:r>
        <w:rPr>
          <w:rFonts w:hint="eastAsia" w:ascii="黑体" w:eastAsia="黑体" w:cs="黑体"/>
          <w:b/>
          <w:bCs/>
          <w:color w:val="auto"/>
          <w:sz w:val="24"/>
          <w:szCs w:val="24"/>
          <w:highlight w:val="none"/>
          <w:lang w:val="zh-CN"/>
        </w:rPr>
        <w:t>投标人应提交的资格审查文件清单：</w:t>
      </w:r>
    </w:p>
    <w:tbl>
      <w:tblPr>
        <w:tblStyle w:val="14"/>
        <w:tblW w:w="9606" w:type="dxa"/>
        <w:tblInd w:w="0" w:type="dxa"/>
        <w:tblLayout w:type="fixed"/>
        <w:tblCellMar>
          <w:top w:w="0" w:type="dxa"/>
          <w:left w:w="108" w:type="dxa"/>
          <w:bottom w:w="0" w:type="dxa"/>
          <w:right w:w="108" w:type="dxa"/>
        </w:tblCellMar>
      </w:tblPr>
      <w:tblGrid>
        <w:gridCol w:w="630"/>
        <w:gridCol w:w="6849"/>
        <w:gridCol w:w="1276"/>
        <w:gridCol w:w="851"/>
      </w:tblGrid>
      <w:tr w14:paraId="4DB6DB72">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47B14179">
            <w:pPr>
              <w:rPr>
                <w:rFonts w:ascii="宋体"/>
                <w:b/>
                <w:bCs/>
                <w:color w:val="auto"/>
                <w:sz w:val="24"/>
                <w:szCs w:val="24"/>
                <w:highlight w:val="none"/>
                <w:lang w:val="zh-CN"/>
              </w:rPr>
            </w:pPr>
            <w:r>
              <w:rPr>
                <w:rFonts w:hint="eastAsia" w:ascii="宋体" w:cs="宋体"/>
                <w:b/>
                <w:bCs/>
                <w:color w:val="auto"/>
                <w:sz w:val="24"/>
                <w:szCs w:val="24"/>
                <w:highlight w:val="none"/>
                <w:lang w:val="zh-CN"/>
              </w:rPr>
              <w:t>序号</w:t>
            </w:r>
          </w:p>
        </w:tc>
        <w:tc>
          <w:tcPr>
            <w:tcW w:w="6849" w:type="dxa"/>
            <w:tcBorders>
              <w:top w:val="single" w:color="auto" w:sz="6" w:space="0"/>
              <w:left w:val="single" w:color="auto" w:sz="6" w:space="0"/>
              <w:bottom w:val="single" w:color="auto" w:sz="6" w:space="0"/>
              <w:right w:val="single" w:color="auto" w:sz="6" w:space="0"/>
            </w:tcBorders>
            <w:noWrap w:val="0"/>
            <w:vAlign w:val="center"/>
          </w:tcPr>
          <w:p w14:paraId="719CB8C0">
            <w:pPr>
              <w:jc w:val="center"/>
              <w:rPr>
                <w:rFonts w:ascii="宋体"/>
                <w:b/>
                <w:bCs/>
                <w:color w:val="auto"/>
                <w:sz w:val="24"/>
                <w:szCs w:val="24"/>
                <w:highlight w:val="none"/>
                <w:lang w:val="zh-CN"/>
              </w:rPr>
            </w:pPr>
            <w:r>
              <w:rPr>
                <w:rFonts w:hint="eastAsia" w:ascii="宋体" w:cs="宋体"/>
                <w:b/>
                <w:bCs/>
                <w:color w:val="auto"/>
                <w:sz w:val="24"/>
                <w:szCs w:val="24"/>
                <w:highlight w:val="none"/>
                <w:lang w:val="zh-CN"/>
              </w:rPr>
              <w:t>资格审查文件名称及要求</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3F63B036">
            <w:pPr>
              <w:rPr>
                <w:rFonts w:hint="eastAsia" w:ascii="宋体" w:cs="宋体"/>
                <w:b/>
                <w:bCs/>
                <w:color w:val="auto"/>
                <w:sz w:val="24"/>
                <w:szCs w:val="24"/>
                <w:highlight w:val="none"/>
                <w:lang w:val="zh-CN"/>
              </w:rPr>
            </w:pPr>
            <w:r>
              <w:rPr>
                <w:rFonts w:hint="eastAsia" w:ascii="宋体" w:hAnsi="宋体" w:cs="宋体"/>
                <w:b/>
                <w:bCs/>
                <w:color w:val="auto"/>
                <w:sz w:val="24"/>
                <w:szCs w:val="24"/>
                <w:highlight w:val="none"/>
                <w:lang w:val="zh-CN"/>
              </w:rPr>
              <w:t>是否已按要求提交</w:t>
            </w:r>
          </w:p>
        </w:tc>
        <w:tc>
          <w:tcPr>
            <w:tcW w:w="851" w:type="dxa"/>
            <w:tcBorders>
              <w:top w:val="single" w:color="auto" w:sz="6" w:space="0"/>
              <w:left w:val="single" w:color="auto" w:sz="6" w:space="0"/>
              <w:bottom w:val="single" w:color="auto" w:sz="6" w:space="0"/>
              <w:right w:val="single" w:color="auto" w:sz="6" w:space="0"/>
            </w:tcBorders>
            <w:noWrap w:val="0"/>
            <w:vAlign w:val="top"/>
          </w:tcPr>
          <w:p w14:paraId="46EBA455">
            <w:pPr>
              <w:rPr>
                <w:rFonts w:ascii="宋体"/>
                <w:b/>
                <w:bCs/>
                <w:color w:val="auto"/>
                <w:sz w:val="24"/>
                <w:szCs w:val="24"/>
                <w:highlight w:val="none"/>
                <w:lang w:val="zh-CN"/>
              </w:rPr>
            </w:pPr>
            <w:r>
              <w:rPr>
                <w:rFonts w:hint="eastAsia" w:ascii="宋体" w:cs="宋体"/>
                <w:b/>
                <w:bCs/>
                <w:color w:val="auto"/>
                <w:sz w:val="24"/>
                <w:szCs w:val="24"/>
                <w:highlight w:val="none"/>
                <w:lang w:val="zh-CN"/>
              </w:rPr>
              <w:t>文件页码</w:t>
            </w:r>
          </w:p>
        </w:tc>
      </w:tr>
      <w:tr w14:paraId="3B46A30D">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6AAF7E7F">
            <w:pPr>
              <w:rPr>
                <w:rFonts w:hint="eastAsia" w:ascii="宋体" w:hAnsi="宋体"/>
                <w:b/>
                <w:bCs/>
                <w:color w:val="auto"/>
                <w:sz w:val="24"/>
                <w:szCs w:val="24"/>
                <w:highlight w:val="none"/>
              </w:rPr>
            </w:pPr>
            <w:r>
              <w:rPr>
                <w:rFonts w:hint="eastAsia" w:ascii="宋体" w:hAnsi="宋体"/>
                <w:b/>
                <w:bCs/>
                <w:color w:val="auto"/>
                <w:sz w:val="24"/>
                <w:szCs w:val="24"/>
                <w:highlight w:val="none"/>
              </w:rPr>
              <w:t>1</w:t>
            </w:r>
          </w:p>
        </w:tc>
        <w:tc>
          <w:tcPr>
            <w:tcW w:w="6849" w:type="dxa"/>
            <w:tcBorders>
              <w:top w:val="single" w:color="auto" w:sz="6" w:space="0"/>
              <w:left w:val="single" w:color="auto" w:sz="6" w:space="0"/>
              <w:bottom w:val="single" w:color="auto" w:sz="6" w:space="0"/>
              <w:right w:val="single" w:color="auto" w:sz="6" w:space="0"/>
            </w:tcBorders>
            <w:shd w:val="clear" w:color="auto" w:fill="auto"/>
            <w:noWrap w:val="0"/>
            <w:vAlign w:val="top"/>
          </w:tcPr>
          <w:p w14:paraId="7695F70F">
            <w:pPr>
              <w:outlineLvl w:val="9"/>
              <w:rPr>
                <w:rFonts w:ascii="宋体" w:hAnsi="Copperplate Gothic Bold" w:eastAsia="宋体" w:cs="Times New Roman"/>
                <w:b/>
                <w:bCs/>
                <w:color w:val="auto"/>
                <w:sz w:val="24"/>
                <w:szCs w:val="24"/>
                <w:highlight w:val="none"/>
                <w:lang w:val="zh-CN" w:eastAsia="zh-CN" w:bidi="ar-SA"/>
              </w:rPr>
            </w:pPr>
            <w:r>
              <w:rPr>
                <w:rFonts w:hint="eastAsia" w:ascii="宋体" w:hAnsi="宋体" w:eastAsia="宋体" w:cs="宋体"/>
                <w:b/>
                <w:bCs/>
                <w:color w:val="auto"/>
                <w:sz w:val="24"/>
                <w:szCs w:val="24"/>
                <w:highlight w:val="none"/>
                <w:lang w:val="zh-CN"/>
              </w:rPr>
              <w:t>营业执照（复印件，加盖投标人公章）</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2D349FDF">
            <w:pPr>
              <w:rPr>
                <w:rFonts w:ascii="宋体"/>
                <w:b/>
                <w:bCs/>
                <w:color w:val="auto"/>
                <w:sz w:val="24"/>
                <w:szCs w:val="24"/>
                <w:highlight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9DD6EBB">
            <w:pPr>
              <w:rPr>
                <w:rFonts w:ascii="宋体"/>
                <w:b/>
                <w:bCs/>
                <w:color w:val="auto"/>
                <w:sz w:val="24"/>
                <w:szCs w:val="24"/>
                <w:highlight w:val="none"/>
                <w:lang w:val="zh-CN"/>
              </w:rPr>
            </w:pPr>
          </w:p>
        </w:tc>
      </w:tr>
      <w:tr w14:paraId="13387764">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7F26CFD5">
            <w:pPr>
              <w:rPr>
                <w:rFonts w:ascii="宋体" w:hAnsi="宋体"/>
                <w:b/>
                <w:bCs/>
                <w:color w:val="auto"/>
                <w:sz w:val="24"/>
                <w:szCs w:val="24"/>
                <w:highlight w:val="none"/>
              </w:rPr>
            </w:pPr>
            <w:r>
              <w:rPr>
                <w:rFonts w:hint="eastAsia" w:ascii="宋体" w:hAnsi="宋体"/>
                <w:b/>
                <w:bCs/>
                <w:color w:val="auto"/>
                <w:sz w:val="24"/>
                <w:szCs w:val="24"/>
                <w:highlight w:val="none"/>
              </w:rPr>
              <w:t>2</w:t>
            </w:r>
          </w:p>
        </w:tc>
        <w:tc>
          <w:tcPr>
            <w:tcW w:w="6849" w:type="dxa"/>
            <w:tcBorders>
              <w:top w:val="single" w:color="auto" w:sz="6" w:space="0"/>
              <w:left w:val="single" w:color="auto" w:sz="6" w:space="0"/>
              <w:bottom w:val="single" w:color="auto" w:sz="6" w:space="0"/>
              <w:right w:val="single" w:color="auto" w:sz="6" w:space="0"/>
            </w:tcBorders>
            <w:shd w:val="clear" w:color="auto" w:fill="auto"/>
            <w:noWrap w:val="0"/>
            <w:vAlign w:val="top"/>
          </w:tcPr>
          <w:p w14:paraId="71FD77E5">
            <w:pPr>
              <w:outlineLvl w:val="9"/>
              <w:rPr>
                <w:rFonts w:ascii="宋体" w:hAnsi="Copperplate Gothic Bold" w:eastAsia="宋体" w:cs="Times New Roman"/>
                <w:b/>
                <w:bCs/>
                <w:color w:val="auto"/>
                <w:sz w:val="24"/>
                <w:szCs w:val="24"/>
                <w:highlight w:val="none"/>
                <w:lang w:val="zh-CN" w:eastAsia="zh-CN" w:bidi="ar-SA"/>
              </w:rPr>
            </w:pPr>
            <w:r>
              <w:rPr>
                <w:rFonts w:hint="eastAsia" w:ascii="宋体" w:hAnsi="宋体" w:eastAsia="宋体" w:cs="宋体"/>
                <w:b/>
                <w:bCs/>
                <w:color w:val="auto"/>
                <w:sz w:val="24"/>
                <w:szCs w:val="24"/>
                <w:highlight w:val="none"/>
                <w:lang w:val="zh-CN"/>
              </w:rPr>
              <w:t>法定代表人身份证（双面复印件，加盖投标人公章）</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16C1D4AE">
            <w:pPr>
              <w:rPr>
                <w:rFonts w:ascii="宋体"/>
                <w:b/>
                <w:bCs/>
                <w:color w:val="auto"/>
                <w:sz w:val="24"/>
                <w:szCs w:val="24"/>
                <w:highlight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AB0DAE7">
            <w:pPr>
              <w:rPr>
                <w:rFonts w:ascii="宋体"/>
                <w:b/>
                <w:bCs/>
                <w:color w:val="auto"/>
                <w:sz w:val="24"/>
                <w:szCs w:val="24"/>
                <w:highlight w:val="none"/>
                <w:lang w:val="zh-CN"/>
              </w:rPr>
            </w:pPr>
          </w:p>
        </w:tc>
      </w:tr>
      <w:tr w14:paraId="0AD857D9">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1AD4523F">
            <w:pPr>
              <w:rPr>
                <w:rFonts w:ascii="宋体" w:hAnsi="宋体"/>
                <w:b/>
                <w:bCs/>
                <w:color w:val="auto"/>
                <w:sz w:val="24"/>
                <w:szCs w:val="24"/>
                <w:highlight w:val="none"/>
              </w:rPr>
            </w:pPr>
            <w:r>
              <w:rPr>
                <w:rFonts w:hint="eastAsia" w:ascii="宋体" w:hAnsi="宋体"/>
                <w:b/>
                <w:bCs/>
                <w:color w:val="auto"/>
                <w:sz w:val="24"/>
                <w:szCs w:val="24"/>
                <w:highlight w:val="none"/>
              </w:rPr>
              <w:t>3</w:t>
            </w:r>
          </w:p>
        </w:tc>
        <w:tc>
          <w:tcPr>
            <w:tcW w:w="6849"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5FBF2772">
            <w:pPr>
              <w:jc w:val="both"/>
              <w:rPr>
                <w:rFonts w:ascii="宋体" w:hAnsi="Copperplate Gothic Bold" w:eastAsia="宋体" w:cs="Times New Roman"/>
                <w:b/>
                <w:bCs/>
                <w:color w:val="auto"/>
                <w:sz w:val="24"/>
                <w:szCs w:val="24"/>
                <w:highlight w:val="none"/>
                <w:lang w:val="zh-CN" w:eastAsia="zh-CN" w:bidi="ar-SA"/>
              </w:rPr>
            </w:pPr>
            <w:r>
              <w:rPr>
                <w:rFonts w:hint="eastAsia" w:ascii="宋体" w:hAnsi="宋体" w:eastAsia="宋体" w:cs="宋体"/>
                <w:b/>
                <w:bCs/>
                <w:color w:val="auto"/>
                <w:sz w:val="24"/>
                <w:szCs w:val="24"/>
                <w:highlight w:val="none"/>
                <w:lang w:val="zh-CN"/>
              </w:rPr>
              <w:t>法定代表人授权书（按格式</w:t>
            </w:r>
            <w:r>
              <w:rPr>
                <w:rFonts w:hint="eastAsia" w:ascii="宋体" w:hAnsi="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val="zh-CN"/>
              </w:rPr>
              <w:t>提交</w:t>
            </w:r>
            <w:r>
              <w:rPr>
                <w:rFonts w:hint="eastAsia" w:ascii="宋体" w:hAnsi="宋体" w:cs="宋体"/>
                <w:b/>
                <w:bCs/>
                <w:color w:val="auto"/>
                <w:sz w:val="24"/>
                <w:szCs w:val="24"/>
                <w:highlight w:val="none"/>
                <w:lang w:val="zh-CN"/>
              </w:rPr>
              <w:t>，</w:t>
            </w:r>
            <w:r>
              <w:rPr>
                <w:rFonts w:hint="eastAsia" w:ascii="宋体" w:hAnsi="宋体" w:eastAsia="宋体" w:cs="宋体"/>
                <w:b/>
                <w:bCs/>
                <w:color w:val="auto"/>
                <w:sz w:val="24"/>
                <w:szCs w:val="24"/>
                <w:highlight w:val="none"/>
                <w:lang w:val="zh-CN"/>
              </w:rPr>
              <w:t>加盖投标人公章或有效签署）</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5A82F9EB">
            <w:pPr>
              <w:rPr>
                <w:rFonts w:ascii="宋体"/>
                <w:b/>
                <w:bCs/>
                <w:color w:val="auto"/>
                <w:sz w:val="24"/>
                <w:szCs w:val="24"/>
                <w:highlight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5AB885C">
            <w:pPr>
              <w:rPr>
                <w:rFonts w:ascii="宋体"/>
                <w:b/>
                <w:bCs/>
                <w:color w:val="auto"/>
                <w:sz w:val="24"/>
                <w:szCs w:val="24"/>
                <w:highlight w:val="none"/>
                <w:lang w:val="zh-CN"/>
              </w:rPr>
            </w:pPr>
          </w:p>
        </w:tc>
      </w:tr>
      <w:tr w14:paraId="5BEBA426">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49373590">
            <w:pPr>
              <w:rPr>
                <w:rFonts w:ascii="宋体" w:hAnsi="宋体"/>
                <w:b/>
                <w:bCs/>
                <w:color w:val="auto"/>
                <w:sz w:val="24"/>
                <w:szCs w:val="24"/>
                <w:highlight w:val="none"/>
              </w:rPr>
            </w:pPr>
            <w:r>
              <w:rPr>
                <w:rFonts w:hint="eastAsia" w:ascii="宋体" w:hAnsi="宋体"/>
                <w:b/>
                <w:bCs/>
                <w:color w:val="auto"/>
                <w:sz w:val="24"/>
                <w:szCs w:val="24"/>
                <w:highlight w:val="none"/>
              </w:rPr>
              <w:t>4</w:t>
            </w:r>
          </w:p>
        </w:tc>
        <w:tc>
          <w:tcPr>
            <w:tcW w:w="6849"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056FE1E9">
            <w:pPr>
              <w:jc w:val="both"/>
              <w:rPr>
                <w:rFonts w:ascii="宋体" w:hAnsi="Copperplate Gothic Bold" w:eastAsia="宋体" w:cs="Times New Roman"/>
                <w:b/>
                <w:bCs/>
                <w:color w:val="auto"/>
                <w:sz w:val="24"/>
                <w:szCs w:val="24"/>
                <w:highlight w:val="none"/>
                <w:lang w:val="zh-CN" w:eastAsia="zh-CN" w:bidi="ar-SA"/>
              </w:rPr>
            </w:pPr>
            <w:r>
              <w:rPr>
                <w:rFonts w:hint="eastAsia" w:ascii="宋体" w:hAnsi="宋体" w:eastAsia="宋体" w:cs="宋体"/>
                <w:b/>
                <w:bCs/>
                <w:color w:val="auto"/>
                <w:sz w:val="24"/>
                <w:szCs w:val="24"/>
                <w:highlight w:val="none"/>
                <w:lang w:val="zh-CN"/>
              </w:rPr>
              <w:t>法定代表人的授权代理人身份证（双面复印件，加盖投标人公章）</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12F7B33A">
            <w:pPr>
              <w:rPr>
                <w:rFonts w:ascii="宋体"/>
                <w:b/>
                <w:bCs/>
                <w:color w:val="auto"/>
                <w:sz w:val="24"/>
                <w:szCs w:val="24"/>
                <w:highlight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7F033C9">
            <w:pPr>
              <w:rPr>
                <w:rFonts w:ascii="宋体"/>
                <w:b/>
                <w:bCs/>
                <w:color w:val="auto"/>
                <w:sz w:val="24"/>
                <w:szCs w:val="24"/>
                <w:highlight w:val="none"/>
                <w:lang w:val="zh-CN"/>
              </w:rPr>
            </w:pPr>
          </w:p>
        </w:tc>
      </w:tr>
      <w:tr w14:paraId="0379D78D">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7AA4176F">
            <w:pPr>
              <w:rPr>
                <w:rFonts w:ascii="宋体" w:hAnsi="宋体"/>
                <w:b/>
                <w:bCs/>
                <w:color w:val="auto"/>
                <w:sz w:val="24"/>
                <w:szCs w:val="24"/>
                <w:highlight w:val="none"/>
              </w:rPr>
            </w:pPr>
            <w:r>
              <w:rPr>
                <w:rFonts w:hint="eastAsia" w:ascii="宋体" w:hAnsi="宋体"/>
                <w:b/>
                <w:bCs/>
                <w:color w:val="auto"/>
                <w:sz w:val="24"/>
                <w:szCs w:val="24"/>
                <w:highlight w:val="none"/>
              </w:rPr>
              <w:t>5</w:t>
            </w:r>
          </w:p>
        </w:tc>
        <w:tc>
          <w:tcPr>
            <w:tcW w:w="6849"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6D028712">
            <w:pPr>
              <w:jc w:val="both"/>
              <w:rPr>
                <w:rFonts w:ascii="宋体" w:hAnsi="Copperplate Gothic Bold" w:eastAsia="宋体" w:cs="Times New Roman"/>
                <w:b/>
                <w:bCs/>
                <w:color w:val="auto"/>
                <w:sz w:val="24"/>
                <w:szCs w:val="24"/>
                <w:highlight w:val="none"/>
                <w:lang w:val="zh-CN" w:eastAsia="zh-CN" w:bidi="ar-SA"/>
              </w:rPr>
            </w:pPr>
            <w:r>
              <w:rPr>
                <w:rFonts w:hint="eastAsia" w:ascii="宋体" w:hAnsi="宋体" w:eastAsia="宋体" w:cs="宋体"/>
                <w:b/>
                <w:bCs/>
                <w:color w:val="auto"/>
                <w:sz w:val="24"/>
                <w:szCs w:val="24"/>
                <w:highlight w:val="none"/>
                <w:lang w:val="en-US" w:eastAsia="zh-CN" w:bidi="ar-SA"/>
              </w:rPr>
              <w:t>投标人的资格声明</w:t>
            </w:r>
            <w:r>
              <w:rPr>
                <w:rFonts w:hint="eastAsia" w:ascii="宋体" w:hAnsi="宋体" w:eastAsia="宋体" w:cs="宋体"/>
                <w:b/>
                <w:bCs/>
                <w:color w:val="auto"/>
                <w:sz w:val="24"/>
                <w:szCs w:val="24"/>
                <w:highlight w:val="none"/>
                <w:lang w:val="zh-CN"/>
              </w:rPr>
              <w:t>（按格式</w:t>
            </w:r>
            <w:r>
              <w:rPr>
                <w:rFonts w:hint="eastAsia" w:ascii="宋体" w:hAnsi="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val="zh-CN"/>
              </w:rPr>
              <w:t>提交，加盖投标人公章或有效签署）</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46D68AAA">
            <w:pPr>
              <w:rPr>
                <w:rFonts w:ascii="宋体"/>
                <w:b/>
                <w:bCs/>
                <w:color w:val="auto"/>
                <w:sz w:val="24"/>
                <w:szCs w:val="24"/>
                <w:highlight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48C8BED">
            <w:pPr>
              <w:rPr>
                <w:rFonts w:ascii="宋体"/>
                <w:b/>
                <w:bCs/>
                <w:color w:val="auto"/>
                <w:sz w:val="24"/>
                <w:szCs w:val="24"/>
                <w:highlight w:val="none"/>
                <w:lang w:val="zh-CN"/>
              </w:rPr>
            </w:pPr>
          </w:p>
        </w:tc>
      </w:tr>
      <w:tr w14:paraId="5207EEB9">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76AF5C59">
            <w:pPr>
              <w:rPr>
                <w:rFonts w:hint="eastAsia" w:ascii="宋体" w:hAnsi="宋体" w:eastAsia="宋体"/>
                <w:b/>
                <w:bCs/>
                <w:color w:val="auto"/>
                <w:sz w:val="24"/>
                <w:szCs w:val="24"/>
                <w:highlight w:val="none"/>
                <w:lang w:val="en-US" w:eastAsia="zh-CN"/>
              </w:rPr>
            </w:pPr>
            <w:r>
              <w:rPr>
                <w:rFonts w:hint="eastAsia" w:ascii="宋体" w:hAnsi="宋体"/>
                <w:b/>
                <w:bCs/>
                <w:color w:val="auto"/>
                <w:sz w:val="24"/>
                <w:szCs w:val="24"/>
                <w:highlight w:val="none"/>
                <w:lang w:val="en-US" w:eastAsia="zh-CN"/>
              </w:rPr>
              <w:t>6</w:t>
            </w:r>
          </w:p>
        </w:tc>
        <w:tc>
          <w:tcPr>
            <w:tcW w:w="6849"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0DBA3D5C">
            <w:pPr>
              <w:jc w:val="both"/>
              <w:rPr>
                <w:rFonts w:hint="eastAsia" w:ascii="宋体" w:hAnsi="宋体" w:eastAsia="宋体" w:cs="宋体"/>
                <w:b/>
                <w:bCs/>
                <w:color w:val="auto"/>
                <w:sz w:val="24"/>
                <w:szCs w:val="24"/>
                <w:highlight w:val="none"/>
                <w:lang w:val="en-US" w:eastAsia="zh-CN" w:bidi="ar-SA"/>
              </w:rPr>
            </w:pPr>
            <w:r>
              <w:rPr>
                <w:rFonts w:hint="eastAsia" w:ascii="宋体" w:hAnsi="宋体" w:cs="宋体"/>
                <w:b/>
                <w:bCs/>
                <w:color w:val="auto"/>
                <w:sz w:val="24"/>
                <w:szCs w:val="24"/>
                <w:highlight w:val="none"/>
                <w:lang w:val="zh-CN"/>
              </w:rPr>
              <w:t>近年</w:t>
            </w:r>
            <w:r>
              <w:rPr>
                <w:rFonts w:hint="eastAsia" w:ascii="宋体" w:hAnsi="宋体" w:cs="宋体"/>
                <w:b/>
                <w:bCs/>
                <w:color w:val="auto"/>
                <w:sz w:val="24"/>
                <w:szCs w:val="24"/>
                <w:highlight w:val="none"/>
                <w:lang w:val="zh-CN" w:eastAsia="zh-CN"/>
              </w:rPr>
              <w:t>（2023</w:t>
            </w:r>
            <w:r>
              <w:rPr>
                <w:rFonts w:hint="eastAsia" w:ascii="宋体" w:hAnsi="宋体" w:cs="宋体"/>
                <w:b/>
                <w:bCs/>
                <w:color w:val="auto"/>
                <w:sz w:val="24"/>
                <w:szCs w:val="24"/>
                <w:highlight w:val="none"/>
                <w:lang w:val="zh-CN"/>
              </w:rPr>
              <w:t>年）经会计师事务所</w:t>
            </w:r>
            <w:r>
              <w:rPr>
                <w:rFonts w:hint="eastAsia" w:ascii="宋体" w:hAnsi="宋体" w:cs="宋体"/>
                <w:b/>
                <w:bCs/>
                <w:color w:val="auto"/>
                <w:sz w:val="24"/>
                <w:szCs w:val="24"/>
                <w:highlight w:val="none"/>
                <w:lang w:val="en-US" w:eastAsia="zh-CN"/>
              </w:rPr>
              <w:t>出具</w:t>
            </w:r>
            <w:r>
              <w:rPr>
                <w:rFonts w:hint="eastAsia" w:ascii="宋体" w:hAnsi="宋体" w:cs="宋体"/>
                <w:b/>
                <w:bCs/>
                <w:color w:val="auto"/>
                <w:sz w:val="24"/>
                <w:szCs w:val="24"/>
                <w:highlight w:val="none"/>
                <w:lang w:val="zh-CN"/>
              </w:rPr>
              <w:t>的财务审计报告（若投标人为</w:t>
            </w:r>
            <w:r>
              <w:rPr>
                <w:rFonts w:hint="eastAsia" w:ascii="宋体" w:hAnsi="宋体" w:cs="宋体"/>
                <w:b/>
                <w:bCs/>
                <w:color w:val="auto"/>
                <w:sz w:val="24"/>
                <w:szCs w:val="24"/>
                <w:highlight w:val="none"/>
                <w:lang w:val="zh-CN" w:eastAsia="zh-CN"/>
              </w:rPr>
              <w:t>2023</w:t>
            </w:r>
            <w:r>
              <w:rPr>
                <w:rFonts w:hint="eastAsia" w:ascii="宋体" w:hAnsi="宋体" w:cs="宋体"/>
                <w:b/>
                <w:bCs/>
                <w:color w:val="auto"/>
                <w:sz w:val="24"/>
                <w:szCs w:val="24"/>
                <w:highlight w:val="none"/>
                <w:lang w:val="zh-CN"/>
              </w:rPr>
              <w:t>年以后注册成立的公司，仅需提供银行出具的资信证明即可）复印件加盖公章。</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61AC01B9">
            <w:pPr>
              <w:rPr>
                <w:rFonts w:ascii="宋体"/>
                <w:b/>
                <w:bCs/>
                <w:color w:val="auto"/>
                <w:sz w:val="24"/>
                <w:szCs w:val="24"/>
                <w:highlight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28DC0D0">
            <w:pPr>
              <w:rPr>
                <w:rFonts w:ascii="宋体"/>
                <w:b/>
                <w:bCs/>
                <w:color w:val="auto"/>
                <w:sz w:val="24"/>
                <w:szCs w:val="24"/>
                <w:highlight w:val="none"/>
                <w:lang w:val="zh-CN"/>
              </w:rPr>
            </w:pPr>
          </w:p>
        </w:tc>
      </w:tr>
      <w:tr w14:paraId="27B34E56">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0CDC7B2B">
            <w:pPr>
              <w:rPr>
                <w:rFonts w:hint="eastAsia" w:ascii="宋体" w:hAnsi="宋体" w:eastAsia="宋体"/>
                <w:b/>
                <w:bCs/>
                <w:color w:val="auto"/>
                <w:sz w:val="24"/>
                <w:szCs w:val="24"/>
                <w:highlight w:val="none"/>
                <w:lang w:val="en-US" w:eastAsia="zh-CN"/>
              </w:rPr>
            </w:pPr>
            <w:r>
              <w:rPr>
                <w:rFonts w:hint="eastAsia" w:ascii="宋体" w:hAnsi="宋体"/>
                <w:b/>
                <w:bCs/>
                <w:color w:val="auto"/>
                <w:sz w:val="24"/>
                <w:szCs w:val="24"/>
                <w:highlight w:val="none"/>
                <w:lang w:val="en-US" w:eastAsia="zh-CN"/>
              </w:rPr>
              <w:t>7</w:t>
            </w:r>
          </w:p>
        </w:tc>
        <w:tc>
          <w:tcPr>
            <w:tcW w:w="6849"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796D8825">
            <w:pPr>
              <w:jc w:val="both"/>
              <w:rPr>
                <w:rFonts w:ascii="宋体" w:hAnsi="宋体" w:cs="宋体"/>
                <w:color w:val="auto"/>
                <w:sz w:val="24"/>
                <w:szCs w:val="24"/>
                <w:highlight w:val="none"/>
              </w:rPr>
            </w:pPr>
            <w:r>
              <w:rPr>
                <w:rFonts w:hint="eastAsia" w:ascii="宋体" w:hAnsi="宋体" w:cs="宋体"/>
                <w:color w:val="auto"/>
                <w:sz w:val="24"/>
                <w:szCs w:val="24"/>
                <w:highlight w:val="none"/>
              </w:rPr>
              <w:t>具有履行合同所必需的设备和专业技术能力。</w:t>
            </w:r>
          </w:p>
          <w:p w14:paraId="2AED5A0A">
            <w:pPr>
              <w:jc w:val="both"/>
              <w:rPr>
                <w:rFonts w:hint="eastAsia" w:ascii="宋体" w:hAnsi="宋体" w:eastAsia="宋体" w:cs="宋体"/>
                <w:b/>
                <w:bCs/>
                <w:color w:val="auto"/>
                <w:sz w:val="24"/>
                <w:szCs w:val="24"/>
                <w:highlight w:val="none"/>
                <w:lang w:val="en-US" w:eastAsia="zh-CN" w:bidi="ar-SA"/>
              </w:rPr>
            </w:pPr>
            <w:r>
              <w:rPr>
                <w:rFonts w:hint="eastAsia" w:ascii="宋体" w:hAnsi="宋体" w:cs="宋体"/>
                <w:b/>
                <w:bCs/>
                <w:color w:val="auto"/>
                <w:sz w:val="24"/>
                <w:szCs w:val="24"/>
                <w:highlight w:val="none"/>
                <w:lang w:val="zh-CN"/>
              </w:rPr>
              <w:t>投标文件内附由法定代表人或授权代表签字或盖章并加盖公章的承诺书。</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2F580A82">
            <w:pPr>
              <w:rPr>
                <w:rFonts w:ascii="宋体"/>
                <w:b/>
                <w:bCs/>
                <w:color w:val="auto"/>
                <w:sz w:val="24"/>
                <w:szCs w:val="24"/>
                <w:highlight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6160D8B">
            <w:pPr>
              <w:rPr>
                <w:rFonts w:ascii="宋体"/>
                <w:b/>
                <w:bCs/>
                <w:color w:val="auto"/>
                <w:sz w:val="24"/>
                <w:szCs w:val="24"/>
                <w:highlight w:val="none"/>
                <w:lang w:val="zh-CN"/>
              </w:rPr>
            </w:pPr>
          </w:p>
        </w:tc>
      </w:tr>
      <w:tr w14:paraId="4E392404">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08A0873D">
            <w:pPr>
              <w:rPr>
                <w:rFonts w:hint="eastAsia" w:ascii="宋体" w:hAnsi="宋体" w:eastAsia="宋体"/>
                <w:b/>
                <w:bCs/>
                <w:color w:val="auto"/>
                <w:sz w:val="24"/>
                <w:szCs w:val="24"/>
                <w:highlight w:val="none"/>
                <w:lang w:val="en-US" w:eastAsia="zh-CN"/>
              </w:rPr>
            </w:pPr>
            <w:r>
              <w:rPr>
                <w:rFonts w:hint="eastAsia" w:ascii="宋体" w:hAnsi="宋体"/>
                <w:b/>
                <w:bCs/>
                <w:color w:val="auto"/>
                <w:sz w:val="24"/>
                <w:szCs w:val="24"/>
                <w:highlight w:val="none"/>
                <w:lang w:val="en-US" w:eastAsia="zh-CN"/>
              </w:rPr>
              <w:t>8</w:t>
            </w:r>
          </w:p>
        </w:tc>
        <w:tc>
          <w:tcPr>
            <w:tcW w:w="6849"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1C8D099C">
            <w:pPr>
              <w:jc w:val="both"/>
              <w:rPr>
                <w:rFonts w:ascii="宋体" w:hAnsi="宋体" w:cs="宋体"/>
                <w:color w:val="auto"/>
                <w:sz w:val="24"/>
                <w:szCs w:val="24"/>
                <w:highlight w:val="none"/>
              </w:rPr>
            </w:pPr>
            <w:r>
              <w:rPr>
                <w:rFonts w:hint="eastAsia" w:ascii="宋体" w:hAnsi="宋体" w:cs="宋体"/>
                <w:color w:val="auto"/>
                <w:sz w:val="24"/>
                <w:szCs w:val="24"/>
                <w:highlight w:val="none"/>
              </w:rPr>
              <w:t>具有依法缴纳税收和社会保障金的良好记录。</w:t>
            </w:r>
          </w:p>
          <w:p w14:paraId="790E79C1">
            <w:pPr>
              <w:jc w:val="both"/>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投标文件内附近半年内</w:t>
            </w:r>
            <w:r>
              <w:rPr>
                <w:rFonts w:hint="eastAsia" w:ascii="宋体" w:hAnsi="宋体" w:cs="宋体"/>
                <w:b/>
                <w:bCs/>
                <w:color w:val="auto"/>
                <w:sz w:val="24"/>
                <w:szCs w:val="24"/>
                <w:highlight w:val="none"/>
                <w:lang w:val="zh-CN" w:eastAsia="zh-CN"/>
              </w:rPr>
              <w:t>任意一个月</w:t>
            </w:r>
            <w:r>
              <w:rPr>
                <w:rFonts w:hint="eastAsia" w:ascii="宋体" w:hAnsi="宋体" w:cs="宋体"/>
                <w:b/>
                <w:bCs/>
                <w:color w:val="auto"/>
                <w:sz w:val="24"/>
                <w:szCs w:val="24"/>
                <w:highlight w:val="none"/>
                <w:lang w:val="zh-CN"/>
              </w:rPr>
              <w:t>纳税证明及社会保障资金缴纳证明复印件加盖公章（依法免税的，应提供其依法免税证明）。</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5DA8EE34">
            <w:pPr>
              <w:rPr>
                <w:rFonts w:ascii="宋体"/>
                <w:b/>
                <w:bCs/>
                <w:color w:val="auto"/>
                <w:sz w:val="24"/>
                <w:szCs w:val="24"/>
                <w:highlight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E53536A">
            <w:pPr>
              <w:rPr>
                <w:rFonts w:ascii="宋体"/>
                <w:b/>
                <w:bCs/>
                <w:color w:val="auto"/>
                <w:sz w:val="24"/>
                <w:szCs w:val="24"/>
                <w:highlight w:val="none"/>
                <w:lang w:val="zh-CN"/>
              </w:rPr>
            </w:pPr>
          </w:p>
        </w:tc>
      </w:tr>
      <w:tr w14:paraId="3CEF1DC0">
        <w:tblPrEx>
          <w:tblCellMar>
            <w:top w:w="0" w:type="dxa"/>
            <w:left w:w="108" w:type="dxa"/>
            <w:bottom w:w="0" w:type="dxa"/>
            <w:right w:w="108" w:type="dxa"/>
          </w:tblCellMar>
        </w:tblPrEx>
        <w:trPr>
          <w:trHeight w:val="396" w:hRule="atLeast"/>
        </w:trPr>
        <w:tc>
          <w:tcPr>
            <w:tcW w:w="630" w:type="dxa"/>
            <w:tcBorders>
              <w:top w:val="single" w:color="auto" w:sz="6" w:space="0"/>
              <w:left w:val="single" w:color="auto" w:sz="6" w:space="0"/>
              <w:bottom w:val="single" w:color="auto" w:sz="6" w:space="0"/>
              <w:right w:val="single" w:color="auto" w:sz="6" w:space="0"/>
            </w:tcBorders>
            <w:noWrap w:val="0"/>
            <w:vAlign w:val="top"/>
          </w:tcPr>
          <w:p w14:paraId="49CB9039">
            <w:pPr>
              <w:rPr>
                <w:rFonts w:hint="eastAsia" w:ascii="宋体" w:hAnsi="宋体" w:eastAsia="宋体"/>
                <w:b/>
                <w:bCs/>
                <w:color w:val="auto"/>
                <w:sz w:val="24"/>
                <w:szCs w:val="24"/>
                <w:highlight w:val="none"/>
                <w:lang w:eastAsia="zh-CN"/>
              </w:rPr>
            </w:pPr>
            <w:r>
              <w:rPr>
                <w:rFonts w:hint="eastAsia" w:ascii="宋体" w:hAnsi="宋体"/>
                <w:b/>
                <w:bCs/>
                <w:color w:val="auto"/>
                <w:sz w:val="24"/>
                <w:szCs w:val="24"/>
                <w:highlight w:val="none"/>
                <w:lang w:val="en-US" w:eastAsia="zh-CN"/>
              </w:rPr>
              <w:t>9</w:t>
            </w:r>
          </w:p>
        </w:tc>
        <w:tc>
          <w:tcPr>
            <w:tcW w:w="6849" w:type="dxa"/>
            <w:tcBorders>
              <w:top w:val="single" w:color="auto" w:sz="6" w:space="0"/>
              <w:left w:val="single" w:color="auto" w:sz="6" w:space="0"/>
              <w:bottom w:val="single" w:color="auto" w:sz="6" w:space="0"/>
              <w:right w:val="single" w:color="auto" w:sz="6" w:space="0"/>
            </w:tcBorders>
            <w:shd w:val="clear" w:color="auto" w:fill="auto"/>
            <w:noWrap w:val="0"/>
            <w:vAlign w:val="top"/>
          </w:tcPr>
          <w:p w14:paraId="5F9F1301">
            <w:pPr>
              <w:rPr>
                <w:rFonts w:hint="eastAsia" w:ascii="宋体" w:hAnsi="Copperplate Gothic Bold" w:eastAsia="宋体" w:cs="宋体"/>
                <w:b/>
                <w:bCs w:val="0"/>
                <w:color w:val="auto"/>
                <w:sz w:val="24"/>
                <w:szCs w:val="24"/>
                <w:highlight w:val="none"/>
                <w:lang w:val="zh-CN" w:eastAsia="zh-CN" w:bidi="ar-SA"/>
              </w:rPr>
            </w:pPr>
            <w:r>
              <w:rPr>
                <w:rFonts w:hint="eastAsia" w:ascii="宋体" w:hAnsi="Copperplate Gothic Bold" w:eastAsia="宋体" w:cs="宋体"/>
                <w:b/>
                <w:bCs w:val="0"/>
                <w:color w:val="auto"/>
                <w:sz w:val="24"/>
                <w:szCs w:val="24"/>
                <w:highlight w:val="none"/>
                <w:lang w:val="zh-CN" w:eastAsia="zh-CN" w:bidi="ar-SA"/>
              </w:rPr>
              <w:t>1.拒绝列入政府取消投标资格记录期间的企业或个人投标；投标人没有被责令停业、破产或被农业农村部通报质量不合格的企业。</w:t>
            </w:r>
          </w:p>
          <w:p w14:paraId="7576A159">
            <w:pPr>
              <w:rPr>
                <w:rFonts w:ascii="宋体" w:hAnsi="Copperplate Gothic Bold" w:eastAsia="宋体" w:cs="宋体"/>
                <w:b/>
                <w:bCs w:val="0"/>
                <w:color w:val="auto"/>
                <w:sz w:val="24"/>
                <w:szCs w:val="24"/>
                <w:highlight w:val="none"/>
                <w:lang w:val="zh-CN" w:eastAsia="zh-CN" w:bidi="ar-SA"/>
              </w:rPr>
            </w:pPr>
            <w:r>
              <w:rPr>
                <w:rFonts w:hint="eastAsia" w:ascii="宋体" w:hAnsi="Copperplate Gothic Bold" w:eastAsia="宋体" w:cs="宋体"/>
                <w:b/>
                <w:bCs w:val="0"/>
                <w:color w:val="auto"/>
                <w:sz w:val="24"/>
                <w:szCs w:val="24"/>
                <w:highlight w:val="none"/>
                <w:lang w:val="zh-CN" w:eastAsia="zh-CN" w:bidi="ar-SA"/>
              </w:rPr>
              <w:t>2.不得为“信用中国”网站（www.creditchina.gov.cn）中列入失信被执行人和重大税收违法失信主体供应商；不得为中国政府采购网（www.ccpg.gov.cn）政府采购严重违法失信行为记录名单中被财政部门禁止参加政府采购活动的供应商（在处罚决定规定的时间和地域范围内）（详见财库[2016]125号）；在2022年至今供应商和其法定代表人在“中国裁判文书网”(wenshu.court.gov.cn)上无行贿犯罪行为；</w:t>
            </w:r>
          </w:p>
          <w:p w14:paraId="348F6F9E">
            <w:pPr>
              <w:rPr>
                <w:rFonts w:ascii="宋体" w:hAnsi="Copperplate Gothic Bold" w:eastAsia="宋体" w:cs="宋体"/>
                <w:b/>
                <w:bCs w:val="0"/>
                <w:color w:val="auto"/>
                <w:sz w:val="24"/>
                <w:szCs w:val="24"/>
                <w:highlight w:val="none"/>
                <w:lang w:val="zh-CN" w:eastAsia="zh-CN" w:bidi="ar-SA"/>
              </w:rPr>
            </w:pPr>
            <w:r>
              <w:rPr>
                <w:rFonts w:hint="eastAsia" w:ascii="宋体" w:hAnsi="Copperplate Gothic Bold" w:eastAsia="宋体" w:cs="宋体"/>
                <w:b/>
                <w:bCs w:val="0"/>
                <w:color w:val="auto"/>
                <w:sz w:val="24"/>
                <w:szCs w:val="24"/>
                <w:highlight w:val="none"/>
                <w:lang w:val="zh-CN" w:eastAsia="zh-CN" w:bidi="ar-SA"/>
              </w:rPr>
              <w:t>3.与采购人存在利害关系可能影响招标公正性的法人、其他组织或者个人，不得参加本项目投标；单位负责人为同一人或者存在直接控股、管理关系的不同供应商，不得参加同一合同项下的政府采购活动；</w:t>
            </w:r>
          </w:p>
          <w:p w14:paraId="0944FB44">
            <w:pPr>
              <w:rPr>
                <w:rFonts w:ascii="宋体" w:hAnsi="Copperplate Gothic Bold" w:eastAsia="宋体" w:cs="宋体"/>
                <w:b/>
                <w:bCs w:val="0"/>
                <w:color w:val="auto"/>
                <w:sz w:val="24"/>
                <w:szCs w:val="24"/>
                <w:highlight w:val="none"/>
                <w:lang w:val="zh-CN" w:eastAsia="zh-CN" w:bidi="ar-SA"/>
              </w:rPr>
            </w:pPr>
            <w:r>
              <w:rPr>
                <w:rFonts w:hint="eastAsia" w:ascii="宋体" w:hAnsi="Copperplate Gothic Bold" w:eastAsia="宋体" w:cs="宋体"/>
                <w:b/>
                <w:bCs w:val="0"/>
                <w:color w:val="auto"/>
                <w:sz w:val="24"/>
                <w:szCs w:val="24"/>
                <w:highlight w:val="none"/>
                <w:lang w:val="zh-CN" w:eastAsia="zh-CN" w:bidi="ar-SA"/>
              </w:rPr>
              <w:t>4.参加政府采购活动前三年内，在经营活动中没有重大违法记录。</w:t>
            </w:r>
          </w:p>
          <w:p w14:paraId="490CFE13">
            <w:pPr>
              <w:rPr>
                <w:rFonts w:ascii="宋体" w:hAnsi="Copperplate Gothic Bold" w:eastAsia="宋体" w:cs="宋体"/>
                <w:bCs/>
                <w:color w:val="auto"/>
                <w:sz w:val="24"/>
                <w:szCs w:val="24"/>
                <w:highlight w:val="none"/>
                <w:lang w:val="zh-CN" w:eastAsia="zh-CN" w:bidi="ar-SA"/>
              </w:rPr>
            </w:pPr>
            <w:r>
              <w:rPr>
                <w:rFonts w:hint="eastAsia" w:ascii="宋体" w:hAnsi="Copperplate Gothic Bold" w:eastAsia="宋体" w:cs="宋体"/>
                <w:b/>
                <w:bCs w:val="0"/>
                <w:color w:val="auto"/>
                <w:sz w:val="24"/>
                <w:szCs w:val="24"/>
                <w:highlight w:val="none"/>
                <w:lang w:val="zh-CN" w:eastAsia="zh-CN" w:bidi="ar-SA"/>
              </w:rPr>
              <w:t>投标文件内附由法定代表人或授权代表签字或盖章并加盖公章的承诺书。</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78EE0B14">
            <w:pPr>
              <w:rPr>
                <w:rFonts w:ascii="宋体"/>
                <w:b/>
                <w:bCs/>
                <w:color w:val="auto"/>
                <w:sz w:val="24"/>
                <w:szCs w:val="24"/>
                <w:highlight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3F6629D">
            <w:pPr>
              <w:rPr>
                <w:rFonts w:ascii="宋体"/>
                <w:b/>
                <w:bCs/>
                <w:color w:val="auto"/>
                <w:sz w:val="24"/>
                <w:szCs w:val="24"/>
                <w:highlight w:val="none"/>
                <w:lang w:val="zh-CN"/>
              </w:rPr>
            </w:pPr>
          </w:p>
        </w:tc>
      </w:tr>
    </w:tbl>
    <w:p w14:paraId="36812249">
      <w:pPr>
        <w:rPr>
          <w:rFonts w:ascii="黑体" w:eastAsia="黑体"/>
          <w:b/>
          <w:bCs/>
          <w:color w:val="auto"/>
          <w:sz w:val="24"/>
          <w:szCs w:val="24"/>
          <w:highlight w:val="none"/>
          <w:lang w:val="zh-CN"/>
        </w:rPr>
      </w:pPr>
      <w:r>
        <w:rPr>
          <w:rFonts w:hint="eastAsia" w:ascii="黑体" w:eastAsia="黑体" w:cs="黑体"/>
          <w:b/>
          <w:bCs/>
          <w:color w:val="auto"/>
          <w:sz w:val="24"/>
          <w:szCs w:val="24"/>
          <w:highlight w:val="none"/>
          <w:lang w:val="zh-CN"/>
        </w:rPr>
        <w:t>要求：</w:t>
      </w:r>
    </w:p>
    <w:p w14:paraId="5C72BA45">
      <w:pPr>
        <w:ind w:firstLine="482"/>
        <w:rPr>
          <w:b/>
          <w:bCs/>
          <w:color w:val="auto"/>
          <w:sz w:val="24"/>
          <w:szCs w:val="24"/>
          <w:highlight w:val="none"/>
        </w:rPr>
      </w:pPr>
      <w:r>
        <w:rPr>
          <w:rFonts w:ascii="黑体" w:eastAsia="黑体" w:cs="黑体"/>
          <w:b/>
          <w:bCs/>
          <w:color w:val="auto"/>
          <w:sz w:val="24"/>
          <w:szCs w:val="24"/>
          <w:highlight w:val="none"/>
          <w:lang w:val="zh-CN"/>
        </w:rPr>
        <w:t>1</w:t>
      </w:r>
      <w:r>
        <w:rPr>
          <w:rFonts w:hint="eastAsia" w:ascii="黑体" w:eastAsia="黑体" w:cs="黑体"/>
          <w:b/>
          <w:bCs/>
          <w:color w:val="auto"/>
          <w:sz w:val="24"/>
          <w:szCs w:val="24"/>
          <w:highlight w:val="none"/>
          <w:lang w:val="zh-CN"/>
        </w:rPr>
        <w:t>.投标人必须按照资格审查文件清单以及规定的格式和要求提交，清单中虽未列出但采购文件要求提交的资格审查文件，投标人也应按采购文件的要求提交</w:t>
      </w:r>
      <w:r>
        <w:rPr>
          <w:rFonts w:hint="eastAsia" w:ascii="宋体" w:cs="宋体"/>
          <w:b/>
          <w:bCs/>
          <w:color w:val="auto"/>
          <w:sz w:val="24"/>
          <w:szCs w:val="24"/>
          <w:highlight w:val="none"/>
          <w:lang w:val="zh-CN"/>
        </w:rPr>
        <w:t>。</w:t>
      </w:r>
    </w:p>
    <w:p w14:paraId="5FD917D4">
      <w:pPr>
        <w:ind w:firstLine="482"/>
        <w:rPr>
          <w:rFonts w:ascii="黑体" w:eastAsia="黑体"/>
          <w:b/>
          <w:bCs/>
          <w:color w:val="auto"/>
          <w:sz w:val="24"/>
          <w:szCs w:val="24"/>
          <w:highlight w:val="none"/>
          <w:lang w:val="zh-CN"/>
        </w:rPr>
      </w:pPr>
      <w:r>
        <w:rPr>
          <w:rFonts w:ascii="黑体" w:eastAsia="黑体" w:cs="黑体"/>
          <w:b/>
          <w:bCs/>
          <w:color w:val="auto"/>
          <w:sz w:val="24"/>
          <w:szCs w:val="24"/>
          <w:highlight w:val="none"/>
          <w:lang w:val="zh-CN"/>
        </w:rPr>
        <w:t>2</w:t>
      </w:r>
      <w:r>
        <w:rPr>
          <w:rFonts w:hint="eastAsia" w:ascii="黑体" w:eastAsia="黑体" w:cs="黑体"/>
          <w:b/>
          <w:bCs/>
          <w:color w:val="auto"/>
          <w:sz w:val="24"/>
          <w:szCs w:val="24"/>
          <w:highlight w:val="none"/>
          <w:lang w:val="zh-CN"/>
        </w:rPr>
        <w:t>.投标人在投标前应自行检查要求提交的资格审查文件是否已完整提交和签章，若有缺失或无效，将导致其投标被拒绝。</w:t>
      </w:r>
    </w:p>
    <w:p w14:paraId="7C701A49">
      <w:pPr>
        <w:ind w:firstLine="482"/>
        <w:rPr>
          <w:rFonts w:hint="eastAsia" w:ascii="黑体" w:eastAsia="黑体" w:cs="黑体"/>
          <w:b/>
          <w:bCs/>
          <w:color w:val="auto"/>
          <w:sz w:val="24"/>
          <w:szCs w:val="24"/>
          <w:highlight w:val="none"/>
          <w:lang w:val="zh-CN"/>
        </w:rPr>
      </w:pPr>
      <w:r>
        <w:rPr>
          <w:rFonts w:ascii="黑体" w:eastAsia="黑体" w:cs="黑体"/>
          <w:b/>
          <w:bCs/>
          <w:color w:val="auto"/>
          <w:sz w:val="24"/>
          <w:szCs w:val="24"/>
          <w:highlight w:val="none"/>
          <w:lang w:val="zh-CN"/>
        </w:rPr>
        <w:t>3</w:t>
      </w:r>
      <w:r>
        <w:rPr>
          <w:rFonts w:hint="eastAsia" w:ascii="黑体" w:eastAsia="黑体" w:cs="黑体"/>
          <w:b/>
          <w:bCs/>
          <w:color w:val="auto"/>
          <w:sz w:val="24"/>
          <w:szCs w:val="24"/>
          <w:highlight w:val="none"/>
          <w:lang w:val="zh-CN"/>
        </w:rPr>
        <w:t>.投标人应按本格式编制资格审查文件目录。</w:t>
      </w:r>
    </w:p>
    <w:p w14:paraId="6C77029E">
      <w:pPr>
        <w:rPr>
          <w:rFonts w:ascii="宋体"/>
          <w:b/>
          <w:bCs/>
          <w:color w:val="auto"/>
          <w:sz w:val="24"/>
          <w:szCs w:val="24"/>
          <w:highlight w:val="none"/>
          <w:lang w:val="zh-CN"/>
        </w:rPr>
      </w:pPr>
    </w:p>
    <w:p w14:paraId="2E9E60F4">
      <w:pPr>
        <w:outlineLvl w:val="9"/>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zh-CN"/>
        </w:rPr>
        <w:t>格式</w:t>
      </w:r>
      <w:r>
        <w:rPr>
          <w:rFonts w:hint="eastAsia" w:ascii="宋体" w:hAnsi="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val="zh-CN"/>
        </w:rPr>
        <w:t>、法定代表人授权书</w:t>
      </w:r>
      <w:r>
        <w:rPr>
          <w:rFonts w:hint="eastAsia" w:ascii="宋体" w:hAnsi="宋体" w:eastAsia="宋体" w:cs="宋体"/>
          <w:color w:val="auto"/>
          <w:sz w:val="24"/>
          <w:szCs w:val="24"/>
          <w:highlight w:val="none"/>
          <w:lang w:val="zh-CN"/>
        </w:rPr>
        <w:t>（法定代表人投标的可不提供）</w:t>
      </w:r>
    </w:p>
    <w:p w14:paraId="2C5C7D00">
      <w:pPr>
        <w:ind w:firstLine="480"/>
        <w:outlineLvl w:val="9"/>
        <w:rPr>
          <w:rFonts w:hint="eastAsia" w:ascii="宋体" w:hAnsi="宋体" w:eastAsia="宋体" w:cs="宋体"/>
          <w:color w:val="auto"/>
          <w:sz w:val="24"/>
          <w:szCs w:val="24"/>
          <w:highlight w:val="none"/>
          <w:lang w:val="zh-CN"/>
        </w:rPr>
      </w:pPr>
    </w:p>
    <w:p w14:paraId="53BDFF14">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本授权书声明：注册于</w:t>
      </w:r>
      <w:r>
        <w:rPr>
          <w:rFonts w:hint="eastAsia" w:ascii="宋体" w:hAnsi="宋体" w:eastAsia="宋体" w:cs="宋体"/>
          <w:color w:val="auto"/>
          <w:sz w:val="24"/>
          <w:szCs w:val="24"/>
          <w:highlight w:val="none"/>
          <w:u w:val="single"/>
          <w:lang w:val="zh-CN"/>
        </w:rPr>
        <w:t xml:space="preserve">  （注册地点）   </w:t>
      </w:r>
      <w:r>
        <w:rPr>
          <w:rFonts w:hint="eastAsia" w:ascii="宋体" w:hAnsi="宋体" w:eastAsia="宋体" w:cs="宋体"/>
          <w:color w:val="auto"/>
          <w:sz w:val="24"/>
          <w:szCs w:val="24"/>
          <w:highlight w:val="none"/>
          <w:lang w:val="zh-CN"/>
        </w:rPr>
        <w:t>的</w:t>
      </w:r>
      <w:r>
        <w:rPr>
          <w:rFonts w:hint="eastAsia" w:ascii="宋体" w:hAnsi="宋体" w:eastAsia="宋体" w:cs="宋体"/>
          <w:color w:val="auto"/>
          <w:sz w:val="24"/>
          <w:szCs w:val="24"/>
          <w:highlight w:val="none"/>
          <w:u w:val="single"/>
          <w:lang w:val="zh-CN"/>
        </w:rPr>
        <w:t xml:space="preserve">   （投标人名称）   </w:t>
      </w:r>
      <w:r>
        <w:rPr>
          <w:rFonts w:hint="eastAsia" w:ascii="宋体" w:hAnsi="宋体" w:eastAsia="宋体" w:cs="宋体"/>
          <w:color w:val="auto"/>
          <w:sz w:val="24"/>
          <w:szCs w:val="24"/>
          <w:highlight w:val="none"/>
          <w:lang w:val="zh-CN"/>
        </w:rPr>
        <w:t>公司的</w:t>
      </w:r>
      <w:r>
        <w:rPr>
          <w:rFonts w:hint="eastAsia" w:ascii="宋体" w:hAnsi="宋体" w:eastAsia="宋体" w:cs="宋体"/>
          <w:color w:val="auto"/>
          <w:sz w:val="24"/>
          <w:szCs w:val="24"/>
          <w:highlight w:val="none"/>
          <w:u w:val="single"/>
          <w:lang w:val="zh-CN"/>
        </w:rPr>
        <w:t xml:space="preserve">  （投标人法定代表人姓名、职务）  </w:t>
      </w:r>
      <w:r>
        <w:rPr>
          <w:rFonts w:hint="eastAsia" w:ascii="宋体" w:hAnsi="宋体" w:eastAsia="宋体" w:cs="宋体"/>
          <w:color w:val="auto"/>
          <w:sz w:val="24"/>
          <w:szCs w:val="24"/>
          <w:highlight w:val="none"/>
          <w:lang w:val="zh-CN"/>
        </w:rPr>
        <w:t>代表本公司授权</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zh-CN"/>
        </w:rPr>
        <w:t>（被授权人单位名称）__</w:t>
      </w:r>
      <w:r>
        <w:rPr>
          <w:rFonts w:hint="eastAsia" w:ascii="宋体" w:hAnsi="宋体" w:eastAsia="宋体" w:cs="宋体"/>
          <w:color w:val="auto"/>
          <w:sz w:val="24"/>
          <w:szCs w:val="24"/>
          <w:highlight w:val="none"/>
          <w:lang w:val="zh-CN"/>
        </w:rPr>
        <w:t>的___</w:t>
      </w:r>
      <w:r>
        <w:rPr>
          <w:rFonts w:hint="eastAsia" w:ascii="宋体" w:hAnsi="宋体" w:eastAsia="宋体" w:cs="宋体"/>
          <w:color w:val="auto"/>
          <w:sz w:val="24"/>
          <w:szCs w:val="24"/>
          <w:highlight w:val="none"/>
          <w:u w:val="single"/>
          <w:lang w:val="zh-CN"/>
        </w:rPr>
        <w:t xml:space="preserve">(被授权人姓名、职务)   </w:t>
      </w:r>
      <w:r>
        <w:rPr>
          <w:rFonts w:hint="eastAsia" w:ascii="宋体" w:hAnsi="宋体" w:eastAsia="宋体" w:cs="宋体"/>
          <w:color w:val="auto"/>
          <w:sz w:val="24"/>
          <w:szCs w:val="24"/>
          <w:highlight w:val="none"/>
          <w:lang w:val="zh-CN"/>
        </w:rPr>
        <w:t>为本公司的合法代理人，就《</w:t>
      </w:r>
      <w:r>
        <w:rPr>
          <w:rFonts w:hint="eastAsia" w:ascii="宋体" w:hAnsi="宋体" w:eastAsia="宋体" w:cs="宋体"/>
          <w:color w:val="auto"/>
          <w:sz w:val="24"/>
          <w:szCs w:val="24"/>
          <w:highlight w:val="none"/>
          <w:u w:val="single"/>
          <w:lang w:val="zh-CN"/>
        </w:rPr>
        <w:t>（</w:t>
      </w:r>
      <w:r>
        <w:rPr>
          <w:rFonts w:hint="eastAsia" w:ascii="宋体" w:hAnsi="宋体" w:eastAsia="宋体" w:cs="宋体"/>
          <w:color w:val="auto"/>
          <w:sz w:val="24"/>
          <w:szCs w:val="24"/>
          <w:highlight w:val="none"/>
          <w:u w:val="single"/>
          <w:lang w:val="en-US" w:eastAsia="zh-CN"/>
        </w:rPr>
        <w:t>项目名称）</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u w:val="single"/>
          <w:lang w:val="zh-CN" w:eastAsia="zh-CN"/>
        </w:rPr>
        <w:t>项目编号：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zh-CN"/>
        </w:rPr>
        <w:t>）的投标以及合同的谈判、签约、执行、完成和保修等全权负责，以本公司名义处理一切与之有关的事务。代理人在投标、开标、评标、合同谈判和履行过程中所签署的一切文件和处理的与之有关的一切事务，我均予以承认。代理人无转委托权。</w:t>
      </w:r>
    </w:p>
    <w:p w14:paraId="1292A4BD">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本授权书于</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日签字生效，特此声明。</w:t>
      </w:r>
    </w:p>
    <w:p w14:paraId="442FEB19">
      <w:pPr>
        <w:ind w:firstLine="480"/>
        <w:outlineLvl w:val="9"/>
        <w:rPr>
          <w:rFonts w:hint="eastAsia" w:ascii="宋体" w:hAnsi="宋体" w:eastAsia="宋体" w:cs="宋体"/>
          <w:color w:val="auto"/>
          <w:sz w:val="24"/>
          <w:szCs w:val="24"/>
          <w:highlight w:val="none"/>
          <w:lang w:val="zh-CN"/>
        </w:rPr>
      </w:pPr>
    </w:p>
    <w:p w14:paraId="673D9143">
      <w:pPr>
        <w:ind w:firstLine="480"/>
        <w:outlineLvl w:val="9"/>
        <w:rPr>
          <w:rFonts w:hint="eastAsia" w:ascii="宋体" w:hAnsi="宋体" w:eastAsia="宋体" w:cs="宋体"/>
          <w:b/>
          <w:bCs/>
          <w:color w:val="auto"/>
          <w:highlight w:val="none"/>
          <w:lang w:val="zh-CN"/>
        </w:rPr>
      </w:pPr>
      <w:r>
        <w:rPr>
          <w:rFonts w:hint="eastAsia" w:ascii="宋体" w:hAnsi="宋体" w:eastAsia="宋体" w:cs="宋体"/>
          <w:color w:val="auto"/>
          <w:sz w:val="24"/>
          <w:szCs w:val="24"/>
          <w:highlight w:val="none"/>
          <w:lang w:val="zh-CN"/>
        </w:rPr>
        <w:t>投标人印刷体名称</w:t>
      </w:r>
      <w:r>
        <w:rPr>
          <w:rFonts w:hint="eastAsia" w:ascii="宋体" w:hAnsi="宋体" w:eastAsia="宋体" w:cs="宋体"/>
          <w:b/>
          <w:bCs/>
          <w:color w:val="auto"/>
          <w:sz w:val="24"/>
          <w:szCs w:val="24"/>
          <w:highlight w:val="none"/>
          <w:lang w:val="zh-CN"/>
        </w:rPr>
        <w:t>（加盖公章）：</w:t>
      </w:r>
    </w:p>
    <w:p w14:paraId="700B44E9">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地址：</w:t>
      </w:r>
    </w:p>
    <w:p w14:paraId="4E3A2086">
      <w:pPr>
        <w:outlineLvl w:val="9"/>
        <w:rPr>
          <w:rFonts w:hint="eastAsia" w:ascii="宋体" w:hAnsi="宋体" w:eastAsia="宋体" w:cs="宋体"/>
          <w:b/>
          <w:bCs/>
          <w:color w:val="auto"/>
          <w:sz w:val="24"/>
          <w:szCs w:val="24"/>
          <w:highlight w:val="none"/>
          <w:u w:val="single"/>
          <w:lang w:val="zh-CN"/>
        </w:rPr>
      </w:pPr>
      <w:r>
        <w:rPr>
          <w:rFonts w:hint="eastAsia" w:ascii="宋体" w:hAnsi="宋体" w:eastAsia="宋体" w:cs="宋体"/>
          <w:b/>
          <w:bCs/>
          <w:color w:val="auto"/>
          <w:sz w:val="24"/>
          <w:szCs w:val="24"/>
          <w:highlight w:val="none"/>
          <w:lang w:val="zh-CN"/>
        </w:rPr>
        <w:t xml:space="preserve">    </w:t>
      </w:r>
      <w:r>
        <w:rPr>
          <w:rFonts w:hint="eastAsia" w:ascii="宋体" w:hAnsi="宋体" w:eastAsia="宋体" w:cs="宋体"/>
          <w:color w:val="auto"/>
          <w:sz w:val="24"/>
          <w:szCs w:val="24"/>
          <w:highlight w:val="none"/>
          <w:lang w:val="zh-CN"/>
        </w:rPr>
        <w:t>授权人（法定代表人）</w:t>
      </w:r>
      <w:r>
        <w:rPr>
          <w:rFonts w:hint="eastAsia" w:ascii="宋体" w:hAnsi="宋体" w:eastAsia="宋体" w:cs="宋体"/>
          <w:b/>
          <w:bCs/>
          <w:color w:val="auto"/>
          <w:sz w:val="24"/>
          <w:szCs w:val="24"/>
          <w:highlight w:val="none"/>
          <w:lang w:val="zh-CN"/>
        </w:rPr>
        <w:t>印刷体姓名、手书签名：</w:t>
      </w:r>
    </w:p>
    <w:p w14:paraId="6DFB527E">
      <w:pPr>
        <w:ind w:firstLine="495"/>
        <w:outlineLvl w:val="9"/>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lang w:val="zh-CN"/>
        </w:rPr>
        <w:t>被授权人（代理人）</w:t>
      </w:r>
      <w:r>
        <w:rPr>
          <w:rFonts w:hint="eastAsia" w:ascii="宋体" w:hAnsi="宋体" w:eastAsia="宋体" w:cs="宋体"/>
          <w:b/>
          <w:bCs/>
          <w:color w:val="auto"/>
          <w:sz w:val="24"/>
          <w:szCs w:val="24"/>
          <w:highlight w:val="none"/>
          <w:lang w:val="zh-CN"/>
        </w:rPr>
        <w:t>印刷体姓名、手书签名：</w:t>
      </w:r>
    </w:p>
    <w:p w14:paraId="10FCC6CC">
      <w:pPr>
        <w:ind w:firstLine="495"/>
        <w:outlineLvl w:val="9"/>
        <w:rPr>
          <w:rFonts w:hint="eastAsia" w:ascii="宋体" w:hAnsi="宋体" w:eastAsia="宋体" w:cs="宋体"/>
          <w:b/>
          <w:bCs/>
          <w:color w:val="auto"/>
          <w:sz w:val="24"/>
          <w:szCs w:val="24"/>
          <w:highlight w:val="none"/>
          <w:lang w:val="zh-CN"/>
        </w:rPr>
      </w:pPr>
    </w:p>
    <w:p w14:paraId="341D460F">
      <w:pPr>
        <w:ind w:firstLine="47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请投标人注意：法定代表人授权书必须按规定有效签署和加盖公章。</w:t>
      </w:r>
    </w:p>
    <w:p w14:paraId="42908D75">
      <w:pPr>
        <w:outlineLvl w:val="9"/>
        <w:rPr>
          <w:rFonts w:hint="eastAsia" w:ascii="宋体" w:hAnsi="宋体" w:eastAsia="宋体" w:cs="宋体"/>
          <w:b/>
          <w:bCs/>
          <w:color w:val="auto"/>
          <w:sz w:val="24"/>
          <w:szCs w:val="24"/>
          <w:highlight w:val="none"/>
          <w:lang w:val="zh-CN"/>
        </w:rPr>
      </w:pPr>
    </w:p>
    <w:p w14:paraId="193275E1">
      <w:pP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br w:type="page"/>
      </w:r>
    </w:p>
    <w:p w14:paraId="08581692">
      <w:pP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zh-CN"/>
        </w:rPr>
        <w:t>格式</w:t>
      </w:r>
      <w:r>
        <w:rPr>
          <w:rFonts w:hint="eastAsia" w:ascii="宋体" w:hAnsi="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val="zh-CN"/>
        </w:rPr>
        <w:t>、投标人的资格声明</w:t>
      </w:r>
    </w:p>
    <w:p w14:paraId="1BC5DBB7">
      <w:pPr>
        <w:outlineLvl w:val="9"/>
        <w:rPr>
          <w:rFonts w:hint="eastAsia" w:ascii="宋体" w:hAnsi="宋体" w:eastAsia="宋体" w:cs="宋体"/>
          <w:b/>
          <w:bCs/>
          <w:color w:val="auto"/>
          <w:sz w:val="24"/>
          <w:szCs w:val="24"/>
          <w:highlight w:val="none"/>
        </w:rPr>
      </w:pPr>
    </w:p>
    <w:p w14:paraId="0DCB6E25">
      <w:pP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致</w:t>
      </w:r>
      <w:r>
        <w:rPr>
          <w:rFonts w:hint="eastAsia" w:ascii="宋体" w:hAnsi="宋体" w:cs="宋体"/>
          <w:color w:val="auto"/>
          <w:sz w:val="24"/>
          <w:szCs w:val="24"/>
          <w:highlight w:val="none"/>
          <w:lang w:val="en-US" w:eastAsia="zh-CN"/>
        </w:rPr>
        <w:t>吉林省智广工程项目管理有限公司</w:t>
      </w:r>
      <w:r>
        <w:rPr>
          <w:rFonts w:hint="eastAsia" w:ascii="宋体" w:hAnsi="宋体" w:eastAsia="宋体" w:cs="宋体"/>
          <w:color w:val="auto"/>
          <w:sz w:val="24"/>
          <w:szCs w:val="24"/>
          <w:highlight w:val="none"/>
          <w:lang w:val="zh-CN"/>
        </w:rPr>
        <w:t>：</w:t>
      </w:r>
    </w:p>
    <w:p w14:paraId="4C5087F7">
      <w:pPr>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按照</w:t>
      </w:r>
      <w:r>
        <w:rPr>
          <w:rFonts w:hint="eastAsia" w:ascii="宋体" w:hAnsi="宋体" w:eastAsia="宋体" w:cs="宋体"/>
          <w:color w:val="auto"/>
          <w:sz w:val="24"/>
          <w:highlight w:val="none"/>
          <w:lang w:val="zh-CN"/>
        </w:rPr>
        <w:t>符合《中华人民共和国政府采购法》第二十二条</w:t>
      </w:r>
      <w:r>
        <w:rPr>
          <w:rFonts w:hint="eastAsia" w:ascii="宋体" w:hAnsi="宋体" w:eastAsia="宋体" w:cs="宋体"/>
          <w:color w:val="auto"/>
          <w:sz w:val="24"/>
          <w:szCs w:val="24"/>
          <w:highlight w:val="none"/>
          <w:lang w:val="zh-CN"/>
        </w:rPr>
        <w:t>和你</w:t>
      </w:r>
      <w:r>
        <w:rPr>
          <w:rFonts w:hint="eastAsia" w:ascii="宋体" w:hAnsi="宋体" w:eastAsia="宋体" w:cs="宋体"/>
          <w:color w:val="auto"/>
          <w:sz w:val="24"/>
          <w:szCs w:val="24"/>
          <w:highlight w:val="none"/>
          <w:lang w:val="en-US" w:eastAsia="zh-CN"/>
        </w:rPr>
        <w:t>单位</w:t>
      </w:r>
      <w:r>
        <w:rPr>
          <w:rFonts w:hint="eastAsia" w:ascii="宋体" w:hAnsi="宋体" w:eastAsia="宋体" w:cs="宋体"/>
          <w:color w:val="auto"/>
          <w:sz w:val="24"/>
          <w:szCs w:val="24"/>
          <w:highlight w:val="none"/>
          <w:lang w:val="zh-CN"/>
        </w:rPr>
        <w:t>发布的《</w:t>
      </w:r>
      <w:r>
        <w:rPr>
          <w:rFonts w:hint="eastAsia" w:ascii="宋体" w:hAnsi="宋体" w:eastAsia="宋体" w:cs="宋体"/>
          <w:color w:val="auto"/>
          <w:sz w:val="24"/>
          <w:szCs w:val="24"/>
          <w:highlight w:val="none"/>
          <w:u w:val="single"/>
          <w:lang w:val="zh-CN"/>
        </w:rPr>
        <w:t>（</w:t>
      </w:r>
      <w:r>
        <w:rPr>
          <w:rFonts w:hint="eastAsia" w:ascii="宋体" w:hAnsi="宋体" w:eastAsia="宋体" w:cs="宋体"/>
          <w:color w:val="auto"/>
          <w:sz w:val="24"/>
          <w:szCs w:val="24"/>
          <w:highlight w:val="none"/>
          <w:u w:val="single"/>
          <w:lang w:val="en-US" w:eastAsia="zh-CN"/>
        </w:rPr>
        <w:t>项目名称）</w:t>
      </w:r>
      <w:r>
        <w:rPr>
          <w:rFonts w:hint="eastAsia" w:ascii="宋体" w:hAnsi="宋体" w:eastAsia="宋体" w:cs="宋体"/>
          <w:color w:val="auto"/>
          <w:sz w:val="24"/>
          <w:szCs w:val="24"/>
          <w:highlight w:val="none"/>
          <w:lang w:val="zh-CN"/>
        </w:rPr>
        <w:t>招标文件 》（</w:t>
      </w:r>
      <w:r>
        <w:rPr>
          <w:rFonts w:hint="eastAsia" w:ascii="宋体" w:hAnsi="宋体" w:eastAsia="宋体" w:cs="宋体"/>
          <w:color w:val="auto"/>
          <w:sz w:val="24"/>
          <w:szCs w:val="24"/>
          <w:highlight w:val="none"/>
          <w:u w:val="single"/>
          <w:lang w:val="zh-CN" w:eastAsia="zh-CN"/>
        </w:rPr>
        <w:t>项目编号：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zh-CN"/>
        </w:rPr>
        <w:t>）的规定，我公司郑重声明如下：</w:t>
      </w:r>
    </w:p>
    <w:p w14:paraId="6B773B07">
      <w:pPr>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.我公司是按照中华人民共和国法律在工商管理机关登记注册的企业，注册地点为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，公司全称为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，法定代表人为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，具有独立承担民事责任的能力。</w:t>
      </w:r>
    </w:p>
    <w:p w14:paraId="71BBE03F">
      <w:pPr>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.我公司具有良好的商业信誉和健全的财务会计制度。</w:t>
      </w:r>
    </w:p>
    <w:p w14:paraId="679DA42F">
      <w:pPr>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.我公司具有履行本项目采购合同所必需的设备和专业技术能力。</w:t>
      </w:r>
    </w:p>
    <w:p w14:paraId="705DEE97">
      <w:pPr>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.我公司具有依法缴纳税收和社会保障资金的良好记录。</w:t>
      </w:r>
    </w:p>
    <w:p w14:paraId="70740D8B">
      <w:pPr>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.我公司在参与本次政府采购活动之前三年内，在经营活动中无重大违法记录。</w:t>
      </w:r>
    </w:p>
    <w:p w14:paraId="23B701C9">
      <w:pPr>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zh-CN"/>
        </w:rPr>
        <w:t>.我公司在参与本次政府采购活动时未受到任何地方政府采购部门作出的暂停参加政府采购活动的处罚。</w:t>
      </w:r>
    </w:p>
    <w:p w14:paraId="37E31D38">
      <w:pPr>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我公司保证上述声明的事项都是真实的，如有虚假，我公司承担相应的法律责任，并承担因此给你</w:t>
      </w:r>
      <w:r>
        <w:rPr>
          <w:rFonts w:hint="eastAsia" w:ascii="宋体" w:hAnsi="宋体" w:eastAsia="宋体" w:cs="宋体"/>
          <w:color w:val="auto"/>
          <w:sz w:val="24"/>
          <w:szCs w:val="24"/>
          <w:highlight w:val="none"/>
          <w:lang w:val="en-US" w:eastAsia="zh-CN"/>
        </w:rPr>
        <w:t>单位</w:t>
      </w:r>
      <w:r>
        <w:rPr>
          <w:rFonts w:hint="eastAsia" w:ascii="宋体" w:hAnsi="宋体" w:eastAsia="宋体" w:cs="宋体"/>
          <w:color w:val="auto"/>
          <w:sz w:val="24"/>
          <w:szCs w:val="24"/>
          <w:highlight w:val="none"/>
          <w:lang w:val="zh-CN"/>
        </w:rPr>
        <w:t>以及本项目采购人所造成的损失。</w:t>
      </w:r>
    </w:p>
    <w:p w14:paraId="2E5E1216">
      <w:pPr>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我公司已经按照你</w:t>
      </w:r>
      <w:r>
        <w:rPr>
          <w:rFonts w:hint="eastAsia" w:ascii="宋体" w:hAnsi="宋体" w:eastAsia="宋体" w:cs="宋体"/>
          <w:color w:val="auto"/>
          <w:sz w:val="24"/>
          <w:szCs w:val="24"/>
          <w:highlight w:val="none"/>
          <w:lang w:val="en-US" w:eastAsia="zh-CN"/>
        </w:rPr>
        <w:t>单位</w:t>
      </w:r>
      <w:r>
        <w:rPr>
          <w:rFonts w:hint="eastAsia" w:ascii="宋体" w:hAnsi="宋体" w:eastAsia="宋体" w:cs="宋体"/>
          <w:color w:val="auto"/>
          <w:sz w:val="24"/>
          <w:szCs w:val="24"/>
          <w:highlight w:val="none"/>
          <w:lang w:val="zh-CN"/>
        </w:rPr>
        <w:t>招标文件的要求提交了所要求提交的能够证明上述声明事项真实性的全部文件材料，并保证随时按照你</w:t>
      </w:r>
      <w:r>
        <w:rPr>
          <w:rFonts w:hint="eastAsia" w:ascii="宋体" w:hAnsi="宋体" w:eastAsia="宋体" w:cs="宋体"/>
          <w:color w:val="auto"/>
          <w:sz w:val="24"/>
          <w:szCs w:val="24"/>
          <w:highlight w:val="none"/>
          <w:lang w:val="en-US" w:eastAsia="zh-CN"/>
        </w:rPr>
        <w:t>单位</w:t>
      </w:r>
      <w:r>
        <w:rPr>
          <w:rFonts w:hint="eastAsia" w:ascii="宋体" w:hAnsi="宋体" w:eastAsia="宋体" w:cs="宋体"/>
          <w:color w:val="auto"/>
          <w:sz w:val="24"/>
          <w:szCs w:val="24"/>
          <w:highlight w:val="none"/>
          <w:lang w:val="zh-CN"/>
        </w:rPr>
        <w:t>的要求提供能够证明上述声明事项真实性的任何有效文件。</w:t>
      </w:r>
    </w:p>
    <w:p w14:paraId="3AE4819C">
      <w:pPr>
        <w:ind w:firstLine="480"/>
        <w:outlineLvl w:val="9"/>
        <w:rPr>
          <w:rFonts w:hint="eastAsia" w:ascii="宋体" w:hAnsi="宋体" w:eastAsia="宋体" w:cs="宋体"/>
          <w:color w:val="auto"/>
          <w:sz w:val="24"/>
          <w:szCs w:val="24"/>
          <w:highlight w:val="none"/>
        </w:rPr>
      </w:pPr>
    </w:p>
    <w:p w14:paraId="6A047659">
      <w:pPr>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投标人全称并加盖单位公章：</w:t>
      </w:r>
    </w:p>
    <w:p w14:paraId="003687BA">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时间：</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日</w:t>
      </w:r>
    </w:p>
    <w:p w14:paraId="72EFAFD3">
      <w:pPr>
        <w:rPr>
          <w:rFonts w:ascii="宋体"/>
          <w:b/>
          <w:bCs/>
          <w:color w:val="auto"/>
          <w:sz w:val="24"/>
          <w:szCs w:val="24"/>
          <w:highlight w:val="none"/>
        </w:rPr>
      </w:pPr>
    </w:p>
    <w:p w14:paraId="37963013">
      <w:pPr>
        <w:jc w:val="center"/>
        <w:rPr>
          <w:rFonts w:hint="eastAsia" w:ascii="黑体" w:eastAsia="黑体" w:cs="黑体"/>
          <w:b/>
          <w:bCs/>
          <w:color w:val="auto"/>
          <w:sz w:val="32"/>
          <w:szCs w:val="32"/>
          <w:highlight w:val="none"/>
          <w:lang w:val="zh-CN"/>
        </w:rPr>
      </w:pPr>
    </w:p>
    <w:p w14:paraId="3944448C">
      <w:pPr>
        <w:jc w:val="center"/>
        <w:rPr>
          <w:rFonts w:hint="eastAsia" w:ascii="黑体" w:eastAsia="黑体" w:cs="黑体"/>
          <w:b/>
          <w:bCs/>
          <w:color w:val="auto"/>
          <w:sz w:val="32"/>
          <w:szCs w:val="32"/>
          <w:highlight w:val="none"/>
          <w:lang w:val="zh-CN"/>
        </w:rPr>
      </w:pPr>
    </w:p>
    <w:p w14:paraId="2CA40D2A">
      <w:pPr>
        <w:jc w:val="center"/>
        <w:rPr>
          <w:rFonts w:hint="eastAsia" w:ascii="黑体" w:eastAsia="黑体" w:cs="黑体"/>
          <w:b/>
          <w:bCs/>
          <w:color w:val="auto"/>
          <w:sz w:val="32"/>
          <w:szCs w:val="32"/>
          <w:highlight w:val="none"/>
          <w:lang w:val="zh-CN"/>
        </w:rPr>
      </w:pPr>
    </w:p>
    <w:p w14:paraId="6BDC9852">
      <w:pPr>
        <w:jc w:val="center"/>
        <w:rPr>
          <w:rFonts w:hint="eastAsia" w:ascii="黑体" w:eastAsia="黑体" w:cs="黑体"/>
          <w:b/>
          <w:bCs/>
          <w:color w:val="auto"/>
          <w:sz w:val="32"/>
          <w:szCs w:val="32"/>
          <w:highlight w:val="none"/>
          <w:lang w:val="zh-CN"/>
        </w:rPr>
      </w:pPr>
    </w:p>
    <w:p w14:paraId="09178019">
      <w:pPr>
        <w:jc w:val="center"/>
        <w:rPr>
          <w:rFonts w:hint="eastAsia" w:ascii="黑体" w:eastAsia="黑体" w:cs="黑体"/>
          <w:b/>
          <w:bCs/>
          <w:color w:val="auto"/>
          <w:sz w:val="32"/>
          <w:szCs w:val="32"/>
          <w:highlight w:val="none"/>
          <w:lang w:val="zh-CN"/>
        </w:rPr>
      </w:pPr>
    </w:p>
    <w:p w14:paraId="44972515">
      <w:pPr>
        <w:jc w:val="center"/>
        <w:rPr>
          <w:rFonts w:hint="eastAsia" w:ascii="黑体" w:eastAsia="黑体" w:cs="黑体"/>
          <w:b/>
          <w:bCs/>
          <w:color w:val="auto"/>
          <w:sz w:val="32"/>
          <w:szCs w:val="32"/>
          <w:highlight w:val="none"/>
          <w:lang w:val="zh-CN"/>
        </w:rPr>
      </w:pPr>
    </w:p>
    <w:p w14:paraId="098AC4CC">
      <w:pPr>
        <w:jc w:val="center"/>
        <w:rPr>
          <w:rFonts w:hint="eastAsia" w:ascii="黑体" w:eastAsia="黑体" w:cs="黑体"/>
          <w:b/>
          <w:bCs/>
          <w:color w:val="auto"/>
          <w:sz w:val="32"/>
          <w:szCs w:val="32"/>
          <w:highlight w:val="none"/>
          <w:lang w:val="zh-CN"/>
        </w:rPr>
      </w:pPr>
    </w:p>
    <w:p w14:paraId="675BE42F">
      <w:pPr>
        <w:jc w:val="center"/>
        <w:outlineLvl w:val="1"/>
        <w:rPr>
          <w:rFonts w:ascii="黑体" w:eastAsia="黑体"/>
          <w:b/>
          <w:bCs/>
          <w:color w:val="auto"/>
          <w:sz w:val="32"/>
          <w:szCs w:val="32"/>
          <w:highlight w:val="none"/>
        </w:rPr>
      </w:pPr>
      <w:bookmarkStart w:id="146" w:name="_Toc8347"/>
      <w:r>
        <w:rPr>
          <w:rFonts w:hint="eastAsia" w:ascii="黑体" w:eastAsia="黑体" w:cs="黑体"/>
          <w:b/>
          <w:bCs/>
          <w:color w:val="auto"/>
          <w:sz w:val="32"/>
          <w:szCs w:val="32"/>
          <w:highlight w:val="none"/>
          <w:lang w:val="zh-CN"/>
        </w:rPr>
        <w:t xml:space="preserve">第二部分 </w:t>
      </w:r>
      <w:r>
        <w:rPr>
          <w:rFonts w:hint="eastAsia" w:ascii="黑体" w:eastAsia="黑体" w:cs="黑体"/>
          <w:b/>
          <w:bCs/>
          <w:color w:val="auto"/>
          <w:sz w:val="32"/>
          <w:szCs w:val="32"/>
          <w:highlight w:val="none"/>
        </w:rPr>
        <w:t>商务、</w:t>
      </w:r>
      <w:r>
        <w:rPr>
          <w:rFonts w:hint="eastAsia" w:ascii="黑体" w:eastAsia="黑体" w:cs="黑体"/>
          <w:b/>
          <w:bCs/>
          <w:color w:val="auto"/>
          <w:sz w:val="32"/>
          <w:szCs w:val="32"/>
          <w:highlight w:val="none"/>
          <w:lang w:val="zh-CN"/>
        </w:rPr>
        <w:t>技术文件</w:t>
      </w:r>
      <w:r>
        <w:rPr>
          <w:rFonts w:hint="eastAsia" w:ascii="黑体" w:eastAsia="黑体" w:cs="黑体"/>
          <w:b/>
          <w:bCs/>
          <w:color w:val="auto"/>
          <w:sz w:val="32"/>
          <w:szCs w:val="32"/>
          <w:highlight w:val="none"/>
        </w:rPr>
        <w:t>审查文件</w:t>
      </w:r>
      <w:bookmarkEnd w:id="146"/>
    </w:p>
    <w:p w14:paraId="52696853">
      <w:pPr>
        <w:rPr>
          <w:rFonts w:ascii="宋体"/>
          <w:b/>
          <w:bCs/>
          <w:color w:val="auto"/>
          <w:sz w:val="24"/>
          <w:szCs w:val="24"/>
          <w:highlight w:val="none"/>
          <w:lang w:val="zh-CN"/>
        </w:rPr>
      </w:pPr>
    </w:p>
    <w:p w14:paraId="5E4B2B06">
      <w:pPr>
        <w:rPr>
          <w:rFonts w:ascii="黑体" w:eastAsia="黑体"/>
          <w:b/>
          <w:bCs/>
          <w:color w:val="auto"/>
          <w:sz w:val="24"/>
          <w:szCs w:val="24"/>
          <w:highlight w:val="none"/>
          <w:lang w:val="zh-CN"/>
        </w:rPr>
      </w:pPr>
      <w:r>
        <w:rPr>
          <w:rFonts w:hint="eastAsia" w:ascii="黑体" w:eastAsia="黑体" w:cs="黑体"/>
          <w:b/>
          <w:bCs/>
          <w:color w:val="auto"/>
          <w:sz w:val="24"/>
          <w:szCs w:val="24"/>
          <w:highlight w:val="none"/>
          <w:lang w:val="zh-CN"/>
        </w:rPr>
        <w:t>投标人应提交的</w:t>
      </w:r>
      <w:r>
        <w:rPr>
          <w:rFonts w:hint="eastAsia" w:ascii="黑体" w:eastAsia="黑体" w:cs="黑体"/>
          <w:b/>
          <w:bCs/>
          <w:color w:val="auto"/>
          <w:sz w:val="24"/>
          <w:szCs w:val="24"/>
          <w:highlight w:val="none"/>
        </w:rPr>
        <w:t>审查</w:t>
      </w:r>
      <w:r>
        <w:rPr>
          <w:rFonts w:hint="eastAsia" w:ascii="黑体" w:eastAsia="黑体" w:cs="黑体"/>
          <w:b/>
          <w:bCs/>
          <w:color w:val="auto"/>
          <w:sz w:val="24"/>
          <w:szCs w:val="24"/>
          <w:highlight w:val="none"/>
          <w:lang w:val="zh-CN"/>
        </w:rPr>
        <w:t>文件清单：</w:t>
      </w:r>
    </w:p>
    <w:tbl>
      <w:tblPr>
        <w:tblStyle w:val="14"/>
        <w:tblW w:w="0" w:type="auto"/>
        <w:tblInd w:w="0" w:type="dxa"/>
        <w:tblLayout w:type="fixed"/>
        <w:tblCellMar>
          <w:top w:w="0" w:type="dxa"/>
          <w:left w:w="108" w:type="dxa"/>
          <w:bottom w:w="0" w:type="dxa"/>
          <w:right w:w="108" w:type="dxa"/>
        </w:tblCellMar>
      </w:tblPr>
      <w:tblGrid>
        <w:gridCol w:w="490"/>
        <w:gridCol w:w="6706"/>
        <w:gridCol w:w="1417"/>
        <w:gridCol w:w="993"/>
      </w:tblGrid>
      <w:tr w14:paraId="2FF0CFC8">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14:paraId="6600D932">
            <w:pPr>
              <w:rPr>
                <w:rFonts w:ascii="宋体"/>
                <w:b/>
                <w:bCs/>
                <w:color w:val="auto"/>
                <w:sz w:val="24"/>
                <w:szCs w:val="24"/>
                <w:highlight w:val="none"/>
                <w:lang w:val="zh-CN"/>
              </w:rPr>
            </w:pPr>
            <w:r>
              <w:rPr>
                <w:rFonts w:hint="eastAsia" w:ascii="宋体" w:cs="宋体"/>
                <w:b/>
                <w:bCs/>
                <w:color w:val="auto"/>
                <w:sz w:val="24"/>
                <w:szCs w:val="24"/>
                <w:highlight w:val="none"/>
                <w:lang w:val="zh-CN"/>
              </w:rPr>
              <w:t>序号</w:t>
            </w:r>
          </w:p>
        </w:tc>
        <w:tc>
          <w:tcPr>
            <w:tcW w:w="6706" w:type="dxa"/>
            <w:tcBorders>
              <w:top w:val="single" w:color="auto" w:sz="6" w:space="0"/>
              <w:left w:val="single" w:color="auto" w:sz="6" w:space="0"/>
              <w:bottom w:val="single" w:color="auto" w:sz="6" w:space="0"/>
              <w:right w:val="single" w:color="auto" w:sz="6" w:space="0"/>
            </w:tcBorders>
            <w:noWrap w:val="0"/>
            <w:vAlign w:val="center"/>
          </w:tcPr>
          <w:p w14:paraId="6F6E71AB">
            <w:pPr>
              <w:jc w:val="center"/>
              <w:rPr>
                <w:rFonts w:ascii="宋体"/>
                <w:b/>
                <w:bCs/>
                <w:color w:val="auto"/>
                <w:sz w:val="24"/>
                <w:szCs w:val="24"/>
                <w:highlight w:val="none"/>
                <w:lang w:val="zh-CN"/>
              </w:rPr>
            </w:pPr>
            <w:r>
              <w:rPr>
                <w:rFonts w:hint="eastAsia" w:ascii="宋体" w:cs="宋体"/>
                <w:b/>
                <w:bCs/>
                <w:color w:val="auto"/>
                <w:sz w:val="24"/>
                <w:szCs w:val="24"/>
                <w:highlight w:val="none"/>
                <w:lang w:val="zh-CN"/>
              </w:rPr>
              <w:t>技术文件名称及要求</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7EF00062">
            <w:pPr>
              <w:rPr>
                <w:rFonts w:hint="eastAsia" w:ascii="宋体" w:cs="宋体"/>
                <w:b/>
                <w:bCs/>
                <w:color w:val="auto"/>
                <w:sz w:val="24"/>
                <w:szCs w:val="24"/>
                <w:highlight w:val="none"/>
                <w:lang w:val="zh-CN"/>
              </w:rPr>
            </w:pPr>
            <w:r>
              <w:rPr>
                <w:rFonts w:hint="eastAsia" w:ascii="宋体" w:hAnsi="宋体" w:cs="宋体"/>
                <w:b/>
                <w:bCs/>
                <w:color w:val="auto"/>
                <w:sz w:val="24"/>
                <w:szCs w:val="24"/>
                <w:highlight w:val="none"/>
                <w:lang w:val="zh-CN"/>
              </w:rPr>
              <w:t>是否已按要求提交</w:t>
            </w:r>
          </w:p>
        </w:tc>
        <w:tc>
          <w:tcPr>
            <w:tcW w:w="993" w:type="dxa"/>
            <w:tcBorders>
              <w:top w:val="single" w:color="auto" w:sz="6" w:space="0"/>
              <w:left w:val="single" w:color="auto" w:sz="6" w:space="0"/>
              <w:bottom w:val="single" w:color="auto" w:sz="6" w:space="0"/>
              <w:right w:val="single" w:color="auto" w:sz="6" w:space="0"/>
            </w:tcBorders>
            <w:noWrap w:val="0"/>
            <w:vAlign w:val="top"/>
          </w:tcPr>
          <w:p w14:paraId="73BC529D">
            <w:pPr>
              <w:rPr>
                <w:rFonts w:ascii="宋体"/>
                <w:b/>
                <w:bCs/>
                <w:color w:val="auto"/>
                <w:sz w:val="24"/>
                <w:szCs w:val="24"/>
                <w:highlight w:val="none"/>
                <w:lang w:val="zh-CN"/>
              </w:rPr>
            </w:pPr>
            <w:r>
              <w:rPr>
                <w:rFonts w:hint="eastAsia" w:ascii="宋体" w:cs="宋体"/>
                <w:b/>
                <w:bCs/>
                <w:color w:val="auto"/>
                <w:sz w:val="24"/>
                <w:szCs w:val="24"/>
                <w:highlight w:val="none"/>
                <w:lang w:val="zh-CN"/>
              </w:rPr>
              <w:t>文件页码</w:t>
            </w:r>
          </w:p>
        </w:tc>
      </w:tr>
      <w:tr w14:paraId="046EA16F">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14:paraId="2BE06B1F">
            <w:pPr>
              <w:rPr>
                <w:rFonts w:hint="eastAsia" w:ascii="宋体" w:cs="宋体"/>
                <w:b/>
                <w:bCs/>
                <w:color w:val="auto"/>
                <w:sz w:val="24"/>
                <w:szCs w:val="24"/>
                <w:highlight w:val="none"/>
                <w:lang w:val="zh-CN"/>
              </w:rPr>
            </w:pPr>
            <w:r>
              <w:rPr>
                <w:rFonts w:hint="eastAsia" w:ascii="宋体" w:cs="宋体"/>
                <w:b/>
                <w:bCs/>
                <w:color w:val="auto"/>
                <w:sz w:val="24"/>
                <w:szCs w:val="24"/>
                <w:highlight w:val="none"/>
                <w:lang w:val="zh-CN"/>
              </w:rPr>
              <w:t>1</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2C01DA4C">
            <w:pPr>
              <w:rPr>
                <w:rFonts w:hint="eastAsia" w:ascii="宋体" w:cs="宋体"/>
                <w:b/>
                <w:bCs/>
                <w:color w:val="auto"/>
                <w:sz w:val="24"/>
                <w:szCs w:val="24"/>
                <w:highlight w:val="none"/>
                <w:lang w:val="zh-CN"/>
              </w:rPr>
            </w:pPr>
            <w:r>
              <w:rPr>
                <w:rFonts w:hint="eastAsia" w:ascii="宋体" w:cs="宋体"/>
                <w:b/>
                <w:bCs/>
                <w:color w:val="auto"/>
                <w:sz w:val="24"/>
                <w:szCs w:val="24"/>
                <w:highlight w:val="none"/>
                <w:lang w:val="zh-CN"/>
              </w:rPr>
              <w:t>投标函</w:t>
            </w:r>
            <w:r>
              <w:rPr>
                <w:rFonts w:hint="eastAsia" w:ascii="宋体" w:cs="宋体"/>
                <w:color w:val="auto"/>
                <w:sz w:val="24"/>
                <w:szCs w:val="24"/>
                <w:highlight w:val="none"/>
                <w:lang w:val="zh-CN"/>
              </w:rPr>
              <w:t>（按格式一提交）</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7152EE59">
            <w:pPr>
              <w:rPr>
                <w:rFonts w:hint="eastAsia" w:ascii="宋体" w:hAnsi="宋体" w:cs="宋体"/>
                <w:b/>
                <w:bCs/>
                <w:color w:val="auto"/>
                <w:sz w:val="24"/>
                <w:szCs w:val="24"/>
                <w:highlight w:val="none"/>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2A3FEA48">
            <w:pPr>
              <w:rPr>
                <w:rFonts w:hint="eastAsia" w:ascii="宋体" w:cs="宋体"/>
                <w:b/>
                <w:bCs/>
                <w:color w:val="auto"/>
                <w:sz w:val="24"/>
                <w:szCs w:val="24"/>
                <w:highlight w:val="none"/>
                <w:lang w:val="zh-CN"/>
              </w:rPr>
            </w:pPr>
          </w:p>
        </w:tc>
      </w:tr>
      <w:tr w14:paraId="7D3BE07C">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14:paraId="781ED6EC">
            <w:pPr>
              <w:rPr>
                <w:rFonts w:hint="eastAsia" w:ascii="宋体" w:cs="宋体"/>
                <w:b/>
                <w:bCs/>
                <w:color w:val="auto"/>
                <w:sz w:val="24"/>
                <w:szCs w:val="24"/>
                <w:highlight w:val="none"/>
                <w:lang w:val="zh-CN"/>
              </w:rPr>
            </w:pPr>
            <w:r>
              <w:rPr>
                <w:rFonts w:hint="eastAsia" w:ascii="宋体" w:hAnsi="宋体"/>
                <w:b/>
                <w:bCs/>
                <w:color w:val="auto"/>
                <w:sz w:val="24"/>
                <w:szCs w:val="24"/>
                <w:highlight w:val="none"/>
              </w:rPr>
              <w:t>2</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7BC62718">
            <w:pPr>
              <w:rPr>
                <w:rFonts w:hint="eastAsia" w:ascii="宋体" w:cs="宋体"/>
                <w:b/>
                <w:bCs/>
                <w:color w:val="auto"/>
                <w:sz w:val="24"/>
                <w:szCs w:val="24"/>
                <w:highlight w:val="none"/>
                <w:lang w:val="zh-CN"/>
              </w:rPr>
            </w:pPr>
            <w:r>
              <w:rPr>
                <w:rFonts w:hint="eastAsia" w:ascii="宋体" w:cs="宋体"/>
                <w:b/>
                <w:bCs/>
                <w:color w:val="auto"/>
                <w:sz w:val="24"/>
                <w:szCs w:val="24"/>
                <w:highlight w:val="none"/>
                <w:lang w:val="zh-CN"/>
              </w:rPr>
              <w:t>开标一览表</w:t>
            </w:r>
            <w:r>
              <w:rPr>
                <w:rFonts w:hint="eastAsia" w:ascii="宋体" w:cs="宋体"/>
                <w:color w:val="auto"/>
                <w:sz w:val="24"/>
                <w:szCs w:val="24"/>
                <w:highlight w:val="none"/>
                <w:lang w:val="zh-CN"/>
              </w:rPr>
              <w:t>（按格式二提交）</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328F19B7">
            <w:pPr>
              <w:rPr>
                <w:rFonts w:hint="eastAsia" w:ascii="宋体" w:hAnsi="宋体" w:cs="宋体"/>
                <w:b/>
                <w:bCs/>
                <w:color w:val="auto"/>
                <w:sz w:val="24"/>
                <w:szCs w:val="24"/>
                <w:highlight w:val="none"/>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0A457B29">
            <w:pPr>
              <w:rPr>
                <w:rFonts w:hint="eastAsia" w:ascii="宋体" w:cs="宋体"/>
                <w:b/>
                <w:bCs/>
                <w:color w:val="auto"/>
                <w:sz w:val="24"/>
                <w:szCs w:val="24"/>
                <w:highlight w:val="none"/>
                <w:lang w:val="zh-CN"/>
              </w:rPr>
            </w:pPr>
          </w:p>
        </w:tc>
      </w:tr>
      <w:tr w14:paraId="0AFC0837">
        <w:tblPrEx>
          <w:tblCellMar>
            <w:top w:w="0" w:type="dxa"/>
            <w:left w:w="108" w:type="dxa"/>
            <w:bottom w:w="0" w:type="dxa"/>
            <w:right w:w="108" w:type="dxa"/>
          </w:tblCellMar>
        </w:tblPrEx>
        <w:trPr>
          <w:trHeight w:val="426" w:hRule="atLeast"/>
        </w:trPr>
        <w:tc>
          <w:tcPr>
            <w:tcW w:w="490" w:type="dxa"/>
            <w:tcBorders>
              <w:top w:val="single" w:color="auto" w:sz="6" w:space="0"/>
              <w:left w:val="single" w:color="auto" w:sz="6" w:space="0"/>
              <w:bottom w:val="single" w:color="auto" w:sz="6" w:space="0"/>
              <w:right w:val="single" w:color="auto" w:sz="6" w:space="0"/>
            </w:tcBorders>
            <w:noWrap w:val="0"/>
            <w:vAlign w:val="top"/>
          </w:tcPr>
          <w:p w14:paraId="448DA756">
            <w:pPr>
              <w:rPr>
                <w:rFonts w:hint="eastAsia" w:ascii="宋体" w:hAnsi="宋体"/>
                <w:b/>
                <w:bCs/>
                <w:color w:val="auto"/>
                <w:sz w:val="24"/>
                <w:szCs w:val="24"/>
                <w:highlight w:val="none"/>
              </w:rPr>
            </w:pPr>
            <w:r>
              <w:rPr>
                <w:rFonts w:hint="eastAsia" w:ascii="宋体" w:hAnsi="宋体"/>
                <w:b/>
                <w:bCs/>
                <w:color w:val="auto"/>
                <w:sz w:val="24"/>
                <w:szCs w:val="24"/>
                <w:highlight w:val="none"/>
              </w:rPr>
              <w:t>3</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04F3CD2C">
            <w:pPr>
              <w:rPr>
                <w:b/>
                <w:bCs/>
                <w:color w:val="auto"/>
                <w:sz w:val="24"/>
                <w:szCs w:val="24"/>
                <w:highlight w:val="none"/>
              </w:rPr>
            </w:pPr>
            <w:r>
              <w:rPr>
                <w:rFonts w:hint="eastAsia" w:ascii="宋体" w:hAnsi="宋体" w:cs="宋体"/>
                <w:b/>
                <w:bCs/>
                <w:color w:val="auto"/>
                <w:sz w:val="24"/>
                <w:szCs w:val="24"/>
                <w:highlight w:val="none"/>
                <w:lang w:val="zh-CN"/>
              </w:rPr>
              <w:t>投标报价明细表</w:t>
            </w:r>
            <w:r>
              <w:rPr>
                <w:rFonts w:hint="eastAsia" w:ascii="宋体" w:cs="宋体"/>
                <w:color w:val="auto"/>
                <w:sz w:val="24"/>
                <w:szCs w:val="24"/>
                <w:highlight w:val="none"/>
                <w:lang w:val="zh-CN"/>
              </w:rPr>
              <w:t>（</w:t>
            </w:r>
            <w:r>
              <w:rPr>
                <w:rFonts w:hint="eastAsia" w:ascii="宋体" w:hAnsi="宋体" w:eastAsia="宋体" w:cs="宋体"/>
                <w:b/>
                <w:bCs/>
                <w:color w:val="auto"/>
                <w:sz w:val="24"/>
                <w:szCs w:val="24"/>
                <w:highlight w:val="none"/>
                <w:lang w:val="zh-CN"/>
              </w:rPr>
              <w:t>按</w:t>
            </w:r>
            <w:r>
              <w:rPr>
                <w:rFonts w:hint="eastAsia" w:ascii="宋体" w:cs="宋体"/>
                <w:color w:val="auto"/>
                <w:sz w:val="24"/>
                <w:szCs w:val="24"/>
                <w:highlight w:val="none"/>
                <w:lang w:val="zh-CN"/>
              </w:rPr>
              <w:t>格式三提交）</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0327B632">
            <w:pPr>
              <w:rPr>
                <w:b/>
                <w:bCs/>
                <w:color w:val="auto"/>
                <w:sz w:val="24"/>
                <w:szCs w:val="24"/>
                <w:highlight w:val="none"/>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7C0FC33A">
            <w:pPr>
              <w:rPr>
                <w:b/>
                <w:bCs/>
                <w:color w:val="auto"/>
                <w:sz w:val="24"/>
                <w:szCs w:val="24"/>
                <w:highlight w:val="none"/>
              </w:rPr>
            </w:pPr>
          </w:p>
        </w:tc>
      </w:tr>
      <w:tr w14:paraId="17ACE473">
        <w:tblPrEx>
          <w:tblCellMar>
            <w:top w:w="0" w:type="dxa"/>
            <w:left w:w="108" w:type="dxa"/>
            <w:bottom w:w="0" w:type="dxa"/>
            <w:right w:w="108" w:type="dxa"/>
          </w:tblCellMar>
        </w:tblPrEx>
        <w:trPr>
          <w:trHeight w:val="254" w:hRule="atLeast"/>
        </w:trPr>
        <w:tc>
          <w:tcPr>
            <w:tcW w:w="490" w:type="dxa"/>
            <w:tcBorders>
              <w:top w:val="single" w:color="auto" w:sz="6" w:space="0"/>
              <w:left w:val="single" w:color="auto" w:sz="6" w:space="0"/>
              <w:bottom w:val="single" w:color="auto" w:sz="6" w:space="0"/>
              <w:right w:val="single" w:color="auto" w:sz="6" w:space="0"/>
            </w:tcBorders>
            <w:noWrap w:val="0"/>
            <w:vAlign w:val="top"/>
          </w:tcPr>
          <w:p w14:paraId="1778A17D">
            <w:pPr>
              <w:rPr>
                <w:rFonts w:hint="eastAsia" w:ascii="宋体" w:hAnsi="宋体"/>
                <w:b/>
                <w:bCs/>
                <w:color w:val="auto"/>
                <w:sz w:val="24"/>
                <w:szCs w:val="24"/>
                <w:highlight w:val="none"/>
              </w:rPr>
            </w:pPr>
            <w:r>
              <w:rPr>
                <w:rFonts w:hint="eastAsia" w:ascii="宋体" w:hAnsi="宋体"/>
                <w:b/>
                <w:bCs/>
                <w:color w:val="auto"/>
                <w:sz w:val="24"/>
                <w:szCs w:val="24"/>
                <w:highlight w:val="none"/>
              </w:rPr>
              <w:t>4</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53A43C61">
            <w:pPr>
              <w:rPr>
                <w:rFonts w:hint="eastAsia" w:ascii="宋体" w:cs="宋体"/>
                <w:b/>
                <w:bCs/>
                <w:color w:val="auto"/>
                <w:sz w:val="24"/>
                <w:szCs w:val="24"/>
                <w:highlight w:val="none"/>
                <w:lang w:val="zh-CN"/>
              </w:rPr>
            </w:pPr>
            <w:r>
              <w:rPr>
                <w:rFonts w:hint="eastAsia" w:ascii="宋体" w:hAnsi="宋体"/>
                <w:b/>
                <w:color w:val="auto"/>
                <w:sz w:val="24"/>
                <w:highlight w:val="none"/>
              </w:rPr>
              <w:t>项目管理主要成员信息表</w:t>
            </w:r>
            <w:r>
              <w:rPr>
                <w:rFonts w:hint="eastAsia" w:ascii="宋体" w:cs="宋体"/>
                <w:color w:val="auto"/>
                <w:sz w:val="24"/>
                <w:szCs w:val="24"/>
                <w:highlight w:val="none"/>
                <w:lang w:val="zh-CN"/>
              </w:rPr>
              <w:t>（按格式四提交）</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24B245DF">
            <w:pPr>
              <w:rPr>
                <w:b/>
                <w:bCs/>
                <w:color w:val="auto"/>
                <w:sz w:val="24"/>
                <w:szCs w:val="24"/>
                <w:highlight w:val="none"/>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2293EAB5">
            <w:pPr>
              <w:rPr>
                <w:b/>
                <w:bCs/>
                <w:color w:val="auto"/>
                <w:sz w:val="24"/>
                <w:szCs w:val="24"/>
                <w:highlight w:val="none"/>
              </w:rPr>
            </w:pPr>
          </w:p>
        </w:tc>
      </w:tr>
      <w:tr w14:paraId="48A08003">
        <w:tblPrEx>
          <w:tblCellMar>
            <w:top w:w="0" w:type="dxa"/>
            <w:left w:w="108" w:type="dxa"/>
            <w:bottom w:w="0" w:type="dxa"/>
            <w:right w:w="108" w:type="dxa"/>
          </w:tblCellMar>
        </w:tblPrEx>
        <w:trPr>
          <w:trHeight w:val="417" w:hRule="atLeast"/>
        </w:trPr>
        <w:tc>
          <w:tcPr>
            <w:tcW w:w="490" w:type="dxa"/>
            <w:tcBorders>
              <w:top w:val="single" w:color="auto" w:sz="6" w:space="0"/>
              <w:left w:val="single" w:color="auto" w:sz="6" w:space="0"/>
              <w:bottom w:val="single" w:color="auto" w:sz="6" w:space="0"/>
              <w:right w:val="single" w:color="auto" w:sz="6" w:space="0"/>
            </w:tcBorders>
            <w:noWrap w:val="0"/>
            <w:vAlign w:val="top"/>
          </w:tcPr>
          <w:p w14:paraId="6BFF0CED">
            <w:pPr>
              <w:rPr>
                <w:rFonts w:hint="eastAsia" w:ascii="宋体" w:hAnsi="宋体"/>
                <w:b/>
                <w:bCs/>
                <w:color w:val="auto"/>
                <w:sz w:val="24"/>
                <w:szCs w:val="24"/>
                <w:highlight w:val="none"/>
              </w:rPr>
            </w:pPr>
            <w:r>
              <w:rPr>
                <w:rFonts w:hint="eastAsia" w:ascii="宋体" w:hAnsi="宋体"/>
                <w:b/>
                <w:bCs/>
                <w:color w:val="auto"/>
                <w:sz w:val="24"/>
                <w:szCs w:val="24"/>
                <w:highlight w:val="none"/>
              </w:rPr>
              <w:t>5</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213CC0A3">
            <w:pPr>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投标产品列入《节能产品政府采购品目清单》（属于国家强制采购节能产品）的证明文件（即该产品由国家确定的认证机构出具的、处于有效期内的节能产品认证证书，复印件加盖投标人公章）。</w:t>
            </w:r>
          </w:p>
          <w:p w14:paraId="76D30166">
            <w:pPr>
              <w:rPr>
                <w:rFonts w:hint="eastAsia" w:ascii="宋体" w:cs="宋体"/>
                <w:b/>
                <w:bCs/>
                <w:color w:val="auto"/>
                <w:sz w:val="24"/>
                <w:szCs w:val="24"/>
                <w:highlight w:val="none"/>
                <w:lang w:val="zh-CN"/>
              </w:rPr>
            </w:pPr>
            <w:r>
              <w:rPr>
                <w:rFonts w:hint="eastAsia" w:ascii="宋体" w:hAnsi="宋体" w:cs="宋体"/>
                <w:b/>
                <w:bCs/>
                <w:color w:val="auto"/>
                <w:sz w:val="24"/>
                <w:szCs w:val="24"/>
                <w:highlight w:val="none"/>
                <w:lang w:val="zh-CN"/>
              </w:rPr>
              <w:t>备注：</w:t>
            </w:r>
            <w:r>
              <w:rPr>
                <w:rFonts w:hint="eastAsia" w:ascii="宋体" w:hAnsi="宋体" w:cs="宋体"/>
                <w:b/>
                <w:bCs w:val="0"/>
                <w:color w:val="auto"/>
                <w:sz w:val="24"/>
                <w:szCs w:val="24"/>
                <w:highlight w:val="none"/>
                <w:lang w:val="zh-CN"/>
              </w:rPr>
              <w:t>《货物需求及技术规格要求》中凡明示包含强制采购节能产品的，</w:t>
            </w:r>
            <w:r>
              <w:rPr>
                <w:rFonts w:hint="eastAsia" w:ascii="宋体" w:hAnsi="宋体" w:cs="宋体"/>
                <w:b/>
                <w:bCs/>
                <w:color w:val="auto"/>
                <w:sz w:val="24"/>
                <w:szCs w:val="24"/>
                <w:highlight w:val="none"/>
                <w:lang w:val="en-US" w:eastAsia="zh-CN"/>
              </w:rPr>
              <w:t>投标</w:t>
            </w:r>
            <w:r>
              <w:rPr>
                <w:rFonts w:hint="eastAsia" w:ascii="宋体" w:hAnsi="宋体" w:cs="宋体"/>
                <w:b/>
                <w:bCs/>
                <w:color w:val="auto"/>
                <w:sz w:val="24"/>
                <w:szCs w:val="24"/>
                <w:highlight w:val="none"/>
                <w:lang w:val="zh-CN"/>
              </w:rPr>
              <w:t>人须对所</w:t>
            </w:r>
            <w:r>
              <w:rPr>
                <w:rFonts w:hint="eastAsia" w:ascii="宋体" w:hAnsi="宋体" w:cs="宋体"/>
                <w:b/>
                <w:bCs/>
                <w:color w:val="auto"/>
                <w:sz w:val="24"/>
                <w:szCs w:val="24"/>
                <w:highlight w:val="none"/>
                <w:lang w:val="en-US" w:eastAsia="zh-CN"/>
              </w:rPr>
              <w:t>投标产品</w:t>
            </w:r>
            <w:r>
              <w:rPr>
                <w:rFonts w:hint="eastAsia" w:ascii="宋体" w:hAnsi="宋体" w:cs="宋体"/>
                <w:b/>
                <w:bCs/>
                <w:color w:val="auto"/>
                <w:sz w:val="24"/>
                <w:szCs w:val="24"/>
                <w:highlight w:val="none"/>
                <w:lang w:val="zh-CN"/>
              </w:rPr>
              <w:t>响应此要求。</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588C6467">
            <w:pPr>
              <w:rPr>
                <w:rFonts w:hint="eastAsia" w:ascii="宋体" w:hAnsi="宋体"/>
                <w:b/>
                <w:bCs/>
                <w:color w:val="auto"/>
                <w:sz w:val="24"/>
                <w:szCs w:val="24"/>
                <w:highlight w:val="none"/>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5FD4B5AF">
            <w:pPr>
              <w:rPr>
                <w:rFonts w:hint="eastAsia" w:ascii="宋体" w:cs="宋体"/>
                <w:b/>
                <w:bCs/>
                <w:color w:val="auto"/>
                <w:sz w:val="24"/>
                <w:szCs w:val="24"/>
                <w:highlight w:val="none"/>
                <w:lang w:val="zh-CN"/>
              </w:rPr>
            </w:pPr>
          </w:p>
        </w:tc>
      </w:tr>
      <w:tr w14:paraId="559DAB22">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14:paraId="41606119">
            <w:pPr>
              <w:rPr>
                <w:rFonts w:hint="eastAsia" w:ascii="宋体" w:hAnsi="宋体"/>
                <w:b/>
                <w:bCs/>
                <w:color w:val="auto"/>
                <w:kern w:val="2"/>
                <w:sz w:val="24"/>
                <w:szCs w:val="24"/>
                <w:highlight w:val="none"/>
              </w:rPr>
            </w:pPr>
            <w:r>
              <w:rPr>
                <w:rFonts w:hint="eastAsia" w:ascii="宋体" w:hAnsi="宋体"/>
                <w:b/>
                <w:bCs/>
                <w:color w:val="auto"/>
                <w:sz w:val="24"/>
                <w:szCs w:val="24"/>
                <w:highlight w:val="none"/>
              </w:rPr>
              <w:t>6</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0D97BE00">
            <w:pPr>
              <w:rPr>
                <w:rFonts w:hint="eastAsia" w:ascii="宋体" w:cs="宋体"/>
                <w:b/>
                <w:bCs/>
                <w:color w:val="auto"/>
                <w:kern w:val="2"/>
                <w:sz w:val="24"/>
                <w:szCs w:val="24"/>
                <w:highlight w:val="none"/>
                <w:lang w:val="zh-CN"/>
              </w:rPr>
            </w:pPr>
            <w:r>
              <w:rPr>
                <w:rFonts w:hint="eastAsia" w:ascii="宋体" w:hAnsi="宋体" w:cs="宋体"/>
                <w:b/>
                <w:bCs/>
                <w:color w:val="auto"/>
                <w:sz w:val="24"/>
                <w:szCs w:val="24"/>
                <w:highlight w:val="none"/>
                <w:lang w:val="zh-CN"/>
              </w:rPr>
              <w:t>售后服务承诺书</w:t>
            </w:r>
            <w:r>
              <w:rPr>
                <w:rFonts w:hint="eastAsia" w:ascii="宋体" w:hAnsi="宋体" w:cs="宋体"/>
                <w:color w:val="auto"/>
                <w:sz w:val="24"/>
                <w:szCs w:val="24"/>
                <w:highlight w:val="none"/>
                <w:lang w:val="zh-CN"/>
              </w:rPr>
              <w:t>（按格式五提交）</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151C9468">
            <w:pPr>
              <w:rPr>
                <w:rFonts w:ascii="宋体"/>
                <w:b/>
                <w:bCs/>
                <w:color w:val="auto"/>
                <w:sz w:val="24"/>
                <w:szCs w:val="24"/>
                <w:highlight w:val="none"/>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644030F0">
            <w:pPr>
              <w:rPr>
                <w:rFonts w:ascii="宋体"/>
                <w:b/>
                <w:bCs/>
                <w:color w:val="auto"/>
                <w:sz w:val="24"/>
                <w:szCs w:val="24"/>
                <w:highlight w:val="none"/>
                <w:lang w:val="zh-CN"/>
              </w:rPr>
            </w:pPr>
          </w:p>
        </w:tc>
      </w:tr>
      <w:tr w14:paraId="155EC74B">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14:paraId="578D6393">
            <w:pPr>
              <w:rPr>
                <w:rFonts w:hint="eastAsia" w:ascii="宋体" w:hAnsi="宋体"/>
                <w:b/>
                <w:bCs/>
                <w:color w:val="auto"/>
                <w:kern w:val="2"/>
                <w:sz w:val="24"/>
                <w:szCs w:val="24"/>
                <w:highlight w:val="none"/>
              </w:rPr>
            </w:pPr>
            <w:r>
              <w:rPr>
                <w:rFonts w:hint="eastAsia" w:ascii="宋体" w:hAnsi="宋体"/>
                <w:b/>
                <w:bCs/>
                <w:color w:val="auto"/>
                <w:sz w:val="24"/>
                <w:szCs w:val="24"/>
                <w:highlight w:val="none"/>
              </w:rPr>
              <w:t>7</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2F792D9E">
            <w:pPr>
              <w:rPr>
                <w:rFonts w:hint="eastAsia" w:ascii="宋体" w:cs="宋体"/>
                <w:b/>
                <w:bCs/>
                <w:color w:val="auto"/>
                <w:kern w:val="2"/>
                <w:sz w:val="24"/>
                <w:szCs w:val="24"/>
                <w:highlight w:val="none"/>
                <w:lang w:val="zh-CN"/>
              </w:rPr>
            </w:pPr>
            <w:r>
              <w:rPr>
                <w:rFonts w:ascii="宋体" w:hAnsi="宋体"/>
                <w:b/>
                <w:color w:val="auto"/>
                <w:sz w:val="24"/>
                <w:szCs w:val="24"/>
                <w:highlight w:val="none"/>
              </w:rPr>
              <w:t>中小企业声明函</w:t>
            </w:r>
            <w:r>
              <w:rPr>
                <w:rFonts w:hint="eastAsia" w:ascii="宋体" w:hAnsi="宋体"/>
                <w:color w:val="auto"/>
                <w:sz w:val="24"/>
                <w:szCs w:val="24"/>
                <w:highlight w:val="none"/>
              </w:rPr>
              <w:t>（按格式六提交，</w:t>
            </w:r>
            <w:r>
              <w:rPr>
                <w:rFonts w:hint="eastAsia" w:ascii="宋体" w:hAnsi="宋体"/>
                <w:b/>
                <w:color w:val="auto"/>
                <w:sz w:val="24"/>
                <w:szCs w:val="24"/>
                <w:highlight w:val="none"/>
              </w:rPr>
              <w:t>投标货物生产制造厂商</w:t>
            </w:r>
            <w:r>
              <w:rPr>
                <w:rFonts w:hint="eastAsia" w:ascii="宋体" w:hAnsi="宋体"/>
                <w:color w:val="auto"/>
                <w:sz w:val="24"/>
                <w:szCs w:val="24"/>
                <w:highlight w:val="none"/>
              </w:rPr>
              <w:t>）.此声明函仅作为政策性优惠的依据，不作为废标的依据。</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57E38074">
            <w:pPr>
              <w:rPr>
                <w:rFonts w:ascii="宋体"/>
                <w:b/>
                <w:bCs/>
                <w:color w:val="auto"/>
                <w:sz w:val="24"/>
                <w:szCs w:val="24"/>
                <w:highlight w:val="none"/>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02BA884B">
            <w:pPr>
              <w:rPr>
                <w:rFonts w:ascii="宋体"/>
                <w:b/>
                <w:bCs/>
                <w:color w:val="auto"/>
                <w:sz w:val="24"/>
                <w:szCs w:val="24"/>
                <w:highlight w:val="none"/>
                <w:lang w:val="zh-CN"/>
              </w:rPr>
            </w:pPr>
          </w:p>
        </w:tc>
      </w:tr>
      <w:tr w14:paraId="57AC69BE">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14:paraId="570E134A">
            <w:pPr>
              <w:rPr>
                <w:rFonts w:hint="eastAsia" w:ascii="宋体" w:hAnsi="宋体"/>
                <w:b/>
                <w:bCs/>
                <w:color w:val="auto"/>
                <w:kern w:val="2"/>
                <w:sz w:val="24"/>
                <w:szCs w:val="24"/>
                <w:highlight w:val="none"/>
              </w:rPr>
            </w:pPr>
            <w:r>
              <w:rPr>
                <w:rFonts w:hint="eastAsia" w:ascii="宋体" w:hAnsi="宋体"/>
                <w:b/>
                <w:bCs/>
                <w:color w:val="auto"/>
                <w:sz w:val="24"/>
                <w:szCs w:val="24"/>
                <w:highlight w:val="none"/>
              </w:rPr>
              <w:t>8</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7B10912F">
            <w:pPr>
              <w:rPr>
                <w:rFonts w:hint="eastAsia" w:ascii="宋体" w:cs="宋体"/>
                <w:b/>
                <w:bCs/>
                <w:color w:val="auto"/>
                <w:kern w:val="2"/>
                <w:sz w:val="24"/>
                <w:szCs w:val="24"/>
                <w:highlight w:val="none"/>
                <w:lang w:val="zh-CN"/>
              </w:rPr>
            </w:pPr>
            <w:r>
              <w:rPr>
                <w:rFonts w:hint="eastAsia" w:ascii="宋体" w:cs="宋体"/>
                <w:b/>
                <w:bCs/>
                <w:color w:val="auto"/>
                <w:sz w:val="24"/>
                <w:szCs w:val="24"/>
                <w:highlight w:val="none"/>
                <w:lang w:val="zh-CN"/>
              </w:rPr>
              <w:t>采购文件要求提交的其他文件材料</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7A30158A">
            <w:pPr>
              <w:rPr>
                <w:rFonts w:ascii="宋体"/>
                <w:b/>
                <w:bCs/>
                <w:color w:val="auto"/>
                <w:sz w:val="24"/>
                <w:szCs w:val="24"/>
                <w:highlight w:val="none"/>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70F83435">
            <w:pPr>
              <w:rPr>
                <w:rFonts w:ascii="宋体"/>
                <w:b/>
                <w:bCs/>
                <w:color w:val="auto"/>
                <w:sz w:val="24"/>
                <w:szCs w:val="24"/>
                <w:highlight w:val="none"/>
                <w:lang w:val="zh-CN"/>
              </w:rPr>
            </w:pPr>
          </w:p>
        </w:tc>
      </w:tr>
      <w:tr w14:paraId="6673E3A1">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14:paraId="0F5CFB70">
            <w:pPr>
              <w:rPr>
                <w:rFonts w:ascii="宋体" w:hAnsi="宋体"/>
                <w:b/>
                <w:bCs/>
                <w:color w:val="auto"/>
                <w:kern w:val="2"/>
                <w:sz w:val="24"/>
                <w:szCs w:val="24"/>
                <w:highlight w:val="none"/>
              </w:rPr>
            </w:pPr>
            <w:r>
              <w:rPr>
                <w:rFonts w:hint="eastAsia" w:ascii="宋体" w:hAnsi="宋体"/>
                <w:b/>
                <w:bCs/>
                <w:color w:val="auto"/>
                <w:sz w:val="24"/>
                <w:szCs w:val="24"/>
                <w:highlight w:val="none"/>
              </w:rPr>
              <w:t>9</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74AAFB0C">
            <w:pPr>
              <w:rPr>
                <w:rFonts w:hint="eastAsia" w:ascii="宋体" w:cs="宋体"/>
                <w:b/>
                <w:bCs/>
                <w:color w:val="auto"/>
                <w:kern w:val="2"/>
                <w:sz w:val="24"/>
                <w:szCs w:val="24"/>
                <w:highlight w:val="none"/>
                <w:lang w:val="zh-CN"/>
              </w:rPr>
            </w:pPr>
            <w:r>
              <w:rPr>
                <w:rFonts w:hint="eastAsia" w:ascii="宋体" w:cs="宋体"/>
                <w:b/>
                <w:bCs/>
                <w:color w:val="auto"/>
                <w:sz w:val="24"/>
                <w:szCs w:val="24"/>
                <w:highlight w:val="none"/>
                <w:lang w:val="zh-CN"/>
              </w:rPr>
              <w:t>投标人认为需要提供的与评标直接相关的其他文件材料，但应注意不要提供与评标无直接关联的文件材料</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32F24689">
            <w:pPr>
              <w:rPr>
                <w:rFonts w:ascii="宋体"/>
                <w:b/>
                <w:bCs/>
                <w:color w:val="auto"/>
                <w:sz w:val="24"/>
                <w:szCs w:val="24"/>
                <w:highlight w:val="none"/>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025E503D">
            <w:pPr>
              <w:rPr>
                <w:rFonts w:ascii="宋体"/>
                <w:b/>
                <w:bCs/>
                <w:color w:val="auto"/>
                <w:sz w:val="24"/>
                <w:szCs w:val="24"/>
                <w:highlight w:val="none"/>
                <w:lang w:val="zh-CN"/>
              </w:rPr>
            </w:pPr>
          </w:p>
        </w:tc>
      </w:tr>
    </w:tbl>
    <w:p w14:paraId="56DAB56D">
      <w:pPr>
        <w:rPr>
          <w:rFonts w:ascii="黑体" w:eastAsia="黑体"/>
          <w:b/>
          <w:bCs/>
          <w:color w:val="auto"/>
          <w:sz w:val="24"/>
          <w:szCs w:val="24"/>
          <w:highlight w:val="none"/>
          <w:lang w:val="zh-CN"/>
        </w:rPr>
      </w:pPr>
      <w:r>
        <w:rPr>
          <w:rFonts w:hint="eastAsia" w:ascii="黑体" w:eastAsia="黑体" w:cs="黑体"/>
          <w:b/>
          <w:bCs/>
          <w:color w:val="auto"/>
          <w:sz w:val="24"/>
          <w:szCs w:val="24"/>
          <w:highlight w:val="none"/>
          <w:lang w:val="zh-CN"/>
        </w:rPr>
        <w:t>要求：</w:t>
      </w:r>
    </w:p>
    <w:p w14:paraId="43C0CBB8">
      <w:pPr>
        <w:ind w:firstLine="482"/>
        <w:rPr>
          <w:b/>
          <w:bCs/>
          <w:color w:val="auto"/>
          <w:sz w:val="24"/>
          <w:szCs w:val="24"/>
          <w:highlight w:val="none"/>
        </w:rPr>
      </w:pPr>
      <w:r>
        <w:rPr>
          <w:rFonts w:ascii="黑体" w:eastAsia="黑体" w:cs="黑体"/>
          <w:b/>
          <w:bCs/>
          <w:color w:val="auto"/>
          <w:sz w:val="24"/>
          <w:szCs w:val="24"/>
          <w:highlight w:val="none"/>
          <w:lang w:val="zh-CN"/>
        </w:rPr>
        <w:t>1</w:t>
      </w:r>
      <w:r>
        <w:rPr>
          <w:rFonts w:hint="eastAsia" w:ascii="黑体" w:eastAsia="黑体" w:cs="黑体"/>
          <w:b/>
          <w:bCs/>
          <w:color w:val="auto"/>
          <w:sz w:val="24"/>
          <w:szCs w:val="24"/>
          <w:highlight w:val="none"/>
          <w:lang w:val="zh-CN"/>
        </w:rPr>
        <w:t>.投标人必须按照</w:t>
      </w:r>
      <w:r>
        <w:rPr>
          <w:rFonts w:hint="eastAsia" w:ascii="黑体" w:eastAsia="黑体" w:cs="黑体"/>
          <w:b/>
          <w:bCs/>
          <w:color w:val="auto"/>
          <w:sz w:val="24"/>
          <w:szCs w:val="24"/>
          <w:highlight w:val="none"/>
        </w:rPr>
        <w:t>审查</w:t>
      </w:r>
      <w:r>
        <w:rPr>
          <w:rFonts w:hint="eastAsia" w:ascii="黑体" w:eastAsia="黑体" w:cs="黑体"/>
          <w:b/>
          <w:bCs/>
          <w:color w:val="auto"/>
          <w:sz w:val="24"/>
          <w:szCs w:val="24"/>
          <w:highlight w:val="none"/>
          <w:lang w:val="zh-CN"/>
        </w:rPr>
        <w:t>文件清单以及规定的格式和要求提交，清单中虽未列出但采购文件要求提交的</w:t>
      </w:r>
      <w:r>
        <w:rPr>
          <w:rFonts w:hint="eastAsia" w:ascii="黑体" w:eastAsia="黑体" w:cs="黑体"/>
          <w:b/>
          <w:bCs/>
          <w:color w:val="auto"/>
          <w:sz w:val="24"/>
          <w:szCs w:val="24"/>
          <w:highlight w:val="none"/>
        </w:rPr>
        <w:t>审查</w:t>
      </w:r>
      <w:r>
        <w:rPr>
          <w:rFonts w:hint="eastAsia" w:ascii="黑体" w:eastAsia="黑体" w:cs="黑体"/>
          <w:b/>
          <w:bCs/>
          <w:color w:val="auto"/>
          <w:sz w:val="24"/>
          <w:szCs w:val="24"/>
          <w:highlight w:val="none"/>
          <w:lang w:val="zh-CN"/>
        </w:rPr>
        <w:t>文件，投标人也应按采购文件的要求提交</w:t>
      </w:r>
      <w:r>
        <w:rPr>
          <w:rFonts w:hint="eastAsia" w:ascii="宋体" w:cs="宋体"/>
          <w:b/>
          <w:bCs/>
          <w:color w:val="auto"/>
          <w:sz w:val="24"/>
          <w:szCs w:val="24"/>
          <w:highlight w:val="none"/>
          <w:lang w:val="zh-CN"/>
        </w:rPr>
        <w:t>。</w:t>
      </w:r>
    </w:p>
    <w:p w14:paraId="7EBBF110">
      <w:pPr>
        <w:ind w:firstLine="482"/>
        <w:rPr>
          <w:rFonts w:ascii="黑体" w:eastAsia="黑体"/>
          <w:b/>
          <w:bCs/>
          <w:color w:val="auto"/>
          <w:sz w:val="24"/>
          <w:szCs w:val="24"/>
          <w:highlight w:val="none"/>
          <w:lang w:val="zh-CN"/>
        </w:rPr>
      </w:pPr>
      <w:r>
        <w:rPr>
          <w:rFonts w:ascii="黑体" w:eastAsia="黑体" w:cs="黑体"/>
          <w:b/>
          <w:bCs/>
          <w:color w:val="auto"/>
          <w:sz w:val="24"/>
          <w:szCs w:val="24"/>
          <w:highlight w:val="none"/>
          <w:lang w:val="zh-CN"/>
        </w:rPr>
        <w:t>2</w:t>
      </w:r>
      <w:r>
        <w:rPr>
          <w:rFonts w:hint="eastAsia" w:ascii="黑体" w:eastAsia="黑体" w:cs="黑体"/>
          <w:b/>
          <w:bCs/>
          <w:color w:val="auto"/>
          <w:sz w:val="24"/>
          <w:szCs w:val="24"/>
          <w:highlight w:val="none"/>
          <w:lang w:val="zh-CN"/>
        </w:rPr>
        <w:t>.投标人在投标前应自行检查要求提交的</w:t>
      </w:r>
      <w:r>
        <w:rPr>
          <w:rFonts w:hint="eastAsia" w:ascii="黑体" w:eastAsia="黑体" w:cs="黑体"/>
          <w:b/>
          <w:bCs/>
          <w:color w:val="auto"/>
          <w:sz w:val="24"/>
          <w:szCs w:val="24"/>
          <w:highlight w:val="none"/>
        </w:rPr>
        <w:t>审查</w:t>
      </w:r>
      <w:r>
        <w:rPr>
          <w:rFonts w:hint="eastAsia" w:ascii="黑体" w:eastAsia="黑体" w:cs="黑体"/>
          <w:b/>
          <w:bCs/>
          <w:color w:val="auto"/>
          <w:sz w:val="24"/>
          <w:szCs w:val="24"/>
          <w:highlight w:val="none"/>
          <w:lang w:val="zh-CN"/>
        </w:rPr>
        <w:t>文件是否已完整提交和签章，若有缺失或无效，将导致其投标被拒绝。</w:t>
      </w:r>
    </w:p>
    <w:p w14:paraId="307EBFF6">
      <w:pPr>
        <w:ind w:firstLine="482"/>
        <w:rPr>
          <w:rFonts w:hint="eastAsia" w:ascii="黑体" w:eastAsia="黑体" w:cs="黑体"/>
          <w:b/>
          <w:bCs/>
          <w:color w:val="auto"/>
          <w:sz w:val="24"/>
          <w:szCs w:val="24"/>
          <w:highlight w:val="none"/>
          <w:lang w:val="zh-CN"/>
        </w:rPr>
      </w:pPr>
      <w:r>
        <w:rPr>
          <w:rFonts w:ascii="黑体" w:eastAsia="黑体" w:cs="黑体"/>
          <w:b/>
          <w:bCs/>
          <w:color w:val="auto"/>
          <w:sz w:val="24"/>
          <w:szCs w:val="24"/>
          <w:highlight w:val="none"/>
          <w:lang w:val="zh-CN"/>
        </w:rPr>
        <w:t>3</w:t>
      </w:r>
      <w:r>
        <w:rPr>
          <w:rFonts w:hint="eastAsia" w:ascii="黑体" w:eastAsia="黑体" w:cs="黑体"/>
          <w:b/>
          <w:bCs/>
          <w:color w:val="auto"/>
          <w:sz w:val="24"/>
          <w:szCs w:val="24"/>
          <w:highlight w:val="none"/>
          <w:lang w:val="zh-CN"/>
        </w:rPr>
        <w:t>.投标人应按本格式编制</w:t>
      </w:r>
      <w:r>
        <w:rPr>
          <w:rFonts w:hint="eastAsia" w:ascii="黑体" w:eastAsia="黑体" w:cs="黑体"/>
          <w:b/>
          <w:bCs/>
          <w:color w:val="auto"/>
          <w:sz w:val="24"/>
          <w:szCs w:val="24"/>
          <w:highlight w:val="none"/>
        </w:rPr>
        <w:t>审查</w:t>
      </w:r>
      <w:r>
        <w:rPr>
          <w:rFonts w:hint="eastAsia" w:ascii="黑体" w:eastAsia="黑体" w:cs="黑体"/>
          <w:b/>
          <w:bCs/>
          <w:color w:val="auto"/>
          <w:sz w:val="24"/>
          <w:szCs w:val="24"/>
          <w:highlight w:val="none"/>
          <w:lang w:val="zh-CN"/>
        </w:rPr>
        <w:t>文件目录。</w:t>
      </w:r>
    </w:p>
    <w:p w14:paraId="0D61FB30">
      <w:pPr>
        <w:rPr>
          <w:rFonts w:hint="eastAsia" w:ascii="宋体"/>
          <w:b/>
          <w:bCs/>
          <w:color w:val="auto"/>
          <w:sz w:val="24"/>
          <w:szCs w:val="24"/>
          <w:highlight w:val="none"/>
          <w:lang w:val="zh-CN"/>
        </w:rPr>
      </w:pPr>
    </w:p>
    <w:p w14:paraId="37701879">
      <w:pPr>
        <w:rPr>
          <w:rFonts w:hint="eastAsia" w:ascii="黑体" w:eastAsia="黑体" w:cs="黑体"/>
          <w:b/>
          <w:bCs/>
          <w:color w:val="auto"/>
          <w:sz w:val="24"/>
          <w:szCs w:val="24"/>
          <w:highlight w:val="none"/>
          <w:lang w:val="zh-CN"/>
        </w:rPr>
      </w:pPr>
    </w:p>
    <w:p w14:paraId="493C9ADA">
      <w:pPr>
        <w:rPr>
          <w:rFonts w:hint="eastAsia" w:ascii="黑体" w:eastAsia="黑体" w:cs="黑体"/>
          <w:b/>
          <w:bCs/>
          <w:color w:val="auto"/>
          <w:sz w:val="24"/>
          <w:szCs w:val="24"/>
          <w:highlight w:val="none"/>
          <w:lang w:val="zh-CN"/>
        </w:rPr>
      </w:pPr>
    </w:p>
    <w:p w14:paraId="74F293E6">
      <w:pPr>
        <w:rPr>
          <w:rFonts w:hint="eastAsia" w:ascii="黑体" w:eastAsia="黑体" w:cs="黑体"/>
          <w:b/>
          <w:bCs/>
          <w:color w:val="auto"/>
          <w:sz w:val="24"/>
          <w:szCs w:val="24"/>
          <w:highlight w:val="none"/>
          <w:lang w:val="zh-CN"/>
        </w:rPr>
      </w:pPr>
    </w:p>
    <w:p w14:paraId="3FF64F41">
      <w:pPr>
        <w:rPr>
          <w:rFonts w:hint="eastAsia" w:ascii="黑体" w:eastAsia="黑体" w:cs="黑体"/>
          <w:b/>
          <w:bCs/>
          <w:color w:val="auto"/>
          <w:sz w:val="24"/>
          <w:szCs w:val="24"/>
          <w:highlight w:val="none"/>
          <w:lang w:val="zh-CN"/>
        </w:rPr>
      </w:pPr>
    </w:p>
    <w:p w14:paraId="73336762">
      <w:pPr>
        <w:rPr>
          <w:rFonts w:hint="eastAsia" w:ascii="黑体" w:eastAsia="黑体" w:cs="黑体"/>
          <w:b/>
          <w:bCs/>
          <w:color w:val="auto"/>
          <w:sz w:val="24"/>
          <w:szCs w:val="24"/>
          <w:highlight w:val="none"/>
          <w:lang w:val="zh-CN"/>
        </w:rPr>
      </w:pPr>
    </w:p>
    <w:p w14:paraId="30030108">
      <w:pPr>
        <w:rPr>
          <w:rFonts w:ascii="黑体" w:eastAsia="黑体"/>
          <w:b/>
          <w:bCs/>
          <w:color w:val="auto"/>
          <w:sz w:val="24"/>
          <w:szCs w:val="24"/>
          <w:highlight w:val="none"/>
          <w:lang w:val="zh-CN"/>
        </w:rPr>
      </w:pPr>
      <w:r>
        <w:rPr>
          <w:rFonts w:hint="eastAsia" w:ascii="黑体" w:eastAsia="黑体" w:cs="黑体"/>
          <w:b/>
          <w:bCs/>
          <w:color w:val="auto"/>
          <w:sz w:val="24"/>
          <w:szCs w:val="24"/>
          <w:highlight w:val="none"/>
          <w:lang w:val="zh-CN"/>
        </w:rPr>
        <w:t>格式一、投标函</w:t>
      </w:r>
    </w:p>
    <w:p w14:paraId="128EE554">
      <w:pPr>
        <w:rPr>
          <w:rFonts w:ascii="宋体"/>
          <w:color w:val="auto"/>
          <w:sz w:val="24"/>
          <w:szCs w:val="24"/>
          <w:highlight w:val="none"/>
          <w:lang w:val="zh-CN"/>
        </w:rPr>
      </w:pPr>
    </w:p>
    <w:p w14:paraId="3005D92C">
      <w:pPr>
        <w:rPr>
          <w:rFonts w:ascii="宋体"/>
          <w:color w:val="auto"/>
          <w:sz w:val="24"/>
          <w:szCs w:val="24"/>
          <w:highlight w:val="none"/>
          <w:u w:val="single"/>
          <w:lang w:val="zh-CN"/>
        </w:rPr>
      </w:pPr>
      <w:r>
        <w:rPr>
          <w:rFonts w:hint="eastAsia" w:ascii="宋体" w:cs="宋体"/>
          <w:color w:val="auto"/>
          <w:sz w:val="24"/>
          <w:szCs w:val="24"/>
          <w:highlight w:val="none"/>
          <w:lang w:val="zh-CN"/>
        </w:rPr>
        <w:t>吉林省智广工程项目管理有限公司：</w:t>
      </w:r>
    </w:p>
    <w:p w14:paraId="7896B7CD">
      <w:pPr>
        <w:ind w:firstLine="480"/>
        <w:rPr>
          <w:rFonts w:ascii="宋体"/>
          <w:color w:val="auto"/>
          <w:sz w:val="24"/>
          <w:szCs w:val="24"/>
          <w:highlight w:val="none"/>
          <w:lang w:val="zh-CN"/>
        </w:rPr>
      </w:pPr>
      <w:r>
        <w:rPr>
          <w:rFonts w:hint="eastAsia" w:ascii="宋体" w:cs="宋体"/>
          <w:color w:val="auto"/>
          <w:sz w:val="24"/>
          <w:szCs w:val="24"/>
          <w:highlight w:val="none"/>
          <w:lang w:val="zh-CN"/>
        </w:rPr>
        <w:t>根据你方政府采购</w:t>
      </w:r>
      <w:r>
        <w:rPr>
          <w:rFonts w:hint="eastAsia" w:ascii="宋体" w:cs="宋体"/>
          <w:color w:val="auto"/>
          <w:sz w:val="24"/>
          <w:szCs w:val="24"/>
          <w:highlight w:val="none"/>
          <w:u w:val="single"/>
          <w:lang w:val="zh-CN"/>
        </w:rPr>
        <w:t>（</w:t>
      </w:r>
      <w:r>
        <w:rPr>
          <w:rFonts w:hint="eastAsia" w:ascii="宋体" w:cs="宋体"/>
          <w:color w:val="auto"/>
          <w:sz w:val="24"/>
          <w:szCs w:val="24"/>
          <w:highlight w:val="none"/>
          <w:u w:val="single"/>
          <w:lang w:val="en-US" w:eastAsia="zh-CN"/>
        </w:rPr>
        <w:t>项目名称</w:t>
      </w:r>
      <w:r>
        <w:rPr>
          <w:rFonts w:hint="eastAsia" w:ascii="宋体" w:cs="宋体"/>
          <w:color w:val="auto"/>
          <w:sz w:val="24"/>
          <w:szCs w:val="24"/>
          <w:highlight w:val="none"/>
          <w:u w:val="single"/>
          <w:lang w:val="zh-CN"/>
        </w:rPr>
        <w:t>）（</w:t>
      </w:r>
      <w:r>
        <w:rPr>
          <w:rFonts w:hint="eastAsia" w:ascii="宋体" w:hAnsi="宋体" w:eastAsia="宋体" w:cs="宋体"/>
          <w:color w:val="auto"/>
          <w:sz w:val="24"/>
          <w:szCs w:val="24"/>
          <w:highlight w:val="none"/>
          <w:u w:val="single"/>
          <w:lang w:val="en-US" w:eastAsia="zh-CN"/>
        </w:rPr>
        <w:t>项目编号</w:t>
      </w:r>
      <w:r>
        <w:rPr>
          <w:rFonts w:hint="eastAsia" w:ascii="宋体" w:cs="宋体"/>
          <w:color w:val="auto"/>
          <w:sz w:val="24"/>
          <w:szCs w:val="24"/>
          <w:highlight w:val="none"/>
          <w:u w:val="single"/>
          <w:lang w:val="zh-CN"/>
        </w:rPr>
        <w:t>）</w:t>
      </w:r>
      <w:r>
        <w:rPr>
          <w:rFonts w:hint="eastAsia" w:ascii="宋体" w:cs="宋体"/>
          <w:color w:val="auto"/>
          <w:sz w:val="24"/>
          <w:szCs w:val="24"/>
          <w:highlight w:val="none"/>
          <w:lang w:val="zh-CN"/>
        </w:rPr>
        <w:t>采购文件，我方正式授权的下述签字人</w:t>
      </w:r>
      <w:r>
        <w:rPr>
          <w:rFonts w:ascii="宋体" w:cs="宋体"/>
          <w:color w:val="auto"/>
          <w:sz w:val="24"/>
          <w:szCs w:val="24"/>
          <w:highlight w:val="none"/>
          <w:u w:val="single"/>
          <w:lang w:val="zh-CN"/>
        </w:rPr>
        <w:t xml:space="preserve">  </w:t>
      </w:r>
      <w:r>
        <w:rPr>
          <w:rFonts w:hint="eastAsia" w:ascii="宋体" w:cs="宋体"/>
          <w:color w:val="auto"/>
          <w:sz w:val="24"/>
          <w:szCs w:val="24"/>
          <w:highlight w:val="none"/>
          <w:u w:val="single"/>
          <w:lang w:val="zh-CN"/>
        </w:rPr>
        <w:t>（姓名和职务）</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代表我方</w:t>
      </w:r>
      <w:r>
        <w:rPr>
          <w:rFonts w:ascii="宋体" w:cs="宋体"/>
          <w:color w:val="auto"/>
          <w:sz w:val="24"/>
          <w:szCs w:val="24"/>
          <w:highlight w:val="none"/>
          <w:u w:val="single"/>
          <w:lang w:val="zh-CN"/>
        </w:rPr>
        <w:t xml:space="preserve">  </w:t>
      </w:r>
      <w:r>
        <w:rPr>
          <w:rFonts w:hint="eastAsia" w:ascii="宋体" w:cs="宋体"/>
          <w:color w:val="auto"/>
          <w:sz w:val="24"/>
          <w:szCs w:val="24"/>
          <w:highlight w:val="none"/>
          <w:u w:val="single"/>
          <w:lang w:val="zh-CN"/>
        </w:rPr>
        <w:t>（投标人的名称）</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，按照你方采购文件的规定，提交全部文件，并保证所提供的全部文件是真实的、有效的和准确的。</w:t>
      </w:r>
    </w:p>
    <w:p w14:paraId="7836B455">
      <w:pPr>
        <w:ind w:firstLine="480"/>
        <w:rPr>
          <w:rFonts w:ascii="宋体"/>
          <w:color w:val="auto"/>
          <w:sz w:val="24"/>
          <w:szCs w:val="24"/>
          <w:highlight w:val="none"/>
          <w:lang w:val="zh-CN"/>
        </w:rPr>
      </w:pPr>
      <w:r>
        <w:rPr>
          <w:rFonts w:hint="eastAsia" w:ascii="宋体" w:cs="宋体"/>
          <w:color w:val="auto"/>
          <w:sz w:val="24"/>
          <w:szCs w:val="24"/>
          <w:highlight w:val="none"/>
          <w:lang w:val="zh-CN"/>
        </w:rPr>
        <w:t>据此函，签字人兹宣布同意如下：</w:t>
      </w:r>
    </w:p>
    <w:p w14:paraId="7656E3A4">
      <w:pPr>
        <w:tabs>
          <w:tab w:val="left" w:pos="8175"/>
        </w:tabs>
        <w:ind w:firstLine="480"/>
        <w:rPr>
          <w:rFonts w:ascii="宋体"/>
          <w:color w:val="auto"/>
          <w:sz w:val="24"/>
          <w:szCs w:val="24"/>
          <w:highlight w:val="none"/>
          <w:lang w:val="zh-CN"/>
        </w:rPr>
      </w:pPr>
      <w:r>
        <w:rPr>
          <w:rFonts w:ascii="宋体" w:cs="宋体"/>
          <w:color w:val="auto"/>
          <w:sz w:val="24"/>
          <w:szCs w:val="24"/>
          <w:highlight w:val="none"/>
          <w:lang w:val="zh-CN"/>
        </w:rPr>
        <w:t>1.</w:t>
      </w:r>
      <w:r>
        <w:rPr>
          <w:rFonts w:hint="eastAsia" w:ascii="宋体" w:cs="宋体"/>
          <w:color w:val="auto"/>
          <w:sz w:val="24"/>
          <w:szCs w:val="24"/>
          <w:highlight w:val="none"/>
          <w:lang w:val="zh-CN"/>
        </w:rPr>
        <w:t>按采购文件规定提供货物及服务的投标总价为（大写）</w:t>
      </w:r>
      <w:r>
        <w:rPr>
          <w:rFonts w:ascii="宋体" w:cs="宋体"/>
          <w:color w:val="auto"/>
          <w:sz w:val="24"/>
          <w:szCs w:val="24"/>
          <w:highlight w:val="none"/>
          <w:u w:val="single"/>
          <w:lang w:val="zh-CN"/>
        </w:rPr>
        <w:t xml:space="preserve">    </w:t>
      </w:r>
      <w:r>
        <w:rPr>
          <w:rFonts w:hint="eastAsia" w:ascii="宋体" w:cs="宋体"/>
          <w:color w:val="auto"/>
          <w:sz w:val="24"/>
          <w:szCs w:val="24"/>
          <w:highlight w:val="none"/>
          <w:u w:val="single"/>
          <w:lang w:val="zh-CN"/>
        </w:rPr>
        <w:t xml:space="preserve">             </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元人民币。</w:t>
      </w:r>
    </w:p>
    <w:p w14:paraId="26C6F46F">
      <w:pPr>
        <w:ind w:firstLine="480"/>
        <w:rPr>
          <w:rFonts w:ascii="宋体"/>
          <w:color w:val="auto"/>
          <w:sz w:val="24"/>
          <w:szCs w:val="24"/>
          <w:highlight w:val="none"/>
          <w:lang w:val="zh-CN"/>
        </w:rPr>
      </w:pPr>
      <w:r>
        <w:rPr>
          <w:rFonts w:ascii="宋体" w:cs="宋体"/>
          <w:color w:val="auto"/>
          <w:sz w:val="24"/>
          <w:szCs w:val="24"/>
          <w:highlight w:val="none"/>
          <w:lang w:val="zh-CN"/>
        </w:rPr>
        <w:t>2.</w:t>
      </w:r>
      <w:r>
        <w:rPr>
          <w:rFonts w:hint="eastAsia" w:ascii="宋体" w:cs="宋体"/>
          <w:color w:val="auto"/>
          <w:sz w:val="24"/>
          <w:szCs w:val="24"/>
          <w:highlight w:val="none"/>
          <w:lang w:val="zh-CN"/>
        </w:rPr>
        <w:t>如果我方中标，我们保证根据采购文件规定履行合同责任和义务。</w:t>
      </w:r>
      <w:r>
        <w:rPr>
          <w:rFonts w:hint="eastAsia" w:ascii="宋体" w:eastAsia="宋体" w:cs="宋体"/>
          <w:color w:val="auto"/>
          <w:sz w:val="24"/>
          <w:szCs w:val="24"/>
          <w:highlight w:val="none"/>
          <w:lang w:val="en-US" w:eastAsia="zh-CN"/>
        </w:rPr>
        <w:t>交货时间</w:t>
      </w:r>
      <w:r>
        <w:rPr>
          <w:rFonts w:hint="eastAsia" w:ascii="宋体" w:eastAsia="宋体" w:cs="宋体"/>
          <w:color w:val="auto"/>
          <w:sz w:val="24"/>
          <w:szCs w:val="24"/>
          <w:highlight w:val="none"/>
          <w:lang w:val="zh-CN"/>
        </w:rPr>
        <w:t>承</w:t>
      </w:r>
      <w:r>
        <w:rPr>
          <w:rFonts w:hint="eastAsia" w:ascii="宋体" w:cs="宋体"/>
          <w:color w:val="auto"/>
          <w:sz w:val="24"/>
          <w:szCs w:val="24"/>
          <w:highlight w:val="none"/>
          <w:lang w:val="zh-CN"/>
        </w:rPr>
        <w:t>诺如下：</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w:t>
      </w:r>
    </w:p>
    <w:p w14:paraId="0E95BB57">
      <w:pPr>
        <w:ind w:firstLine="480"/>
        <w:rPr>
          <w:rFonts w:ascii="宋体"/>
          <w:color w:val="auto"/>
          <w:sz w:val="24"/>
          <w:szCs w:val="24"/>
          <w:highlight w:val="none"/>
          <w:lang w:val="zh-CN"/>
        </w:rPr>
      </w:pPr>
      <w:r>
        <w:rPr>
          <w:rFonts w:ascii="宋体" w:cs="宋体"/>
          <w:color w:val="auto"/>
          <w:sz w:val="24"/>
          <w:szCs w:val="24"/>
          <w:highlight w:val="none"/>
          <w:lang w:val="zh-CN"/>
        </w:rPr>
        <w:t>3.</w:t>
      </w:r>
      <w:r>
        <w:rPr>
          <w:rFonts w:hint="eastAsia" w:ascii="宋体" w:cs="宋体"/>
          <w:color w:val="auto"/>
          <w:sz w:val="24"/>
          <w:szCs w:val="24"/>
          <w:highlight w:val="none"/>
          <w:lang w:val="zh-CN"/>
        </w:rPr>
        <w:t>我方人民币</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元的投标保证金与本投标文件同时提交。</w:t>
      </w:r>
    </w:p>
    <w:p w14:paraId="75440A0D">
      <w:pPr>
        <w:ind w:firstLine="480"/>
        <w:rPr>
          <w:rFonts w:ascii="宋体"/>
          <w:color w:val="auto"/>
          <w:sz w:val="24"/>
          <w:szCs w:val="24"/>
          <w:highlight w:val="none"/>
          <w:lang w:val="zh-CN"/>
        </w:rPr>
      </w:pPr>
      <w:r>
        <w:rPr>
          <w:rFonts w:ascii="宋体" w:cs="宋体"/>
          <w:color w:val="auto"/>
          <w:sz w:val="24"/>
          <w:szCs w:val="24"/>
          <w:highlight w:val="none"/>
          <w:lang w:val="zh-CN"/>
        </w:rPr>
        <w:t>4.</w:t>
      </w:r>
      <w:r>
        <w:rPr>
          <w:rFonts w:hint="eastAsia" w:ascii="宋体" w:cs="宋体"/>
          <w:color w:val="auto"/>
          <w:sz w:val="24"/>
          <w:szCs w:val="24"/>
          <w:highlight w:val="none"/>
          <w:lang w:val="zh-CN"/>
        </w:rPr>
        <w:t>如果我方中标，我方保证按照采购文件规定提交履约保证金，承担履约责任。</w:t>
      </w:r>
    </w:p>
    <w:p w14:paraId="474F09A3">
      <w:pPr>
        <w:ind w:firstLine="480"/>
        <w:rPr>
          <w:rFonts w:ascii="宋体"/>
          <w:color w:val="auto"/>
          <w:sz w:val="24"/>
          <w:szCs w:val="24"/>
          <w:highlight w:val="none"/>
          <w:lang w:val="zh-CN"/>
        </w:rPr>
      </w:pPr>
      <w:r>
        <w:rPr>
          <w:rFonts w:ascii="宋体" w:cs="宋体"/>
          <w:color w:val="auto"/>
          <w:sz w:val="24"/>
          <w:szCs w:val="24"/>
          <w:highlight w:val="none"/>
          <w:lang w:val="zh-CN"/>
        </w:rPr>
        <w:t>5.</w:t>
      </w:r>
      <w:r>
        <w:rPr>
          <w:rFonts w:hint="eastAsia" w:ascii="宋体" w:cs="宋体"/>
          <w:color w:val="auto"/>
          <w:sz w:val="24"/>
          <w:szCs w:val="24"/>
          <w:highlight w:val="none"/>
          <w:lang w:val="zh-CN"/>
        </w:rPr>
        <w:t>我们已详细阅读了全部采购文件，包括采购文件的修改、补充文件、参考资料及有关的附件，我们接受采购文件的全部条款和条件，我们知道必须放弃提出含糊不清或误解的问题的权利。</w:t>
      </w:r>
    </w:p>
    <w:p w14:paraId="4EDED9F8">
      <w:pPr>
        <w:ind w:firstLine="480"/>
        <w:rPr>
          <w:rFonts w:ascii="宋体"/>
          <w:color w:val="auto"/>
          <w:sz w:val="24"/>
          <w:szCs w:val="24"/>
          <w:highlight w:val="none"/>
          <w:lang w:val="zh-CN"/>
        </w:rPr>
      </w:pPr>
      <w:r>
        <w:rPr>
          <w:rFonts w:ascii="宋体" w:cs="宋体"/>
          <w:color w:val="auto"/>
          <w:sz w:val="24"/>
          <w:szCs w:val="24"/>
          <w:highlight w:val="none"/>
          <w:lang w:val="zh-CN"/>
        </w:rPr>
        <w:t>6.</w:t>
      </w:r>
      <w:r>
        <w:rPr>
          <w:rFonts w:hint="eastAsia" w:ascii="宋体" w:cs="宋体"/>
          <w:color w:val="auto"/>
          <w:sz w:val="24"/>
          <w:szCs w:val="24"/>
          <w:highlight w:val="none"/>
          <w:lang w:val="zh-CN"/>
        </w:rPr>
        <w:t>我们对采购文件关于时限、程序方面的规定没有异议，保证按照采购文件规定的时限和程序参加投标活动。</w:t>
      </w:r>
    </w:p>
    <w:p w14:paraId="5C01A027">
      <w:pPr>
        <w:ind w:firstLine="480"/>
        <w:rPr>
          <w:rFonts w:ascii="宋体"/>
          <w:color w:val="auto"/>
          <w:sz w:val="24"/>
          <w:szCs w:val="24"/>
          <w:highlight w:val="none"/>
          <w:lang w:val="zh-CN"/>
        </w:rPr>
      </w:pPr>
      <w:r>
        <w:rPr>
          <w:rFonts w:ascii="宋体" w:cs="宋体"/>
          <w:color w:val="auto"/>
          <w:sz w:val="24"/>
          <w:szCs w:val="24"/>
          <w:highlight w:val="none"/>
          <w:lang w:val="zh-CN"/>
        </w:rPr>
        <w:t>7.</w:t>
      </w:r>
      <w:r>
        <w:rPr>
          <w:rFonts w:hint="eastAsia" w:ascii="宋体" w:cs="宋体"/>
          <w:color w:val="auto"/>
          <w:sz w:val="24"/>
          <w:szCs w:val="24"/>
          <w:highlight w:val="none"/>
          <w:lang w:val="zh-CN"/>
        </w:rPr>
        <w:t>我们同意在投标人须知规定的开标时间起遵循本投标书，并在投标人须知规定的投标有效期满之前均具有约束力，并有可能中标。</w:t>
      </w:r>
    </w:p>
    <w:p w14:paraId="26174D85">
      <w:pPr>
        <w:ind w:firstLine="480"/>
        <w:rPr>
          <w:rFonts w:ascii="宋体"/>
          <w:color w:val="auto"/>
          <w:sz w:val="24"/>
          <w:szCs w:val="24"/>
          <w:highlight w:val="none"/>
          <w:lang w:val="zh-CN"/>
        </w:rPr>
      </w:pPr>
      <w:r>
        <w:rPr>
          <w:rFonts w:ascii="宋体" w:cs="宋体"/>
          <w:color w:val="auto"/>
          <w:sz w:val="24"/>
          <w:szCs w:val="24"/>
          <w:highlight w:val="none"/>
          <w:lang w:val="zh-CN"/>
        </w:rPr>
        <w:t>8.</w:t>
      </w:r>
      <w:r>
        <w:rPr>
          <w:rFonts w:hint="eastAsia" w:ascii="宋体" w:cs="宋体"/>
          <w:color w:val="auto"/>
          <w:sz w:val="24"/>
          <w:szCs w:val="24"/>
          <w:highlight w:val="none"/>
          <w:lang w:val="zh-CN"/>
        </w:rPr>
        <w:t>我们如果在规定的投标有效期内撤回投标，则你方可不予退还我们的投标保证金。</w:t>
      </w:r>
    </w:p>
    <w:p w14:paraId="2FE1D87F">
      <w:pPr>
        <w:ind w:firstLine="480"/>
        <w:rPr>
          <w:rFonts w:ascii="宋体"/>
          <w:color w:val="auto"/>
          <w:sz w:val="24"/>
          <w:szCs w:val="24"/>
          <w:highlight w:val="none"/>
          <w:lang w:val="zh-CN"/>
        </w:rPr>
      </w:pPr>
      <w:r>
        <w:rPr>
          <w:rFonts w:ascii="宋体" w:cs="宋体"/>
          <w:color w:val="auto"/>
          <w:sz w:val="24"/>
          <w:szCs w:val="24"/>
          <w:highlight w:val="none"/>
          <w:lang w:val="zh-CN"/>
        </w:rPr>
        <w:t>9.</w:t>
      </w:r>
      <w:r>
        <w:rPr>
          <w:rFonts w:hint="eastAsia" w:ascii="宋体" w:cs="宋体"/>
          <w:color w:val="auto"/>
          <w:sz w:val="24"/>
          <w:szCs w:val="24"/>
          <w:highlight w:val="none"/>
          <w:lang w:val="zh-CN"/>
        </w:rPr>
        <w:t>我们保证向你方提供你方可能要求的与本投标有关的任何证据或资料。</w:t>
      </w:r>
    </w:p>
    <w:p w14:paraId="2D37CF48">
      <w:pPr>
        <w:ind w:firstLine="480"/>
        <w:rPr>
          <w:rFonts w:ascii="宋体"/>
          <w:color w:val="auto"/>
          <w:sz w:val="24"/>
          <w:szCs w:val="24"/>
          <w:highlight w:val="none"/>
          <w:lang w:val="zh-CN"/>
        </w:rPr>
      </w:pPr>
      <w:r>
        <w:rPr>
          <w:rFonts w:ascii="宋体" w:cs="宋体"/>
          <w:color w:val="auto"/>
          <w:sz w:val="24"/>
          <w:szCs w:val="24"/>
          <w:highlight w:val="none"/>
          <w:lang w:val="zh-CN"/>
        </w:rPr>
        <w:t>10.</w:t>
      </w:r>
      <w:r>
        <w:rPr>
          <w:rFonts w:hint="eastAsia" w:ascii="宋体" w:cs="宋体"/>
          <w:color w:val="auto"/>
          <w:sz w:val="24"/>
          <w:szCs w:val="24"/>
          <w:highlight w:val="none"/>
          <w:lang w:val="zh-CN"/>
        </w:rPr>
        <w:t>我们完全理解你方不一定要接受最低报价的投标或收到的任何投标。</w:t>
      </w:r>
    </w:p>
    <w:p w14:paraId="47726EE6">
      <w:pPr>
        <w:ind w:firstLine="480"/>
        <w:rPr>
          <w:rFonts w:ascii="宋体"/>
          <w:color w:val="auto"/>
          <w:sz w:val="24"/>
          <w:szCs w:val="24"/>
          <w:highlight w:val="none"/>
          <w:lang w:val="zh-CN"/>
        </w:rPr>
      </w:pPr>
      <w:r>
        <w:rPr>
          <w:rFonts w:ascii="宋体" w:cs="宋体"/>
          <w:color w:val="auto"/>
          <w:sz w:val="24"/>
          <w:szCs w:val="24"/>
          <w:highlight w:val="none"/>
          <w:lang w:val="zh-CN"/>
        </w:rPr>
        <w:t>11.</w:t>
      </w:r>
      <w:r>
        <w:rPr>
          <w:rFonts w:hint="eastAsia" w:ascii="宋体" w:cs="宋体"/>
          <w:color w:val="auto"/>
          <w:sz w:val="24"/>
          <w:szCs w:val="24"/>
          <w:highlight w:val="none"/>
          <w:lang w:val="zh-CN"/>
        </w:rPr>
        <w:t>本投标自开标之时起</w:t>
      </w:r>
      <w:r>
        <w:rPr>
          <w:rFonts w:ascii="宋体" w:cs="宋体"/>
          <w:color w:val="auto"/>
          <w:sz w:val="24"/>
          <w:szCs w:val="24"/>
          <w:highlight w:val="none"/>
          <w:lang w:val="zh-CN"/>
        </w:rPr>
        <w:t>90</w:t>
      </w:r>
      <w:r>
        <w:rPr>
          <w:rFonts w:hint="eastAsia" w:ascii="宋体" w:cs="宋体"/>
          <w:color w:val="auto"/>
          <w:sz w:val="24"/>
          <w:szCs w:val="24"/>
          <w:highlight w:val="none"/>
          <w:lang w:val="zh-CN"/>
        </w:rPr>
        <w:t>天内有效。</w:t>
      </w:r>
    </w:p>
    <w:p w14:paraId="052C6FD1">
      <w:pPr>
        <w:tabs>
          <w:tab w:val="left" w:pos="709"/>
        </w:tabs>
        <w:ind w:firstLine="482"/>
        <w:rPr>
          <w:rFonts w:ascii="宋体"/>
          <w:b/>
          <w:bCs/>
          <w:color w:val="auto"/>
          <w:sz w:val="24"/>
          <w:szCs w:val="24"/>
          <w:highlight w:val="none"/>
          <w:lang w:val="zh-CN"/>
        </w:rPr>
      </w:pPr>
      <w:r>
        <w:rPr>
          <w:rFonts w:ascii="宋体" w:cs="宋体"/>
          <w:b/>
          <w:bCs/>
          <w:color w:val="auto"/>
          <w:sz w:val="24"/>
          <w:szCs w:val="24"/>
          <w:highlight w:val="none"/>
          <w:lang w:val="zh-CN"/>
        </w:rPr>
        <w:t>12.</w:t>
      </w:r>
      <w:r>
        <w:rPr>
          <w:rFonts w:hint="eastAsia" w:ascii="宋体" w:cs="宋体"/>
          <w:b/>
          <w:bCs/>
          <w:color w:val="auto"/>
          <w:sz w:val="24"/>
          <w:szCs w:val="24"/>
          <w:highlight w:val="none"/>
          <w:lang w:val="zh-CN"/>
        </w:rPr>
        <w:t>我方保证严格遵守《中华人民共和国政府采购法》的有关规定，若有下列情形之一的，我方将被处不予退还投标保证金，列入不良行为记录名单，在一至三年内禁止参加政府采购活动，并予以公告：</w:t>
      </w:r>
    </w:p>
    <w:p w14:paraId="790A54DC">
      <w:pPr>
        <w:ind w:firstLine="480"/>
        <w:rPr>
          <w:rFonts w:ascii="宋体" w:hAnsi="宋体"/>
          <w:color w:val="auto"/>
          <w:sz w:val="24"/>
          <w:szCs w:val="24"/>
          <w:highlight w:val="none"/>
        </w:rPr>
      </w:pPr>
      <w:r>
        <w:rPr>
          <w:rFonts w:hint="eastAsia" w:ascii="宋体" w:hAnsi="宋体" w:cs="宋体"/>
          <w:color w:val="auto"/>
          <w:sz w:val="24"/>
          <w:szCs w:val="24"/>
          <w:highlight w:val="none"/>
          <w:lang w:val="zh-CN"/>
        </w:rPr>
        <w:t>（</w:t>
      </w:r>
      <w:r>
        <w:rPr>
          <w:rFonts w:ascii="宋体" w:hAnsi="宋体"/>
          <w:color w:val="auto"/>
          <w:sz w:val="24"/>
          <w:szCs w:val="24"/>
          <w:highlight w:val="none"/>
        </w:rPr>
        <w:t>1</w:t>
      </w:r>
      <w:r>
        <w:rPr>
          <w:rFonts w:hint="eastAsia" w:ascii="宋体" w:hAnsi="宋体" w:cs="宋体"/>
          <w:color w:val="auto"/>
          <w:sz w:val="24"/>
          <w:szCs w:val="24"/>
          <w:highlight w:val="none"/>
          <w:lang w:val="zh-CN"/>
        </w:rPr>
        <w:t>）提供虚假材料谋取中标、成交的；</w:t>
      </w:r>
    </w:p>
    <w:p w14:paraId="5FC625D1">
      <w:pPr>
        <w:ind w:firstLine="480"/>
        <w:rPr>
          <w:rFonts w:ascii="宋体" w:hAnsi="宋体"/>
          <w:color w:val="auto"/>
          <w:sz w:val="24"/>
          <w:szCs w:val="24"/>
          <w:highlight w:val="none"/>
        </w:rPr>
      </w:pPr>
      <w:r>
        <w:rPr>
          <w:rFonts w:hint="eastAsia" w:ascii="宋体" w:hAnsi="宋体" w:cs="宋体"/>
          <w:color w:val="auto"/>
          <w:sz w:val="24"/>
          <w:szCs w:val="24"/>
          <w:highlight w:val="none"/>
          <w:lang w:val="zh-CN"/>
        </w:rPr>
        <w:t>（</w:t>
      </w:r>
      <w:r>
        <w:rPr>
          <w:rFonts w:ascii="宋体" w:hAnsi="宋体"/>
          <w:color w:val="auto"/>
          <w:sz w:val="24"/>
          <w:szCs w:val="24"/>
          <w:highlight w:val="none"/>
        </w:rPr>
        <w:t>2</w:t>
      </w:r>
      <w:r>
        <w:rPr>
          <w:rFonts w:hint="eastAsia" w:ascii="宋体" w:hAnsi="宋体" w:cs="宋体"/>
          <w:color w:val="auto"/>
          <w:sz w:val="24"/>
          <w:szCs w:val="24"/>
          <w:highlight w:val="none"/>
          <w:lang w:val="zh-CN"/>
        </w:rPr>
        <w:t>）采取不正当手段诋毁、排挤其他投标人的；</w:t>
      </w:r>
    </w:p>
    <w:p w14:paraId="3792B4D3">
      <w:pPr>
        <w:ind w:firstLine="480"/>
        <w:rPr>
          <w:rFonts w:ascii="宋体" w:hAnsi="宋体"/>
          <w:color w:val="auto"/>
          <w:sz w:val="24"/>
          <w:szCs w:val="24"/>
          <w:highlight w:val="none"/>
        </w:rPr>
      </w:pPr>
      <w:r>
        <w:rPr>
          <w:rFonts w:hint="eastAsia" w:ascii="宋体" w:hAnsi="宋体" w:cs="宋体"/>
          <w:color w:val="auto"/>
          <w:sz w:val="24"/>
          <w:szCs w:val="24"/>
          <w:highlight w:val="none"/>
          <w:lang w:val="zh-CN"/>
        </w:rPr>
        <w:t>（</w:t>
      </w:r>
      <w:r>
        <w:rPr>
          <w:rFonts w:ascii="宋体" w:hAnsi="宋体"/>
          <w:color w:val="auto"/>
          <w:sz w:val="24"/>
          <w:szCs w:val="24"/>
          <w:highlight w:val="none"/>
        </w:rPr>
        <w:t>3</w:t>
      </w:r>
      <w:r>
        <w:rPr>
          <w:rFonts w:hint="eastAsia" w:ascii="宋体" w:hAnsi="宋体" w:cs="宋体"/>
          <w:color w:val="auto"/>
          <w:sz w:val="24"/>
          <w:szCs w:val="24"/>
          <w:highlight w:val="none"/>
          <w:lang w:val="zh-CN"/>
        </w:rPr>
        <w:t>）与其他投标人、代理机构或者采购单位人员或者其他有关人员恶意串通的；</w:t>
      </w:r>
    </w:p>
    <w:p w14:paraId="1D37DAFC">
      <w:pPr>
        <w:ind w:firstLine="480"/>
        <w:rPr>
          <w:rFonts w:ascii="宋体" w:hAnsi="宋体"/>
          <w:color w:val="auto"/>
          <w:sz w:val="24"/>
          <w:szCs w:val="24"/>
          <w:highlight w:val="none"/>
        </w:rPr>
      </w:pPr>
      <w:r>
        <w:rPr>
          <w:rFonts w:hint="eastAsia" w:ascii="宋体" w:hAnsi="宋体" w:cs="宋体"/>
          <w:color w:val="auto"/>
          <w:sz w:val="24"/>
          <w:szCs w:val="24"/>
          <w:highlight w:val="none"/>
          <w:lang w:val="zh-CN"/>
        </w:rPr>
        <w:t>（</w:t>
      </w:r>
      <w:r>
        <w:rPr>
          <w:rFonts w:ascii="宋体" w:hAnsi="宋体"/>
          <w:color w:val="auto"/>
          <w:sz w:val="24"/>
          <w:szCs w:val="24"/>
          <w:highlight w:val="none"/>
        </w:rPr>
        <w:t>4</w:t>
      </w:r>
      <w:r>
        <w:rPr>
          <w:rFonts w:hint="eastAsia" w:ascii="宋体" w:hAnsi="宋体" w:cs="宋体"/>
          <w:color w:val="auto"/>
          <w:sz w:val="24"/>
          <w:szCs w:val="24"/>
          <w:highlight w:val="none"/>
          <w:lang w:val="zh-CN"/>
        </w:rPr>
        <w:t>）向评标委员会成员、代理机构或者采购单位人员或者其他有关人员行贿或者提供其他不正当利益的；</w:t>
      </w:r>
    </w:p>
    <w:p w14:paraId="092B5395">
      <w:pPr>
        <w:ind w:firstLine="480"/>
        <w:rPr>
          <w:rFonts w:ascii="宋体" w:hAnsi="宋体"/>
          <w:color w:val="auto"/>
          <w:sz w:val="24"/>
          <w:szCs w:val="24"/>
          <w:highlight w:val="none"/>
        </w:rPr>
      </w:pPr>
      <w:r>
        <w:rPr>
          <w:rFonts w:hint="eastAsia" w:ascii="宋体" w:hAnsi="宋体" w:cs="宋体"/>
          <w:color w:val="auto"/>
          <w:sz w:val="24"/>
          <w:szCs w:val="24"/>
          <w:highlight w:val="none"/>
          <w:lang w:val="zh-CN"/>
        </w:rPr>
        <w:t>（</w:t>
      </w:r>
      <w:r>
        <w:rPr>
          <w:rFonts w:ascii="宋体" w:hAnsi="宋体"/>
          <w:color w:val="auto"/>
          <w:sz w:val="24"/>
          <w:szCs w:val="24"/>
          <w:highlight w:val="none"/>
        </w:rPr>
        <w:t>5</w:t>
      </w:r>
      <w:r>
        <w:rPr>
          <w:rFonts w:hint="eastAsia" w:ascii="宋体" w:hAnsi="宋体" w:cs="宋体"/>
          <w:color w:val="auto"/>
          <w:sz w:val="24"/>
          <w:szCs w:val="24"/>
          <w:highlight w:val="none"/>
          <w:lang w:val="zh-CN"/>
        </w:rPr>
        <w:t>）被评定中标后无正当理由不与采购人或者采购代理机构订立合同，或者中标后不按采购文件和中标供应商的投标文件订立合同，或者与采购人另行订立背离合同实质性内容的协议的；</w:t>
      </w:r>
    </w:p>
    <w:p w14:paraId="081FEA25">
      <w:pPr>
        <w:ind w:firstLine="480"/>
        <w:rPr>
          <w:rFonts w:ascii="宋体" w:hAnsi="宋体"/>
          <w:color w:val="auto"/>
          <w:sz w:val="24"/>
          <w:szCs w:val="24"/>
          <w:highlight w:val="none"/>
        </w:rPr>
      </w:pPr>
      <w:r>
        <w:rPr>
          <w:rFonts w:hint="eastAsia" w:ascii="宋体" w:hAnsi="宋体" w:cs="宋体"/>
          <w:color w:val="auto"/>
          <w:sz w:val="24"/>
          <w:szCs w:val="24"/>
          <w:highlight w:val="none"/>
          <w:lang w:val="zh-CN"/>
        </w:rPr>
        <w:t>（</w:t>
      </w:r>
      <w:r>
        <w:rPr>
          <w:rFonts w:ascii="宋体" w:hAnsi="宋体"/>
          <w:color w:val="auto"/>
          <w:sz w:val="24"/>
          <w:szCs w:val="24"/>
          <w:highlight w:val="none"/>
        </w:rPr>
        <w:t>6</w:t>
      </w:r>
      <w:r>
        <w:rPr>
          <w:rFonts w:hint="eastAsia" w:ascii="宋体" w:hAnsi="宋体" w:cs="宋体"/>
          <w:color w:val="auto"/>
          <w:sz w:val="24"/>
          <w:szCs w:val="24"/>
          <w:highlight w:val="none"/>
          <w:lang w:val="zh-CN"/>
        </w:rPr>
        <w:t>）将中标项目转让给他人或者将中标项目分包给他人的；</w:t>
      </w:r>
    </w:p>
    <w:p w14:paraId="37A1B4B7">
      <w:pPr>
        <w:ind w:firstLine="480"/>
        <w:rPr>
          <w:rFonts w:ascii="宋体" w:hAnsi="宋体"/>
          <w:color w:val="auto"/>
          <w:sz w:val="24"/>
          <w:szCs w:val="24"/>
          <w:highlight w:val="none"/>
        </w:rPr>
      </w:pPr>
      <w:r>
        <w:rPr>
          <w:rFonts w:hint="eastAsia" w:ascii="宋体" w:hAnsi="宋体" w:cs="宋体"/>
          <w:color w:val="auto"/>
          <w:sz w:val="24"/>
          <w:szCs w:val="24"/>
          <w:highlight w:val="none"/>
          <w:lang w:val="zh-CN"/>
        </w:rPr>
        <w:t>（</w:t>
      </w:r>
      <w:r>
        <w:rPr>
          <w:rFonts w:ascii="宋体" w:hAnsi="宋体"/>
          <w:color w:val="auto"/>
          <w:sz w:val="24"/>
          <w:szCs w:val="24"/>
          <w:highlight w:val="none"/>
        </w:rPr>
        <w:t>7</w:t>
      </w:r>
      <w:r>
        <w:rPr>
          <w:rFonts w:hint="eastAsia" w:ascii="宋体" w:hAnsi="宋体" w:cs="宋体"/>
          <w:color w:val="auto"/>
          <w:sz w:val="24"/>
          <w:szCs w:val="24"/>
          <w:highlight w:val="none"/>
          <w:lang w:val="zh-CN"/>
        </w:rPr>
        <w:t>）签订合同后拒绝履行合同义务的；</w:t>
      </w:r>
    </w:p>
    <w:p w14:paraId="7D606C68">
      <w:pPr>
        <w:ind w:firstLine="480"/>
        <w:rPr>
          <w:rFonts w:ascii="宋体" w:hAnsi="宋体"/>
          <w:color w:val="auto"/>
          <w:sz w:val="24"/>
          <w:szCs w:val="24"/>
          <w:highlight w:val="none"/>
        </w:rPr>
      </w:pPr>
      <w:r>
        <w:rPr>
          <w:rFonts w:hint="eastAsia" w:ascii="宋体" w:hAnsi="宋体" w:cs="宋体"/>
          <w:color w:val="auto"/>
          <w:sz w:val="24"/>
          <w:szCs w:val="24"/>
          <w:highlight w:val="none"/>
          <w:lang w:val="zh-CN"/>
        </w:rPr>
        <w:t>（</w:t>
      </w:r>
      <w:r>
        <w:rPr>
          <w:rFonts w:ascii="宋体" w:hAnsi="宋体"/>
          <w:color w:val="auto"/>
          <w:sz w:val="24"/>
          <w:szCs w:val="24"/>
          <w:highlight w:val="none"/>
        </w:rPr>
        <w:t>8</w:t>
      </w:r>
      <w:r>
        <w:rPr>
          <w:rFonts w:hint="eastAsia" w:ascii="宋体" w:hAnsi="宋体" w:cs="宋体"/>
          <w:color w:val="auto"/>
          <w:sz w:val="24"/>
          <w:szCs w:val="24"/>
          <w:highlight w:val="none"/>
          <w:lang w:val="zh-CN"/>
        </w:rPr>
        <w:t>）拒绝有关部门监督检查或提供虚假情况的。</w:t>
      </w:r>
    </w:p>
    <w:p w14:paraId="1BFAE505">
      <w:pPr>
        <w:ind w:firstLine="480"/>
        <w:rPr>
          <w:rFonts w:ascii="宋体" w:hAnsi="宋体"/>
          <w:color w:val="auto"/>
          <w:sz w:val="24"/>
          <w:szCs w:val="24"/>
          <w:highlight w:val="none"/>
          <w:lang w:val="zh-CN"/>
        </w:rPr>
      </w:pPr>
    </w:p>
    <w:p w14:paraId="1C0497C0">
      <w:pPr>
        <w:ind w:firstLine="482"/>
        <w:rPr>
          <w:rFonts w:ascii="黑体" w:eastAsia="黑体" w:cs="黑体"/>
          <w:b/>
          <w:bCs/>
          <w:color w:val="auto"/>
          <w:sz w:val="24"/>
          <w:szCs w:val="24"/>
          <w:highlight w:val="none"/>
          <w:u w:val="single"/>
          <w:lang w:val="zh-CN"/>
        </w:rPr>
      </w:pPr>
      <w:r>
        <w:rPr>
          <w:rFonts w:hint="eastAsia" w:ascii="黑体" w:eastAsia="黑体" w:cs="黑体"/>
          <w:b/>
          <w:bCs/>
          <w:color w:val="auto"/>
          <w:sz w:val="24"/>
          <w:szCs w:val="24"/>
          <w:highlight w:val="none"/>
          <w:lang w:val="zh-CN"/>
        </w:rPr>
        <w:t>投标人印刷体名称（加盖公章）：</w:t>
      </w:r>
      <w:r>
        <w:rPr>
          <w:rFonts w:ascii="黑体" w:eastAsia="黑体" w:cs="黑体"/>
          <w:b/>
          <w:bCs/>
          <w:color w:val="auto"/>
          <w:sz w:val="24"/>
          <w:szCs w:val="24"/>
          <w:highlight w:val="none"/>
          <w:u w:val="single"/>
          <w:lang w:val="zh-CN"/>
        </w:rPr>
        <w:t xml:space="preserve">                      </w:t>
      </w:r>
    </w:p>
    <w:p w14:paraId="2EE34F47">
      <w:pPr>
        <w:ind w:firstLine="480"/>
        <w:rPr>
          <w:rFonts w:ascii="宋体" w:cs="宋体"/>
          <w:color w:val="auto"/>
          <w:sz w:val="24"/>
          <w:szCs w:val="24"/>
          <w:highlight w:val="none"/>
          <w:u w:val="single"/>
          <w:lang w:val="zh-CN"/>
        </w:rPr>
      </w:pPr>
      <w:r>
        <w:rPr>
          <w:rFonts w:hint="eastAsia" w:ascii="宋体" w:cs="宋体"/>
          <w:color w:val="auto"/>
          <w:sz w:val="24"/>
          <w:szCs w:val="24"/>
          <w:highlight w:val="none"/>
          <w:lang w:val="zh-CN"/>
        </w:rPr>
        <w:t>地址：</w:t>
      </w:r>
      <w:r>
        <w:rPr>
          <w:rFonts w:ascii="宋体" w:cs="宋体"/>
          <w:color w:val="auto"/>
          <w:sz w:val="24"/>
          <w:szCs w:val="24"/>
          <w:highlight w:val="none"/>
          <w:u w:val="single"/>
          <w:lang w:val="zh-CN"/>
        </w:rPr>
        <w:t xml:space="preserve">                                       </w:t>
      </w:r>
    </w:p>
    <w:p w14:paraId="4DB015E3">
      <w:pPr>
        <w:ind w:firstLine="480"/>
        <w:rPr>
          <w:rFonts w:ascii="宋体" w:cs="宋体"/>
          <w:color w:val="auto"/>
          <w:sz w:val="24"/>
          <w:szCs w:val="24"/>
          <w:highlight w:val="none"/>
          <w:u w:val="single"/>
          <w:lang w:val="zh-CN"/>
        </w:rPr>
      </w:pPr>
      <w:r>
        <w:rPr>
          <w:rFonts w:hint="eastAsia" w:ascii="宋体" w:cs="宋体"/>
          <w:color w:val="auto"/>
          <w:sz w:val="24"/>
          <w:szCs w:val="24"/>
          <w:highlight w:val="none"/>
          <w:lang w:val="zh-CN"/>
        </w:rPr>
        <w:t>电话、传真或电传：</w:t>
      </w:r>
      <w:r>
        <w:rPr>
          <w:rFonts w:ascii="宋体" w:cs="宋体"/>
          <w:color w:val="auto"/>
          <w:sz w:val="24"/>
          <w:szCs w:val="24"/>
          <w:highlight w:val="none"/>
          <w:u w:val="single"/>
          <w:lang w:val="zh-CN"/>
        </w:rPr>
        <w:t xml:space="preserve">                           </w:t>
      </w:r>
    </w:p>
    <w:p w14:paraId="19F0235C">
      <w:pPr>
        <w:ind w:firstLine="480"/>
        <w:rPr>
          <w:rFonts w:ascii="宋体" w:cs="宋体"/>
          <w:color w:val="auto"/>
          <w:sz w:val="24"/>
          <w:szCs w:val="24"/>
          <w:highlight w:val="none"/>
          <w:u w:val="single"/>
          <w:lang w:val="zh-CN"/>
        </w:rPr>
      </w:pPr>
      <w:r>
        <w:rPr>
          <w:rFonts w:hint="eastAsia" w:ascii="宋体" w:cs="宋体"/>
          <w:color w:val="auto"/>
          <w:sz w:val="24"/>
          <w:szCs w:val="24"/>
          <w:highlight w:val="none"/>
          <w:lang w:val="zh-CN"/>
        </w:rPr>
        <w:t>邮政编码：</w:t>
      </w:r>
      <w:r>
        <w:rPr>
          <w:rFonts w:ascii="宋体" w:cs="宋体"/>
          <w:color w:val="auto"/>
          <w:sz w:val="24"/>
          <w:szCs w:val="24"/>
          <w:highlight w:val="none"/>
          <w:u w:val="single"/>
          <w:lang w:val="zh-CN"/>
        </w:rPr>
        <w:t xml:space="preserve">                                   </w:t>
      </w:r>
    </w:p>
    <w:p w14:paraId="3E9F6F49">
      <w:pPr>
        <w:ind w:firstLine="480"/>
        <w:rPr>
          <w:rFonts w:ascii="宋体"/>
          <w:color w:val="auto"/>
          <w:sz w:val="24"/>
          <w:szCs w:val="24"/>
          <w:highlight w:val="none"/>
          <w:lang w:val="zh-CN"/>
        </w:rPr>
      </w:pPr>
      <w:r>
        <w:rPr>
          <w:rFonts w:hint="eastAsia" w:ascii="宋体" w:cs="宋体"/>
          <w:color w:val="auto"/>
          <w:sz w:val="24"/>
          <w:szCs w:val="24"/>
          <w:highlight w:val="none"/>
          <w:lang w:val="zh-CN"/>
        </w:rPr>
        <w:t>日期：</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年</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月</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日</w:t>
      </w:r>
    </w:p>
    <w:p w14:paraId="43D23FC7">
      <w:pPr>
        <w:ind w:firstLine="480"/>
        <w:rPr>
          <w:rFonts w:ascii="宋体"/>
          <w:color w:val="auto"/>
          <w:sz w:val="24"/>
          <w:szCs w:val="24"/>
          <w:highlight w:val="none"/>
          <w:lang w:val="zh-CN"/>
        </w:rPr>
      </w:pPr>
    </w:p>
    <w:p w14:paraId="26CD25C8">
      <w:pPr>
        <w:rPr>
          <w:rFonts w:ascii="宋体"/>
          <w:color w:val="auto"/>
          <w:sz w:val="24"/>
          <w:szCs w:val="24"/>
          <w:highlight w:val="none"/>
          <w:lang w:val="zh-CN"/>
        </w:rPr>
      </w:pPr>
    </w:p>
    <w:p w14:paraId="376B7BCA">
      <w:pPr>
        <w:rPr>
          <w:rFonts w:hint="eastAsia" w:ascii="黑体" w:eastAsia="黑体" w:cs="黑体"/>
          <w:b/>
          <w:bCs/>
          <w:color w:val="auto"/>
          <w:sz w:val="24"/>
          <w:szCs w:val="24"/>
          <w:highlight w:val="none"/>
          <w:lang w:val="zh-CN"/>
        </w:rPr>
      </w:pPr>
    </w:p>
    <w:p w14:paraId="2C2EFD5E">
      <w:pPr>
        <w:rPr>
          <w:rFonts w:hint="eastAsia" w:ascii="黑体" w:eastAsia="黑体" w:cs="黑体"/>
          <w:b/>
          <w:bCs/>
          <w:color w:val="auto"/>
          <w:sz w:val="24"/>
          <w:szCs w:val="24"/>
          <w:highlight w:val="none"/>
          <w:lang w:val="zh-CN"/>
        </w:rPr>
      </w:pPr>
    </w:p>
    <w:p w14:paraId="792798FC">
      <w:pPr>
        <w:rPr>
          <w:rFonts w:ascii="黑体" w:eastAsia="黑体"/>
          <w:b/>
          <w:bCs/>
          <w:color w:val="auto"/>
          <w:sz w:val="24"/>
          <w:szCs w:val="24"/>
          <w:highlight w:val="none"/>
          <w:u w:val="single"/>
          <w:lang w:val="zh-CN"/>
        </w:rPr>
      </w:pPr>
      <w:r>
        <w:rPr>
          <w:rFonts w:hint="eastAsia" w:ascii="黑体" w:eastAsia="黑体" w:cs="黑体"/>
          <w:b/>
          <w:bCs/>
          <w:color w:val="auto"/>
          <w:sz w:val="24"/>
          <w:szCs w:val="24"/>
          <w:highlight w:val="none"/>
          <w:lang w:val="zh-CN"/>
        </w:rPr>
        <w:t>格式二、开标一览表</w:t>
      </w:r>
      <w:r>
        <w:rPr>
          <w:rFonts w:ascii="黑体" w:eastAsia="黑体" w:cs="黑体"/>
          <w:b/>
          <w:bCs/>
          <w:color w:val="auto"/>
          <w:sz w:val="24"/>
          <w:szCs w:val="24"/>
          <w:highlight w:val="none"/>
          <w:lang w:val="zh-CN"/>
        </w:rPr>
        <w:t xml:space="preserve"> </w:t>
      </w:r>
    </w:p>
    <w:p w14:paraId="488AB0B1">
      <w:pPr>
        <w:rPr>
          <w:rFonts w:ascii="宋体"/>
          <w:color w:val="auto"/>
          <w:sz w:val="24"/>
          <w:szCs w:val="24"/>
          <w:highlight w:val="none"/>
          <w:lang w:val="zh-CN"/>
        </w:rPr>
      </w:pPr>
    </w:p>
    <w:p w14:paraId="0B6F7436">
      <w:pPr>
        <w:rPr>
          <w:rFonts w:ascii="宋体"/>
          <w:color w:val="auto"/>
          <w:sz w:val="24"/>
          <w:szCs w:val="24"/>
          <w:highlight w:val="none"/>
          <w:lang w:val="zh-CN"/>
        </w:rPr>
      </w:pPr>
      <w:r>
        <w:rPr>
          <w:rFonts w:hint="eastAsia" w:ascii="宋体" w:cs="宋体"/>
          <w:color w:val="auto"/>
          <w:sz w:val="24"/>
          <w:szCs w:val="24"/>
          <w:highlight w:val="none"/>
          <w:lang w:val="zh-CN"/>
        </w:rPr>
        <w:t>项目名称：</w:t>
      </w:r>
    </w:p>
    <w:p w14:paraId="2DE05C26">
      <w:pPr>
        <w:rPr>
          <w:rFonts w:ascii="宋体"/>
          <w:color w:val="auto"/>
          <w:sz w:val="24"/>
          <w:szCs w:val="24"/>
          <w:highlight w:val="none"/>
          <w:lang w:val="zh-CN"/>
        </w:rPr>
      </w:pPr>
      <w:r>
        <w:rPr>
          <w:rFonts w:hint="eastAsia" w:ascii="宋体" w:cs="宋体"/>
          <w:color w:val="auto"/>
          <w:sz w:val="24"/>
          <w:szCs w:val="24"/>
          <w:highlight w:val="none"/>
          <w:lang w:val="zh-CN"/>
        </w:rPr>
        <w:t>投标人名称</w:t>
      </w:r>
      <w:r>
        <w:rPr>
          <w:rFonts w:hint="eastAsia" w:ascii="黑体" w:eastAsia="黑体" w:cs="黑体"/>
          <w:b/>
          <w:bCs/>
          <w:color w:val="auto"/>
          <w:sz w:val="24"/>
          <w:szCs w:val="24"/>
          <w:highlight w:val="none"/>
          <w:lang w:val="zh-CN"/>
        </w:rPr>
        <w:t>（加盖投标人公章）：</w:t>
      </w:r>
      <w:r>
        <w:rPr>
          <w:rFonts w:ascii="黑体" w:eastAsia="黑体" w:cs="黑体"/>
          <w:b/>
          <w:bCs/>
          <w:color w:val="auto"/>
          <w:sz w:val="24"/>
          <w:szCs w:val="24"/>
          <w:highlight w:val="none"/>
          <w:lang w:val="zh-CN"/>
        </w:rPr>
        <w:t xml:space="preserve"> </w:t>
      </w:r>
      <w:r>
        <w:rPr>
          <w:rFonts w:ascii="宋体" w:cs="宋体"/>
          <w:b/>
          <w:bCs/>
          <w:color w:val="auto"/>
          <w:highlight w:val="none"/>
          <w:lang w:val="zh-CN"/>
        </w:rPr>
        <w:t xml:space="preserve">  </w:t>
      </w:r>
      <w:r>
        <w:rPr>
          <w:rFonts w:ascii="宋体" w:cs="宋体"/>
          <w:color w:val="auto"/>
          <w:sz w:val="24"/>
          <w:szCs w:val="24"/>
          <w:highlight w:val="none"/>
          <w:lang w:val="zh-CN"/>
        </w:rPr>
        <w:t xml:space="preserve">        </w:t>
      </w:r>
      <w:r>
        <w:rPr>
          <w:rFonts w:hint="eastAsia" w:ascii="宋体" w:cs="宋体"/>
          <w:color w:val="auto"/>
          <w:sz w:val="24"/>
          <w:szCs w:val="24"/>
          <w:highlight w:val="none"/>
          <w:lang w:val="zh-CN"/>
        </w:rPr>
        <w:t xml:space="preserve">   </w:t>
      </w:r>
      <w:r>
        <w:rPr>
          <w:rFonts w:ascii="宋体" w:cs="宋体"/>
          <w:color w:val="auto"/>
          <w:sz w:val="24"/>
          <w:szCs w:val="24"/>
          <w:highlight w:val="none"/>
          <w:lang w:val="zh-CN"/>
        </w:rPr>
        <w:t xml:space="preserve"> </w:t>
      </w:r>
      <w:r>
        <w:rPr>
          <w:rFonts w:hint="eastAsia" w:ascii="宋体" w:cs="宋体"/>
          <w:color w:val="auto"/>
          <w:sz w:val="24"/>
          <w:szCs w:val="24"/>
          <w:highlight w:val="none"/>
          <w:lang w:val="zh-CN"/>
        </w:rPr>
        <w:t xml:space="preserve"> </w:t>
      </w:r>
      <w:r>
        <w:rPr>
          <w:rFonts w:ascii="宋体" w:cs="宋体"/>
          <w:color w:val="auto"/>
          <w:sz w:val="24"/>
          <w:szCs w:val="24"/>
          <w:highlight w:val="none"/>
          <w:lang w:val="zh-CN"/>
        </w:rPr>
        <w:t xml:space="preserve"> </w:t>
      </w:r>
      <w:r>
        <w:rPr>
          <w:rFonts w:hint="eastAsia" w:ascii="宋体" w:cs="宋体"/>
          <w:color w:val="auto"/>
          <w:sz w:val="24"/>
          <w:szCs w:val="24"/>
          <w:highlight w:val="none"/>
          <w:u w:val="single"/>
          <w:lang w:val="en-US" w:eastAsia="zh-CN"/>
        </w:rPr>
        <w:t xml:space="preserve">     </w:t>
      </w:r>
      <w:r>
        <w:rPr>
          <w:rFonts w:hint="eastAsia" w:ascii="宋体" w:cs="宋体"/>
          <w:color w:val="auto"/>
          <w:sz w:val="24"/>
          <w:szCs w:val="24"/>
          <w:highlight w:val="none"/>
          <w:lang w:val="zh-CN"/>
        </w:rPr>
        <w:t>年</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月</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日</w:t>
      </w:r>
    </w:p>
    <w:tbl>
      <w:tblPr>
        <w:tblStyle w:val="14"/>
        <w:tblpPr w:leftFromText="180" w:rightFromText="180" w:vertAnchor="text" w:horzAnchor="page" w:tblpX="1723" w:tblpY="534"/>
        <w:tblOverlap w:val="never"/>
        <w:tblW w:w="0" w:type="auto"/>
        <w:tblInd w:w="0" w:type="dxa"/>
        <w:tblLayout w:type="fixed"/>
        <w:tblCellMar>
          <w:top w:w="0" w:type="dxa"/>
          <w:left w:w="108" w:type="dxa"/>
          <w:bottom w:w="0" w:type="dxa"/>
          <w:right w:w="108" w:type="dxa"/>
        </w:tblCellMar>
      </w:tblPr>
      <w:tblGrid>
        <w:gridCol w:w="3860"/>
        <w:gridCol w:w="3871"/>
      </w:tblGrid>
      <w:tr w14:paraId="0850DC08">
        <w:tblPrEx>
          <w:tblCellMar>
            <w:top w:w="0" w:type="dxa"/>
            <w:left w:w="108" w:type="dxa"/>
            <w:bottom w:w="0" w:type="dxa"/>
            <w:right w:w="108" w:type="dxa"/>
          </w:tblCellMar>
        </w:tblPrEx>
        <w:trPr>
          <w:trHeight w:val="567" w:hRule="atLeast"/>
        </w:trPr>
        <w:tc>
          <w:tcPr>
            <w:tcW w:w="3860" w:type="dxa"/>
            <w:tcBorders>
              <w:top w:val="single" w:color="auto" w:sz="6" w:space="0"/>
              <w:left w:val="single" w:color="auto" w:sz="6" w:space="0"/>
              <w:bottom w:val="single" w:color="auto" w:sz="6" w:space="0"/>
              <w:right w:val="single" w:color="auto" w:sz="6" w:space="0"/>
            </w:tcBorders>
            <w:noWrap w:val="0"/>
            <w:vAlign w:val="center"/>
          </w:tcPr>
          <w:p w14:paraId="22B306D4">
            <w:pPr>
              <w:ind w:firstLine="600" w:firstLineChars="250"/>
              <w:rPr>
                <w:rFonts w:hint="eastAsia" w:ascii="宋体" w:eastAsia="宋体"/>
                <w:color w:val="auto"/>
                <w:sz w:val="24"/>
                <w:szCs w:val="24"/>
                <w:highlight w:val="none"/>
                <w:lang w:val="zh-CN" w:eastAsia="zh-CN"/>
              </w:rPr>
            </w:pPr>
            <w:r>
              <w:rPr>
                <w:rFonts w:hint="eastAsia" w:ascii="宋体" w:cs="宋体"/>
                <w:color w:val="auto"/>
                <w:sz w:val="24"/>
                <w:szCs w:val="24"/>
                <w:highlight w:val="none"/>
                <w:lang w:val="en-US" w:eastAsia="zh-CN"/>
              </w:rPr>
              <w:t>标题</w:t>
            </w:r>
          </w:p>
        </w:tc>
        <w:tc>
          <w:tcPr>
            <w:tcW w:w="3871" w:type="dxa"/>
            <w:tcBorders>
              <w:top w:val="single" w:color="auto" w:sz="6" w:space="0"/>
              <w:left w:val="single" w:color="auto" w:sz="6" w:space="0"/>
              <w:bottom w:val="single" w:color="auto" w:sz="6" w:space="0"/>
              <w:right w:val="single" w:color="auto" w:sz="6" w:space="0"/>
            </w:tcBorders>
            <w:noWrap w:val="0"/>
            <w:vAlign w:val="center"/>
          </w:tcPr>
          <w:p w14:paraId="5715B441">
            <w:pPr>
              <w:jc w:val="center"/>
              <w:rPr>
                <w:rFonts w:hint="eastAsia" w:ascii="宋体" w:eastAsia="宋体"/>
                <w:b/>
                <w:bCs/>
                <w:color w:val="auto"/>
                <w:sz w:val="24"/>
                <w:szCs w:val="24"/>
                <w:highlight w:val="none"/>
                <w:lang w:val="zh-CN" w:eastAsia="zh-CN"/>
              </w:rPr>
            </w:pPr>
            <w:r>
              <w:rPr>
                <w:rFonts w:hint="eastAsia" w:ascii="宋体" w:cs="宋体"/>
                <w:color w:val="auto"/>
                <w:sz w:val="24"/>
                <w:szCs w:val="24"/>
                <w:highlight w:val="none"/>
                <w:lang w:val="en-US" w:eastAsia="zh-CN"/>
              </w:rPr>
              <w:t>内容</w:t>
            </w:r>
          </w:p>
        </w:tc>
      </w:tr>
      <w:tr w14:paraId="64C06F9D">
        <w:tblPrEx>
          <w:tblCellMar>
            <w:top w:w="0" w:type="dxa"/>
            <w:left w:w="108" w:type="dxa"/>
            <w:bottom w:w="0" w:type="dxa"/>
            <w:right w:w="108" w:type="dxa"/>
          </w:tblCellMar>
        </w:tblPrEx>
        <w:trPr>
          <w:trHeight w:val="397" w:hRule="exact"/>
        </w:trPr>
        <w:tc>
          <w:tcPr>
            <w:tcW w:w="3860" w:type="dxa"/>
            <w:tcBorders>
              <w:top w:val="single" w:color="auto" w:sz="6" w:space="0"/>
              <w:left w:val="single" w:color="auto" w:sz="6" w:space="0"/>
              <w:bottom w:val="single" w:color="auto" w:sz="6" w:space="0"/>
              <w:right w:val="single" w:color="auto" w:sz="6" w:space="0"/>
            </w:tcBorders>
            <w:noWrap w:val="0"/>
            <w:vAlign w:val="top"/>
          </w:tcPr>
          <w:p w14:paraId="32B7A20B">
            <w:pPr>
              <w:rPr>
                <w:rFonts w:hint="eastAsia" w:ascii="宋体" w:eastAsia="宋体"/>
                <w:b/>
                <w:bCs/>
                <w:color w:val="auto"/>
                <w:sz w:val="22"/>
                <w:szCs w:val="22"/>
                <w:highlight w:val="none"/>
                <w:lang w:val="en-US" w:eastAsia="zh-CN"/>
              </w:rPr>
            </w:pPr>
            <w:r>
              <w:rPr>
                <w:rFonts w:hint="eastAsia" w:ascii="宋体"/>
                <w:b/>
                <w:bCs/>
                <w:color w:val="auto"/>
                <w:sz w:val="22"/>
                <w:szCs w:val="22"/>
                <w:highlight w:val="none"/>
                <w:lang w:val="en-US" w:eastAsia="zh-CN"/>
              </w:rPr>
              <w:t>投标总价</w:t>
            </w:r>
          </w:p>
        </w:tc>
        <w:tc>
          <w:tcPr>
            <w:tcW w:w="3871" w:type="dxa"/>
            <w:tcBorders>
              <w:top w:val="single" w:color="auto" w:sz="6" w:space="0"/>
              <w:left w:val="single" w:color="auto" w:sz="6" w:space="0"/>
              <w:bottom w:val="single" w:color="auto" w:sz="6" w:space="0"/>
              <w:right w:val="single" w:color="auto" w:sz="6" w:space="0"/>
            </w:tcBorders>
            <w:noWrap w:val="0"/>
            <w:vAlign w:val="top"/>
          </w:tcPr>
          <w:p w14:paraId="7287F4E3">
            <w:pPr>
              <w:rPr>
                <w:rFonts w:hint="eastAsia" w:ascii="宋体" w:eastAsia="宋体"/>
                <w:b/>
                <w:bCs/>
                <w:color w:val="auto"/>
                <w:sz w:val="22"/>
                <w:szCs w:val="22"/>
                <w:highlight w:val="none"/>
                <w:lang w:val="en-US" w:eastAsia="zh-CN"/>
              </w:rPr>
            </w:pPr>
            <w:r>
              <w:rPr>
                <w:rFonts w:hint="eastAsia" w:ascii="宋体"/>
                <w:b/>
                <w:bCs/>
                <w:color w:val="auto"/>
                <w:sz w:val="22"/>
                <w:szCs w:val="22"/>
                <w:highlight w:val="none"/>
                <w:lang w:val="en-US" w:eastAsia="zh-CN"/>
              </w:rPr>
              <w:t xml:space="preserve">               元</w:t>
            </w:r>
          </w:p>
        </w:tc>
      </w:tr>
      <w:tr w14:paraId="3B8E2857">
        <w:tblPrEx>
          <w:tblCellMar>
            <w:top w:w="0" w:type="dxa"/>
            <w:left w:w="108" w:type="dxa"/>
            <w:bottom w:w="0" w:type="dxa"/>
            <w:right w:w="108" w:type="dxa"/>
          </w:tblCellMar>
        </w:tblPrEx>
        <w:trPr>
          <w:trHeight w:val="397" w:hRule="exact"/>
        </w:trPr>
        <w:tc>
          <w:tcPr>
            <w:tcW w:w="3860" w:type="dxa"/>
            <w:tcBorders>
              <w:top w:val="single" w:color="auto" w:sz="6" w:space="0"/>
              <w:left w:val="single" w:color="auto" w:sz="6" w:space="0"/>
              <w:bottom w:val="single" w:color="auto" w:sz="6" w:space="0"/>
              <w:right w:val="single" w:color="auto" w:sz="6" w:space="0"/>
            </w:tcBorders>
            <w:noWrap w:val="0"/>
            <w:vAlign w:val="top"/>
          </w:tcPr>
          <w:p w14:paraId="1113AF79">
            <w:pPr>
              <w:rPr>
                <w:rFonts w:hint="eastAsia" w:eastAsia="宋体"/>
                <w:b/>
                <w:bCs/>
                <w:color w:val="auto"/>
                <w:sz w:val="22"/>
                <w:szCs w:val="22"/>
                <w:highlight w:val="none"/>
                <w:lang w:val="en-US" w:eastAsia="zh-CN"/>
              </w:rPr>
            </w:pPr>
            <w:r>
              <w:rPr>
                <w:rFonts w:hint="eastAsia"/>
                <w:b/>
                <w:bCs/>
                <w:color w:val="auto"/>
                <w:sz w:val="22"/>
                <w:szCs w:val="22"/>
                <w:highlight w:val="none"/>
                <w:lang w:val="en-US" w:eastAsia="zh-CN"/>
              </w:rPr>
              <w:t>交货时间</w:t>
            </w:r>
          </w:p>
        </w:tc>
        <w:tc>
          <w:tcPr>
            <w:tcW w:w="3871" w:type="dxa"/>
            <w:tcBorders>
              <w:top w:val="single" w:color="auto" w:sz="6" w:space="0"/>
              <w:left w:val="single" w:color="auto" w:sz="6" w:space="0"/>
              <w:bottom w:val="single" w:color="auto" w:sz="6" w:space="0"/>
              <w:right w:val="single" w:color="auto" w:sz="6" w:space="0"/>
            </w:tcBorders>
            <w:noWrap w:val="0"/>
            <w:vAlign w:val="top"/>
          </w:tcPr>
          <w:p w14:paraId="5D50C03B">
            <w:pPr>
              <w:rPr>
                <w:rFonts w:hint="default" w:ascii="宋体" w:eastAsia="宋体"/>
                <w:b/>
                <w:bCs/>
                <w:color w:val="auto"/>
                <w:sz w:val="22"/>
                <w:szCs w:val="22"/>
                <w:highlight w:val="none"/>
                <w:lang w:val="en-US" w:eastAsia="zh-CN"/>
              </w:rPr>
            </w:pPr>
            <w:r>
              <w:rPr>
                <w:rFonts w:hint="eastAsia" w:ascii="宋体"/>
                <w:b/>
                <w:bCs/>
                <w:color w:val="auto"/>
                <w:sz w:val="22"/>
                <w:szCs w:val="22"/>
                <w:highlight w:val="none"/>
                <w:lang w:val="en-US" w:eastAsia="zh-CN"/>
              </w:rPr>
              <w:t xml:space="preserve">           </w:t>
            </w:r>
          </w:p>
        </w:tc>
      </w:tr>
      <w:tr w14:paraId="4B9F7E29">
        <w:tblPrEx>
          <w:tblCellMar>
            <w:top w:w="0" w:type="dxa"/>
            <w:left w:w="108" w:type="dxa"/>
            <w:bottom w:w="0" w:type="dxa"/>
            <w:right w:w="108" w:type="dxa"/>
          </w:tblCellMar>
        </w:tblPrEx>
        <w:trPr>
          <w:trHeight w:val="397" w:hRule="exact"/>
        </w:trPr>
        <w:tc>
          <w:tcPr>
            <w:tcW w:w="3860" w:type="dxa"/>
            <w:tcBorders>
              <w:top w:val="single" w:color="auto" w:sz="6" w:space="0"/>
              <w:left w:val="single" w:color="auto" w:sz="6" w:space="0"/>
              <w:bottom w:val="single" w:color="auto" w:sz="6" w:space="0"/>
              <w:right w:val="single" w:color="auto" w:sz="6" w:space="0"/>
            </w:tcBorders>
            <w:noWrap w:val="0"/>
            <w:vAlign w:val="top"/>
          </w:tcPr>
          <w:p w14:paraId="358AA42A">
            <w:pPr>
              <w:rPr>
                <w:rFonts w:hint="eastAsia" w:eastAsia="宋体"/>
                <w:b/>
                <w:bCs/>
                <w:color w:val="auto"/>
                <w:sz w:val="22"/>
                <w:szCs w:val="22"/>
                <w:highlight w:val="none"/>
                <w:lang w:val="en-US" w:eastAsia="zh-CN"/>
              </w:rPr>
            </w:pPr>
            <w:r>
              <w:rPr>
                <w:rFonts w:hint="eastAsia"/>
                <w:b/>
                <w:bCs/>
                <w:color w:val="auto"/>
                <w:sz w:val="22"/>
                <w:szCs w:val="22"/>
                <w:highlight w:val="none"/>
                <w:lang w:val="en-US" w:eastAsia="zh-CN"/>
              </w:rPr>
              <w:t>投标保证金</w:t>
            </w:r>
          </w:p>
        </w:tc>
        <w:tc>
          <w:tcPr>
            <w:tcW w:w="3871" w:type="dxa"/>
            <w:tcBorders>
              <w:top w:val="single" w:color="auto" w:sz="6" w:space="0"/>
              <w:left w:val="single" w:color="auto" w:sz="6" w:space="0"/>
              <w:bottom w:val="single" w:color="auto" w:sz="6" w:space="0"/>
              <w:right w:val="single" w:color="auto" w:sz="6" w:space="0"/>
            </w:tcBorders>
            <w:noWrap w:val="0"/>
            <w:vAlign w:val="top"/>
          </w:tcPr>
          <w:p w14:paraId="037C79EE">
            <w:pPr>
              <w:rPr>
                <w:rFonts w:hint="eastAsia" w:ascii="宋体" w:eastAsia="宋体"/>
                <w:b/>
                <w:bCs/>
                <w:color w:val="auto"/>
                <w:sz w:val="22"/>
                <w:szCs w:val="22"/>
                <w:highlight w:val="none"/>
                <w:lang w:val="en-US" w:eastAsia="zh-CN"/>
              </w:rPr>
            </w:pPr>
            <w:r>
              <w:rPr>
                <w:rFonts w:hint="eastAsia" w:ascii="宋体"/>
                <w:b/>
                <w:bCs/>
                <w:color w:val="auto"/>
                <w:sz w:val="22"/>
                <w:szCs w:val="22"/>
                <w:highlight w:val="none"/>
                <w:lang w:val="en-US" w:eastAsia="zh-CN"/>
              </w:rPr>
              <w:t xml:space="preserve">               元</w:t>
            </w:r>
          </w:p>
        </w:tc>
      </w:tr>
    </w:tbl>
    <w:p w14:paraId="1436D321">
      <w:pPr>
        <w:rPr>
          <w:rFonts w:hint="eastAsia" w:ascii="宋体" w:cs="宋体"/>
          <w:b/>
          <w:bCs/>
          <w:color w:val="auto"/>
          <w:sz w:val="24"/>
          <w:szCs w:val="24"/>
          <w:highlight w:val="none"/>
          <w:lang w:val="zh-CN"/>
        </w:rPr>
      </w:pPr>
    </w:p>
    <w:p w14:paraId="691AF620">
      <w:pPr>
        <w:rPr>
          <w:rFonts w:hint="eastAsia" w:ascii="宋体" w:hAnsi="宋体" w:cs="宋体"/>
          <w:b/>
          <w:bCs/>
          <w:color w:val="auto"/>
          <w:sz w:val="24"/>
          <w:szCs w:val="24"/>
          <w:highlight w:val="none"/>
          <w:lang w:val="zh-CN"/>
        </w:rPr>
      </w:pPr>
    </w:p>
    <w:p w14:paraId="0225078C">
      <w:pPr>
        <w:rPr>
          <w:rFonts w:hint="eastAsia" w:ascii="宋体" w:hAnsi="宋体" w:cs="宋体"/>
          <w:b/>
          <w:bCs/>
          <w:color w:val="auto"/>
          <w:sz w:val="24"/>
          <w:szCs w:val="24"/>
          <w:highlight w:val="none"/>
          <w:lang w:val="zh-CN"/>
        </w:rPr>
      </w:pPr>
    </w:p>
    <w:p w14:paraId="76A77404">
      <w:pPr>
        <w:rPr>
          <w:rFonts w:hint="eastAsia" w:ascii="宋体" w:hAnsi="宋体" w:cs="宋体"/>
          <w:b/>
          <w:bCs/>
          <w:color w:val="auto"/>
          <w:sz w:val="24"/>
          <w:szCs w:val="24"/>
          <w:highlight w:val="none"/>
          <w:lang w:val="zh-CN"/>
        </w:rPr>
      </w:pPr>
    </w:p>
    <w:p w14:paraId="2113DFDC">
      <w:pPr>
        <w:rPr>
          <w:rFonts w:hint="eastAsia" w:ascii="宋体" w:hAnsi="宋体" w:cs="宋体"/>
          <w:b/>
          <w:bCs/>
          <w:color w:val="auto"/>
          <w:sz w:val="24"/>
          <w:szCs w:val="24"/>
          <w:highlight w:val="none"/>
          <w:lang w:val="zh-CN"/>
        </w:rPr>
      </w:pPr>
    </w:p>
    <w:p w14:paraId="0186F7D3">
      <w:pPr>
        <w:rPr>
          <w:rFonts w:hint="eastAsia" w:ascii="宋体" w:hAnsi="宋体" w:cs="宋体"/>
          <w:b/>
          <w:bCs/>
          <w:color w:val="auto"/>
          <w:sz w:val="24"/>
          <w:szCs w:val="24"/>
          <w:highlight w:val="none"/>
          <w:lang w:val="zh-CN"/>
        </w:rPr>
      </w:pPr>
    </w:p>
    <w:p w14:paraId="53260038">
      <w:pPr>
        <w:rPr>
          <w:rFonts w:hint="eastAsia" w:ascii="宋体" w:hAnsi="宋体" w:cs="宋体"/>
          <w:b/>
          <w:bCs/>
          <w:color w:val="auto"/>
          <w:sz w:val="24"/>
          <w:szCs w:val="24"/>
          <w:highlight w:val="none"/>
          <w:lang w:val="zh-CN"/>
        </w:rPr>
      </w:pPr>
    </w:p>
    <w:p w14:paraId="039D6029">
      <w:pPr>
        <w:rPr>
          <w:rFonts w:ascii="宋体" w:hAnsi="宋体"/>
          <w:b/>
          <w:bCs/>
          <w:color w:val="auto"/>
          <w:sz w:val="24"/>
          <w:szCs w:val="24"/>
          <w:highlight w:val="none"/>
          <w:lang w:val="zh-CN"/>
        </w:rPr>
      </w:pPr>
      <w:r>
        <w:rPr>
          <w:rFonts w:hint="eastAsia" w:ascii="宋体" w:hAnsi="宋体" w:cs="宋体"/>
          <w:b/>
          <w:bCs/>
          <w:color w:val="auto"/>
          <w:sz w:val="24"/>
          <w:szCs w:val="24"/>
          <w:highlight w:val="none"/>
          <w:lang w:val="zh-CN"/>
        </w:rPr>
        <w:t>投标要求：</w:t>
      </w:r>
    </w:p>
    <w:p w14:paraId="4FC9D640">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w:t>
      </w:r>
      <w:r>
        <w:rPr>
          <w:rFonts w:ascii="宋体" w:hAnsi="宋体"/>
          <w:color w:val="auto"/>
          <w:sz w:val="24"/>
          <w:szCs w:val="24"/>
          <w:highlight w:val="none"/>
        </w:rPr>
        <w:t>“</w:t>
      </w:r>
      <w:r>
        <w:rPr>
          <w:rFonts w:hint="eastAsia" w:ascii="宋体" w:hAnsi="宋体" w:cs="宋体"/>
          <w:color w:val="auto"/>
          <w:sz w:val="24"/>
          <w:szCs w:val="24"/>
          <w:highlight w:val="none"/>
          <w:lang w:val="zh-CN"/>
        </w:rPr>
        <w:t>开标一览表</w:t>
      </w:r>
      <w:r>
        <w:rPr>
          <w:rFonts w:ascii="宋体" w:hAnsi="宋体"/>
          <w:color w:val="auto"/>
          <w:sz w:val="24"/>
          <w:szCs w:val="24"/>
          <w:highlight w:val="none"/>
        </w:rPr>
        <w:t>”</w:t>
      </w:r>
      <w:r>
        <w:rPr>
          <w:rFonts w:hint="eastAsia" w:ascii="宋体" w:hAnsi="宋体" w:cs="宋体"/>
          <w:color w:val="auto"/>
          <w:sz w:val="24"/>
          <w:szCs w:val="24"/>
          <w:highlight w:val="none"/>
          <w:lang w:val="zh-CN"/>
        </w:rPr>
        <w:t>用于开标时唱标使用。</w:t>
      </w:r>
    </w:p>
    <w:p w14:paraId="413E02B3">
      <w:pPr>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w:t>
      </w:r>
      <w:r>
        <w:rPr>
          <w:rFonts w:ascii="宋体" w:hAnsi="宋体" w:cs="宋体"/>
          <w:color w:val="auto"/>
          <w:sz w:val="24"/>
          <w:szCs w:val="24"/>
          <w:highlight w:val="none"/>
          <w:lang w:val="zh-CN"/>
        </w:rPr>
        <w:t>.</w:t>
      </w:r>
      <w:r>
        <w:rPr>
          <w:rFonts w:ascii="宋体" w:hAnsi="宋体"/>
          <w:color w:val="auto"/>
          <w:sz w:val="24"/>
          <w:szCs w:val="24"/>
          <w:highlight w:val="none"/>
        </w:rPr>
        <w:t>“</w:t>
      </w:r>
      <w:r>
        <w:rPr>
          <w:rFonts w:hint="eastAsia" w:ascii="宋体" w:hAnsi="宋体" w:cs="宋体"/>
          <w:color w:val="auto"/>
          <w:sz w:val="24"/>
          <w:szCs w:val="24"/>
          <w:highlight w:val="none"/>
          <w:lang w:val="zh-CN"/>
        </w:rPr>
        <w:t>开标一览表</w:t>
      </w:r>
      <w:r>
        <w:rPr>
          <w:rFonts w:ascii="宋体" w:hAnsi="宋体"/>
          <w:color w:val="auto"/>
          <w:sz w:val="24"/>
          <w:szCs w:val="24"/>
          <w:highlight w:val="none"/>
        </w:rPr>
        <w:t>”</w:t>
      </w:r>
      <w:r>
        <w:rPr>
          <w:rFonts w:hint="eastAsia" w:ascii="宋体" w:hAnsi="宋体" w:cs="宋体"/>
          <w:color w:val="auto"/>
          <w:sz w:val="24"/>
          <w:szCs w:val="24"/>
          <w:highlight w:val="none"/>
          <w:lang w:val="zh-CN"/>
        </w:rPr>
        <w:t>的内容应与</w:t>
      </w:r>
      <w:r>
        <w:rPr>
          <w:rFonts w:ascii="宋体" w:hAnsi="宋体"/>
          <w:color w:val="auto"/>
          <w:sz w:val="24"/>
          <w:szCs w:val="24"/>
          <w:highlight w:val="none"/>
        </w:rPr>
        <w:t>“</w:t>
      </w:r>
      <w:r>
        <w:rPr>
          <w:rFonts w:hint="eastAsia" w:ascii="宋体" w:hAnsi="宋体" w:cs="宋体"/>
          <w:color w:val="auto"/>
          <w:sz w:val="24"/>
          <w:szCs w:val="24"/>
          <w:highlight w:val="none"/>
          <w:lang w:val="zh-CN"/>
        </w:rPr>
        <w:t>投标报价明细表</w:t>
      </w:r>
      <w:r>
        <w:rPr>
          <w:rFonts w:ascii="宋体" w:hAnsi="宋体"/>
          <w:color w:val="auto"/>
          <w:sz w:val="24"/>
          <w:szCs w:val="24"/>
          <w:highlight w:val="none"/>
        </w:rPr>
        <w:t>”</w:t>
      </w:r>
      <w:r>
        <w:rPr>
          <w:rFonts w:hint="eastAsia" w:ascii="宋体" w:hAnsi="宋体" w:cs="宋体"/>
          <w:color w:val="auto"/>
          <w:sz w:val="24"/>
          <w:szCs w:val="24"/>
          <w:highlight w:val="none"/>
          <w:lang w:val="zh-CN"/>
        </w:rPr>
        <w:t>以及投标文件的其他相关内容一致。</w:t>
      </w:r>
    </w:p>
    <w:p w14:paraId="5BEBF2DD">
      <w:pPr>
        <w:ind w:firstLine="480"/>
        <w:rPr>
          <w:rFonts w:hint="eastAsia" w:ascii="宋体" w:hAnsi="宋体" w:cs="宋体"/>
          <w:b/>
          <w:bCs/>
          <w:color w:val="auto"/>
          <w:sz w:val="24"/>
          <w:szCs w:val="24"/>
          <w:highlight w:val="none"/>
          <w:lang w:val="zh-CN"/>
        </w:rPr>
      </w:pPr>
      <w:r>
        <w:rPr>
          <w:rFonts w:hint="eastAsia" w:ascii="宋体" w:hAnsi="宋体" w:cs="宋体"/>
          <w:color w:val="auto"/>
          <w:sz w:val="24"/>
          <w:szCs w:val="24"/>
          <w:highlight w:val="none"/>
          <w:lang w:val="zh-CN"/>
        </w:rPr>
        <w:t>3.</w:t>
      </w:r>
      <w:r>
        <w:rPr>
          <w:rFonts w:ascii="宋体" w:hAnsi="宋体"/>
          <w:color w:val="auto"/>
          <w:sz w:val="24"/>
          <w:szCs w:val="24"/>
          <w:highlight w:val="none"/>
        </w:rPr>
        <w:t>“</w:t>
      </w:r>
      <w:r>
        <w:rPr>
          <w:rFonts w:hint="eastAsia" w:ascii="宋体" w:hAnsi="宋体" w:cs="宋体"/>
          <w:color w:val="auto"/>
          <w:sz w:val="24"/>
          <w:szCs w:val="24"/>
          <w:highlight w:val="none"/>
          <w:lang w:val="zh-CN"/>
        </w:rPr>
        <w:t>开标一览表</w:t>
      </w:r>
      <w:r>
        <w:rPr>
          <w:rFonts w:ascii="宋体" w:hAnsi="宋体"/>
          <w:color w:val="auto"/>
          <w:sz w:val="24"/>
          <w:szCs w:val="24"/>
          <w:highlight w:val="none"/>
        </w:rPr>
        <w:t>”</w:t>
      </w:r>
      <w:r>
        <w:rPr>
          <w:rFonts w:hint="eastAsia" w:ascii="宋体" w:hAnsi="宋体" w:cs="宋体"/>
          <w:color w:val="auto"/>
          <w:sz w:val="24"/>
          <w:szCs w:val="24"/>
          <w:highlight w:val="none"/>
          <w:lang w:val="zh-CN"/>
        </w:rPr>
        <w:t>中各个栏目都必须完整、准确填写。</w:t>
      </w:r>
      <w:r>
        <w:rPr>
          <w:rFonts w:hint="eastAsia" w:ascii="宋体" w:hAnsi="宋体" w:cs="宋体"/>
          <w:b/>
          <w:bCs/>
          <w:color w:val="auto"/>
          <w:sz w:val="24"/>
          <w:szCs w:val="24"/>
          <w:highlight w:val="none"/>
          <w:lang w:val="zh-CN"/>
        </w:rPr>
        <w:t>开标时，</w:t>
      </w:r>
      <w:r>
        <w:rPr>
          <w:rFonts w:ascii="宋体" w:hAnsi="宋体"/>
          <w:b/>
          <w:bCs/>
          <w:color w:val="auto"/>
          <w:sz w:val="24"/>
          <w:szCs w:val="24"/>
          <w:highlight w:val="none"/>
        </w:rPr>
        <w:t>“</w:t>
      </w:r>
      <w:r>
        <w:rPr>
          <w:rFonts w:hint="eastAsia" w:ascii="宋体" w:hAnsi="宋体" w:cs="宋体"/>
          <w:b/>
          <w:bCs/>
          <w:color w:val="auto"/>
          <w:sz w:val="24"/>
          <w:szCs w:val="24"/>
          <w:highlight w:val="none"/>
          <w:lang w:val="zh-CN"/>
        </w:rPr>
        <w:t>开标一览表</w:t>
      </w:r>
      <w:r>
        <w:rPr>
          <w:rFonts w:ascii="宋体" w:hAnsi="宋体"/>
          <w:b/>
          <w:bCs/>
          <w:color w:val="auto"/>
          <w:sz w:val="24"/>
          <w:szCs w:val="24"/>
          <w:highlight w:val="none"/>
        </w:rPr>
        <w:t>”</w:t>
      </w:r>
      <w:r>
        <w:rPr>
          <w:rFonts w:hint="eastAsia" w:ascii="宋体" w:hAnsi="宋体" w:cs="宋体"/>
          <w:b/>
          <w:bCs/>
          <w:color w:val="auto"/>
          <w:sz w:val="24"/>
          <w:szCs w:val="24"/>
          <w:highlight w:val="none"/>
          <w:lang w:val="zh-CN"/>
        </w:rPr>
        <w:t>的所有内容都不允许补充或者修改。</w:t>
      </w:r>
    </w:p>
    <w:p w14:paraId="4CEEA008">
      <w:pPr>
        <w:rPr>
          <w:rFonts w:ascii="宋体"/>
          <w:b/>
          <w:bCs/>
          <w:color w:val="auto"/>
          <w:sz w:val="24"/>
          <w:szCs w:val="24"/>
          <w:highlight w:val="none"/>
          <w:lang w:val="zh-CN"/>
        </w:rPr>
      </w:pPr>
    </w:p>
    <w:p w14:paraId="4BD49C8A">
      <w:pPr>
        <w:pStyle w:val="5"/>
        <w:rPr>
          <w:color w:val="auto"/>
          <w:highlight w:val="none"/>
          <w:lang w:val="zh-CN"/>
        </w:rPr>
      </w:pPr>
    </w:p>
    <w:p w14:paraId="31B62F6A">
      <w:pPr>
        <w:rPr>
          <w:color w:val="auto"/>
          <w:highlight w:val="none"/>
          <w:lang w:val="zh-CN"/>
        </w:rPr>
      </w:pPr>
    </w:p>
    <w:p w14:paraId="4E949A6A">
      <w:pPr>
        <w:rPr>
          <w:color w:val="auto"/>
          <w:highlight w:val="none"/>
          <w:lang w:val="zh-CN"/>
        </w:rPr>
      </w:pPr>
    </w:p>
    <w:p w14:paraId="67D21D74">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cs="宋体"/>
          <w:b/>
          <w:bCs/>
          <w:color w:val="auto"/>
          <w:sz w:val="24"/>
          <w:szCs w:val="24"/>
          <w:highlight w:val="none"/>
          <w:lang w:val="zh-CN"/>
        </w:rPr>
      </w:pPr>
      <w:r>
        <w:rPr>
          <w:rFonts w:hint="eastAsia" w:ascii="黑体" w:eastAsia="黑体" w:cs="黑体"/>
          <w:b/>
          <w:bCs/>
          <w:color w:val="auto"/>
          <w:sz w:val="24"/>
          <w:szCs w:val="24"/>
          <w:highlight w:val="none"/>
          <w:lang w:val="zh-CN"/>
        </w:rPr>
        <w:t>格式三、</w:t>
      </w:r>
      <w:r>
        <w:rPr>
          <w:rFonts w:hint="eastAsia" w:ascii="宋体" w:hAnsi="宋体" w:cs="宋体"/>
          <w:b/>
          <w:bCs/>
          <w:color w:val="auto"/>
          <w:sz w:val="24"/>
          <w:szCs w:val="24"/>
          <w:highlight w:val="none"/>
          <w:lang w:val="zh-CN"/>
        </w:rPr>
        <w:t>投标报价明细表</w:t>
      </w:r>
    </w:p>
    <w:p w14:paraId="52C464DD">
      <w:pPr>
        <w:ind w:firstLine="482" w:firstLineChars="200"/>
        <w:rPr>
          <w:rFonts w:hint="eastAsia" w:ascii="宋体" w:hAnsi="宋体"/>
          <w:b/>
          <w:color w:val="auto"/>
          <w:sz w:val="24"/>
          <w:szCs w:val="24"/>
          <w:highlight w:val="none"/>
        </w:rPr>
      </w:pPr>
    </w:p>
    <w:p w14:paraId="2344AC17">
      <w:pPr>
        <w:rPr>
          <w:rFonts w:ascii="宋体"/>
          <w:color w:val="auto"/>
          <w:sz w:val="24"/>
          <w:szCs w:val="24"/>
          <w:highlight w:val="none"/>
          <w:lang w:val="zh-CN"/>
        </w:rPr>
      </w:pPr>
      <w:r>
        <w:rPr>
          <w:rFonts w:hint="eastAsia" w:ascii="宋体" w:cs="宋体"/>
          <w:color w:val="auto"/>
          <w:sz w:val="24"/>
          <w:szCs w:val="24"/>
          <w:highlight w:val="none"/>
          <w:lang w:val="zh-CN"/>
        </w:rPr>
        <w:t>项目名称：</w:t>
      </w:r>
    </w:p>
    <w:p w14:paraId="1A3D690C">
      <w:pPr>
        <w:rPr>
          <w:rFonts w:ascii="宋体"/>
          <w:color w:val="auto"/>
          <w:sz w:val="24"/>
          <w:szCs w:val="24"/>
          <w:highlight w:val="none"/>
          <w:lang w:val="zh-CN"/>
        </w:rPr>
      </w:pPr>
      <w:r>
        <w:rPr>
          <w:rFonts w:hint="eastAsia" w:ascii="宋体" w:cs="宋体"/>
          <w:color w:val="auto"/>
          <w:sz w:val="24"/>
          <w:szCs w:val="24"/>
          <w:highlight w:val="none"/>
          <w:lang w:val="zh-CN"/>
        </w:rPr>
        <w:t>投标人名称</w:t>
      </w:r>
      <w:r>
        <w:rPr>
          <w:rFonts w:hint="eastAsia" w:ascii="黑体" w:eastAsia="黑体" w:cs="黑体"/>
          <w:b/>
          <w:bCs/>
          <w:color w:val="auto"/>
          <w:sz w:val="24"/>
          <w:szCs w:val="24"/>
          <w:highlight w:val="none"/>
          <w:lang w:val="zh-CN"/>
        </w:rPr>
        <w:t>（加盖投标人公章）：</w:t>
      </w:r>
      <w:r>
        <w:rPr>
          <w:rFonts w:ascii="宋体" w:cs="宋体"/>
          <w:color w:val="auto"/>
          <w:sz w:val="24"/>
          <w:szCs w:val="24"/>
          <w:highlight w:val="none"/>
          <w:lang w:val="zh-CN"/>
        </w:rPr>
        <w:t xml:space="preserve">            </w:t>
      </w:r>
      <w:r>
        <w:rPr>
          <w:rFonts w:hint="eastAsia" w:ascii="宋体" w:cs="宋体"/>
          <w:color w:val="auto"/>
          <w:sz w:val="24"/>
          <w:szCs w:val="24"/>
          <w:highlight w:val="none"/>
          <w:lang w:val="zh-CN"/>
        </w:rPr>
        <w:t xml:space="preserve">    </w:t>
      </w:r>
      <w:r>
        <w:rPr>
          <w:rFonts w:ascii="宋体" w:cs="宋体"/>
          <w:color w:val="auto"/>
          <w:sz w:val="24"/>
          <w:szCs w:val="24"/>
          <w:highlight w:val="none"/>
          <w:lang w:val="zh-CN"/>
        </w:rPr>
        <w:t xml:space="preserve">       </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年</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月</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日</w:t>
      </w:r>
    </w:p>
    <w:tbl>
      <w:tblPr>
        <w:tblStyle w:val="14"/>
        <w:tblW w:w="10359" w:type="dxa"/>
        <w:jc w:val="center"/>
        <w:tblLayout w:type="fixed"/>
        <w:tblCellMar>
          <w:top w:w="0" w:type="dxa"/>
          <w:left w:w="108" w:type="dxa"/>
          <w:bottom w:w="0" w:type="dxa"/>
          <w:right w:w="108" w:type="dxa"/>
        </w:tblCellMar>
      </w:tblPr>
      <w:tblGrid>
        <w:gridCol w:w="665"/>
        <w:gridCol w:w="719"/>
        <w:gridCol w:w="851"/>
        <w:gridCol w:w="141"/>
        <w:gridCol w:w="993"/>
        <w:gridCol w:w="1134"/>
        <w:gridCol w:w="1134"/>
        <w:gridCol w:w="850"/>
        <w:gridCol w:w="690"/>
        <w:gridCol w:w="782"/>
        <w:gridCol w:w="782"/>
        <w:gridCol w:w="986"/>
        <w:gridCol w:w="632"/>
      </w:tblGrid>
      <w:tr w14:paraId="56BFD1CE">
        <w:tblPrEx>
          <w:tblCellMar>
            <w:top w:w="0" w:type="dxa"/>
            <w:left w:w="108" w:type="dxa"/>
            <w:bottom w:w="0" w:type="dxa"/>
            <w:right w:w="108" w:type="dxa"/>
          </w:tblCellMar>
        </w:tblPrEx>
        <w:trPr>
          <w:trHeight w:val="567" w:hRule="atLeast"/>
          <w:jc w:val="center"/>
        </w:trPr>
        <w:tc>
          <w:tcPr>
            <w:tcW w:w="665" w:type="dxa"/>
            <w:tcBorders>
              <w:top w:val="single" w:color="auto" w:sz="6" w:space="0"/>
              <w:left w:val="single" w:color="auto" w:sz="6" w:space="0"/>
              <w:bottom w:val="single" w:color="auto" w:sz="6" w:space="0"/>
              <w:right w:val="single" w:color="auto" w:sz="6" w:space="0"/>
            </w:tcBorders>
            <w:noWrap w:val="0"/>
            <w:vAlign w:val="center"/>
          </w:tcPr>
          <w:p w14:paraId="4A3C429A">
            <w:pPr>
              <w:jc w:val="center"/>
              <w:rPr>
                <w:rFonts w:ascii="宋体"/>
                <w:b/>
                <w:bCs/>
                <w:color w:val="auto"/>
                <w:sz w:val="21"/>
                <w:szCs w:val="21"/>
                <w:highlight w:val="none"/>
                <w:lang w:val="zh-CN"/>
              </w:rPr>
            </w:pPr>
            <w:r>
              <w:rPr>
                <w:rFonts w:hint="eastAsia" w:ascii="宋体" w:cs="宋体"/>
                <w:b/>
                <w:bCs/>
                <w:color w:val="auto"/>
                <w:sz w:val="21"/>
                <w:szCs w:val="21"/>
                <w:highlight w:val="none"/>
                <w:lang w:val="zh-CN"/>
              </w:rPr>
              <w:t>序号</w:t>
            </w:r>
          </w:p>
        </w:tc>
        <w:tc>
          <w:tcPr>
            <w:tcW w:w="719" w:type="dxa"/>
            <w:tcBorders>
              <w:top w:val="single" w:color="auto" w:sz="6" w:space="0"/>
              <w:left w:val="single" w:color="auto" w:sz="6" w:space="0"/>
              <w:bottom w:val="single" w:color="auto" w:sz="6" w:space="0"/>
              <w:right w:val="single" w:color="auto" w:sz="6" w:space="0"/>
            </w:tcBorders>
            <w:noWrap w:val="0"/>
            <w:vAlign w:val="center"/>
          </w:tcPr>
          <w:p w14:paraId="3F1A3E69">
            <w:pPr>
              <w:jc w:val="center"/>
              <w:rPr>
                <w:rFonts w:ascii="宋体"/>
                <w:b/>
                <w:bCs/>
                <w:color w:val="auto"/>
                <w:sz w:val="21"/>
                <w:szCs w:val="21"/>
                <w:highlight w:val="none"/>
                <w:lang w:val="zh-CN"/>
              </w:rPr>
            </w:pPr>
            <w:r>
              <w:rPr>
                <w:rFonts w:hint="eastAsia" w:ascii="宋体" w:cs="宋体"/>
                <w:b/>
                <w:bCs/>
                <w:color w:val="auto"/>
                <w:sz w:val="21"/>
                <w:szCs w:val="21"/>
                <w:highlight w:val="none"/>
                <w:lang w:val="zh-CN"/>
              </w:rPr>
              <w:t>货物名称</w:t>
            </w:r>
          </w:p>
        </w:tc>
        <w:tc>
          <w:tcPr>
            <w:tcW w:w="851" w:type="dxa"/>
            <w:tcBorders>
              <w:top w:val="single" w:color="auto" w:sz="6" w:space="0"/>
              <w:left w:val="single" w:color="auto" w:sz="6" w:space="0"/>
              <w:bottom w:val="single" w:color="auto" w:sz="6" w:space="0"/>
              <w:right w:val="single" w:color="auto" w:sz="6" w:space="0"/>
            </w:tcBorders>
            <w:noWrap w:val="0"/>
            <w:vAlign w:val="center"/>
          </w:tcPr>
          <w:p w14:paraId="27898A31">
            <w:pPr>
              <w:jc w:val="center"/>
              <w:rPr>
                <w:rFonts w:ascii="宋体"/>
                <w:b/>
                <w:bCs/>
                <w:color w:val="auto"/>
                <w:sz w:val="21"/>
                <w:szCs w:val="21"/>
                <w:highlight w:val="none"/>
                <w:lang w:val="zh-CN"/>
              </w:rPr>
            </w:pPr>
            <w:r>
              <w:rPr>
                <w:rFonts w:hint="eastAsia" w:ascii="宋体" w:cs="宋体"/>
                <w:b/>
                <w:bCs/>
                <w:color w:val="auto"/>
                <w:sz w:val="21"/>
                <w:szCs w:val="21"/>
                <w:highlight w:val="none"/>
                <w:lang w:val="zh-CN"/>
              </w:rPr>
              <w:t>品牌型号</w:t>
            </w:r>
          </w:p>
        </w:tc>
        <w:tc>
          <w:tcPr>
            <w:tcW w:w="1134" w:type="dxa"/>
            <w:gridSpan w:val="2"/>
            <w:tcBorders>
              <w:top w:val="single" w:color="auto" w:sz="6" w:space="0"/>
              <w:left w:val="single" w:color="auto" w:sz="6" w:space="0"/>
              <w:bottom w:val="single" w:color="auto" w:sz="6" w:space="0"/>
              <w:right w:val="single" w:color="auto" w:sz="6" w:space="0"/>
            </w:tcBorders>
            <w:noWrap w:val="0"/>
            <w:vAlign w:val="top"/>
          </w:tcPr>
          <w:p w14:paraId="0E427590">
            <w:pPr>
              <w:jc w:val="center"/>
              <w:rPr>
                <w:rFonts w:hint="eastAsia" w:ascii="宋体" w:cs="宋体"/>
                <w:b/>
                <w:bCs/>
                <w:color w:val="auto"/>
                <w:sz w:val="21"/>
                <w:szCs w:val="21"/>
                <w:highlight w:val="none"/>
                <w:lang w:val="zh-CN"/>
              </w:rPr>
            </w:pPr>
            <w:r>
              <w:rPr>
                <w:rFonts w:hint="eastAsia" w:ascii="宋体" w:cs="宋体"/>
                <w:b/>
                <w:bCs/>
                <w:color w:val="auto"/>
                <w:sz w:val="21"/>
                <w:szCs w:val="21"/>
                <w:highlight w:val="none"/>
                <w:lang w:val="zh-CN"/>
              </w:rPr>
              <w:t>功能配置和技术参数(</w:t>
            </w:r>
            <w:r>
              <w:rPr>
                <w:rFonts w:hint="eastAsia" w:ascii="宋体" w:cs="宋体"/>
                <w:b/>
                <w:bCs/>
                <w:color w:val="auto"/>
                <w:sz w:val="21"/>
                <w:szCs w:val="21"/>
                <w:highlight w:val="none"/>
                <w:lang w:val="en-US" w:eastAsia="zh-CN"/>
              </w:rPr>
              <w:t>采购</w:t>
            </w:r>
            <w:r>
              <w:rPr>
                <w:rFonts w:hint="eastAsia" w:ascii="宋体" w:cs="宋体"/>
                <w:b/>
                <w:bCs/>
                <w:color w:val="auto"/>
                <w:sz w:val="21"/>
                <w:szCs w:val="21"/>
                <w:highlight w:val="none"/>
                <w:lang w:val="zh-CN"/>
              </w:rPr>
              <w:t>产品)</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77EFE32">
            <w:pPr>
              <w:jc w:val="center"/>
              <w:rPr>
                <w:rFonts w:ascii="宋体"/>
                <w:b/>
                <w:bCs/>
                <w:color w:val="auto"/>
                <w:sz w:val="21"/>
                <w:szCs w:val="21"/>
                <w:highlight w:val="none"/>
                <w:lang w:val="zh-CN"/>
              </w:rPr>
            </w:pPr>
            <w:r>
              <w:rPr>
                <w:rFonts w:hint="eastAsia" w:ascii="宋体" w:cs="宋体"/>
                <w:b/>
                <w:bCs/>
                <w:color w:val="auto"/>
                <w:sz w:val="21"/>
                <w:szCs w:val="21"/>
                <w:highlight w:val="none"/>
                <w:lang w:val="zh-CN"/>
              </w:rPr>
              <w:t>功能配置和技术参数(投标产品)</w:t>
            </w:r>
          </w:p>
        </w:tc>
        <w:tc>
          <w:tcPr>
            <w:tcW w:w="1134" w:type="dxa"/>
            <w:tcBorders>
              <w:top w:val="single" w:color="auto" w:sz="6" w:space="0"/>
              <w:left w:val="single" w:color="auto" w:sz="6" w:space="0"/>
              <w:bottom w:val="single" w:color="auto" w:sz="6" w:space="0"/>
              <w:right w:val="single" w:color="auto" w:sz="4" w:space="0"/>
            </w:tcBorders>
            <w:noWrap w:val="0"/>
            <w:vAlign w:val="center"/>
          </w:tcPr>
          <w:p w14:paraId="3BF86BE9">
            <w:pPr>
              <w:jc w:val="center"/>
              <w:rPr>
                <w:rFonts w:ascii="宋体"/>
                <w:b/>
                <w:bCs/>
                <w:color w:val="auto"/>
                <w:sz w:val="21"/>
                <w:szCs w:val="21"/>
                <w:highlight w:val="none"/>
                <w:lang w:val="zh-CN"/>
              </w:rPr>
            </w:pPr>
            <w:r>
              <w:rPr>
                <w:rFonts w:hint="eastAsia" w:ascii="宋体" w:cs="宋体"/>
                <w:b/>
                <w:bCs/>
                <w:color w:val="auto"/>
                <w:sz w:val="21"/>
                <w:szCs w:val="21"/>
                <w:highlight w:val="none"/>
                <w:lang w:val="zh-CN"/>
              </w:rPr>
              <w:t>功能配置和技术参数偏离情况</w:t>
            </w:r>
          </w:p>
        </w:tc>
        <w:tc>
          <w:tcPr>
            <w:tcW w:w="850" w:type="dxa"/>
            <w:tcBorders>
              <w:top w:val="single" w:color="auto" w:sz="6" w:space="0"/>
              <w:left w:val="single" w:color="auto" w:sz="4" w:space="0"/>
              <w:bottom w:val="single" w:color="auto" w:sz="6" w:space="0"/>
              <w:right w:val="single" w:color="auto" w:sz="6" w:space="0"/>
            </w:tcBorders>
            <w:noWrap w:val="0"/>
            <w:vAlign w:val="center"/>
          </w:tcPr>
          <w:p w14:paraId="2B0ACDD1">
            <w:pPr>
              <w:jc w:val="center"/>
              <w:rPr>
                <w:rFonts w:ascii="宋体"/>
                <w:b/>
                <w:bCs/>
                <w:color w:val="auto"/>
                <w:sz w:val="21"/>
                <w:szCs w:val="21"/>
                <w:highlight w:val="none"/>
                <w:lang w:val="zh-CN"/>
              </w:rPr>
            </w:pPr>
            <w:r>
              <w:rPr>
                <w:rFonts w:hint="eastAsia" w:ascii="宋体" w:cs="宋体"/>
                <w:b/>
                <w:bCs/>
                <w:color w:val="auto"/>
                <w:sz w:val="21"/>
                <w:szCs w:val="21"/>
                <w:highlight w:val="none"/>
                <w:lang w:val="zh-CN"/>
              </w:rPr>
              <w:t>原产地及制造厂商</w:t>
            </w:r>
          </w:p>
        </w:tc>
        <w:tc>
          <w:tcPr>
            <w:tcW w:w="690" w:type="dxa"/>
            <w:tcBorders>
              <w:top w:val="single" w:color="auto" w:sz="6" w:space="0"/>
              <w:left w:val="single" w:color="auto" w:sz="6" w:space="0"/>
              <w:bottom w:val="single" w:color="auto" w:sz="6" w:space="0"/>
              <w:right w:val="single" w:color="auto" w:sz="6" w:space="0"/>
            </w:tcBorders>
            <w:noWrap w:val="0"/>
            <w:vAlign w:val="center"/>
          </w:tcPr>
          <w:p w14:paraId="647E1AF8">
            <w:pPr>
              <w:jc w:val="center"/>
              <w:rPr>
                <w:rFonts w:ascii="宋体"/>
                <w:b/>
                <w:bCs/>
                <w:color w:val="auto"/>
                <w:sz w:val="21"/>
                <w:szCs w:val="21"/>
                <w:highlight w:val="none"/>
                <w:lang w:val="zh-CN"/>
              </w:rPr>
            </w:pPr>
            <w:r>
              <w:rPr>
                <w:rFonts w:hint="eastAsia" w:ascii="宋体" w:cs="宋体"/>
                <w:b/>
                <w:bCs/>
                <w:color w:val="auto"/>
                <w:sz w:val="21"/>
                <w:szCs w:val="21"/>
                <w:highlight w:val="none"/>
                <w:lang w:val="zh-CN"/>
              </w:rPr>
              <w:t>数量</w:t>
            </w:r>
          </w:p>
        </w:tc>
        <w:tc>
          <w:tcPr>
            <w:tcW w:w="782" w:type="dxa"/>
            <w:tcBorders>
              <w:top w:val="single" w:color="auto" w:sz="6" w:space="0"/>
              <w:left w:val="single" w:color="auto" w:sz="6" w:space="0"/>
              <w:bottom w:val="single" w:color="auto" w:sz="6" w:space="0"/>
              <w:right w:val="single" w:color="auto" w:sz="6" w:space="0"/>
            </w:tcBorders>
            <w:noWrap w:val="0"/>
            <w:vAlign w:val="center"/>
          </w:tcPr>
          <w:p w14:paraId="5B0EF380">
            <w:pPr>
              <w:jc w:val="center"/>
              <w:rPr>
                <w:rFonts w:hint="eastAsia" w:ascii="宋体" w:eastAsia="宋体" w:cs="宋体"/>
                <w:b/>
                <w:bCs/>
                <w:color w:val="auto"/>
                <w:sz w:val="21"/>
                <w:szCs w:val="21"/>
                <w:highlight w:val="none"/>
                <w:lang w:val="en-US" w:eastAsia="zh-CN"/>
              </w:rPr>
            </w:pPr>
            <w:r>
              <w:rPr>
                <w:rFonts w:hint="eastAsia" w:ascii="宋体" w:cs="宋体"/>
                <w:b/>
                <w:bCs/>
                <w:color w:val="auto"/>
                <w:sz w:val="21"/>
                <w:szCs w:val="21"/>
                <w:highlight w:val="none"/>
                <w:lang w:val="en-US" w:eastAsia="zh-CN"/>
              </w:rPr>
              <w:t>单位</w:t>
            </w:r>
          </w:p>
        </w:tc>
        <w:tc>
          <w:tcPr>
            <w:tcW w:w="782" w:type="dxa"/>
            <w:tcBorders>
              <w:top w:val="single" w:color="auto" w:sz="6" w:space="0"/>
              <w:left w:val="single" w:color="auto" w:sz="6" w:space="0"/>
              <w:bottom w:val="single" w:color="auto" w:sz="6" w:space="0"/>
              <w:right w:val="single" w:color="auto" w:sz="6" w:space="0"/>
            </w:tcBorders>
            <w:noWrap w:val="0"/>
            <w:vAlign w:val="center"/>
          </w:tcPr>
          <w:p w14:paraId="0D9541E0">
            <w:pPr>
              <w:jc w:val="center"/>
              <w:rPr>
                <w:rFonts w:ascii="宋体"/>
                <w:b/>
                <w:bCs/>
                <w:color w:val="auto"/>
                <w:sz w:val="21"/>
                <w:szCs w:val="21"/>
                <w:highlight w:val="none"/>
                <w:lang w:val="zh-CN"/>
              </w:rPr>
            </w:pPr>
            <w:r>
              <w:rPr>
                <w:rFonts w:hint="eastAsia" w:ascii="宋体" w:cs="宋体"/>
                <w:b/>
                <w:bCs/>
                <w:color w:val="auto"/>
                <w:sz w:val="21"/>
                <w:szCs w:val="21"/>
                <w:highlight w:val="none"/>
                <w:lang w:val="zh-CN"/>
              </w:rPr>
              <w:t>单价（元）</w:t>
            </w:r>
          </w:p>
        </w:tc>
        <w:tc>
          <w:tcPr>
            <w:tcW w:w="986" w:type="dxa"/>
            <w:tcBorders>
              <w:top w:val="single" w:color="auto" w:sz="6" w:space="0"/>
              <w:left w:val="single" w:color="auto" w:sz="6" w:space="0"/>
              <w:bottom w:val="single" w:color="auto" w:sz="6" w:space="0"/>
              <w:right w:val="single" w:color="auto" w:sz="6" w:space="0"/>
            </w:tcBorders>
            <w:noWrap w:val="0"/>
            <w:vAlign w:val="center"/>
          </w:tcPr>
          <w:p w14:paraId="517DBA20">
            <w:pPr>
              <w:jc w:val="center"/>
              <w:rPr>
                <w:rFonts w:ascii="宋体"/>
                <w:b/>
                <w:bCs/>
                <w:color w:val="auto"/>
                <w:sz w:val="21"/>
                <w:szCs w:val="21"/>
                <w:highlight w:val="none"/>
                <w:lang w:val="zh-CN"/>
              </w:rPr>
            </w:pPr>
            <w:r>
              <w:rPr>
                <w:rFonts w:hint="eastAsia" w:ascii="宋体" w:cs="宋体"/>
                <w:b/>
                <w:bCs/>
                <w:color w:val="auto"/>
                <w:sz w:val="21"/>
                <w:szCs w:val="21"/>
                <w:highlight w:val="none"/>
                <w:lang w:val="zh-CN"/>
              </w:rPr>
              <w:t>合计（元）</w:t>
            </w:r>
          </w:p>
        </w:tc>
        <w:tc>
          <w:tcPr>
            <w:tcW w:w="632" w:type="dxa"/>
            <w:tcBorders>
              <w:top w:val="single" w:color="auto" w:sz="6" w:space="0"/>
              <w:left w:val="single" w:color="auto" w:sz="6" w:space="0"/>
              <w:bottom w:val="single" w:color="auto" w:sz="6" w:space="0"/>
              <w:right w:val="single" w:color="auto" w:sz="6" w:space="0"/>
            </w:tcBorders>
            <w:noWrap w:val="0"/>
            <w:vAlign w:val="center"/>
          </w:tcPr>
          <w:p w14:paraId="333975EE">
            <w:pPr>
              <w:jc w:val="center"/>
              <w:rPr>
                <w:rFonts w:ascii="宋体"/>
                <w:b/>
                <w:bCs/>
                <w:color w:val="auto"/>
                <w:sz w:val="21"/>
                <w:szCs w:val="21"/>
                <w:highlight w:val="none"/>
                <w:lang w:val="zh-CN"/>
              </w:rPr>
            </w:pPr>
            <w:r>
              <w:rPr>
                <w:rFonts w:hint="eastAsia" w:ascii="宋体" w:cs="宋体"/>
                <w:b/>
                <w:bCs/>
                <w:color w:val="auto"/>
                <w:sz w:val="21"/>
                <w:szCs w:val="21"/>
                <w:highlight w:val="none"/>
                <w:lang w:val="zh-CN"/>
              </w:rPr>
              <w:t>质保期</w:t>
            </w:r>
          </w:p>
        </w:tc>
      </w:tr>
      <w:tr w14:paraId="6AB878C6">
        <w:tblPrEx>
          <w:tblCellMar>
            <w:top w:w="0" w:type="dxa"/>
            <w:left w:w="108" w:type="dxa"/>
            <w:bottom w:w="0" w:type="dxa"/>
            <w:right w:w="108" w:type="dxa"/>
          </w:tblCellMar>
        </w:tblPrEx>
        <w:trPr>
          <w:trHeight w:val="328" w:hRule="atLeast"/>
          <w:jc w:val="center"/>
        </w:trPr>
        <w:tc>
          <w:tcPr>
            <w:tcW w:w="665" w:type="dxa"/>
            <w:tcBorders>
              <w:top w:val="single" w:color="auto" w:sz="6" w:space="0"/>
              <w:left w:val="single" w:color="auto" w:sz="6" w:space="0"/>
              <w:bottom w:val="single" w:color="auto" w:sz="6" w:space="0"/>
              <w:right w:val="single" w:color="auto" w:sz="6" w:space="0"/>
            </w:tcBorders>
            <w:noWrap w:val="0"/>
            <w:vAlign w:val="top"/>
          </w:tcPr>
          <w:p w14:paraId="2827B561">
            <w:pPr>
              <w:rPr>
                <w:rFonts w:ascii="宋体"/>
                <w:b/>
                <w:bCs/>
                <w:color w:val="auto"/>
                <w:sz w:val="21"/>
                <w:szCs w:val="21"/>
                <w:highlight w:val="none"/>
                <w:lang w:val="zh-CN"/>
              </w:rPr>
            </w:pPr>
          </w:p>
        </w:tc>
        <w:tc>
          <w:tcPr>
            <w:tcW w:w="719" w:type="dxa"/>
            <w:tcBorders>
              <w:top w:val="single" w:color="auto" w:sz="6" w:space="0"/>
              <w:left w:val="single" w:color="auto" w:sz="6" w:space="0"/>
              <w:bottom w:val="single" w:color="auto" w:sz="6" w:space="0"/>
              <w:right w:val="single" w:color="auto" w:sz="6" w:space="0"/>
            </w:tcBorders>
            <w:noWrap w:val="0"/>
            <w:vAlign w:val="top"/>
          </w:tcPr>
          <w:p w14:paraId="196CC168">
            <w:pPr>
              <w:rPr>
                <w:rFonts w:ascii="宋体"/>
                <w:b/>
                <w:bCs/>
                <w:color w:val="auto"/>
                <w:sz w:val="21"/>
                <w:szCs w:val="21"/>
                <w:highlight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63556DD">
            <w:pPr>
              <w:rPr>
                <w:rFonts w:ascii="宋体"/>
                <w:b/>
                <w:bCs/>
                <w:color w:val="auto"/>
                <w:sz w:val="21"/>
                <w:szCs w:val="21"/>
                <w:highlight w:val="none"/>
                <w:lang w:val="zh-CN"/>
              </w:rPr>
            </w:pPr>
          </w:p>
        </w:tc>
        <w:tc>
          <w:tcPr>
            <w:tcW w:w="1134" w:type="dxa"/>
            <w:gridSpan w:val="2"/>
            <w:tcBorders>
              <w:top w:val="single" w:color="auto" w:sz="6" w:space="0"/>
              <w:left w:val="single" w:color="auto" w:sz="6" w:space="0"/>
              <w:bottom w:val="single" w:color="auto" w:sz="6" w:space="0"/>
              <w:right w:val="single" w:color="auto" w:sz="6" w:space="0"/>
            </w:tcBorders>
            <w:noWrap w:val="0"/>
            <w:vAlign w:val="top"/>
          </w:tcPr>
          <w:p w14:paraId="1C7FF4D9">
            <w:pPr>
              <w:rPr>
                <w:rFonts w:ascii="宋体"/>
                <w:b/>
                <w:bCs/>
                <w:color w:val="auto"/>
                <w:sz w:val="21"/>
                <w:szCs w:val="21"/>
                <w:highlight w:val="none"/>
                <w:lang w:val="zh-CN"/>
              </w:rPr>
            </w:pPr>
          </w:p>
        </w:tc>
        <w:tc>
          <w:tcPr>
            <w:tcW w:w="1134" w:type="dxa"/>
            <w:tcBorders>
              <w:top w:val="single" w:color="auto" w:sz="6" w:space="0"/>
              <w:left w:val="single" w:color="auto" w:sz="6" w:space="0"/>
              <w:bottom w:val="single" w:color="auto" w:sz="6" w:space="0"/>
              <w:right w:val="single" w:color="auto" w:sz="6" w:space="0"/>
            </w:tcBorders>
            <w:noWrap w:val="0"/>
            <w:vAlign w:val="top"/>
          </w:tcPr>
          <w:p w14:paraId="53B714D8">
            <w:pPr>
              <w:rPr>
                <w:rFonts w:ascii="宋体"/>
                <w:b/>
                <w:bCs/>
                <w:color w:val="auto"/>
                <w:sz w:val="21"/>
                <w:szCs w:val="21"/>
                <w:highlight w:val="none"/>
                <w:lang w:val="zh-CN"/>
              </w:rPr>
            </w:pPr>
          </w:p>
        </w:tc>
        <w:tc>
          <w:tcPr>
            <w:tcW w:w="1134" w:type="dxa"/>
            <w:tcBorders>
              <w:top w:val="single" w:color="auto" w:sz="6" w:space="0"/>
              <w:left w:val="single" w:color="auto" w:sz="6" w:space="0"/>
              <w:bottom w:val="single" w:color="auto" w:sz="6" w:space="0"/>
              <w:right w:val="single" w:color="auto" w:sz="4" w:space="0"/>
            </w:tcBorders>
            <w:noWrap w:val="0"/>
            <w:vAlign w:val="top"/>
          </w:tcPr>
          <w:p w14:paraId="1A417BD1">
            <w:pPr>
              <w:rPr>
                <w:rFonts w:ascii="宋体"/>
                <w:b/>
                <w:bCs/>
                <w:color w:val="auto"/>
                <w:sz w:val="21"/>
                <w:szCs w:val="21"/>
                <w:highlight w:val="none"/>
                <w:lang w:val="zh-CN"/>
              </w:rPr>
            </w:pPr>
          </w:p>
        </w:tc>
        <w:tc>
          <w:tcPr>
            <w:tcW w:w="850" w:type="dxa"/>
            <w:tcBorders>
              <w:top w:val="single" w:color="auto" w:sz="6" w:space="0"/>
              <w:left w:val="single" w:color="auto" w:sz="4" w:space="0"/>
              <w:bottom w:val="single" w:color="auto" w:sz="6" w:space="0"/>
              <w:right w:val="single" w:color="auto" w:sz="6" w:space="0"/>
            </w:tcBorders>
            <w:noWrap w:val="0"/>
            <w:vAlign w:val="top"/>
          </w:tcPr>
          <w:p w14:paraId="5B264609">
            <w:pPr>
              <w:rPr>
                <w:rFonts w:ascii="宋体"/>
                <w:b/>
                <w:bCs/>
                <w:color w:val="auto"/>
                <w:sz w:val="21"/>
                <w:szCs w:val="21"/>
                <w:highlight w:val="none"/>
                <w:lang w:val="zh-CN"/>
              </w:rPr>
            </w:pPr>
          </w:p>
        </w:tc>
        <w:tc>
          <w:tcPr>
            <w:tcW w:w="690" w:type="dxa"/>
            <w:tcBorders>
              <w:top w:val="single" w:color="auto" w:sz="6" w:space="0"/>
              <w:left w:val="single" w:color="auto" w:sz="6" w:space="0"/>
              <w:bottom w:val="single" w:color="auto" w:sz="6" w:space="0"/>
              <w:right w:val="single" w:color="auto" w:sz="6" w:space="0"/>
            </w:tcBorders>
            <w:noWrap w:val="0"/>
            <w:vAlign w:val="top"/>
          </w:tcPr>
          <w:p w14:paraId="6083AB64">
            <w:pPr>
              <w:rPr>
                <w:rFonts w:ascii="宋体"/>
                <w:b/>
                <w:bCs/>
                <w:color w:val="auto"/>
                <w:sz w:val="21"/>
                <w:szCs w:val="21"/>
                <w:highlight w:val="none"/>
                <w:lang w:val="zh-CN"/>
              </w:rPr>
            </w:pPr>
          </w:p>
        </w:tc>
        <w:tc>
          <w:tcPr>
            <w:tcW w:w="782" w:type="dxa"/>
            <w:tcBorders>
              <w:top w:val="single" w:color="auto" w:sz="6" w:space="0"/>
              <w:left w:val="single" w:color="auto" w:sz="6" w:space="0"/>
              <w:bottom w:val="single" w:color="auto" w:sz="6" w:space="0"/>
              <w:right w:val="single" w:color="auto" w:sz="6" w:space="0"/>
            </w:tcBorders>
            <w:noWrap w:val="0"/>
            <w:vAlign w:val="top"/>
          </w:tcPr>
          <w:p w14:paraId="251DBCE8">
            <w:pPr>
              <w:rPr>
                <w:rFonts w:ascii="宋体"/>
                <w:b/>
                <w:bCs/>
                <w:color w:val="auto"/>
                <w:sz w:val="21"/>
                <w:szCs w:val="21"/>
                <w:highlight w:val="none"/>
                <w:lang w:val="zh-CN"/>
              </w:rPr>
            </w:pPr>
          </w:p>
        </w:tc>
        <w:tc>
          <w:tcPr>
            <w:tcW w:w="782" w:type="dxa"/>
            <w:tcBorders>
              <w:top w:val="single" w:color="auto" w:sz="6" w:space="0"/>
              <w:left w:val="single" w:color="auto" w:sz="6" w:space="0"/>
              <w:bottom w:val="single" w:color="auto" w:sz="6" w:space="0"/>
              <w:right w:val="single" w:color="auto" w:sz="6" w:space="0"/>
            </w:tcBorders>
            <w:noWrap w:val="0"/>
            <w:vAlign w:val="top"/>
          </w:tcPr>
          <w:p w14:paraId="64422F19">
            <w:pPr>
              <w:rPr>
                <w:rFonts w:ascii="宋体"/>
                <w:b/>
                <w:bCs/>
                <w:color w:val="auto"/>
                <w:sz w:val="21"/>
                <w:szCs w:val="21"/>
                <w:highlight w:val="none"/>
                <w:lang w:val="zh-CN"/>
              </w:rPr>
            </w:pPr>
          </w:p>
        </w:tc>
        <w:tc>
          <w:tcPr>
            <w:tcW w:w="986" w:type="dxa"/>
            <w:tcBorders>
              <w:top w:val="single" w:color="auto" w:sz="6" w:space="0"/>
              <w:left w:val="single" w:color="auto" w:sz="6" w:space="0"/>
              <w:bottom w:val="single" w:color="auto" w:sz="6" w:space="0"/>
              <w:right w:val="single" w:color="auto" w:sz="6" w:space="0"/>
            </w:tcBorders>
            <w:noWrap w:val="0"/>
            <w:vAlign w:val="top"/>
          </w:tcPr>
          <w:p w14:paraId="47AF2A9A">
            <w:pPr>
              <w:rPr>
                <w:rFonts w:ascii="宋体"/>
                <w:b/>
                <w:bCs/>
                <w:color w:val="auto"/>
                <w:sz w:val="21"/>
                <w:szCs w:val="21"/>
                <w:highlight w:val="none"/>
                <w:lang w:val="zh-CN"/>
              </w:rPr>
            </w:pPr>
          </w:p>
        </w:tc>
        <w:tc>
          <w:tcPr>
            <w:tcW w:w="632" w:type="dxa"/>
            <w:tcBorders>
              <w:top w:val="single" w:color="auto" w:sz="6" w:space="0"/>
              <w:left w:val="single" w:color="auto" w:sz="6" w:space="0"/>
              <w:bottom w:val="single" w:color="auto" w:sz="6" w:space="0"/>
              <w:right w:val="single" w:color="auto" w:sz="6" w:space="0"/>
            </w:tcBorders>
            <w:noWrap w:val="0"/>
            <w:vAlign w:val="top"/>
          </w:tcPr>
          <w:p w14:paraId="402EAF75">
            <w:pPr>
              <w:rPr>
                <w:rFonts w:ascii="宋体"/>
                <w:b/>
                <w:bCs/>
                <w:color w:val="auto"/>
                <w:sz w:val="21"/>
                <w:szCs w:val="21"/>
                <w:highlight w:val="none"/>
                <w:lang w:val="zh-CN"/>
              </w:rPr>
            </w:pPr>
          </w:p>
        </w:tc>
      </w:tr>
      <w:tr w14:paraId="20DB6449">
        <w:tblPrEx>
          <w:tblCellMar>
            <w:top w:w="0" w:type="dxa"/>
            <w:left w:w="108" w:type="dxa"/>
            <w:bottom w:w="0" w:type="dxa"/>
            <w:right w:w="108" w:type="dxa"/>
          </w:tblCellMar>
        </w:tblPrEx>
        <w:trPr>
          <w:trHeight w:val="261" w:hRule="atLeast"/>
          <w:jc w:val="center"/>
        </w:trPr>
        <w:tc>
          <w:tcPr>
            <w:tcW w:w="665" w:type="dxa"/>
            <w:tcBorders>
              <w:top w:val="single" w:color="auto" w:sz="6" w:space="0"/>
              <w:left w:val="single" w:color="auto" w:sz="6" w:space="0"/>
              <w:bottom w:val="single" w:color="auto" w:sz="6" w:space="0"/>
              <w:right w:val="single" w:color="auto" w:sz="6" w:space="0"/>
            </w:tcBorders>
            <w:noWrap w:val="0"/>
            <w:vAlign w:val="top"/>
          </w:tcPr>
          <w:p w14:paraId="0B2F5D15">
            <w:pPr>
              <w:rPr>
                <w:b/>
                <w:bCs/>
                <w:color w:val="auto"/>
                <w:sz w:val="21"/>
                <w:szCs w:val="21"/>
                <w:highlight w:val="none"/>
              </w:rPr>
            </w:pPr>
          </w:p>
        </w:tc>
        <w:tc>
          <w:tcPr>
            <w:tcW w:w="719" w:type="dxa"/>
            <w:tcBorders>
              <w:top w:val="single" w:color="auto" w:sz="6" w:space="0"/>
              <w:left w:val="single" w:color="auto" w:sz="6" w:space="0"/>
              <w:bottom w:val="single" w:color="auto" w:sz="6" w:space="0"/>
              <w:right w:val="single" w:color="auto" w:sz="6" w:space="0"/>
            </w:tcBorders>
            <w:noWrap w:val="0"/>
            <w:vAlign w:val="top"/>
          </w:tcPr>
          <w:p w14:paraId="09F3B0D7">
            <w:pPr>
              <w:rPr>
                <w:b/>
                <w:bCs/>
                <w:color w:val="auto"/>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A87F6F7">
            <w:pPr>
              <w:rPr>
                <w:b/>
                <w:bCs/>
                <w:color w:val="auto"/>
                <w:sz w:val="21"/>
                <w:szCs w:val="21"/>
                <w:highlight w:val="none"/>
              </w:rPr>
            </w:pPr>
          </w:p>
        </w:tc>
        <w:tc>
          <w:tcPr>
            <w:tcW w:w="1134" w:type="dxa"/>
            <w:gridSpan w:val="2"/>
            <w:tcBorders>
              <w:top w:val="single" w:color="auto" w:sz="6" w:space="0"/>
              <w:left w:val="single" w:color="auto" w:sz="6" w:space="0"/>
              <w:bottom w:val="single" w:color="auto" w:sz="6" w:space="0"/>
              <w:right w:val="single" w:color="auto" w:sz="6" w:space="0"/>
            </w:tcBorders>
            <w:noWrap w:val="0"/>
            <w:vAlign w:val="top"/>
          </w:tcPr>
          <w:p w14:paraId="6A979CD1">
            <w:pPr>
              <w:rPr>
                <w:b/>
                <w:bCs/>
                <w:color w:val="auto"/>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top"/>
          </w:tcPr>
          <w:p w14:paraId="65B78E34">
            <w:pPr>
              <w:rPr>
                <w:b/>
                <w:bCs/>
                <w:color w:val="auto"/>
                <w:sz w:val="21"/>
                <w:szCs w:val="21"/>
                <w:highlight w:val="none"/>
              </w:rPr>
            </w:pPr>
          </w:p>
        </w:tc>
        <w:tc>
          <w:tcPr>
            <w:tcW w:w="1134" w:type="dxa"/>
            <w:tcBorders>
              <w:top w:val="single" w:color="auto" w:sz="6" w:space="0"/>
              <w:left w:val="single" w:color="auto" w:sz="6" w:space="0"/>
              <w:bottom w:val="single" w:color="auto" w:sz="6" w:space="0"/>
              <w:right w:val="single" w:color="auto" w:sz="4" w:space="0"/>
            </w:tcBorders>
            <w:noWrap w:val="0"/>
            <w:vAlign w:val="top"/>
          </w:tcPr>
          <w:p w14:paraId="0752F2E8">
            <w:pPr>
              <w:rPr>
                <w:b/>
                <w:bCs/>
                <w:color w:val="auto"/>
                <w:sz w:val="21"/>
                <w:szCs w:val="21"/>
                <w:highlight w:val="none"/>
              </w:rPr>
            </w:pPr>
          </w:p>
        </w:tc>
        <w:tc>
          <w:tcPr>
            <w:tcW w:w="850" w:type="dxa"/>
            <w:tcBorders>
              <w:top w:val="single" w:color="auto" w:sz="6" w:space="0"/>
              <w:left w:val="single" w:color="auto" w:sz="4" w:space="0"/>
              <w:bottom w:val="single" w:color="auto" w:sz="6" w:space="0"/>
              <w:right w:val="single" w:color="auto" w:sz="6" w:space="0"/>
            </w:tcBorders>
            <w:noWrap w:val="0"/>
            <w:vAlign w:val="top"/>
          </w:tcPr>
          <w:p w14:paraId="45E3BD06">
            <w:pPr>
              <w:rPr>
                <w:b/>
                <w:bCs/>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cBorders>
            <w:noWrap w:val="0"/>
            <w:vAlign w:val="top"/>
          </w:tcPr>
          <w:p w14:paraId="2CAE363D">
            <w:pPr>
              <w:rPr>
                <w:b/>
                <w:bCs/>
                <w:color w:val="auto"/>
                <w:sz w:val="21"/>
                <w:szCs w:val="21"/>
                <w:highlight w:val="none"/>
              </w:rPr>
            </w:pPr>
          </w:p>
        </w:tc>
        <w:tc>
          <w:tcPr>
            <w:tcW w:w="782" w:type="dxa"/>
            <w:tcBorders>
              <w:top w:val="single" w:color="auto" w:sz="6" w:space="0"/>
              <w:left w:val="single" w:color="auto" w:sz="6" w:space="0"/>
              <w:bottom w:val="single" w:color="auto" w:sz="6" w:space="0"/>
              <w:right w:val="single" w:color="auto" w:sz="6" w:space="0"/>
            </w:tcBorders>
            <w:noWrap w:val="0"/>
            <w:vAlign w:val="top"/>
          </w:tcPr>
          <w:p w14:paraId="33AD9BF4">
            <w:pPr>
              <w:rPr>
                <w:b/>
                <w:bCs/>
                <w:color w:val="auto"/>
                <w:sz w:val="21"/>
                <w:szCs w:val="21"/>
                <w:highlight w:val="none"/>
              </w:rPr>
            </w:pPr>
          </w:p>
        </w:tc>
        <w:tc>
          <w:tcPr>
            <w:tcW w:w="782" w:type="dxa"/>
            <w:tcBorders>
              <w:top w:val="single" w:color="auto" w:sz="6" w:space="0"/>
              <w:left w:val="single" w:color="auto" w:sz="6" w:space="0"/>
              <w:bottom w:val="single" w:color="auto" w:sz="6" w:space="0"/>
              <w:right w:val="single" w:color="auto" w:sz="6" w:space="0"/>
            </w:tcBorders>
            <w:noWrap w:val="0"/>
            <w:vAlign w:val="top"/>
          </w:tcPr>
          <w:p w14:paraId="13E3864F">
            <w:pPr>
              <w:rPr>
                <w:b/>
                <w:bCs/>
                <w:color w:val="auto"/>
                <w:sz w:val="21"/>
                <w:szCs w:val="21"/>
                <w:highlight w:val="none"/>
              </w:rPr>
            </w:pPr>
          </w:p>
        </w:tc>
        <w:tc>
          <w:tcPr>
            <w:tcW w:w="986" w:type="dxa"/>
            <w:tcBorders>
              <w:top w:val="single" w:color="auto" w:sz="6" w:space="0"/>
              <w:left w:val="single" w:color="auto" w:sz="6" w:space="0"/>
              <w:bottom w:val="single" w:color="auto" w:sz="6" w:space="0"/>
              <w:right w:val="single" w:color="auto" w:sz="6" w:space="0"/>
            </w:tcBorders>
            <w:noWrap w:val="0"/>
            <w:vAlign w:val="top"/>
          </w:tcPr>
          <w:p w14:paraId="7D333CBD">
            <w:pPr>
              <w:rPr>
                <w:b/>
                <w:bCs/>
                <w:color w:val="auto"/>
                <w:sz w:val="21"/>
                <w:szCs w:val="21"/>
                <w:highlight w:val="none"/>
              </w:rPr>
            </w:pPr>
          </w:p>
        </w:tc>
        <w:tc>
          <w:tcPr>
            <w:tcW w:w="632" w:type="dxa"/>
            <w:tcBorders>
              <w:top w:val="single" w:color="auto" w:sz="6" w:space="0"/>
              <w:left w:val="single" w:color="auto" w:sz="6" w:space="0"/>
              <w:bottom w:val="single" w:color="auto" w:sz="6" w:space="0"/>
              <w:right w:val="single" w:color="auto" w:sz="6" w:space="0"/>
            </w:tcBorders>
            <w:noWrap w:val="0"/>
            <w:vAlign w:val="top"/>
          </w:tcPr>
          <w:p w14:paraId="3B10A69A">
            <w:pPr>
              <w:rPr>
                <w:b/>
                <w:bCs/>
                <w:color w:val="auto"/>
                <w:sz w:val="21"/>
                <w:szCs w:val="21"/>
                <w:highlight w:val="none"/>
              </w:rPr>
            </w:pPr>
          </w:p>
        </w:tc>
      </w:tr>
      <w:tr w14:paraId="63D0AA83">
        <w:tblPrEx>
          <w:tblCellMar>
            <w:top w:w="0" w:type="dxa"/>
            <w:left w:w="108" w:type="dxa"/>
            <w:bottom w:w="0" w:type="dxa"/>
            <w:right w:w="108" w:type="dxa"/>
          </w:tblCellMar>
        </w:tblPrEx>
        <w:trPr>
          <w:trHeight w:val="397" w:hRule="exact"/>
          <w:jc w:val="center"/>
        </w:trPr>
        <w:tc>
          <w:tcPr>
            <w:tcW w:w="1384" w:type="dxa"/>
            <w:gridSpan w:val="2"/>
            <w:tcBorders>
              <w:top w:val="single" w:color="auto" w:sz="6" w:space="0"/>
              <w:left w:val="single" w:color="auto" w:sz="6" w:space="0"/>
              <w:bottom w:val="single" w:color="auto" w:sz="6" w:space="0"/>
              <w:right w:val="single" w:color="auto" w:sz="6" w:space="0"/>
            </w:tcBorders>
            <w:noWrap w:val="0"/>
            <w:vAlign w:val="top"/>
          </w:tcPr>
          <w:p w14:paraId="2C0DF3AF">
            <w:pPr>
              <w:ind w:firstLine="209"/>
              <w:rPr>
                <w:rFonts w:ascii="宋体"/>
                <w:b/>
                <w:bCs/>
                <w:color w:val="auto"/>
                <w:sz w:val="21"/>
                <w:szCs w:val="21"/>
                <w:highlight w:val="none"/>
                <w:lang w:val="zh-CN"/>
              </w:rPr>
            </w:pPr>
            <w:r>
              <w:rPr>
                <w:rFonts w:hint="eastAsia" w:ascii="宋体" w:cs="宋体"/>
                <w:b/>
                <w:bCs/>
                <w:color w:val="auto"/>
                <w:sz w:val="21"/>
                <w:szCs w:val="21"/>
                <w:highlight w:val="none"/>
                <w:lang w:val="zh-CN"/>
              </w:rPr>
              <w:t>投标总价</w:t>
            </w:r>
          </w:p>
        </w:tc>
        <w:tc>
          <w:tcPr>
            <w:tcW w:w="992" w:type="dxa"/>
            <w:gridSpan w:val="2"/>
            <w:tcBorders>
              <w:top w:val="single" w:color="auto" w:sz="6" w:space="0"/>
              <w:left w:val="single" w:color="auto" w:sz="6" w:space="0"/>
              <w:bottom w:val="single" w:color="auto" w:sz="6" w:space="0"/>
              <w:right w:val="single" w:color="auto" w:sz="6" w:space="0"/>
            </w:tcBorders>
            <w:noWrap w:val="0"/>
            <w:vAlign w:val="top"/>
          </w:tcPr>
          <w:p w14:paraId="4C958006">
            <w:pPr>
              <w:rPr>
                <w:rFonts w:hint="eastAsia" w:ascii="宋体" w:cs="宋体"/>
                <w:b/>
                <w:bCs/>
                <w:color w:val="auto"/>
                <w:sz w:val="21"/>
                <w:szCs w:val="21"/>
                <w:highlight w:val="none"/>
                <w:lang w:val="zh-CN"/>
              </w:rPr>
            </w:pPr>
          </w:p>
        </w:tc>
        <w:tc>
          <w:tcPr>
            <w:tcW w:w="7983" w:type="dxa"/>
            <w:gridSpan w:val="9"/>
            <w:tcBorders>
              <w:top w:val="single" w:color="auto" w:sz="6" w:space="0"/>
              <w:left w:val="single" w:color="auto" w:sz="6" w:space="0"/>
              <w:bottom w:val="single" w:color="auto" w:sz="6" w:space="0"/>
              <w:right w:val="single" w:color="auto" w:sz="6" w:space="0"/>
            </w:tcBorders>
            <w:noWrap w:val="0"/>
            <w:vAlign w:val="top"/>
          </w:tcPr>
          <w:p w14:paraId="6469A1AB">
            <w:pPr>
              <w:rPr>
                <w:rFonts w:hint="eastAsia" w:ascii="宋体" w:cs="宋体"/>
                <w:b/>
                <w:bCs/>
                <w:color w:val="auto"/>
                <w:sz w:val="21"/>
                <w:szCs w:val="21"/>
                <w:highlight w:val="none"/>
                <w:lang w:val="zh-CN"/>
              </w:rPr>
            </w:pPr>
            <w:r>
              <w:rPr>
                <w:rFonts w:hint="eastAsia" w:ascii="宋体" w:cs="宋体"/>
                <w:b/>
                <w:bCs/>
                <w:color w:val="auto"/>
                <w:sz w:val="21"/>
                <w:szCs w:val="21"/>
                <w:highlight w:val="none"/>
                <w:lang w:val="zh-CN"/>
              </w:rPr>
              <w:t>人民币（大写）：</w:t>
            </w:r>
            <w:r>
              <w:rPr>
                <w:rFonts w:ascii="宋体" w:cs="宋体"/>
                <w:b/>
                <w:bCs/>
                <w:color w:val="auto"/>
                <w:sz w:val="21"/>
                <w:szCs w:val="21"/>
                <w:highlight w:val="none"/>
                <w:lang w:val="zh-CN"/>
              </w:rPr>
              <w:t xml:space="preserve">                          </w:t>
            </w:r>
            <w:r>
              <w:rPr>
                <w:rFonts w:hint="eastAsia" w:ascii="宋体" w:cs="宋体"/>
                <w:b/>
                <w:bCs/>
                <w:color w:val="auto"/>
                <w:sz w:val="21"/>
                <w:szCs w:val="21"/>
                <w:highlight w:val="none"/>
                <w:lang w:val="zh-CN"/>
              </w:rPr>
              <w:t>小写：</w:t>
            </w:r>
          </w:p>
        </w:tc>
      </w:tr>
    </w:tbl>
    <w:p w14:paraId="36EC8587">
      <w:pPr>
        <w:rPr>
          <w:rFonts w:ascii="宋体"/>
          <w:b/>
          <w:bCs/>
          <w:color w:val="auto"/>
          <w:sz w:val="24"/>
          <w:szCs w:val="24"/>
          <w:highlight w:val="none"/>
          <w:lang w:val="zh-CN"/>
        </w:rPr>
      </w:pPr>
      <w:r>
        <w:rPr>
          <w:rFonts w:hint="eastAsia" w:ascii="宋体" w:cs="宋体"/>
          <w:b/>
          <w:bCs/>
          <w:color w:val="auto"/>
          <w:sz w:val="24"/>
          <w:szCs w:val="24"/>
          <w:highlight w:val="none"/>
          <w:lang w:val="zh-CN"/>
        </w:rPr>
        <w:t>投标要求：</w:t>
      </w:r>
    </w:p>
    <w:p w14:paraId="4DDD2B91">
      <w:pPr>
        <w:ind w:firstLine="480"/>
        <w:rPr>
          <w:rFonts w:hint="eastAsia" w:ascii="宋体" w:cs="宋体"/>
          <w:color w:val="auto"/>
          <w:sz w:val="24"/>
          <w:szCs w:val="24"/>
          <w:highlight w:val="none"/>
          <w:lang w:val="zh-CN"/>
        </w:rPr>
      </w:pPr>
      <w:r>
        <w:rPr>
          <w:rFonts w:ascii="宋体" w:cs="宋体"/>
          <w:color w:val="auto"/>
          <w:sz w:val="24"/>
          <w:szCs w:val="24"/>
          <w:highlight w:val="none"/>
          <w:lang w:val="zh-CN"/>
        </w:rPr>
        <w:t>1.</w:t>
      </w:r>
      <w:r>
        <w:rPr>
          <w:rFonts w:hint="eastAsia" w:ascii="宋体" w:cs="宋体"/>
          <w:color w:val="auto"/>
          <w:sz w:val="24"/>
          <w:szCs w:val="24"/>
          <w:highlight w:val="none"/>
          <w:lang w:val="zh-CN"/>
        </w:rPr>
        <w:t>与完成本项目有关的各种费用均应包含在总报价中，数量单位须写明台</w:t>
      </w:r>
      <w:r>
        <w:rPr>
          <w:rFonts w:ascii="宋体" w:cs="宋体"/>
          <w:color w:val="auto"/>
          <w:sz w:val="24"/>
          <w:szCs w:val="24"/>
          <w:highlight w:val="none"/>
          <w:lang w:val="zh-CN"/>
        </w:rPr>
        <w:t>(</w:t>
      </w:r>
      <w:r>
        <w:rPr>
          <w:rFonts w:hint="eastAsia" w:ascii="宋体" w:cs="宋体"/>
          <w:color w:val="auto"/>
          <w:sz w:val="24"/>
          <w:szCs w:val="24"/>
          <w:highlight w:val="none"/>
          <w:lang w:val="zh-CN"/>
        </w:rPr>
        <w:t>套</w:t>
      </w:r>
      <w:r>
        <w:rPr>
          <w:rFonts w:ascii="宋体" w:cs="宋体"/>
          <w:color w:val="auto"/>
          <w:sz w:val="24"/>
          <w:szCs w:val="24"/>
          <w:highlight w:val="none"/>
          <w:lang w:val="zh-CN"/>
        </w:rPr>
        <w:t>)</w:t>
      </w:r>
      <w:r>
        <w:rPr>
          <w:rFonts w:hint="eastAsia" w:ascii="宋体" w:cs="宋体"/>
          <w:color w:val="auto"/>
          <w:sz w:val="24"/>
          <w:szCs w:val="24"/>
          <w:highlight w:val="none"/>
          <w:lang w:val="zh-CN"/>
        </w:rPr>
        <w:t>。</w:t>
      </w:r>
    </w:p>
    <w:p w14:paraId="3AA5C275">
      <w:pPr>
        <w:ind w:firstLine="480"/>
        <w:rPr>
          <w:rFonts w:hint="eastAsia" w:ascii="宋体" w:cs="宋体"/>
          <w:color w:val="auto"/>
          <w:sz w:val="24"/>
          <w:szCs w:val="24"/>
          <w:highlight w:val="none"/>
          <w:lang w:val="zh-CN"/>
        </w:rPr>
      </w:pPr>
      <w:r>
        <w:rPr>
          <w:rFonts w:ascii="宋体" w:cs="宋体"/>
          <w:color w:val="auto"/>
          <w:sz w:val="24"/>
          <w:szCs w:val="24"/>
          <w:highlight w:val="none"/>
          <w:lang w:val="zh-CN"/>
        </w:rPr>
        <w:t>2.</w:t>
      </w:r>
      <w:r>
        <w:rPr>
          <w:rFonts w:hint="eastAsia" w:ascii="宋体" w:cs="宋体"/>
          <w:color w:val="auto"/>
          <w:sz w:val="24"/>
          <w:szCs w:val="24"/>
          <w:highlight w:val="none"/>
          <w:lang w:val="zh-CN"/>
        </w:rPr>
        <w:t>所有投标货物均应标明品牌型号、详细功能配置、主要技术参数、功能配置及技术指标偏离情况、原产地及制造厂商等。</w:t>
      </w:r>
    </w:p>
    <w:p w14:paraId="02DEECB9">
      <w:pPr>
        <w:keepNext w:val="0"/>
        <w:keepLines w:val="0"/>
        <w:pageBreakBefore w:val="0"/>
        <w:widowControl w:val="0"/>
        <w:kinsoku/>
        <w:wordWrap/>
        <w:overflowPunct/>
        <w:topLinePunct w:val="0"/>
        <w:autoSpaceDE w:val="0"/>
        <w:autoSpaceDN w:val="0"/>
        <w:bidi w:val="0"/>
        <w:adjustRightInd w:val="0"/>
        <w:snapToGrid/>
        <w:ind w:firstLine="482"/>
        <w:textAlignment w:val="auto"/>
        <w:rPr>
          <w:rFonts w:hint="eastAsia" w:ascii="黑体" w:hAnsi="黑体" w:eastAsia="黑体" w:cs="宋体"/>
          <w:color w:val="auto"/>
          <w:sz w:val="24"/>
          <w:szCs w:val="24"/>
          <w:highlight w:val="none"/>
          <w:u w:val="single"/>
          <w:lang w:val="zh-CN"/>
        </w:rPr>
      </w:pPr>
    </w:p>
    <w:p w14:paraId="2E2124F0">
      <w:pPr>
        <w:snapToGrid w:val="0"/>
        <w:spacing w:line="300" w:lineRule="auto"/>
        <w:outlineLvl w:val="0"/>
        <w:rPr>
          <w:rFonts w:hint="eastAsia" w:ascii="宋体" w:hAnsi="宋体"/>
          <w:b/>
          <w:color w:val="auto"/>
          <w:sz w:val="24"/>
          <w:highlight w:val="none"/>
        </w:rPr>
      </w:pPr>
      <w:bookmarkStart w:id="147" w:name="_Toc24657"/>
      <w:bookmarkStart w:id="148" w:name="_Toc1630"/>
      <w:bookmarkStart w:id="149" w:name="_Toc23224"/>
    </w:p>
    <w:p w14:paraId="66D176BF">
      <w:pPr>
        <w:snapToGrid w:val="0"/>
        <w:spacing w:line="300" w:lineRule="auto"/>
        <w:outlineLvl w:val="0"/>
        <w:rPr>
          <w:rFonts w:hint="eastAsia" w:ascii="宋体" w:hAnsi="宋体"/>
          <w:b/>
          <w:color w:val="auto"/>
          <w:sz w:val="24"/>
          <w:highlight w:val="none"/>
        </w:rPr>
      </w:pPr>
      <w:r>
        <w:rPr>
          <w:rFonts w:hint="eastAsia" w:ascii="宋体" w:hAnsi="宋体"/>
          <w:b/>
          <w:color w:val="auto"/>
          <w:sz w:val="24"/>
          <w:highlight w:val="none"/>
        </w:rPr>
        <w:t>格式四、项目管理主要成员信息表（</w:t>
      </w:r>
      <w:r>
        <w:rPr>
          <w:rFonts w:hint="eastAsia" w:ascii="宋体" w:hAnsi="宋体" w:cs="黑体"/>
          <w:b/>
          <w:bCs/>
          <w:color w:val="auto"/>
          <w:sz w:val="24"/>
          <w:szCs w:val="24"/>
          <w:highlight w:val="none"/>
          <w:lang w:val="zh-CN"/>
        </w:rPr>
        <w:t>按照人员信息的不同增删表格</w:t>
      </w:r>
      <w:r>
        <w:rPr>
          <w:rFonts w:hint="eastAsia" w:ascii="宋体" w:hAnsi="宋体"/>
          <w:b/>
          <w:color w:val="auto"/>
          <w:sz w:val="24"/>
          <w:highlight w:val="none"/>
        </w:rPr>
        <w:t>）</w:t>
      </w:r>
      <w:bookmarkEnd w:id="147"/>
      <w:bookmarkEnd w:id="148"/>
      <w:bookmarkEnd w:id="149"/>
    </w:p>
    <w:p w14:paraId="1620E62B">
      <w:pPr>
        <w:snapToGrid w:val="0"/>
        <w:spacing w:line="300" w:lineRule="auto"/>
        <w:outlineLvl w:val="9"/>
        <w:rPr>
          <w:rFonts w:hint="eastAsia" w:ascii="宋体" w:hAnsi="宋体"/>
          <w:b/>
          <w:color w:val="auto"/>
          <w:sz w:val="24"/>
          <w:highlight w:val="none"/>
        </w:rPr>
      </w:pPr>
    </w:p>
    <w:p w14:paraId="2A14479F">
      <w:pPr>
        <w:rPr>
          <w:rFonts w:ascii="宋体" w:hAnsi="宋体"/>
          <w:color w:val="auto"/>
          <w:sz w:val="24"/>
          <w:szCs w:val="24"/>
          <w:highlight w:val="none"/>
          <w:lang w:val="zh-CN"/>
        </w:rPr>
      </w:pPr>
      <w:r>
        <w:rPr>
          <w:rFonts w:hint="eastAsia" w:ascii="宋体" w:hAnsi="宋体" w:cs="宋体"/>
          <w:color w:val="auto"/>
          <w:sz w:val="24"/>
          <w:szCs w:val="24"/>
          <w:highlight w:val="none"/>
          <w:lang w:val="zh-CN"/>
        </w:rPr>
        <w:t>项目名称：</w:t>
      </w:r>
    </w:p>
    <w:p w14:paraId="22785A8C">
      <w:pPr>
        <w:rPr>
          <w:rFonts w:ascii="宋体" w:hAnsi="宋体"/>
          <w:color w:val="auto"/>
          <w:sz w:val="24"/>
          <w:szCs w:val="24"/>
          <w:highlight w:val="none"/>
          <w:lang w:val="zh-CN"/>
        </w:rPr>
      </w:pPr>
      <w:r>
        <w:rPr>
          <w:rFonts w:hint="eastAsia" w:ascii="宋体" w:hAnsi="宋体" w:cs="宋体"/>
          <w:color w:val="auto"/>
          <w:sz w:val="24"/>
          <w:szCs w:val="24"/>
          <w:highlight w:val="none"/>
          <w:lang w:val="zh-CN"/>
        </w:rPr>
        <w:t>投标人名称</w:t>
      </w:r>
      <w:r>
        <w:rPr>
          <w:rFonts w:hint="eastAsia" w:ascii="宋体" w:hAnsi="宋体" w:cs="黑体"/>
          <w:b/>
          <w:bCs/>
          <w:color w:val="auto"/>
          <w:sz w:val="24"/>
          <w:szCs w:val="24"/>
          <w:highlight w:val="none"/>
          <w:lang w:val="zh-CN"/>
        </w:rPr>
        <w:t>（加盖投标人公章）：</w:t>
      </w:r>
      <w:r>
        <w:rPr>
          <w:rFonts w:ascii="宋体" w:hAnsi="宋体" w:cs="黑体"/>
          <w:b/>
          <w:bCs/>
          <w:color w:val="auto"/>
          <w:sz w:val="24"/>
          <w:szCs w:val="24"/>
          <w:highlight w:val="none"/>
          <w:lang w:val="zh-CN"/>
        </w:rPr>
        <w:tab/>
      </w:r>
      <w:r>
        <w:rPr>
          <w:rFonts w:ascii="宋体" w:cs="宋体"/>
          <w:color w:val="auto"/>
          <w:sz w:val="24"/>
          <w:szCs w:val="24"/>
          <w:highlight w:val="none"/>
          <w:lang w:val="zh-CN"/>
        </w:rPr>
        <w:t xml:space="preserve">  </w:t>
      </w:r>
      <w:r>
        <w:rPr>
          <w:rFonts w:hint="eastAsia" w:ascii="宋体" w:cs="宋体"/>
          <w:color w:val="auto"/>
          <w:sz w:val="24"/>
          <w:szCs w:val="24"/>
          <w:highlight w:val="none"/>
          <w:lang w:val="zh-CN"/>
        </w:rPr>
        <w:t xml:space="preserve">                   </w:t>
      </w:r>
      <w:r>
        <w:rPr>
          <w:rFonts w:ascii="宋体" w:cs="宋体"/>
          <w:color w:val="auto"/>
          <w:sz w:val="24"/>
          <w:szCs w:val="24"/>
          <w:highlight w:val="none"/>
          <w:lang w:val="zh-CN"/>
        </w:rPr>
        <w:t xml:space="preserve"> </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年</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月</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日</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764"/>
        <w:gridCol w:w="632"/>
        <w:gridCol w:w="1440"/>
        <w:gridCol w:w="745"/>
        <w:gridCol w:w="849"/>
        <w:gridCol w:w="916"/>
        <w:gridCol w:w="2293"/>
        <w:gridCol w:w="763"/>
      </w:tblGrid>
      <w:tr w14:paraId="042F5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vMerge w:val="restart"/>
            <w:tcBorders>
              <w:top w:val="single" w:color="auto" w:sz="4" w:space="0"/>
              <w:left w:val="single" w:color="auto" w:sz="4" w:space="0"/>
              <w:bottom w:val="single" w:color="auto" w:sz="4" w:space="0"/>
              <w:right w:val="single" w:color="auto" w:sz="4" w:space="0"/>
            </w:tcBorders>
            <w:noWrap w:val="0"/>
            <w:vAlign w:val="center"/>
          </w:tcPr>
          <w:p w14:paraId="1DCE0FC1">
            <w:pPr>
              <w:jc w:val="center"/>
              <w:rPr>
                <w:rFonts w:ascii="宋体"/>
                <w:color w:val="auto"/>
                <w:sz w:val="24"/>
                <w:highlight w:val="none"/>
              </w:rPr>
            </w:pPr>
            <w:r>
              <w:rPr>
                <w:rFonts w:hint="eastAsia" w:ascii="宋体" w:hAnsi="宋体"/>
                <w:color w:val="auto"/>
                <w:sz w:val="24"/>
                <w:highlight w:val="none"/>
              </w:rPr>
              <w:t>职务</w:t>
            </w:r>
          </w:p>
        </w:tc>
        <w:tc>
          <w:tcPr>
            <w:tcW w:w="764" w:type="dxa"/>
            <w:vMerge w:val="restart"/>
            <w:tcBorders>
              <w:top w:val="single" w:color="auto" w:sz="4" w:space="0"/>
              <w:left w:val="single" w:color="auto" w:sz="4" w:space="0"/>
              <w:bottom w:val="single" w:color="auto" w:sz="4" w:space="0"/>
              <w:right w:val="single" w:color="auto" w:sz="4" w:space="0"/>
            </w:tcBorders>
            <w:noWrap w:val="0"/>
            <w:vAlign w:val="center"/>
          </w:tcPr>
          <w:p w14:paraId="333387DB">
            <w:pPr>
              <w:jc w:val="center"/>
              <w:rPr>
                <w:rFonts w:ascii="宋体"/>
                <w:color w:val="auto"/>
                <w:sz w:val="24"/>
                <w:highlight w:val="none"/>
              </w:rPr>
            </w:pPr>
            <w:r>
              <w:rPr>
                <w:rFonts w:hint="eastAsia" w:ascii="宋体" w:hAnsi="宋体"/>
                <w:color w:val="auto"/>
                <w:sz w:val="24"/>
                <w:highlight w:val="none"/>
              </w:rPr>
              <w:t>姓名</w:t>
            </w:r>
          </w:p>
        </w:tc>
        <w:tc>
          <w:tcPr>
            <w:tcW w:w="632" w:type="dxa"/>
            <w:vMerge w:val="restart"/>
            <w:tcBorders>
              <w:top w:val="single" w:color="auto" w:sz="4" w:space="0"/>
              <w:left w:val="single" w:color="auto" w:sz="4" w:space="0"/>
              <w:bottom w:val="single" w:color="auto" w:sz="4" w:space="0"/>
              <w:right w:val="single" w:color="auto" w:sz="4" w:space="0"/>
            </w:tcBorders>
            <w:noWrap w:val="0"/>
            <w:vAlign w:val="center"/>
          </w:tcPr>
          <w:p w14:paraId="14AF968C">
            <w:pPr>
              <w:jc w:val="center"/>
              <w:rPr>
                <w:rFonts w:ascii="宋体"/>
                <w:color w:val="auto"/>
                <w:sz w:val="24"/>
                <w:highlight w:val="none"/>
              </w:rPr>
            </w:pPr>
            <w:r>
              <w:rPr>
                <w:rFonts w:hint="eastAsia" w:ascii="宋体" w:hAnsi="宋体"/>
                <w:color w:val="auto"/>
                <w:sz w:val="24"/>
                <w:highlight w:val="none"/>
              </w:rPr>
              <w:t>职称</w:t>
            </w:r>
          </w:p>
        </w:tc>
        <w:tc>
          <w:tcPr>
            <w:tcW w:w="6243" w:type="dxa"/>
            <w:gridSpan w:val="5"/>
            <w:tcBorders>
              <w:top w:val="single" w:color="auto" w:sz="4" w:space="0"/>
              <w:left w:val="single" w:color="auto" w:sz="4" w:space="0"/>
              <w:bottom w:val="single" w:color="auto" w:sz="4" w:space="0"/>
              <w:right w:val="single" w:color="auto" w:sz="4" w:space="0"/>
            </w:tcBorders>
            <w:noWrap w:val="0"/>
            <w:vAlign w:val="center"/>
          </w:tcPr>
          <w:p w14:paraId="00F9E4D8">
            <w:pPr>
              <w:jc w:val="center"/>
              <w:rPr>
                <w:rFonts w:ascii="宋体"/>
                <w:color w:val="auto"/>
                <w:sz w:val="24"/>
                <w:highlight w:val="none"/>
              </w:rPr>
            </w:pPr>
            <w:r>
              <w:rPr>
                <w:rFonts w:hint="eastAsia" w:ascii="宋体" w:hAnsi="宋体"/>
                <w:color w:val="auto"/>
                <w:sz w:val="24"/>
                <w:highlight w:val="none"/>
              </w:rPr>
              <w:t>执业或职业资格证明</w:t>
            </w:r>
          </w:p>
        </w:tc>
        <w:tc>
          <w:tcPr>
            <w:tcW w:w="763" w:type="dxa"/>
            <w:vMerge w:val="restart"/>
            <w:tcBorders>
              <w:top w:val="single" w:color="auto" w:sz="4" w:space="0"/>
              <w:left w:val="single" w:color="auto" w:sz="4" w:space="0"/>
              <w:bottom w:val="single" w:color="auto" w:sz="4" w:space="0"/>
              <w:right w:val="single" w:color="auto" w:sz="4" w:space="0"/>
            </w:tcBorders>
            <w:noWrap w:val="0"/>
            <w:vAlign w:val="center"/>
          </w:tcPr>
          <w:p w14:paraId="2780C764">
            <w:pPr>
              <w:jc w:val="center"/>
              <w:rPr>
                <w:rFonts w:ascii="宋体"/>
                <w:color w:val="auto"/>
                <w:sz w:val="24"/>
                <w:highlight w:val="none"/>
              </w:rPr>
            </w:pPr>
            <w:r>
              <w:rPr>
                <w:rFonts w:hint="eastAsia" w:ascii="宋体" w:hAnsi="宋体"/>
                <w:color w:val="auto"/>
                <w:sz w:val="24"/>
                <w:highlight w:val="none"/>
              </w:rPr>
              <w:t>备注</w:t>
            </w:r>
          </w:p>
        </w:tc>
      </w:tr>
      <w:tr w14:paraId="7EF45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vMerge w:val="continue"/>
            <w:tcBorders>
              <w:top w:val="single" w:color="auto" w:sz="4" w:space="0"/>
              <w:left w:val="single" w:color="auto" w:sz="4" w:space="0"/>
              <w:bottom w:val="single" w:color="auto" w:sz="4" w:space="0"/>
              <w:right w:val="single" w:color="auto" w:sz="4" w:space="0"/>
            </w:tcBorders>
            <w:noWrap w:val="0"/>
            <w:vAlign w:val="center"/>
          </w:tcPr>
          <w:p w14:paraId="74793E60">
            <w:pPr>
              <w:widowControl/>
              <w:rPr>
                <w:rFonts w:ascii="宋体"/>
                <w:color w:val="auto"/>
                <w:sz w:val="24"/>
                <w:highlight w:val="none"/>
              </w:rPr>
            </w:pPr>
          </w:p>
        </w:tc>
        <w:tc>
          <w:tcPr>
            <w:tcW w:w="764" w:type="dxa"/>
            <w:vMerge w:val="continue"/>
            <w:tcBorders>
              <w:top w:val="single" w:color="auto" w:sz="4" w:space="0"/>
              <w:left w:val="single" w:color="auto" w:sz="4" w:space="0"/>
              <w:bottom w:val="single" w:color="auto" w:sz="4" w:space="0"/>
              <w:right w:val="single" w:color="auto" w:sz="4" w:space="0"/>
            </w:tcBorders>
            <w:noWrap w:val="0"/>
            <w:vAlign w:val="center"/>
          </w:tcPr>
          <w:p w14:paraId="094951E1">
            <w:pPr>
              <w:widowControl/>
              <w:rPr>
                <w:rFonts w:ascii="宋体"/>
                <w:color w:val="auto"/>
                <w:sz w:val="24"/>
                <w:highlight w:val="none"/>
              </w:rPr>
            </w:pPr>
          </w:p>
        </w:tc>
        <w:tc>
          <w:tcPr>
            <w:tcW w:w="632" w:type="dxa"/>
            <w:vMerge w:val="continue"/>
            <w:tcBorders>
              <w:top w:val="single" w:color="auto" w:sz="4" w:space="0"/>
              <w:left w:val="single" w:color="auto" w:sz="4" w:space="0"/>
              <w:bottom w:val="single" w:color="auto" w:sz="4" w:space="0"/>
              <w:right w:val="single" w:color="auto" w:sz="4" w:space="0"/>
            </w:tcBorders>
            <w:noWrap w:val="0"/>
            <w:vAlign w:val="center"/>
          </w:tcPr>
          <w:p w14:paraId="279A30BC">
            <w:pPr>
              <w:widowControl/>
              <w:rPr>
                <w:rFonts w:asci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7DF959C0">
            <w:pPr>
              <w:jc w:val="center"/>
              <w:rPr>
                <w:rFonts w:ascii="宋体"/>
                <w:color w:val="auto"/>
                <w:sz w:val="24"/>
                <w:highlight w:val="none"/>
              </w:rPr>
            </w:pPr>
            <w:r>
              <w:rPr>
                <w:rFonts w:hint="eastAsia" w:ascii="宋体" w:hAnsi="宋体"/>
                <w:color w:val="auto"/>
                <w:sz w:val="24"/>
                <w:highlight w:val="none"/>
              </w:rPr>
              <w:t>证书名称</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6F8679B0">
            <w:pPr>
              <w:jc w:val="center"/>
              <w:rPr>
                <w:rFonts w:ascii="宋体"/>
                <w:color w:val="auto"/>
                <w:sz w:val="24"/>
                <w:highlight w:val="none"/>
              </w:rPr>
            </w:pPr>
            <w:r>
              <w:rPr>
                <w:rFonts w:hint="eastAsia" w:ascii="宋体" w:hAnsi="宋体"/>
                <w:color w:val="auto"/>
                <w:sz w:val="24"/>
                <w:highlight w:val="none"/>
              </w:rPr>
              <w:t>级别</w:t>
            </w:r>
          </w:p>
        </w:tc>
        <w:tc>
          <w:tcPr>
            <w:tcW w:w="849" w:type="dxa"/>
            <w:tcBorders>
              <w:top w:val="single" w:color="auto" w:sz="4" w:space="0"/>
              <w:left w:val="single" w:color="auto" w:sz="4" w:space="0"/>
              <w:bottom w:val="single" w:color="auto" w:sz="4" w:space="0"/>
              <w:right w:val="single" w:color="auto" w:sz="4" w:space="0"/>
            </w:tcBorders>
            <w:noWrap w:val="0"/>
            <w:vAlign w:val="center"/>
          </w:tcPr>
          <w:p w14:paraId="11AC6D0B">
            <w:pPr>
              <w:jc w:val="center"/>
              <w:rPr>
                <w:rFonts w:ascii="宋体"/>
                <w:color w:val="auto"/>
                <w:sz w:val="24"/>
                <w:highlight w:val="none"/>
              </w:rPr>
            </w:pPr>
            <w:r>
              <w:rPr>
                <w:rFonts w:hint="eastAsia" w:ascii="宋体" w:hAnsi="宋体"/>
                <w:color w:val="auto"/>
                <w:sz w:val="24"/>
                <w:highlight w:val="none"/>
              </w:rPr>
              <w:t>证号</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5F8FFB40">
            <w:pPr>
              <w:jc w:val="center"/>
              <w:rPr>
                <w:rFonts w:ascii="宋体"/>
                <w:color w:val="auto"/>
                <w:sz w:val="24"/>
                <w:highlight w:val="none"/>
              </w:rPr>
            </w:pPr>
            <w:r>
              <w:rPr>
                <w:rFonts w:hint="eastAsia" w:ascii="宋体" w:hAnsi="宋体"/>
                <w:color w:val="auto"/>
                <w:sz w:val="24"/>
                <w:highlight w:val="none"/>
              </w:rPr>
              <w:t>专业</w:t>
            </w:r>
          </w:p>
        </w:tc>
        <w:tc>
          <w:tcPr>
            <w:tcW w:w="2293" w:type="dxa"/>
            <w:tcBorders>
              <w:top w:val="single" w:color="auto" w:sz="4" w:space="0"/>
              <w:left w:val="single" w:color="auto" w:sz="4" w:space="0"/>
              <w:bottom w:val="single" w:color="auto" w:sz="4" w:space="0"/>
              <w:right w:val="single" w:color="auto" w:sz="4" w:space="0"/>
            </w:tcBorders>
            <w:noWrap w:val="0"/>
            <w:vAlign w:val="center"/>
          </w:tcPr>
          <w:p w14:paraId="11DBFDFF">
            <w:pPr>
              <w:jc w:val="center"/>
              <w:rPr>
                <w:rFonts w:ascii="宋体"/>
                <w:color w:val="auto"/>
                <w:sz w:val="24"/>
                <w:highlight w:val="none"/>
              </w:rPr>
            </w:pPr>
            <w:r>
              <w:rPr>
                <w:rFonts w:hint="eastAsia" w:ascii="宋体" w:hAnsi="宋体"/>
                <w:color w:val="auto"/>
                <w:sz w:val="24"/>
                <w:highlight w:val="none"/>
              </w:rPr>
              <w:t>社会保险</w:t>
            </w:r>
          </w:p>
        </w:tc>
        <w:tc>
          <w:tcPr>
            <w:tcW w:w="763" w:type="dxa"/>
            <w:vMerge w:val="continue"/>
            <w:tcBorders>
              <w:top w:val="single" w:color="auto" w:sz="4" w:space="0"/>
              <w:left w:val="single" w:color="auto" w:sz="4" w:space="0"/>
              <w:bottom w:val="single" w:color="auto" w:sz="4" w:space="0"/>
              <w:right w:val="single" w:color="auto" w:sz="4" w:space="0"/>
            </w:tcBorders>
            <w:noWrap w:val="0"/>
            <w:vAlign w:val="center"/>
          </w:tcPr>
          <w:p w14:paraId="798DA173">
            <w:pPr>
              <w:widowControl/>
              <w:rPr>
                <w:rFonts w:ascii="宋体"/>
                <w:color w:val="auto"/>
                <w:sz w:val="24"/>
                <w:highlight w:val="none"/>
              </w:rPr>
            </w:pPr>
          </w:p>
        </w:tc>
      </w:tr>
      <w:tr w14:paraId="4B74F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14:paraId="5CE49C71">
            <w:pPr>
              <w:jc w:val="center"/>
              <w:rPr>
                <w:rFonts w:ascii="宋体"/>
                <w:color w:val="auto"/>
                <w:sz w:val="24"/>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14:paraId="46EB5CF5">
            <w:pPr>
              <w:jc w:val="center"/>
              <w:rPr>
                <w:rFonts w:ascii="宋体"/>
                <w:color w:val="auto"/>
                <w:sz w:val="24"/>
                <w:highlight w:val="none"/>
              </w:rPr>
            </w:pPr>
          </w:p>
        </w:tc>
        <w:tc>
          <w:tcPr>
            <w:tcW w:w="632" w:type="dxa"/>
            <w:tcBorders>
              <w:top w:val="single" w:color="auto" w:sz="4" w:space="0"/>
              <w:left w:val="single" w:color="auto" w:sz="4" w:space="0"/>
              <w:bottom w:val="single" w:color="auto" w:sz="4" w:space="0"/>
              <w:right w:val="single" w:color="auto" w:sz="4" w:space="0"/>
            </w:tcBorders>
            <w:noWrap w:val="0"/>
            <w:vAlign w:val="center"/>
          </w:tcPr>
          <w:p w14:paraId="182146AB">
            <w:pPr>
              <w:jc w:val="center"/>
              <w:rPr>
                <w:rFonts w:asci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61DAC456">
            <w:pPr>
              <w:jc w:val="center"/>
              <w:rPr>
                <w:rFonts w:ascii="宋体"/>
                <w:color w:val="auto"/>
                <w:sz w:val="24"/>
                <w:highlight w:val="none"/>
              </w:rPr>
            </w:pPr>
          </w:p>
        </w:tc>
        <w:tc>
          <w:tcPr>
            <w:tcW w:w="745" w:type="dxa"/>
            <w:tcBorders>
              <w:top w:val="single" w:color="auto" w:sz="4" w:space="0"/>
              <w:left w:val="single" w:color="auto" w:sz="4" w:space="0"/>
              <w:bottom w:val="single" w:color="auto" w:sz="4" w:space="0"/>
              <w:right w:val="single" w:color="auto" w:sz="4" w:space="0"/>
            </w:tcBorders>
            <w:noWrap w:val="0"/>
            <w:vAlign w:val="center"/>
          </w:tcPr>
          <w:p w14:paraId="172C7F92">
            <w:pPr>
              <w:jc w:val="center"/>
              <w:rPr>
                <w:rFonts w:ascii="宋体"/>
                <w:color w:val="auto"/>
                <w:sz w:val="24"/>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18A6A058">
            <w:pPr>
              <w:jc w:val="center"/>
              <w:rPr>
                <w:rFonts w:ascii="宋体"/>
                <w:color w:val="auto"/>
                <w:sz w:val="24"/>
                <w:highlight w:val="none"/>
              </w:rPr>
            </w:pPr>
          </w:p>
        </w:tc>
        <w:tc>
          <w:tcPr>
            <w:tcW w:w="916" w:type="dxa"/>
            <w:tcBorders>
              <w:top w:val="single" w:color="auto" w:sz="4" w:space="0"/>
              <w:left w:val="single" w:color="auto" w:sz="4" w:space="0"/>
              <w:bottom w:val="single" w:color="auto" w:sz="4" w:space="0"/>
              <w:right w:val="single" w:color="auto" w:sz="4" w:space="0"/>
            </w:tcBorders>
            <w:noWrap w:val="0"/>
            <w:vAlign w:val="center"/>
          </w:tcPr>
          <w:p w14:paraId="506FC373">
            <w:pPr>
              <w:jc w:val="center"/>
              <w:rPr>
                <w:rFonts w:ascii="宋体"/>
                <w:color w:val="auto"/>
                <w:sz w:val="24"/>
                <w:highlight w:val="none"/>
              </w:rPr>
            </w:pPr>
          </w:p>
        </w:tc>
        <w:tc>
          <w:tcPr>
            <w:tcW w:w="2293" w:type="dxa"/>
            <w:tcBorders>
              <w:top w:val="single" w:color="auto" w:sz="4" w:space="0"/>
              <w:left w:val="single" w:color="auto" w:sz="4" w:space="0"/>
              <w:bottom w:val="single" w:color="auto" w:sz="4" w:space="0"/>
              <w:right w:val="single" w:color="auto" w:sz="4" w:space="0"/>
            </w:tcBorders>
            <w:noWrap w:val="0"/>
            <w:vAlign w:val="center"/>
          </w:tcPr>
          <w:p w14:paraId="5CBDAFD6">
            <w:pPr>
              <w:jc w:val="center"/>
              <w:rPr>
                <w:rFonts w:ascii="宋体"/>
                <w:color w:val="auto"/>
                <w:sz w:val="24"/>
                <w:highlight w:val="none"/>
              </w:rPr>
            </w:pPr>
          </w:p>
        </w:tc>
        <w:tc>
          <w:tcPr>
            <w:tcW w:w="763" w:type="dxa"/>
            <w:tcBorders>
              <w:top w:val="single" w:color="auto" w:sz="4" w:space="0"/>
              <w:left w:val="single" w:color="auto" w:sz="4" w:space="0"/>
              <w:bottom w:val="single" w:color="auto" w:sz="4" w:space="0"/>
              <w:right w:val="single" w:color="auto" w:sz="4" w:space="0"/>
            </w:tcBorders>
            <w:noWrap w:val="0"/>
            <w:vAlign w:val="center"/>
          </w:tcPr>
          <w:p w14:paraId="7192F86C">
            <w:pPr>
              <w:jc w:val="center"/>
              <w:rPr>
                <w:rFonts w:ascii="宋体"/>
                <w:color w:val="auto"/>
                <w:sz w:val="24"/>
                <w:highlight w:val="none"/>
              </w:rPr>
            </w:pPr>
          </w:p>
        </w:tc>
      </w:tr>
      <w:tr w14:paraId="7DDB8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14:paraId="5521F2E9">
            <w:pPr>
              <w:jc w:val="center"/>
              <w:rPr>
                <w:rFonts w:ascii="宋体"/>
                <w:color w:val="auto"/>
                <w:sz w:val="24"/>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14:paraId="5E4303A9">
            <w:pPr>
              <w:jc w:val="center"/>
              <w:rPr>
                <w:rFonts w:ascii="宋体"/>
                <w:color w:val="auto"/>
                <w:sz w:val="24"/>
                <w:highlight w:val="none"/>
              </w:rPr>
            </w:pPr>
          </w:p>
        </w:tc>
        <w:tc>
          <w:tcPr>
            <w:tcW w:w="632" w:type="dxa"/>
            <w:tcBorders>
              <w:top w:val="single" w:color="auto" w:sz="4" w:space="0"/>
              <w:left w:val="single" w:color="auto" w:sz="4" w:space="0"/>
              <w:bottom w:val="single" w:color="auto" w:sz="4" w:space="0"/>
              <w:right w:val="single" w:color="auto" w:sz="4" w:space="0"/>
            </w:tcBorders>
            <w:noWrap w:val="0"/>
            <w:vAlign w:val="center"/>
          </w:tcPr>
          <w:p w14:paraId="54EC78E5">
            <w:pPr>
              <w:jc w:val="center"/>
              <w:rPr>
                <w:rFonts w:asci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4B06F591">
            <w:pPr>
              <w:jc w:val="center"/>
              <w:rPr>
                <w:rFonts w:ascii="宋体"/>
                <w:color w:val="auto"/>
                <w:sz w:val="24"/>
                <w:highlight w:val="none"/>
              </w:rPr>
            </w:pPr>
          </w:p>
        </w:tc>
        <w:tc>
          <w:tcPr>
            <w:tcW w:w="745" w:type="dxa"/>
            <w:tcBorders>
              <w:top w:val="single" w:color="auto" w:sz="4" w:space="0"/>
              <w:left w:val="single" w:color="auto" w:sz="4" w:space="0"/>
              <w:bottom w:val="single" w:color="auto" w:sz="4" w:space="0"/>
              <w:right w:val="single" w:color="auto" w:sz="4" w:space="0"/>
            </w:tcBorders>
            <w:noWrap w:val="0"/>
            <w:vAlign w:val="center"/>
          </w:tcPr>
          <w:p w14:paraId="2C95EECB">
            <w:pPr>
              <w:jc w:val="center"/>
              <w:rPr>
                <w:rFonts w:ascii="宋体"/>
                <w:color w:val="auto"/>
                <w:sz w:val="24"/>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4839A386">
            <w:pPr>
              <w:jc w:val="center"/>
              <w:rPr>
                <w:rFonts w:ascii="宋体"/>
                <w:color w:val="auto"/>
                <w:sz w:val="24"/>
                <w:highlight w:val="none"/>
              </w:rPr>
            </w:pPr>
          </w:p>
        </w:tc>
        <w:tc>
          <w:tcPr>
            <w:tcW w:w="916" w:type="dxa"/>
            <w:tcBorders>
              <w:top w:val="single" w:color="auto" w:sz="4" w:space="0"/>
              <w:left w:val="single" w:color="auto" w:sz="4" w:space="0"/>
              <w:bottom w:val="single" w:color="auto" w:sz="4" w:space="0"/>
              <w:right w:val="single" w:color="auto" w:sz="4" w:space="0"/>
            </w:tcBorders>
            <w:noWrap w:val="0"/>
            <w:vAlign w:val="center"/>
          </w:tcPr>
          <w:p w14:paraId="58913778">
            <w:pPr>
              <w:jc w:val="center"/>
              <w:rPr>
                <w:rFonts w:ascii="宋体"/>
                <w:color w:val="auto"/>
                <w:sz w:val="24"/>
                <w:highlight w:val="none"/>
              </w:rPr>
            </w:pPr>
          </w:p>
        </w:tc>
        <w:tc>
          <w:tcPr>
            <w:tcW w:w="2293" w:type="dxa"/>
            <w:tcBorders>
              <w:top w:val="single" w:color="auto" w:sz="4" w:space="0"/>
              <w:left w:val="single" w:color="auto" w:sz="4" w:space="0"/>
              <w:bottom w:val="single" w:color="auto" w:sz="4" w:space="0"/>
              <w:right w:val="single" w:color="auto" w:sz="4" w:space="0"/>
            </w:tcBorders>
            <w:noWrap w:val="0"/>
            <w:vAlign w:val="center"/>
          </w:tcPr>
          <w:p w14:paraId="7EABCE0E">
            <w:pPr>
              <w:jc w:val="center"/>
              <w:rPr>
                <w:rFonts w:ascii="宋体"/>
                <w:color w:val="auto"/>
                <w:sz w:val="24"/>
                <w:highlight w:val="none"/>
              </w:rPr>
            </w:pPr>
          </w:p>
        </w:tc>
        <w:tc>
          <w:tcPr>
            <w:tcW w:w="763" w:type="dxa"/>
            <w:tcBorders>
              <w:top w:val="single" w:color="auto" w:sz="4" w:space="0"/>
              <w:left w:val="single" w:color="auto" w:sz="4" w:space="0"/>
              <w:bottom w:val="single" w:color="auto" w:sz="4" w:space="0"/>
              <w:right w:val="single" w:color="auto" w:sz="4" w:space="0"/>
            </w:tcBorders>
            <w:noWrap w:val="0"/>
            <w:vAlign w:val="center"/>
          </w:tcPr>
          <w:p w14:paraId="7CA4437F">
            <w:pPr>
              <w:jc w:val="center"/>
              <w:rPr>
                <w:rFonts w:ascii="宋体"/>
                <w:color w:val="auto"/>
                <w:sz w:val="24"/>
                <w:highlight w:val="none"/>
              </w:rPr>
            </w:pPr>
          </w:p>
        </w:tc>
      </w:tr>
      <w:tr w14:paraId="47BE4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14:paraId="10B706CE">
            <w:pPr>
              <w:jc w:val="center"/>
              <w:rPr>
                <w:rFonts w:ascii="宋体"/>
                <w:color w:val="auto"/>
                <w:sz w:val="24"/>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14:paraId="372CBB0C">
            <w:pPr>
              <w:jc w:val="center"/>
              <w:rPr>
                <w:rFonts w:ascii="宋体"/>
                <w:color w:val="auto"/>
                <w:sz w:val="24"/>
                <w:highlight w:val="none"/>
              </w:rPr>
            </w:pPr>
          </w:p>
        </w:tc>
        <w:tc>
          <w:tcPr>
            <w:tcW w:w="632" w:type="dxa"/>
            <w:tcBorders>
              <w:top w:val="single" w:color="auto" w:sz="4" w:space="0"/>
              <w:left w:val="single" w:color="auto" w:sz="4" w:space="0"/>
              <w:bottom w:val="single" w:color="auto" w:sz="4" w:space="0"/>
              <w:right w:val="single" w:color="auto" w:sz="4" w:space="0"/>
            </w:tcBorders>
            <w:noWrap w:val="0"/>
            <w:vAlign w:val="center"/>
          </w:tcPr>
          <w:p w14:paraId="36A52EA3">
            <w:pPr>
              <w:jc w:val="center"/>
              <w:rPr>
                <w:rFonts w:asci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612615C7">
            <w:pPr>
              <w:jc w:val="center"/>
              <w:rPr>
                <w:rFonts w:ascii="宋体"/>
                <w:color w:val="auto"/>
                <w:sz w:val="24"/>
                <w:highlight w:val="none"/>
              </w:rPr>
            </w:pPr>
          </w:p>
        </w:tc>
        <w:tc>
          <w:tcPr>
            <w:tcW w:w="745" w:type="dxa"/>
            <w:tcBorders>
              <w:top w:val="single" w:color="auto" w:sz="4" w:space="0"/>
              <w:left w:val="single" w:color="auto" w:sz="4" w:space="0"/>
              <w:bottom w:val="single" w:color="auto" w:sz="4" w:space="0"/>
              <w:right w:val="single" w:color="auto" w:sz="4" w:space="0"/>
            </w:tcBorders>
            <w:noWrap w:val="0"/>
            <w:vAlign w:val="center"/>
          </w:tcPr>
          <w:p w14:paraId="4AFD7107">
            <w:pPr>
              <w:jc w:val="center"/>
              <w:rPr>
                <w:rFonts w:ascii="宋体"/>
                <w:color w:val="auto"/>
                <w:sz w:val="24"/>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7609A167">
            <w:pPr>
              <w:jc w:val="center"/>
              <w:rPr>
                <w:rFonts w:ascii="宋体"/>
                <w:color w:val="auto"/>
                <w:sz w:val="24"/>
                <w:highlight w:val="none"/>
              </w:rPr>
            </w:pPr>
          </w:p>
        </w:tc>
        <w:tc>
          <w:tcPr>
            <w:tcW w:w="916" w:type="dxa"/>
            <w:tcBorders>
              <w:top w:val="single" w:color="auto" w:sz="4" w:space="0"/>
              <w:left w:val="single" w:color="auto" w:sz="4" w:space="0"/>
              <w:bottom w:val="single" w:color="auto" w:sz="4" w:space="0"/>
              <w:right w:val="single" w:color="auto" w:sz="4" w:space="0"/>
            </w:tcBorders>
            <w:noWrap w:val="0"/>
            <w:vAlign w:val="center"/>
          </w:tcPr>
          <w:p w14:paraId="5BD0D139">
            <w:pPr>
              <w:jc w:val="center"/>
              <w:rPr>
                <w:rFonts w:ascii="宋体"/>
                <w:color w:val="auto"/>
                <w:sz w:val="24"/>
                <w:highlight w:val="none"/>
              </w:rPr>
            </w:pPr>
          </w:p>
        </w:tc>
        <w:tc>
          <w:tcPr>
            <w:tcW w:w="2293" w:type="dxa"/>
            <w:tcBorders>
              <w:top w:val="single" w:color="auto" w:sz="4" w:space="0"/>
              <w:left w:val="single" w:color="auto" w:sz="4" w:space="0"/>
              <w:bottom w:val="single" w:color="auto" w:sz="4" w:space="0"/>
              <w:right w:val="single" w:color="auto" w:sz="4" w:space="0"/>
            </w:tcBorders>
            <w:noWrap w:val="0"/>
            <w:vAlign w:val="center"/>
          </w:tcPr>
          <w:p w14:paraId="637ACFDB">
            <w:pPr>
              <w:jc w:val="center"/>
              <w:rPr>
                <w:rFonts w:ascii="宋体"/>
                <w:color w:val="auto"/>
                <w:sz w:val="24"/>
                <w:highlight w:val="none"/>
              </w:rPr>
            </w:pPr>
          </w:p>
        </w:tc>
        <w:tc>
          <w:tcPr>
            <w:tcW w:w="763" w:type="dxa"/>
            <w:tcBorders>
              <w:top w:val="single" w:color="auto" w:sz="4" w:space="0"/>
              <w:left w:val="single" w:color="auto" w:sz="4" w:space="0"/>
              <w:bottom w:val="single" w:color="auto" w:sz="4" w:space="0"/>
              <w:right w:val="single" w:color="auto" w:sz="4" w:space="0"/>
            </w:tcBorders>
            <w:noWrap w:val="0"/>
            <w:vAlign w:val="center"/>
          </w:tcPr>
          <w:p w14:paraId="2E529EAE">
            <w:pPr>
              <w:jc w:val="center"/>
              <w:rPr>
                <w:rFonts w:ascii="宋体"/>
                <w:color w:val="auto"/>
                <w:sz w:val="24"/>
                <w:highlight w:val="none"/>
              </w:rPr>
            </w:pPr>
          </w:p>
        </w:tc>
      </w:tr>
    </w:tbl>
    <w:p w14:paraId="1766E0ED">
      <w:pPr>
        <w:ind w:firstLine="480"/>
        <w:rPr>
          <w:rFonts w:ascii="黑体" w:eastAsia="黑体"/>
          <w:b/>
          <w:bCs/>
          <w:color w:val="auto"/>
          <w:sz w:val="24"/>
          <w:szCs w:val="24"/>
          <w:highlight w:val="none"/>
          <w:lang w:val="zh-CN"/>
        </w:rPr>
      </w:pPr>
    </w:p>
    <w:p w14:paraId="6A0023BE">
      <w:pPr>
        <w:rPr>
          <w:rFonts w:hint="eastAsia" w:ascii="黑体" w:eastAsia="黑体" w:cs="黑体"/>
          <w:b/>
          <w:bCs/>
          <w:color w:val="auto"/>
          <w:sz w:val="24"/>
          <w:szCs w:val="24"/>
          <w:highlight w:val="none"/>
          <w:lang w:val="zh-CN"/>
        </w:rPr>
      </w:pPr>
    </w:p>
    <w:p w14:paraId="52B10FBA">
      <w:pPr>
        <w:rPr>
          <w:rFonts w:hint="eastAsia" w:ascii="黑体" w:eastAsia="黑体" w:cs="黑体"/>
          <w:b/>
          <w:bCs/>
          <w:color w:val="auto"/>
          <w:sz w:val="24"/>
          <w:szCs w:val="24"/>
          <w:highlight w:val="none"/>
          <w:lang w:val="zh-CN"/>
        </w:rPr>
      </w:pPr>
    </w:p>
    <w:p w14:paraId="4258F1FF">
      <w:pPr>
        <w:rPr>
          <w:rFonts w:hint="eastAsia" w:ascii="黑体" w:eastAsia="黑体" w:cs="黑体"/>
          <w:b/>
          <w:bCs/>
          <w:color w:val="auto"/>
          <w:sz w:val="24"/>
          <w:szCs w:val="24"/>
          <w:highlight w:val="none"/>
          <w:lang w:val="zh-CN"/>
        </w:rPr>
      </w:pPr>
    </w:p>
    <w:p w14:paraId="33174EBD">
      <w:pPr>
        <w:rPr>
          <w:rFonts w:hint="eastAsia" w:ascii="黑体" w:eastAsia="黑体" w:cs="黑体"/>
          <w:b/>
          <w:bCs/>
          <w:color w:val="auto"/>
          <w:sz w:val="24"/>
          <w:szCs w:val="24"/>
          <w:highlight w:val="none"/>
          <w:lang w:val="zh-CN"/>
        </w:rPr>
      </w:pPr>
    </w:p>
    <w:p w14:paraId="0F589647">
      <w:pPr>
        <w:rPr>
          <w:rFonts w:hint="eastAsia" w:ascii="黑体" w:eastAsia="黑体" w:cs="黑体"/>
          <w:b/>
          <w:bCs/>
          <w:color w:val="auto"/>
          <w:sz w:val="24"/>
          <w:szCs w:val="24"/>
          <w:highlight w:val="none"/>
          <w:lang w:val="zh-CN"/>
        </w:rPr>
      </w:pPr>
    </w:p>
    <w:p w14:paraId="0E60827C">
      <w:pPr>
        <w:rPr>
          <w:rFonts w:hint="eastAsia" w:ascii="黑体" w:eastAsia="黑体" w:cs="黑体"/>
          <w:b/>
          <w:bCs/>
          <w:color w:val="auto"/>
          <w:sz w:val="24"/>
          <w:szCs w:val="24"/>
          <w:highlight w:val="none"/>
          <w:lang w:val="zh-CN"/>
        </w:rPr>
      </w:pPr>
    </w:p>
    <w:p w14:paraId="22BA880B">
      <w:pPr>
        <w:rPr>
          <w:rFonts w:hint="eastAsia" w:ascii="黑体" w:eastAsia="黑体" w:cs="黑体"/>
          <w:b/>
          <w:bCs/>
          <w:color w:val="auto"/>
          <w:sz w:val="24"/>
          <w:szCs w:val="24"/>
          <w:highlight w:val="none"/>
          <w:lang w:val="zh-CN"/>
        </w:rPr>
      </w:pPr>
    </w:p>
    <w:p w14:paraId="0E567CC9">
      <w:pPr>
        <w:rPr>
          <w:rFonts w:hint="eastAsia" w:ascii="黑体" w:eastAsia="黑体" w:cs="黑体"/>
          <w:b/>
          <w:bCs/>
          <w:color w:val="auto"/>
          <w:sz w:val="24"/>
          <w:szCs w:val="24"/>
          <w:highlight w:val="none"/>
          <w:lang w:val="zh-CN"/>
        </w:rPr>
      </w:pPr>
    </w:p>
    <w:p w14:paraId="2235980C">
      <w:pPr>
        <w:rPr>
          <w:rFonts w:ascii="黑体" w:eastAsia="黑体"/>
          <w:b/>
          <w:bCs/>
          <w:color w:val="auto"/>
          <w:sz w:val="24"/>
          <w:szCs w:val="24"/>
          <w:highlight w:val="none"/>
          <w:lang w:val="zh-CN"/>
        </w:rPr>
      </w:pPr>
      <w:r>
        <w:rPr>
          <w:rFonts w:hint="eastAsia" w:ascii="黑体" w:eastAsia="黑体" w:cs="黑体"/>
          <w:b/>
          <w:bCs/>
          <w:color w:val="auto"/>
          <w:sz w:val="24"/>
          <w:szCs w:val="24"/>
          <w:highlight w:val="none"/>
          <w:lang w:val="zh-CN"/>
        </w:rPr>
        <w:t>格式五、售后服务承诺书</w:t>
      </w:r>
    </w:p>
    <w:p w14:paraId="4BB2C0E0">
      <w:pPr>
        <w:rPr>
          <w:rFonts w:ascii="宋体"/>
          <w:color w:val="auto"/>
          <w:sz w:val="24"/>
          <w:szCs w:val="24"/>
          <w:highlight w:val="none"/>
          <w:lang w:val="zh-CN"/>
        </w:rPr>
      </w:pPr>
    </w:p>
    <w:p w14:paraId="25EC3A7C">
      <w:pPr>
        <w:rPr>
          <w:rFonts w:ascii="宋体"/>
          <w:color w:val="auto"/>
          <w:sz w:val="24"/>
          <w:szCs w:val="24"/>
          <w:highlight w:val="none"/>
          <w:lang w:val="zh-CN"/>
        </w:rPr>
      </w:pPr>
      <w:r>
        <w:rPr>
          <w:rFonts w:hint="eastAsia" w:ascii="宋体" w:cs="宋体"/>
          <w:color w:val="auto"/>
          <w:sz w:val="24"/>
          <w:szCs w:val="24"/>
          <w:highlight w:val="none"/>
          <w:u w:val="single"/>
          <w:lang w:val="zh-CN"/>
        </w:rPr>
        <w:t>长春师范大学</w:t>
      </w:r>
      <w:r>
        <w:rPr>
          <w:rFonts w:hint="eastAsia" w:ascii="宋体" w:cs="宋体"/>
          <w:color w:val="auto"/>
          <w:sz w:val="24"/>
          <w:szCs w:val="24"/>
          <w:highlight w:val="none"/>
          <w:lang w:val="zh-CN"/>
        </w:rPr>
        <w:t>：</w:t>
      </w:r>
    </w:p>
    <w:p w14:paraId="0EB1470A">
      <w:pPr>
        <w:ind w:firstLine="480"/>
        <w:rPr>
          <w:rFonts w:ascii="宋体"/>
          <w:color w:val="auto"/>
          <w:sz w:val="24"/>
          <w:szCs w:val="24"/>
          <w:highlight w:val="none"/>
          <w:lang w:val="zh-CN"/>
        </w:rPr>
      </w:pPr>
      <w:r>
        <w:rPr>
          <w:rFonts w:hint="eastAsia" w:ascii="宋体" w:cs="宋体"/>
          <w:color w:val="auto"/>
          <w:sz w:val="24"/>
          <w:szCs w:val="24"/>
          <w:highlight w:val="none"/>
          <w:lang w:val="zh-CN"/>
        </w:rPr>
        <w:t>我公司自愿参加</w:t>
      </w:r>
      <w:r>
        <w:rPr>
          <w:rFonts w:hint="eastAsia" w:ascii="宋体" w:cs="宋体"/>
          <w:color w:val="auto"/>
          <w:sz w:val="24"/>
          <w:szCs w:val="24"/>
          <w:highlight w:val="none"/>
          <w:u w:val="single"/>
          <w:lang w:val="zh-CN"/>
        </w:rPr>
        <w:t xml:space="preserve"> （</w:t>
      </w:r>
      <w:r>
        <w:rPr>
          <w:rFonts w:hint="eastAsia" w:ascii="宋体" w:cs="宋体"/>
          <w:color w:val="auto"/>
          <w:sz w:val="24"/>
          <w:szCs w:val="24"/>
          <w:highlight w:val="none"/>
          <w:u w:val="single"/>
          <w:lang w:val="en-US" w:eastAsia="zh-CN"/>
        </w:rPr>
        <w:t>项目名称</w:t>
      </w:r>
      <w:r>
        <w:rPr>
          <w:rFonts w:hint="eastAsia" w:ascii="宋体" w:cs="宋体"/>
          <w:color w:val="auto"/>
          <w:sz w:val="24"/>
          <w:szCs w:val="24"/>
          <w:highlight w:val="none"/>
          <w:u w:val="single"/>
          <w:lang w:val="zh-CN"/>
        </w:rPr>
        <w:t>）（</w:t>
      </w:r>
      <w:r>
        <w:rPr>
          <w:rFonts w:hint="eastAsia" w:ascii="宋体" w:hAnsi="宋体" w:eastAsia="宋体" w:cs="宋体"/>
          <w:color w:val="auto"/>
          <w:sz w:val="24"/>
          <w:szCs w:val="24"/>
          <w:highlight w:val="none"/>
          <w:u w:val="single"/>
          <w:lang w:val="en-US" w:eastAsia="zh-CN"/>
        </w:rPr>
        <w:t>项目编号</w:t>
      </w:r>
      <w:r>
        <w:rPr>
          <w:rFonts w:hint="eastAsia" w:ascii="宋体" w:cs="宋体"/>
          <w:color w:val="auto"/>
          <w:sz w:val="24"/>
          <w:szCs w:val="24"/>
          <w:highlight w:val="none"/>
          <w:u w:val="single"/>
          <w:lang w:val="zh-CN"/>
        </w:rPr>
        <w:t>）</w:t>
      </w:r>
      <w:r>
        <w:rPr>
          <w:rFonts w:hint="eastAsia" w:ascii="宋体" w:cs="宋体"/>
          <w:color w:val="auto"/>
          <w:sz w:val="24"/>
          <w:szCs w:val="24"/>
          <w:highlight w:val="none"/>
          <w:lang w:val="zh-CN"/>
        </w:rPr>
        <w:t>的投标。我公司郑重承诺，如果我公司的投标被评定为中标，我公司对于中标货物，除完全响应采购文件对伴随服务和售后服务的所有要求外，还将按照以下条款提供优质和完善的售后服务：</w:t>
      </w:r>
    </w:p>
    <w:p w14:paraId="561C20CC">
      <w:pPr>
        <w:ind w:firstLine="480"/>
        <w:rPr>
          <w:rFonts w:ascii="宋体"/>
          <w:color w:val="auto"/>
          <w:sz w:val="24"/>
          <w:szCs w:val="24"/>
          <w:highlight w:val="none"/>
          <w:lang w:val="zh-CN"/>
        </w:rPr>
      </w:pPr>
      <w:r>
        <w:rPr>
          <w:rFonts w:ascii="宋体" w:cs="宋体"/>
          <w:color w:val="auto"/>
          <w:sz w:val="24"/>
          <w:szCs w:val="24"/>
          <w:highlight w:val="none"/>
          <w:lang w:val="zh-CN"/>
        </w:rPr>
        <w:t>1</w:t>
      </w:r>
      <w:r>
        <w:rPr>
          <w:rFonts w:hint="eastAsia" w:ascii="宋体" w:cs="宋体"/>
          <w:color w:val="auto"/>
          <w:sz w:val="24"/>
          <w:szCs w:val="24"/>
          <w:highlight w:val="none"/>
          <w:lang w:val="zh-CN"/>
        </w:rPr>
        <w:t>.我公司中标后将为采购人提供下列售后服务项目：</w:t>
      </w:r>
    </w:p>
    <w:p w14:paraId="1C6D7DDC">
      <w:pPr>
        <w:ind w:firstLine="480"/>
        <w:rPr>
          <w:rFonts w:ascii="宋体"/>
          <w:color w:val="auto"/>
          <w:sz w:val="24"/>
          <w:szCs w:val="24"/>
          <w:highlight w:val="none"/>
          <w:lang w:val="zh-CN"/>
        </w:rPr>
      </w:pPr>
      <w:r>
        <w:rPr>
          <w:rFonts w:ascii="宋体" w:cs="宋体"/>
          <w:color w:val="auto"/>
          <w:sz w:val="24"/>
          <w:szCs w:val="24"/>
          <w:highlight w:val="none"/>
          <w:lang w:val="zh-CN"/>
        </w:rPr>
        <w:t>2</w:t>
      </w:r>
      <w:r>
        <w:rPr>
          <w:rFonts w:hint="eastAsia" w:ascii="宋体" w:cs="宋体"/>
          <w:color w:val="auto"/>
          <w:sz w:val="24"/>
          <w:szCs w:val="24"/>
          <w:highlight w:val="none"/>
          <w:lang w:val="zh-CN"/>
        </w:rPr>
        <w:t>.我公司的售后服务响应及到达现场的时间</w:t>
      </w:r>
      <w:r>
        <w:rPr>
          <w:rFonts w:hint="eastAsia" w:ascii="宋体" w:cs="宋体"/>
          <w:b/>
          <w:bCs/>
          <w:color w:val="auto"/>
          <w:sz w:val="24"/>
          <w:szCs w:val="24"/>
          <w:highlight w:val="none"/>
          <w:lang w:val="zh-CN"/>
        </w:rPr>
        <w:t>（包括质保期内免费维修和</w:t>
      </w:r>
      <w:r>
        <w:rPr>
          <w:rFonts w:ascii="宋体" w:cs="宋体"/>
          <w:b/>
          <w:bCs/>
          <w:color w:val="auto"/>
          <w:sz w:val="24"/>
          <w:szCs w:val="24"/>
          <w:highlight w:val="none"/>
          <w:lang w:val="zh-CN"/>
        </w:rPr>
        <w:t>/</w:t>
      </w:r>
      <w:r>
        <w:rPr>
          <w:rFonts w:hint="eastAsia" w:ascii="宋体" w:cs="宋体"/>
          <w:b/>
          <w:bCs/>
          <w:color w:val="auto"/>
          <w:sz w:val="24"/>
          <w:szCs w:val="24"/>
          <w:highlight w:val="none"/>
          <w:lang w:val="zh-CN"/>
        </w:rPr>
        <w:t>或更换有缺陷的货物或部件的响应时间）：</w:t>
      </w:r>
    </w:p>
    <w:p w14:paraId="077B822E">
      <w:pPr>
        <w:ind w:firstLine="480"/>
        <w:rPr>
          <w:rFonts w:ascii="宋体"/>
          <w:color w:val="auto"/>
          <w:sz w:val="24"/>
          <w:szCs w:val="24"/>
          <w:highlight w:val="none"/>
          <w:lang w:val="zh-CN"/>
        </w:rPr>
      </w:pPr>
      <w:r>
        <w:rPr>
          <w:rFonts w:ascii="宋体" w:cs="宋体"/>
          <w:color w:val="auto"/>
          <w:sz w:val="24"/>
          <w:szCs w:val="24"/>
          <w:highlight w:val="none"/>
          <w:lang w:val="zh-CN"/>
        </w:rPr>
        <w:t>3</w:t>
      </w:r>
      <w:r>
        <w:rPr>
          <w:rFonts w:hint="eastAsia" w:ascii="宋体" w:cs="宋体"/>
          <w:color w:val="auto"/>
          <w:sz w:val="24"/>
          <w:szCs w:val="24"/>
          <w:highlight w:val="none"/>
          <w:lang w:val="zh-CN"/>
        </w:rPr>
        <w:t>.我公司对本项目的技术培训安排：</w:t>
      </w:r>
    </w:p>
    <w:p w14:paraId="750638CF">
      <w:pPr>
        <w:ind w:firstLine="480"/>
        <w:rPr>
          <w:rFonts w:ascii="宋体"/>
          <w:color w:val="auto"/>
          <w:sz w:val="24"/>
          <w:szCs w:val="24"/>
          <w:highlight w:val="none"/>
          <w:lang w:val="zh-CN"/>
        </w:rPr>
      </w:pPr>
      <w:r>
        <w:rPr>
          <w:rFonts w:ascii="宋体" w:cs="宋体"/>
          <w:color w:val="auto"/>
          <w:sz w:val="24"/>
          <w:szCs w:val="24"/>
          <w:highlight w:val="none"/>
          <w:lang w:val="zh-CN"/>
        </w:rPr>
        <w:t>4</w:t>
      </w:r>
      <w:r>
        <w:rPr>
          <w:rFonts w:hint="eastAsia" w:ascii="宋体" w:cs="宋体"/>
          <w:color w:val="auto"/>
          <w:sz w:val="24"/>
          <w:szCs w:val="24"/>
          <w:highlight w:val="none"/>
          <w:lang w:val="zh-CN"/>
        </w:rPr>
        <w:t>.我公司用于本项目的维修技术人员及设备情况、备品备件供应的保证措施及收费标准：</w:t>
      </w:r>
    </w:p>
    <w:p w14:paraId="61D80A95">
      <w:pPr>
        <w:ind w:firstLine="480"/>
        <w:rPr>
          <w:rFonts w:ascii="宋体"/>
          <w:color w:val="auto"/>
          <w:sz w:val="24"/>
          <w:szCs w:val="24"/>
          <w:highlight w:val="none"/>
          <w:lang w:val="zh-CN"/>
        </w:rPr>
      </w:pPr>
      <w:r>
        <w:rPr>
          <w:rFonts w:ascii="宋体" w:cs="宋体"/>
          <w:color w:val="auto"/>
          <w:sz w:val="24"/>
          <w:szCs w:val="24"/>
          <w:highlight w:val="none"/>
          <w:lang w:val="zh-CN"/>
        </w:rPr>
        <w:t>5</w:t>
      </w:r>
      <w:r>
        <w:rPr>
          <w:rFonts w:hint="eastAsia" w:ascii="宋体" w:cs="宋体"/>
          <w:color w:val="auto"/>
          <w:sz w:val="24"/>
          <w:szCs w:val="24"/>
          <w:highlight w:val="none"/>
          <w:lang w:val="zh-CN"/>
        </w:rPr>
        <w:t>.制造厂商和我公司在本项目所在地（实施地）设置的售后服务网点明细表及相关情况：</w:t>
      </w:r>
    </w:p>
    <w:p w14:paraId="7FAB60BC">
      <w:pPr>
        <w:ind w:firstLine="482"/>
        <w:rPr>
          <w:rFonts w:ascii="黑体" w:eastAsia="黑体"/>
          <w:b/>
          <w:bCs/>
          <w:color w:val="auto"/>
          <w:sz w:val="24"/>
          <w:szCs w:val="24"/>
          <w:highlight w:val="none"/>
          <w:lang w:val="zh-CN"/>
        </w:rPr>
      </w:pPr>
      <w:r>
        <w:rPr>
          <w:rFonts w:hint="eastAsia" w:ascii="宋体" w:cs="宋体"/>
          <w:b/>
          <w:bCs/>
          <w:color w:val="auto"/>
          <w:sz w:val="24"/>
          <w:szCs w:val="24"/>
          <w:highlight w:val="none"/>
          <w:lang w:val="zh-CN"/>
        </w:rPr>
        <w:t>制造厂商和我公司在本项目所在地（实施地）设立的售后服务机构一览表</w:t>
      </w:r>
    </w:p>
    <w:tbl>
      <w:tblPr>
        <w:tblStyle w:val="14"/>
        <w:tblW w:w="0" w:type="auto"/>
        <w:tblInd w:w="0" w:type="dxa"/>
        <w:tblLayout w:type="fixed"/>
        <w:tblCellMar>
          <w:top w:w="0" w:type="dxa"/>
          <w:left w:w="108" w:type="dxa"/>
          <w:bottom w:w="0" w:type="dxa"/>
          <w:right w:w="108" w:type="dxa"/>
        </w:tblCellMar>
      </w:tblPr>
      <w:tblGrid>
        <w:gridCol w:w="691"/>
        <w:gridCol w:w="2112"/>
        <w:gridCol w:w="2687"/>
        <w:gridCol w:w="1344"/>
        <w:gridCol w:w="1344"/>
        <w:gridCol w:w="1535"/>
      </w:tblGrid>
      <w:tr w14:paraId="193E5369">
        <w:tblPrEx>
          <w:tblCellMar>
            <w:top w:w="0" w:type="dxa"/>
            <w:left w:w="108" w:type="dxa"/>
            <w:bottom w:w="0" w:type="dxa"/>
            <w:right w:w="108" w:type="dxa"/>
          </w:tblCellMar>
        </w:tblPrEx>
        <w:tc>
          <w:tcPr>
            <w:tcW w:w="691" w:type="dxa"/>
            <w:tcBorders>
              <w:top w:val="single" w:color="auto" w:sz="6" w:space="0"/>
              <w:left w:val="single" w:color="auto" w:sz="6" w:space="0"/>
              <w:bottom w:val="single" w:color="auto" w:sz="6" w:space="0"/>
              <w:right w:val="single" w:color="auto" w:sz="6" w:space="0"/>
            </w:tcBorders>
            <w:noWrap w:val="0"/>
            <w:vAlign w:val="top"/>
          </w:tcPr>
          <w:p w14:paraId="74335B6B">
            <w:pPr>
              <w:rPr>
                <w:color w:val="auto"/>
                <w:sz w:val="21"/>
                <w:szCs w:val="21"/>
                <w:highlight w:val="none"/>
              </w:rPr>
            </w:pPr>
            <w:r>
              <w:rPr>
                <w:rFonts w:hint="eastAsia" w:ascii="宋体" w:cs="宋体"/>
                <w:color w:val="auto"/>
                <w:sz w:val="21"/>
                <w:szCs w:val="21"/>
                <w:highlight w:val="none"/>
                <w:lang w:val="zh-CN"/>
              </w:rPr>
              <w:t>序号</w:t>
            </w:r>
          </w:p>
        </w:tc>
        <w:tc>
          <w:tcPr>
            <w:tcW w:w="2112" w:type="dxa"/>
            <w:tcBorders>
              <w:top w:val="single" w:color="auto" w:sz="6" w:space="0"/>
              <w:left w:val="single" w:color="auto" w:sz="6" w:space="0"/>
              <w:bottom w:val="single" w:color="auto" w:sz="6" w:space="0"/>
              <w:right w:val="single" w:color="auto" w:sz="6" w:space="0"/>
            </w:tcBorders>
            <w:noWrap w:val="0"/>
            <w:vAlign w:val="top"/>
          </w:tcPr>
          <w:p w14:paraId="40F2101E">
            <w:pPr>
              <w:rPr>
                <w:color w:val="auto"/>
                <w:sz w:val="21"/>
                <w:szCs w:val="21"/>
                <w:highlight w:val="none"/>
              </w:rPr>
            </w:pPr>
            <w:r>
              <w:rPr>
                <w:rFonts w:hint="eastAsia" w:ascii="宋体" w:cs="宋体"/>
                <w:color w:val="auto"/>
                <w:sz w:val="21"/>
                <w:szCs w:val="21"/>
                <w:highlight w:val="none"/>
                <w:lang w:val="zh-CN"/>
              </w:rPr>
              <w:t>售后服务机构名称</w:t>
            </w:r>
          </w:p>
        </w:tc>
        <w:tc>
          <w:tcPr>
            <w:tcW w:w="2687" w:type="dxa"/>
            <w:tcBorders>
              <w:top w:val="single" w:color="auto" w:sz="6" w:space="0"/>
              <w:left w:val="single" w:color="auto" w:sz="6" w:space="0"/>
              <w:bottom w:val="single" w:color="auto" w:sz="6" w:space="0"/>
              <w:right w:val="single" w:color="auto" w:sz="6" w:space="0"/>
            </w:tcBorders>
            <w:noWrap w:val="0"/>
            <w:vAlign w:val="top"/>
          </w:tcPr>
          <w:p w14:paraId="0A8064F4">
            <w:pPr>
              <w:rPr>
                <w:color w:val="auto"/>
                <w:sz w:val="21"/>
                <w:szCs w:val="21"/>
                <w:highlight w:val="none"/>
              </w:rPr>
            </w:pPr>
            <w:r>
              <w:rPr>
                <w:rFonts w:hint="eastAsia" w:ascii="宋体" w:cs="宋体"/>
                <w:color w:val="auto"/>
                <w:sz w:val="21"/>
                <w:szCs w:val="21"/>
                <w:highlight w:val="none"/>
                <w:lang w:val="zh-CN"/>
              </w:rPr>
              <w:t>所在市县及街区门牌号</w:t>
            </w:r>
          </w:p>
        </w:tc>
        <w:tc>
          <w:tcPr>
            <w:tcW w:w="1344" w:type="dxa"/>
            <w:tcBorders>
              <w:top w:val="single" w:color="auto" w:sz="6" w:space="0"/>
              <w:left w:val="single" w:color="auto" w:sz="6" w:space="0"/>
              <w:bottom w:val="single" w:color="auto" w:sz="6" w:space="0"/>
              <w:right w:val="single" w:color="auto" w:sz="6" w:space="0"/>
            </w:tcBorders>
            <w:noWrap w:val="0"/>
            <w:vAlign w:val="top"/>
          </w:tcPr>
          <w:p w14:paraId="450BF638">
            <w:pPr>
              <w:rPr>
                <w:color w:val="auto"/>
                <w:sz w:val="21"/>
                <w:szCs w:val="21"/>
                <w:highlight w:val="none"/>
              </w:rPr>
            </w:pPr>
            <w:r>
              <w:rPr>
                <w:rFonts w:hint="eastAsia" w:ascii="宋体" w:cs="宋体"/>
                <w:color w:val="auto"/>
                <w:sz w:val="21"/>
                <w:szCs w:val="21"/>
                <w:highlight w:val="none"/>
                <w:lang w:val="zh-CN"/>
              </w:rPr>
              <w:t>联系人</w:t>
            </w:r>
          </w:p>
        </w:tc>
        <w:tc>
          <w:tcPr>
            <w:tcW w:w="1344" w:type="dxa"/>
            <w:tcBorders>
              <w:top w:val="single" w:color="auto" w:sz="6" w:space="0"/>
              <w:left w:val="single" w:color="auto" w:sz="6" w:space="0"/>
              <w:bottom w:val="single" w:color="auto" w:sz="6" w:space="0"/>
              <w:right w:val="single" w:color="auto" w:sz="6" w:space="0"/>
            </w:tcBorders>
            <w:noWrap w:val="0"/>
            <w:vAlign w:val="top"/>
          </w:tcPr>
          <w:p w14:paraId="091E8D59">
            <w:pPr>
              <w:rPr>
                <w:color w:val="auto"/>
                <w:sz w:val="21"/>
                <w:szCs w:val="21"/>
                <w:highlight w:val="none"/>
              </w:rPr>
            </w:pPr>
            <w:r>
              <w:rPr>
                <w:rFonts w:hint="eastAsia" w:ascii="宋体" w:cs="宋体"/>
                <w:color w:val="auto"/>
                <w:sz w:val="21"/>
                <w:szCs w:val="21"/>
                <w:highlight w:val="none"/>
                <w:lang w:val="zh-CN"/>
              </w:rPr>
              <w:t>移动电话</w:t>
            </w:r>
          </w:p>
        </w:tc>
        <w:tc>
          <w:tcPr>
            <w:tcW w:w="1535" w:type="dxa"/>
            <w:tcBorders>
              <w:top w:val="single" w:color="auto" w:sz="6" w:space="0"/>
              <w:left w:val="single" w:color="auto" w:sz="6" w:space="0"/>
              <w:bottom w:val="single" w:color="auto" w:sz="6" w:space="0"/>
              <w:right w:val="single" w:color="auto" w:sz="6" w:space="0"/>
            </w:tcBorders>
            <w:noWrap w:val="0"/>
            <w:vAlign w:val="top"/>
          </w:tcPr>
          <w:p w14:paraId="7CDF823E">
            <w:pPr>
              <w:rPr>
                <w:color w:val="auto"/>
                <w:sz w:val="21"/>
                <w:szCs w:val="21"/>
                <w:highlight w:val="none"/>
              </w:rPr>
            </w:pPr>
            <w:r>
              <w:rPr>
                <w:rFonts w:hint="eastAsia" w:ascii="宋体" w:cs="宋体"/>
                <w:color w:val="auto"/>
                <w:sz w:val="21"/>
                <w:szCs w:val="21"/>
                <w:highlight w:val="none"/>
                <w:lang w:val="zh-CN"/>
              </w:rPr>
              <w:t>固定电话</w:t>
            </w:r>
          </w:p>
        </w:tc>
      </w:tr>
      <w:tr w14:paraId="65C4A327">
        <w:tblPrEx>
          <w:tblCellMar>
            <w:top w:w="0" w:type="dxa"/>
            <w:left w:w="108" w:type="dxa"/>
            <w:bottom w:w="0" w:type="dxa"/>
            <w:right w:w="108" w:type="dxa"/>
          </w:tblCellMar>
        </w:tblPrEx>
        <w:tc>
          <w:tcPr>
            <w:tcW w:w="691" w:type="dxa"/>
            <w:tcBorders>
              <w:top w:val="single" w:color="auto" w:sz="6" w:space="0"/>
              <w:left w:val="single" w:color="auto" w:sz="6" w:space="0"/>
              <w:bottom w:val="single" w:color="auto" w:sz="6" w:space="0"/>
              <w:right w:val="single" w:color="auto" w:sz="6" w:space="0"/>
            </w:tcBorders>
            <w:noWrap w:val="0"/>
            <w:vAlign w:val="top"/>
          </w:tcPr>
          <w:p w14:paraId="0AD069A3">
            <w:pPr>
              <w:rPr>
                <w:color w:val="auto"/>
                <w:sz w:val="21"/>
                <w:szCs w:val="21"/>
                <w:highlight w:val="none"/>
              </w:rPr>
            </w:pPr>
          </w:p>
        </w:tc>
        <w:tc>
          <w:tcPr>
            <w:tcW w:w="2112" w:type="dxa"/>
            <w:tcBorders>
              <w:top w:val="single" w:color="auto" w:sz="6" w:space="0"/>
              <w:left w:val="single" w:color="auto" w:sz="6" w:space="0"/>
              <w:bottom w:val="single" w:color="auto" w:sz="6" w:space="0"/>
              <w:right w:val="single" w:color="auto" w:sz="6" w:space="0"/>
            </w:tcBorders>
            <w:noWrap w:val="0"/>
            <w:vAlign w:val="top"/>
          </w:tcPr>
          <w:p w14:paraId="30647803">
            <w:pPr>
              <w:rPr>
                <w:color w:val="auto"/>
                <w:sz w:val="21"/>
                <w:szCs w:val="21"/>
                <w:highlight w:val="none"/>
              </w:rPr>
            </w:pPr>
          </w:p>
        </w:tc>
        <w:tc>
          <w:tcPr>
            <w:tcW w:w="2687" w:type="dxa"/>
            <w:tcBorders>
              <w:top w:val="single" w:color="auto" w:sz="6" w:space="0"/>
              <w:left w:val="single" w:color="auto" w:sz="6" w:space="0"/>
              <w:bottom w:val="single" w:color="auto" w:sz="6" w:space="0"/>
              <w:right w:val="single" w:color="auto" w:sz="6" w:space="0"/>
            </w:tcBorders>
            <w:noWrap w:val="0"/>
            <w:vAlign w:val="top"/>
          </w:tcPr>
          <w:p w14:paraId="0504C293">
            <w:pPr>
              <w:rPr>
                <w:color w:val="auto"/>
                <w:sz w:val="21"/>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top"/>
          </w:tcPr>
          <w:p w14:paraId="3BD3FD54">
            <w:pPr>
              <w:rPr>
                <w:color w:val="auto"/>
                <w:sz w:val="21"/>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top"/>
          </w:tcPr>
          <w:p w14:paraId="15557EB6">
            <w:pPr>
              <w:rPr>
                <w:color w:val="auto"/>
                <w:sz w:val="21"/>
                <w:szCs w:val="21"/>
                <w:highlight w:val="none"/>
              </w:rPr>
            </w:pPr>
          </w:p>
        </w:tc>
        <w:tc>
          <w:tcPr>
            <w:tcW w:w="1535" w:type="dxa"/>
            <w:tcBorders>
              <w:top w:val="single" w:color="auto" w:sz="6" w:space="0"/>
              <w:left w:val="single" w:color="auto" w:sz="6" w:space="0"/>
              <w:bottom w:val="single" w:color="auto" w:sz="6" w:space="0"/>
              <w:right w:val="single" w:color="auto" w:sz="6" w:space="0"/>
            </w:tcBorders>
            <w:noWrap w:val="0"/>
            <w:vAlign w:val="top"/>
          </w:tcPr>
          <w:p w14:paraId="7C657573">
            <w:pPr>
              <w:rPr>
                <w:color w:val="auto"/>
                <w:sz w:val="21"/>
                <w:szCs w:val="21"/>
                <w:highlight w:val="none"/>
              </w:rPr>
            </w:pPr>
          </w:p>
        </w:tc>
      </w:tr>
      <w:tr w14:paraId="6C821FE3">
        <w:tblPrEx>
          <w:tblCellMar>
            <w:top w:w="0" w:type="dxa"/>
            <w:left w:w="108" w:type="dxa"/>
            <w:bottom w:w="0" w:type="dxa"/>
            <w:right w:w="108" w:type="dxa"/>
          </w:tblCellMar>
        </w:tblPrEx>
        <w:tc>
          <w:tcPr>
            <w:tcW w:w="691" w:type="dxa"/>
            <w:tcBorders>
              <w:top w:val="single" w:color="auto" w:sz="6" w:space="0"/>
              <w:left w:val="single" w:color="auto" w:sz="6" w:space="0"/>
              <w:bottom w:val="single" w:color="auto" w:sz="6" w:space="0"/>
              <w:right w:val="single" w:color="auto" w:sz="6" w:space="0"/>
            </w:tcBorders>
            <w:noWrap w:val="0"/>
            <w:vAlign w:val="top"/>
          </w:tcPr>
          <w:p w14:paraId="7F107B70">
            <w:pPr>
              <w:rPr>
                <w:color w:val="auto"/>
                <w:sz w:val="21"/>
                <w:szCs w:val="21"/>
                <w:highlight w:val="none"/>
              </w:rPr>
            </w:pPr>
          </w:p>
        </w:tc>
        <w:tc>
          <w:tcPr>
            <w:tcW w:w="2112" w:type="dxa"/>
            <w:tcBorders>
              <w:top w:val="single" w:color="auto" w:sz="6" w:space="0"/>
              <w:left w:val="single" w:color="auto" w:sz="6" w:space="0"/>
              <w:bottom w:val="single" w:color="auto" w:sz="6" w:space="0"/>
              <w:right w:val="single" w:color="auto" w:sz="6" w:space="0"/>
            </w:tcBorders>
            <w:noWrap w:val="0"/>
            <w:vAlign w:val="top"/>
          </w:tcPr>
          <w:p w14:paraId="0DFD8D9B">
            <w:pPr>
              <w:rPr>
                <w:color w:val="auto"/>
                <w:sz w:val="21"/>
                <w:szCs w:val="21"/>
                <w:highlight w:val="none"/>
              </w:rPr>
            </w:pPr>
          </w:p>
        </w:tc>
        <w:tc>
          <w:tcPr>
            <w:tcW w:w="2687" w:type="dxa"/>
            <w:tcBorders>
              <w:top w:val="single" w:color="auto" w:sz="6" w:space="0"/>
              <w:left w:val="single" w:color="auto" w:sz="6" w:space="0"/>
              <w:bottom w:val="single" w:color="auto" w:sz="6" w:space="0"/>
              <w:right w:val="single" w:color="auto" w:sz="6" w:space="0"/>
            </w:tcBorders>
            <w:noWrap w:val="0"/>
            <w:vAlign w:val="top"/>
          </w:tcPr>
          <w:p w14:paraId="1CF4B389">
            <w:pPr>
              <w:rPr>
                <w:color w:val="auto"/>
                <w:sz w:val="21"/>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top"/>
          </w:tcPr>
          <w:p w14:paraId="36328B31">
            <w:pPr>
              <w:rPr>
                <w:color w:val="auto"/>
                <w:sz w:val="21"/>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top"/>
          </w:tcPr>
          <w:p w14:paraId="493C3CB1">
            <w:pPr>
              <w:rPr>
                <w:color w:val="auto"/>
                <w:sz w:val="21"/>
                <w:szCs w:val="21"/>
                <w:highlight w:val="none"/>
              </w:rPr>
            </w:pPr>
          </w:p>
        </w:tc>
        <w:tc>
          <w:tcPr>
            <w:tcW w:w="1535" w:type="dxa"/>
            <w:tcBorders>
              <w:top w:val="single" w:color="auto" w:sz="6" w:space="0"/>
              <w:left w:val="single" w:color="auto" w:sz="6" w:space="0"/>
              <w:bottom w:val="single" w:color="auto" w:sz="6" w:space="0"/>
              <w:right w:val="single" w:color="auto" w:sz="6" w:space="0"/>
            </w:tcBorders>
            <w:noWrap w:val="0"/>
            <w:vAlign w:val="top"/>
          </w:tcPr>
          <w:p w14:paraId="038D74CA">
            <w:pPr>
              <w:rPr>
                <w:color w:val="auto"/>
                <w:sz w:val="21"/>
                <w:szCs w:val="21"/>
                <w:highlight w:val="none"/>
              </w:rPr>
            </w:pPr>
          </w:p>
        </w:tc>
      </w:tr>
    </w:tbl>
    <w:p w14:paraId="6EFA7C07">
      <w:pPr>
        <w:ind w:firstLine="480"/>
        <w:rPr>
          <w:rFonts w:ascii="宋体"/>
          <w:color w:val="auto"/>
          <w:sz w:val="24"/>
          <w:szCs w:val="24"/>
          <w:highlight w:val="none"/>
          <w:lang w:val="zh-CN"/>
        </w:rPr>
      </w:pPr>
      <w:r>
        <w:rPr>
          <w:rFonts w:ascii="宋体" w:cs="宋体"/>
          <w:color w:val="auto"/>
          <w:sz w:val="24"/>
          <w:szCs w:val="24"/>
          <w:highlight w:val="none"/>
          <w:lang w:val="zh-CN"/>
        </w:rPr>
        <w:t>6</w:t>
      </w:r>
      <w:r>
        <w:rPr>
          <w:rFonts w:hint="eastAsia" w:ascii="宋体" w:cs="宋体"/>
          <w:color w:val="auto"/>
          <w:sz w:val="24"/>
          <w:szCs w:val="24"/>
          <w:highlight w:val="none"/>
          <w:lang w:val="zh-CN"/>
        </w:rPr>
        <w:t>.附件：制造厂商和我公司的售后服务体系情况及现行规定文件。</w:t>
      </w:r>
    </w:p>
    <w:p w14:paraId="29B3625D">
      <w:pPr>
        <w:rPr>
          <w:rFonts w:ascii="宋体"/>
          <w:color w:val="auto"/>
          <w:sz w:val="24"/>
          <w:szCs w:val="24"/>
          <w:highlight w:val="none"/>
          <w:lang w:val="zh-CN"/>
        </w:rPr>
      </w:pPr>
    </w:p>
    <w:p w14:paraId="47646DEC">
      <w:pPr>
        <w:ind w:firstLine="480"/>
        <w:rPr>
          <w:rFonts w:ascii="宋体"/>
          <w:color w:val="auto"/>
          <w:sz w:val="24"/>
          <w:szCs w:val="24"/>
          <w:highlight w:val="none"/>
          <w:lang w:val="zh-CN"/>
        </w:rPr>
      </w:pPr>
      <w:r>
        <w:rPr>
          <w:rFonts w:hint="eastAsia" w:ascii="宋体" w:cs="宋体"/>
          <w:color w:val="auto"/>
          <w:sz w:val="24"/>
          <w:szCs w:val="24"/>
          <w:highlight w:val="none"/>
          <w:lang w:val="zh-CN"/>
        </w:rPr>
        <w:t>投标人全称</w:t>
      </w:r>
      <w:r>
        <w:rPr>
          <w:rFonts w:hint="eastAsia" w:ascii="黑体" w:eastAsia="黑体" w:cs="黑体"/>
          <w:b/>
          <w:bCs/>
          <w:color w:val="auto"/>
          <w:sz w:val="24"/>
          <w:szCs w:val="24"/>
          <w:highlight w:val="none"/>
          <w:lang w:val="zh-CN"/>
        </w:rPr>
        <w:t>（加盖投标人公章）：</w:t>
      </w:r>
    </w:p>
    <w:p w14:paraId="38703A08">
      <w:pPr>
        <w:ind w:firstLine="720" w:firstLineChars="300"/>
        <w:rPr>
          <w:rFonts w:hint="eastAsia" w:ascii="黑体" w:eastAsia="黑体"/>
          <w:b/>
          <w:bCs/>
          <w:color w:val="auto"/>
          <w:sz w:val="24"/>
          <w:szCs w:val="24"/>
          <w:highlight w:val="none"/>
          <w:lang w:val="zh-CN"/>
        </w:rPr>
      </w:pPr>
      <w:r>
        <w:rPr>
          <w:rFonts w:hint="eastAsia" w:ascii="宋体" w:cs="宋体"/>
          <w:color w:val="auto"/>
          <w:sz w:val="24"/>
          <w:szCs w:val="24"/>
          <w:highlight w:val="none"/>
          <w:u w:val="single"/>
          <w:lang w:val="en-US" w:eastAsia="zh-CN"/>
        </w:rPr>
        <w:t xml:space="preserve">     </w:t>
      </w:r>
      <w:r>
        <w:rPr>
          <w:rFonts w:hint="eastAsia" w:ascii="宋体" w:cs="宋体"/>
          <w:color w:val="auto"/>
          <w:sz w:val="24"/>
          <w:szCs w:val="24"/>
          <w:highlight w:val="none"/>
          <w:lang w:val="zh-CN"/>
        </w:rPr>
        <w:t>年</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月</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日</w:t>
      </w:r>
    </w:p>
    <w:p w14:paraId="516C94BE">
      <w:pPr>
        <w:spacing w:line="440" w:lineRule="exact"/>
        <w:rPr>
          <w:rFonts w:hint="eastAsia" w:ascii="黑体" w:hAnsi="黑体" w:eastAsia="黑体"/>
          <w:b/>
          <w:color w:val="auto"/>
          <w:sz w:val="24"/>
          <w:szCs w:val="24"/>
          <w:highlight w:val="none"/>
        </w:rPr>
      </w:pPr>
    </w:p>
    <w:p w14:paraId="48FC0FC1">
      <w:pPr>
        <w:spacing w:line="440" w:lineRule="exact"/>
        <w:rPr>
          <w:rFonts w:hint="eastAsia" w:ascii="黑体" w:hAnsi="黑体" w:eastAsia="黑体"/>
          <w:b/>
          <w:color w:val="auto"/>
          <w:sz w:val="24"/>
          <w:szCs w:val="24"/>
          <w:highlight w:val="none"/>
        </w:rPr>
      </w:pPr>
    </w:p>
    <w:p w14:paraId="4023BBF3">
      <w:pPr>
        <w:spacing w:line="440" w:lineRule="exact"/>
        <w:rPr>
          <w:rFonts w:hint="eastAsia" w:ascii="黑体" w:hAnsi="黑体" w:eastAsia="黑体"/>
          <w:b/>
          <w:color w:val="auto"/>
          <w:sz w:val="24"/>
          <w:szCs w:val="24"/>
          <w:highlight w:val="none"/>
        </w:rPr>
      </w:pPr>
    </w:p>
    <w:p w14:paraId="03FF2F51">
      <w:pPr>
        <w:spacing w:line="440" w:lineRule="exact"/>
        <w:rPr>
          <w:rFonts w:hint="eastAsia" w:ascii="黑体" w:hAnsi="黑体" w:eastAsia="黑体"/>
          <w:b/>
          <w:color w:val="auto"/>
          <w:sz w:val="24"/>
          <w:szCs w:val="24"/>
          <w:highlight w:val="none"/>
        </w:rPr>
      </w:pPr>
    </w:p>
    <w:p w14:paraId="2552F5A1">
      <w:pPr>
        <w:spacing w:line="440" w:lineRule="exact"/>
        <w:rPr>
          <w:rFonts w:hint="eastAsia" w:ascii="黑体" w:hAnsi="黑体" w:eastAsia="黑体"/>
          <w:b/>
          <w:color w:val="auto"/>
          <w:sz w:val="24"/>
          <w:szCs w:val="24"/>
          <w:highlight w:val="none"/>
        </w:rPr>
      </w:pPr>
    </w:p>
    <w:p w14:paraId="7F7F7017">
      <w:pPr>
        <w:spacing w:line="440" w:lineRule="exact"/>
        <w:rPr>
          <w:rFonts w:hint="eastAsia" w:ascii="黑体" w:hAnsi="黑体" w:eastAsia="黑体"/>
          <w:b/>
          <w:color w:val="auto"/>
          <w:sz w:val="24"/>
          <w:szCs w:val="24"/>
          <w:highlight w:val="none"/>
        </w:rPr>
      </w:pPr>
    </w:p>
    <w:p w14:paraId="3D4D02AB">
      <w:pPr>
        <w:spacing w:line="440" w:lineRule="exact"/>
        <w:rPr>
          <w:rFonts w:hint="eastAsia" w:ascii="黑体" w:hAnsi="黑体" w:eastAsia="黑体"/>
          <w:b/>
          <w:color w:val="auto"/>
          <w:sz w:val="24"/>
          <w:szCs w:val="24"/>
          <w:highlight w:val="none"/>
        </w:rPr>
      </w:pPr>
    </w:p>
    <w:p w14:paraId="1B7C5599">
      <w:pPr>
        <w:spacing w:line="440" w:lineRule="exact"/>
        <w:rPr>
          <w:rFonts w:hint="eastAsia" w:ascii="黑体" w:hAnsi="黑体" w:eastAsia="黑体"/>
          <w:b/>
          <w:color w:val="auto"/>
          <w:sz w:val="24"/>
          <w:szCs w:val="24"/>
          <w:highlight w:val="none"/>
        </w:rPr>
      </w:pPr>
    </w:p>
    <w:p w14:paraId="5242E129">
      <w:pPr>
        <w:spacing w:line="440" w:lineRule="exact"/>
        <w:rPr>
          <w:rFonts w:hint="eastAsia" w:ascii="黑体" w:hAnsi="黑体" w:eastAsia="黑体"/>
          <w:b/>
          <w:color w:val="auto"/>
          <w:sz w:val="24"/>
          <w:szCs w:val="24"/>
          <w:highlight w:val="none"/>
        </w:rPr>
      </w:pPr>
    </w:p>
    <w:p w14:paraId="4270A930">
      <w:pPr>
        <w:spacing w:line="440" w:lineRule="exact"/>
        <w:rPr>
          <w:rFonts w:hint="eastAsia" w:ascii="黑体" w:hAnsi="黑体" w:eastAsia="黑体"/>
          <w:b/>
          <w:color w:val="auto"/>
          <w:sz w:val="24"/>
          <w:szCs w:val="24"/>
          <w:highlight w:val="none"/>
        </w:rPr>
      </w:pPr>
    </w:p>
    <w:p w14:paraId="6D89CA30">
      <w:pPr>
        <w:spacing w:line="440" w:lineRule="exact"/>
        <w:rPr>
          <w:rFonts w:hint="eastAsia" w:ascii="黑体" w:hAnsi="黑体" w:eastAsia="黑体"/>
          <w:b/>
          <w:color w:val="auto"/>
          <w:sz w:val="24"/>
          <w:szCs w:val="24"/>
          <w:highlight w:val="none"/>
        </w:rPr>
      </w:pPr>
    </w:p>
    <w:p w14:paraId="71BACF75">
      <w:pPr>
        <w:spacing w:line="440" w:lineRule="exact"/>
        <w:rPr>
          <w:rFonts w:hint="eastAsia" w:ascii="黑体" w:hAnsi="黑体" w:eastAsia="黑体"/>
          <w:b/>
          <w:color w:val="auto"/>
          <w:sz w:val="24"/>
          <w:szCs w:val="24"/>
          <w:highlight w:val="none"/>
        </w:rPr>
      </w:pPr>
    </w:p>
    <w:p w14:paraId="0A13D86B">
      <w:pPr>
        <w:spacing w:line="440" w:lineRule="exact"/>
        <w:rPr>
          <w:rFonts w:ascii="黑体" w:hAnsi="黑体" w:eastAsia="黑体"/>
          <w:b/>
          <w:color w:val="auto"/>
          <w:sz w:val="24"/>
          <w:szCs w:val="24"/>
          <w:highlight w:val="none"/>
        </w:rPr>
      </w:pPr>
      <w:r>
        <w:rPr>
          <w:rFonts w:hint="eastAsia" w:ascii="黑体" w:hAnsi="黑体" w:eastAsia="黑体"/>
          <w:b/>
          <w:color w:val="auto"/>
          <w:sz w:val="24"/>
          <w:szCs w:val="24"/>
          <w:highlight w:val="none"/>
        </w:rPr>
        <w:t>格式六：</w:t>
      </w:r>
      <w:r>
        <w:rPr>
          <w:rFonts w:ascii="黑体" w:hAnsi="黑体" w:eastAsia="黑体"/>
          <w:b/>
          <w:color w:val="auto"/>
          <w:sz w:val="24"/>
          <w:szCs w:val="24"/>
          <w:highlight w:val="none"/>
        </w:rPr>
        <w:t>中小企业声明函</w:t>
      </w:r>
    </w:p>
    <w:p w14:paraId="2AA02A99">
      <w:pPr>
        <w:jc w:val="center"/>
        <w:rPr>
          <w:rFonts w:ascii="宋体" w:hAnsi="宋体" w:cs="宋体"/>
          <w:color w:val="auto"/>
          <w:sz w:val="24"/>
          <w:szCs w:val="24"/>
          <w:highlight w:val="none"/>
        </w:rPr>
      </w:pPr>
    </w:p>
    <w:p w14:paraId="112BD06C">
      <w:pPr>
        <w:jc w:val="center"/>
        <w:rPr>
          <w:rFonts w:ascii="宋体" w:hAnsi="宋体" w:cs="宋体"/>
          <w:b/>
          <w:bCs/>
          <w:color w:val="auto"/>
          <w:sz w:val="24"/>
          <w:szCs w:val="24"/>
          <w:highlight w:val="none"/>
        </w:rPr>
      </w:pPr>
      <w:r>
        <w:rPr>
          <w:rFonts w:ascii="宋体" w:hAnsi="宋体" w:cs="宋体"/>
          <w:b/>
          <w:bCs/>
          <w:color w:val="auto"/>
          <w:sz w:val="24"/>
          <w:szCs w:val="24"/>
          <w:highlight w:val="none"/>
        </w:rPr>
        <w:t>中小企业声明函（货物）</w:t>
      </w:r>
    </w:p>
    <w:p w14:paraId="057CD0CA">
      <w:pPr>
        <w:pStyle w:val="5"/>
        <w:rPr>
          <w:color w:val="auto"/>
          <w:highlight w:val="none"/>
        </w:rPr>
      </w:pPr>
    </w:p>
    <w:p w14:paraId="72895048">
      <w:pPr>
        <w:ind w:firstLine="480" w:firstLineChars="200"/>
        <w:rPr>
          <w:rFonts w:ascii="宋体" w:hAnsi="宋体" w:cs="宋体"/>
          <w:color w:val="auto"/>
          <w:sz w:val="24"/>
          <w:szCs w:val="24"/>
          <w:highlight w:val="none"/>
        </w:rPr>
      </w:pPr>
      <w:r>
        <w:rPr>
          <w:rFonts w:ascii="宋体" w:hAnsi="宋体" w:cs="宋体"/>
          <w:color w:val="auto"/>
          <w:sz w:val="24"/>
          <w:szCs w:val="24"/>
          <w:highlight w:val="none"/>
        </w:rPr>
        <w:t>本公司（联合体）郑重声明，根据《政府采购促进中小企业发展管理办法》（财 库﹝2020﹞46 号）的规定，本公司（联合体）参加（单位名称）的（项目名称） 采购活动，提供的货物全部由符合政策要求的中小企业制造。相关企业（含联合体 中的中小企业、签订分包意向协议的中小企业）的具体情况如下：</w:t>
      </w:r>
    </w:p>
    <w:p w14:paraId="71ABCAC1">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w:t>
      </w:r>
      <w:r>
        <w:rPr>
          <w:rFonts w:ascii="宋体" w:hAnsi="宋体" w:cs="宋体"/>
          <w:color w:val="auto"/>
          <w:sz w:val="24"/>
          <w:szCs w:val="24"/>
          <w:highlight w:val="none"/>
        </w:rPr>
        <w:t>（标的名称） ，属于（所属行业）行业；制造商为（企业名称），从业人员 人， 营业收入为 万元，资产总额为 万元，属于（中型企业、小型企业、微型企业）；</w:t>
      </w:r>
    </w:p>
    <w:p w14:paraId="5886D945">
      <w:pPr>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2.（标的名称） ，属于（所属行业）行业；制造商为（企业名称），从业人员 人， 营业收入为 万元，资产总额为 万元，属于（中型企业、小型企业、微型企业）； …… </w:t>
      </w:r>
    </w:p>
    <w:p w14:paraId="6ABF00D8">
      <w:pPr>
        <w:ind w:firstLine="480" w:firstLineChars="200"/>
        <w:rPr>
          <w:rFonts w:ascii="宋体" w:hAnsi="宋体" w:cs="宋体"/>
          <w:color w:val="auto"/>
          <w:sz w:val="24"/>
          <w:szCs w:val="24"/>
          <w:highlight w:val="none"/>
        </w:rPr>
      </w:pPr>
      <w:r>
        <w:rPr>
          <w:rFonts w:ascii="宋体" w:hAnsi="宋体" w:cs="宋体"/>
          <w:color w:val="auto"/>
          <w:sz w:val="24"/>
          <w:szCs w:val="24"/>
          <w:highlight w:val="none"/>
        </w:rPr>
        <w:t>以上企业，不属于大企业的分支机构，不存在控股股东为大企业的情形，也不存在与大企业的负责人为同一人的情形。</w:t>
      </w:r>
    </w:p>
    <w:p w14:paraId="7D6E6706">
      <w:pPr>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本企业对上述声明内容的真实性负责。如有虚假，将依法承担相应责任。 </w:t>
      </w:r>
    </w:p>
    <w:p w14:paraId="7BC9B87E">
      <w:pPr>
        <w:ind w:left="5040" w:leftChars="1800" w:firstLine="480" w:firstLineChars="200"/>
        <w:rPr>
          <w:rFonts w:ascii="宋体" w:hAnsi="宋体" w:cs="宋体"/>
          <w:color w:val="auto"/>
          <w:sz w:val="24"/>
          <w:szCs w:val="24"/>
          <w:highlight w:val="none"/>
        </w:rPr>
      </w:pPr>
    </w:p>
    <w:p w14:paraId="2EACCCC9">
      <w:pPr>
        <w:ind w:left="3640" w:leftChars="1300"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企业名称（盖章）： </w:t>
      </w:r>
    </w:p>
    <w:p w14:paraId="623A2D6E">
      <w:pPr>
        <w:ind w:left="5040" w:leftChars="1800" w:firstLine="480" w:firstLineChars="200"/>
        <w:rPr>
          <w:rFonts w:ascii="宋体" w:hAnsi="宋体" w:cs="宋体"/>
          <w:color w:val="auto"/>
          <w:sz w:val="24"/>
          <w:szCs w:val="24"/>
          <w:highlight w:val="none"/>
        </w:rPr>
      </w:pPr>
    </w:p>
    <w:p w14:paraId="1E98DF50">
      <w:pPr>
        <w:ind w:left="5040" w:leftChars="1800"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日 期： </w:t>
      </w:r>
    </w:p>
    <w:p w14:paraId="7A87A0F7">
      <w:pPr>
        <w:ind w:left="5040" w:leftChars="1800" w:firstLine="480" w:firstLineChars="200"/>
        <w:rPr>
          <w:rFonts w:ascii="宋体" w:hAnsi="宋体" w:cs="宋体"/>
          <w:color w:val="auto"/>
          <w:sz w:val="24"/>
          <w:szCs w:val="24"/>
          <w:highlight w:val="none"/>
        </w:rPr>
      </w:pPr>
    </w:p>
    <w:p w14:paraId="6415D535">
      <w:pPr>
        <w:ind w:firstLine="420" w:firstLineChars="200"/>
        <w:rPr>
          <w:rFonts w:ascii="宋体" w:hAnsi="宋体" w:cs="宋体"/>
          <w:color w:val="auto"/>
          <w:sz w:val="21"/>
          <w:szCs w:val="21"/>
          <w:highlight w:val="none"/>
        </w:rPr>
      </w:pPr>
      <w:r>
        <w:rPr>
          <w:rFonts w:ascii="宋体" w:hAnsi="宋体" w:cs="宋体"/>
          <w:color w:val="auto"/>
          <w:sz w:val="21"/>
          <w:szCs w:val="21"/>
          <w:highlight w:val="none"/>
        </w:rPr>
        <w:t xml:space="preserve">从业人员、营业收入、资产总额填报上一年度数据，无上一年度数据的新成立企业可不填报。 </w:t>
      </w:r>
    </w:p>
    <w:p w14:paraId="05446DC9">
      <w:pPr>
        <w:ind w:firstLine="420" w:firstLineChars="200"/>
        <w:rPr>
          <w:rFonts w:ascii="宋体" w:hAnsi="宋体" w:cs="宋体"/>
          <w:color w:val="auto"/>
          <w:sz w:val="21"/>
          <w:szCs w:val="21"/>
          <w:highlight w:val="none"/>
        </w:rPr>
      </w:pPr>
      <w:r>
        <w:rPr>
          <w:rFonts w:ascii="宋体" w:hAnsi="宋体" w:cs="宋体"/>
          <w:color w:val="auto"/>
          <w:sz w:val="21"/>
          <w:szCs w:val="21"/>
          <w:highlight w:val="none"/>
        </w:rPr>
        <w:t xml:space="preserve">备注： </w:t>
      </w:r>
    </w:p>
    <w:p w14:paraId="50C65172">
      <w:pPr>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w:t>
      </w:r>
      <w:r>
        <w:rPr>
          <w:rFonts w:ascii="宋体" w:hAnsi="宋体" w:cs="宋体"/>
          <w:color w:val="auto"/>
          <w:sz w:val="21"/>
          <w:szCs w:val="21"/>
          <w:highlight w:val="none"/>
        </w:rPr>
        <w:t>投标的货物全部均为小微企业制造的，需逐项填报，方可享受政策优惠；有任何一项货物 为非小微企业制造的，不享受政策优惠，无需填报。</w:t>
      </w:r>
    </w:p>
    <w:p w14:paraId="0008EA09">
      <w:pPr>
        <w:ind w:firstLine="420" w:firstLineChars="200"/>
        <w:rPr>
          <w:rFonts w:ascii="宋体" w:hAnsi="宋体" w:eastAsia="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w:t>
      </w:r>
      <w:r>
        <w:rPr>
          <w:rFonts w:ascii="宋体" w:hAnsi="宋体" w:cs="宋体"/>
          <w:color w:val="auto"/>
          <w:sz w:val="21"/>
          <w:szCs w:val="21"/>
          <w:highlight w:val="none"/>
        </w:rPr>
        <w:t>此声明函仅作为政策</w:t>
      </w:r>
      <w:r>
        <w:rPr>
          <w:rFonts w:ascii="宋体" w:hAnsi="宋体" w:eastAsia="宋体" w:cs="宋体"/>
          <w:color w:val="auto"/>
          <w:sz w:val="21"/>
          <w:szCs w:val="21"/>
          <w:highlight w:val="none"/>
        </w:rPr>
        <w:t>性优惠的依据，不作为废标的依据。</w:t>
      </w:r>
    </w:p>
    <w:p w14:paraId="31193D08">
      <w:pPr>
        <w:ind w:firstLine="420" w:firstLineChars="200"/>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3.本项目采购内容所属行业：工业</w:t>
      </w:r>
    </w:p>
    <w:p w14:paraId="321B2E0A">
      <w:pPr>
        <w:rPr>
          <w:rFonts w:ascii="黑体" w:eastAsia="黑体"/>
          <w:b/>
          <w:bCs/>
          <w:color w:val="auto"/>
          <w:sz w:val="24"/>
          <w:szCs w:val="24"/>
          <w:highlight w:val="none"/>
          <w:lang w:val="zh-CN"/>
        </w:rPr>
      </w:pPr>
    </w:p>
    <w:p w14:paraId="737B25F3">
      <w:pPr>
        <w:ind w:firstLine="480"/>
        <w:jc w:val="center"/>
        <w:rPr>
          <w:rFonts w:hint="eastAsia" w:ascii="宋体" w:eastAsia="宋体" w:cs="宋体"/>
          <w:b/>
          <w:bCs/>
          <w:color w:val="auto"/>
          <w:sz w:val="28"/>
          <w:szCs w:val="28"/>
          <w:highlight w:val="none"/>
          <w:lang w:val="en-US" w:eastAsia="zh-CN"/>
        </w:rPr>
      </w:pPr>
    </w:p>
    <w:p w14:paraId="28E5F6AD">
      <w:pPr>
        <w:ind w:firstLine="480"/>
        <w:jc w:val="center"/>
        <w:rPr>
          <w:rFonts w:hint="eastAsia" w:ascii="宋体" w:eastAsia="宋体" w:cs="宋体"/>
          <w:b/>
          <w:bCs/>
          <w:color w:val="auto"/>
          <w:sz w:val="28"/>
          <w:szCs w:val="28"/>
          <w:highlight w:val="none"/>
          <w:lang w:val="en-US" w:eastAsia="zh-CN"/>
        </w:rPr>
      </w:pPr>
    </w:p>
    <w:p w14:paraId="07DE710A">
      <w:pPr>
        <w:ind w:firstLine="480"/>
        <w:jc w:val="center"/>
        <w:rPr>
          <w:rFonts w:hint="eastAsia" w:ascii="宋体" w:eastAsia="宋体" w:cs="宋体"/>
          <w:b/>
          <w:bCs/>
          <w:color w:val="auto"/>
          <w:sz w:val="28"/>
          <w:szCs w:val="28"/>
          <w:highlight w:val="none"/>
          <w:lang w:val="en-US" w:eastAsia="zh-CN"/>
        </w:rPr>
      </w:pPr>
    </w:p>
    <w:p w14:paraId="4BC7DDC9">
      <w:pPr>
        <w:ind w:firstLine="480"/>
        <w:jc w:val="center"/>
        <w:rPr>
          <w:rFonts w:hint="eastAsia" w:ascii="宋体" w:eastAsia="宋体" w:cs="宋体"/>
          <w:b/>
          <w:bCs/>
          <w:color w:val="auto"/>
          <w:sz w:val="28"/>
          <w:szCs w:val="28"/>
          <w:highlight w:val="none"/>
          <w:lang w:val="en-US" w:eastAsia="zh-CN"/>
        </w:rPr>
      </w:pPr>
    </w:p>
    <w:p w14:paraId="4951E1F3">
      <w:pPr>
        <w:ind w:firstLine="480"/>
        <w:jc w:val="center"/>
        <w:rPr>
          <w:rFonts w:hint="eastAsia" w:ascii="宋体" w:eastAsia="宋体" w:cs="宋体"/>
          <w:b/>
          <w:bCs/>
          <w:color w:val="auto"/>
          <w:sz w:val="28"/>
          <w:szCs w:val="28"/>
          <w:highlight w:val="none"/>
          <w:lang w:val="en-US" w:eastAsia="zh-CN"/>
        </w:rPr>
      </w:pPr>
    </w:p>
    <w:p w14:paraId="0581AEBB">
      <w:pPr>
        <w:ind w:firstLine="480"/>
        <w:jc w:val="center"/>
        <w:rPr>
          <w:rFonts w:hint="eastAsia" w:ascii="宋体" w:eastAsia="宋体" w:cs="宋体"/>
          <w:b/>
          <w:bCs/>
          <w:color w:val="auto"/>
          <w:sz w:val="28"/>
          <w:szCs w:val="28"/>
          <w:highlight w:val="none"/>
          <w:lang w:val="en-US" w:eastAsia="zh-CN"/>
        </w:rPr>
      </w:pPr>
    </w:p>
    <w:p w14:paraId="578BCD2D">
      <w:pPr>
        <w:ind w:firstLine="480"/>
        <w:jc w:val="center"/>
        <w:rPr>
          <w:rFonts w:hint="eastAsia" w:ascii="宋体" w:eastAsia="宋体" w:cs="宋体"/>
          <w:b/>
          <w:bCs/>
          <w:color w:val="auto"/>
          <w:sz w:val="28"/>
          <w:szCs w:val="28"/>
          <w:highlight w:val="none"/>
          <w:lang w:val="en-US" w:eastAsia="zh-CN"/>
        </w:rPr>
      </w:pPr>
    </w:p>
    <w:p w14:paraId="6976A290">
      <w:pPr>
        <w:ind w:firstLine="480"/>
        <w:jc w:val="center"/>
        <w:rPr>
          <w:rFonts w:hint="eastAsia" w:ascii="宋体" w:eastAsia="宋体" w:cs="宋体"/>
          <w:b/>
          <w:bCs/>
          <w:color w:val="auto"/>
          <w:sz w:val="28"/>
          <w:szCs w:val="28"/>
          <w:highlight w:val="none"/>
          <w:lang w:val="en-US" w:eastAsia="zh-CN"/>
        </w:rPr>
      </w:pPr>
    </w:p>
    <w:p w14:paraId="072049F7">
      <w:pPr>
        <w:rPr>
          <w:rFonts w:hint="eastAsia" w:ascii="宋体" w:eastAsia="宋体" w:cs="宋体"/>
          <w:b/>
          <w:bCs/>
          <w:color w:val="auto"/>
          <w:sz w:val="28"/>
          <w:szCs w:val="28"/>
          <w:highlight w:val="none"/>
          <w:lang w:val="en-US" w:eastAsia="zh-CN"/>
        </w:rPr>
      </w:pPr>
      <w:r>
        <w:rPr>
          <w:rFonts w:hint="eastAsia" w:ascii="宋体" w:eastAsia="宋体" w:cs="宋体"/>
          <w:b/>
          <w:bCs/>
          <w:color w:val="auto"/>
          <w:sz w:val="28"/>
          <w:szCs w:val="28"/>
          <w:highlight w:val="none"/>
          <w:lang w:val="en-US" w:eastAsia="zh-CN"/>
        </w:rPr>
        <w:br w:type="page"/>
      </w:r>
    </w:p>
    <w:p w14:paraId="2342EEB5">
      <w:pPr>
        <w:ind w:firstLine="480"/>
        <w:jc w:val="center"/>
        <w:rPr>
          <w:rFonts w:hint="eastAsia" w:ascii="宋体" w:eastAsia="宋体" w:cs="宋体"/>
          <w:color w:val="auto"/>
          <w:sz w:val="24"/>
          <w:szCs w:val="24"/>
          <w:highlight w:val="none"/>
          <w:lang w:val="en-US" w:eastAsia="zh-CN"/>
        </w:rPr>
      </w:pPr>
      <w:r>
        <w:rPr>
          <w:rFonts w:hint="eastAsia" w:ascii="宋体" w:eastAsia="宋体" w:cs="宋体"/>
          <w:b/>
          <w:bCs/>
          <w:color w:val="auto"/>
          <w:sz w:val="28"/>
          <w:szCs w:val="28"/>
          <w:highlight w:val="none"/>
          <w:lang w:val="en-US" w:eastAsia="zh-CN"/>
        </w:rPr>
        <w:t>中小企业划型标准规定（工信部联企业〔2011〕300号）</w:t>
      </w:r>
    </w:p>
    <w:p w14:paraId="4237B02D">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一、根据《中华人民共和国中小企业促进法》和《国务院关于进一步促进中小企业发展的若干意见》(国发〔2009〕36号)，制定本规定。</w:t>
      </w:r>
    </w:p>
    <w:p w14:paraId="60E5C8BD">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二、中小企业划分为中型、小型、微型三种类型，具体标准根据企业从业人员、营业收入、资产总额等指标，结合行业特点制定。</w:t>
      </w:r>
    </w:p>
    <w:p w14:paraId="16CC02F6">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B806AC8">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四、各行业划型标准为：</w:t>
      </w:r>
    </w:p>
    <w:p w14:paraId="67445FDB">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（一）农、林、牧、渔业。营业收入20000万元以下的为中小微型企业。其中，营业收入500万元及以上的为中型企业，营业收入50万元及以上的为小型企业，营业收入50万元以下的为微型企业。</w:t>
      </w:r>
    </w:p>
    <w:p w14:paraId="40F996E9">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50A4D5E">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B965AF8">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64B74D3">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FDD2131">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6ECC5CD">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BB2D70A">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CAAEFF7">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53924D6">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3ED03BF">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6A52151">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E36B40C">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4846DF4">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BB58EF9">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D669315">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（十六）其他未列明行业。从业人员300人以下的为中小微型企业。其中，从业人员100人及以上的为中型企业；从业人员10人及以上的为小型企业；从业人员10人以下的为微型企业。</w:t>
      </w:r>
    </w:p>
    <w:p w14:paraId="642CC380">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五、企业类型的划分以统计部门的统计数据为依据。</w:t>
      </w:r>
    </w:p>
    <w:p w14:paraId="64BDD414">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六、本规定适用于在中华人民共和国境内依法设立的各类所有制和各种组织形式的企业。个体工商户和本规定以外的行业，参照本规定进行划型。</w:t>
      </w:r>
    </w:p>
    <w:p w14:paraId="05C49C25">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七、本规定的中型企业标准上限即为大型企业标准的下限，国家统计部门据此制定大中小微型企业的统计分类。国务院有关部门据此进行相关数据分析，不得制定与本规定不一致的企业划型标准。</w:t>
      </w:r>
    </w:p>
    <w:p w14:paraId="0EDDACDE">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八、本规定由工业和信息化部、国家统计局会同有关部门根据《国民经济行业分类》修订情况和企业发展变化情况适时修订。</w:t>
      </w:r>
    </w:p>
    <w:p w14:paraId="6C50D2EB">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九、本规定由工业和信息化部、国家统计局会同有关部门负责解释。</w:t>
      </w:r>
    </w:p>
    <w:p w14:paraId="41C20922">
      <w:pPr>
        <w:ind w:firstLine="480"/>
        <w:rPr>
          <w:rFonts w:hint="eastAsia" w:ascii="宋体" w:eastAsia="宋体" w:cs="宋体"/>
          <w:color w:val="auto"/>
          <w:sz w:val="24"/>
          <w:szCs w:val="24"/>
          <w:highlight w:val="none"/>
          <w:lang w:val="zh-CN"/>
        </w:rPr>
      </w:pPr>
      <w:r>
        <w:rPr>
          <w:rFonts w:hint="eastAsia" w:ascii="宋体" w:eastAsia="宋体" w:cs="宋体"/>
          <w:color w:val="auto"/>
          <w:sz w:val="24"/>
          <w:szCs w:val="24"/>
          <w:highlight w:val="none"/>
          <w:lang w:val="en-US" w:eastAsia="zh-CN"/>
        </w:rPr>
        <w:t>十、本规定自发布之日起执行，原国家经贸委、原国家计委、财政部和国家统计局2003年颁布的《中小企业标准暂行规定》同时废止。</w:t>
      </w:r>
    </w:p>
    <w:p w14:paraId="66E57E81">
      <w:pPr>
        <w:ind w:left="1081" w:leftChars="386" w:firstLine="2249" w:firstLineChars="700"/>
        <w:rPr>
          <w:rFonts w:hint="eastAsia" w:ascii="黑体" w:eastAsia="黑体" w:cs="黑体"/>
          <w:b/>
          <w:bCs/>
          <w:color w:val="auto"/>
          <w:sz w:val="32"/>
          <w:szCs w:val="32"/>
          <w:highlight w:val="none"/>
          <w:lang w:val="zh-CN"/>
        </w:rPr>
      </w:pPr>
    </w:p>
    <w:p w14:paraId="43789F39">
      <w:pPr>
        <w:ind w:left="1081" w:leftChars="386" w:firstLine="2249" w:firstLineChars="700"/>
        <w:outlineLvl w:val="1"/>
        <w:rPr>
          <w:rFonts w:hint="eastAsia" w:ascii="黑体" w:eastAsia="黑体" w:cs="黑体"/>
          <w:b/>
          <w:bCs/>
          <w:color w:val="auto"/>
          <w:sz w:val="32"/>
          <w:szCs w:val="32"/>
          <w:highlight w:val="none"/>
          <w:lang w:val="zh-CN"/>
        </w:rPr>
      </w:pPr>
      <w:bookmarkStart w:id="150" w:name="_Toc9536"/>
      <w:r>
        <w:rPr>
          <w:rFonts w:hint="eastAsia" w:ascii="黑体" w:eastAsia="黑体" w:cs="黑体"/>
          <w:b/>
          <w:bCs/>
          <w:color w:val="auto"/>
          <w:sz w:val="32"/>
          <w:szCs w:val="32"/>
          <w:highlight w:val="none"/>
          <w:lang w:val="zh-CN"/>
        </w:rPr>
        <w:t>第</w:t>
      </w:r>
      <w:r>
        <w:rPr>
          <w:rFonts w:hint="eastAsia" w:ascii="黑体" w:eastAsia="黑体" w:cs="黑体"/>
          <w:b/>
          <w:bCs/>
          <w:color w:val="auto"/>
          <w:sz w:val="32"/>
          <w:szCs w:val="32"/>
          <w:highlight w:val="none"/>
          <w:lang w:val="en-US" w:eastAsia="zh-CN"/>
        </w:rPr>
        <w:t>三</w:t>
      </w:r>
      <w:r>
        <w:rPr>
          <w:rFonts w:hint="eastAsia" w:ascii="黑体" w:eastAsia="黑体" w:cs="黑体"/>
          <w:b/>
          <w:bCs/>
          <w:color w:val="auto"/>
          <w:sz w:val="32"/>
          <w:szCs w:val="32"/>
          <w:highlight w:val="none"/>
          <w:lang w:val="zh-CN"/>
        </w:rPr>
        <w:t>部分 附  件</w:t>
      </w:r>
      <w:bookmarkEnd w:id="150"/>
    </w:p>
    <w:p w14:paraId="1F4D884B">
      <w:pPr>
        <w:rPr>
          <w:rFonts w:hint="eastAsia" w:ascii="黑体" w:eastAsia="黑体" w:cs="黑体"/>
          <w:b/>
          <w:bCs/>
          <w:color w:val="auto"/>
          <w:sz w:val="24"/>
          <w:szCs w:val="24"/>
          <w:highlight w:val="none"/>
          <w:lang w:val="zh-CN"/>
        </w:rPr>
      </w:pPr>
      <w:r>
        <w:rPr>
          <w:rFonts w:hint="eastAsia" w:ascii="黑体" w:eastAsia="黑体" w:cs="黑体"/>
          <w:b/>
          <w:bCs/>
          <w:color w:val="auto"/>
          <w:sz w:val="24"/>
          <w:szCs w:val="24"/>
          <w:highlight w:val="none"/>
          <w:lang w:val="zh-CN"/>
        </w:rPr>
        <w:t>附件一：</w:t>
      </w:r>
    </w:p>
    <w:p w14:paraId="6A50A9EE">
      <w:pPr>
        <w:rPr>
          <w:rFonts w:eastAsia="黑体"/>
          <w:b/>
          <w:bCs/>
          <w:color w:val="auto"/>
          <w:sz w:val="24"/>
          <w:szCs w:val="24"/>
          <w:highlight w:val="none"/>
        </w:rPr>
      </w:pPr>
    </w:p>
    <w:p w14:paraId="03841A04">
      <w:pPr>
        <w:outlineLvl w:val="0"/>
        <w:rPr>
          <w:rFonts w:ascii="黑体" w:eastAsia="黑体"/>
          <w:b/>
          <w:bCs/>
          <w:color w:val="auto"/>
          <w:sz w:val="24"/>
          <w:szCs w:val="24"/>
          <w:highlight w:val="none"/>
          <w:lang w:val="zh-CN"/>
        </w:rPr>
      </w:pPr>
      <w:bookmarkStart w:id="151" w:name="_Toc31438"/>
      <w:bookmarkStart w:id="152" w:name="_Toc22973"/>
      <w:bookmarkStart w:id="153" w:name="_Toc26682"/>
      <w:r>
        <w:rPr>
          <w:rFonts w:hint="eastAsia" w:ascii="黑体" w:eastAsia="黑体" w:cs="黑体"/>
          <w:b/>
          <w:bCs/>
          <w:color w:val="auto"/>
          <w:sz w:val="24"/>
          <w:szCs w:val="24"/>
          <w:highlight w:val="none"/>
          <w:lang w:val="zh-CN"/>
        </w:rPr>
        <w:t>投标人应提交的作为评分依据的其它文件材料清单：</w:t>
      </w:r>
      <w:bookmarkEnd w:id="151"/>
      <w:bookmarkEnd w:id="152"/>
      <w:bookmarkEnd w:id="153"/>
    </w:p>
    <w:tbl>
      <w:tblPr>
        <w:tblStyle w:val="14"/>
        <w:tblW w:w="0" w:type="auto"/>
        <w:tblInd w:w="0" w:type="dxa"/>
        <w:tblLayout w:type="fixed"/>
        <w:tblCellMar>
          <w:top w:w="0" w:type="dxa"/>
          <w:left w:w="108" w:type="dxa"/>
          <w:bottom w:w="0" w:type="dxa"/>
          <w:right w:w="108" w:type="dxa"/>
        </w:tblCellMar>
      </w:tblPr>
      <w:tblGrid>
        <w:gridCol w:w="647"/>
        <w:gridCol w:w="6265"/>
        <w:gridCol w:w="1276"/>
        <w:gridCol w:w="1276"/>
      </w:tblGrid>
      <w:tr w14:paraId="2D0FB36B">
        <w:tblPrEx>
          <w:tblCellMar>
            <w:top w:w="0" w:type="dxa"/>
            <w:left w:w="108" w:type="dxa"/>
            <w:bottom w:w="0" w:type="dxa"/>
            <w:right w:w="108" w:type="dxa"/>
          </w:tblCellMar>
        </w:tblPrEx>
        <w:tc>
          <w:tcPr>
            <w:tcW w:w="647" w:type="dxa"/>
            <w:tcBorders>
              <w:top w:val="single" w:color="auto" w:sz="6" w:space="0"/>
              <w:left w:val="single" w:color="auto" w:sz="6" w:space="0"/>
              <w:bottom w:val="single" w:color="auto" w:sz="6" w:space="0"/>
              <w:right w:val="single" w:color="auto" w:sz="6" w:space="0"/>
            </w:tcBorders>
            <w:noWrap w:val="0"/>
            <w:vAlign w:val="top"/>
          </w:tcPr>
          <w:p w14:paraId="01A5A6FF">
            <w:pPr>
              <w:jc w:val="center"/>
              <w:rPr>
                <w:rFonts w:ascii="宋体" w:hAnsi="宋体"/>
                <w:b/>
                <w:bCs/>
                <w:color w:val="auto"/>
                <w:sz w:val="24"/>
                <w:szCs w:val="24"/>
                <w:highlight w:val="none"/>
              </w:rPr>
            </w:pPr>
            <w:r>
              <w:rPr>
                <w:rFonts w:hint="eastAsia" w:ascii="宋体" w:hAnsi="宋体" w:cs="黑体"/>
                <w:b/>
                <w:bCs/>
                <w:color w:val="auto"/>
                <w:sz w:val="24"/>
                <w:szCs w:val="24"/>
                <w:highlight w:val="none"/>
                <w:lang w:val="zh-CN"/>
              </w:rPr>
              <w:t>序号</w:t>
            </w:r>
          </w:p>
        </w:tc>
        <w:tc>
          <w:tcPr>
            <w:tcW w:w="6265" w:type="dxa"/>
            <w:tcBorders>
              <w:top w:val="single" w:color="auto" w:sz="6" w:space="0"/>
              <w:left w:val="single" w:color="auto" w:sz="6" w:space="0"/>
              <w:bottom w:val="single" w:color="auto" w:sz="6" w:space="0"/>
              <w:right w:val="single" w:color="auto" w:sz="6" w:space="0"/>
            </w:tcBorders>
            <w:noWrap w:val="0"/>
            <w:vAlign w:val="top"/>
          </w:tcPr>
          <w:p w14:paraId="27112CB5">
            <w:pPr>
              <w:ind w:firstLine="1265"/>
              <w:rPr>
                <w:rFonts w:ascii="宋体" w:hAnsi="宋体"/>
                <w:b/>
                <w:bCs/>
                <w:color w:val="auto"/>
                <w:sz w:val="24"/>
                <w:szCs w:val="24"/>
                <w:highlight w:val="none"/>
              </w:rPr>
            </w:pPr>
            <w:r>
              <w:rPr>
                <w:rFonts w:hint="eastAsia" w:ascii="宋体" w:hAnsi="宋体" w:cs="黑体"/>
                <w:b/>
                <w:bCs/>
                <w:color w:val="auto"/>
                <w:sz w:val="24"/>
                <w:szCs w:val="24"/>
                <w:highlight w:val="none"/>
                <w:lang w:val="zh-CN"/>
              </w:rPr>
              <w:t>文件资料名称</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1E5CECC7">
            <w:pPr>
              <w:rPr>
                <w:rFonts w:ascii="宋体" w:hAnsi="宋体"/>
                <w:b/>
                <w:bCs/>
                <w:color w:val="auto"/>
                <w:sz w:val="24"/>
                <w:szCs w:val="24"/>
                <w:highlight w:val="none"/>
              </w:rPr>
            </w:pPr>
            <w:r>
              <w:rPr>
                <w:rFonts w:hint="eastAsia" w:ascii="宋体" w:hAnsi="宋体" w:cs="黑体"/>
                <w:b/>
                <w:bCs/>
                <w:color w:val="auto"/>
                <w:sz w:val="24"/>
                <w:szCs w:val="24"/>
                <w:highlight w:val="none"/>
                <w:lang w:val="zh-CN"/>
              </w:rPr>
              <w:t>是否提交</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1A1CB01E">
            <w:pPr>
              <w:rPr>
                <w:rFonts w:ascii="宋体" w:hAnsi="宋体"/>
                <w:b/>
                <w:bCs/>
                <w:color w:val="auto"/>
                <w:sz w:val="24"/>
                <w:szCs w:val="24"/>
                <w:highlight w:val="none"/>
              </w:rPr>
            </w:pPr>
            <w:r>
              <w:rPr>
                <w:rFonts w:hint="eastAsia" w:ascii="宋体" w:hAnsi="宋体" w:cs="黑体"/>
                <w:b/>
                <w:bCs/>
                <w:color w:val="auto"/>
                <w:sz w:val="24"/>
                <w:szCs w:val="24"/>
                <w:highlight w:val="none"/>
                <w:lang w:val="zh-CN"/>
              </w:rPr>
              <w:t>文件页码</w:t>
            </w:r>
          </w:p>
        </w:tc>
      </w:tr>
      <w:tr w14:paraId="100874B6">
        <w:tblPrEx>
          <w:tblCellMar>
            <w:top w:w="0" w:type="dxa"/>
            <w:left w:w="108" w:type="dxa"/>
            <w:bottom w:w="0" w:type="dxa"/>
            <w:right w:w="108" w:type="dxa"/>
          </w:tblCellMar>
        </w:tblPrEx>
        <w:trPr>
          <w:cantSplit/>
          <w:trHeight w:val="255" w:hRule="atLeast"/>
        </w:trPr>
        <w:tc>
          <w:tcPr>
            <w:tcW w:w="647" w:type="dxa"/>
            <w:tcBorders>
              <w:top w:val="single" w:color="auto" w:sz="6" w:space="0"/>
              <w:left w:val="single" w:color="auto" w:sz="6" w:space="0"/>
              <w:bottom w:val="single" w:color="auto" w:sz="4" w:space="0"/>
              <w:right w:val="single" w:color="auto" w:sz="6" w:space="0"/>
            </w:tcBorders>
            <w:noWrap w:val="0"/>
            <w:vAlign w:val="top"/>
          </w:tcPr>
          <w:p w14:paraId="33FCD2A8">
            <w:pPr>
              <w:jc w:val="center"/>
              <w:rPr>
                <w:rFonts w:ascii="宋体" w:hAnsi="宋体"/>
                <w:b/>
                <w:bCs/>
                <w:color w:val="auto"/>
                <w:sz w:val="24"/>
                <w:szCs w:val="24"/>
                <w:highlight w:val="none"/>
              </w:rPr>
            </w:pPr>
            <w:r>
              <w:rPr>
                <w:rFonts w:hint="eastAsia" w:ascii="宋体" w:hAnsi="宋体"/>
                <w:b/>
                <w:bCs/>
                <w:color w:val="auto"/>
                <w:sz w:val="24"/>
                <w:szCs w:val="24"/>
                <w:highlight w:val="none"/>
              </w:rPr>
              <w:t>1</w:t>
            </w:r>
          </w:p>
        </w:tc>
        <w:tc>
          <w:tcPr>
            <w:tcW w:w="6265" w:type="dxa"/>
            <w:tcBorders>
              <w:top w:val="single" w:color="auto" w:sz="6" w:space="0"/>
              <w:left w:val="single" w:color="auto" w:sz="6" w:space="0"/>
              <w:bottom w:val="single" w:color="auto" w:sz="4" w:space="0"/>
              <w:right w:val="single" w:color="auto" w:sz="6" w:space="0"/>
            </w:tcBorders>
            <w:noWrap w:val="0"/>
            <w:vAlign w:val="top"/>
          </w:tcPr>
          <w:p w14:paraId="1A49D1FB">
            <w:pPr>
              <w:rPr>
                <w:rFonts w:ascii="宋体" w:hAnsi="宋体"/>
                <w:b/>
                <w:bCs/>
                <w:color w:val="auto"/>
                <w:sz w:val="24"/>
                <w:szCs w:val="24"/>
                <w:highlight w:val="none"/>
              </w:rPr>
            </w:pPr>
            <w:r>
              <w:rPr>
                <w:rFonts w:hint="eastAsia" w:ascii="宋体" w:hAnsi="宋体" w:cs="宋体"/>
                <w:color w:val="auto"/>
                <w:sz w:val="24"/>
                <w:szCs w:val="24"/>
                <w:highlight w:val="none"/>
                <w:lang w:val="zh-CN"/>
              </w:rPr>
              <w:t>其他有关认证证书</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1945CE0A">
            <w:pPr>
              <w:rPr>
                <w:rFonts w:ascii="宋体" w:hAnsi="宋体"/>
                <w:b/>
                <w:bCs/>
                <w:color w:val="auto"/>
                <w:sz w:val="24"/>
                <w:szCs w:val="24"/>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54528B4A">
            <w:pPr>
              <w:rPr>
                <w:rFonts w:ascii="宋体" w:hAnsi="宋体"/>
                <w:b/>
                <w:bCs/>
                <w:color w:val="auto"/>
                <w:sz w:val="24"/>
                <w:szCs w:val="24"/>
                <w:highlight w:val="none"/>
              </w:rPr>
            </w:pPr>
          </w:p>
        </w:tc>
      </w:tr>
      <w:tr w14:paraId="16536796">
        <w:tblPrEx>
          <w:tblCellMar>
            <w:top w:w="0" w:type="dxa"/>
            <w:left w:w="108" w:type="dxa"/>
            <w:bottom w:w="0" w:type="dxa"/>
            <w:right w:w="108" w:type="dxa"/>
          </w:tblCellMar>
        </w:tblPrEx>
        <w:tc>
          <w:tcPr>
            <w:tcW w:w="647" w:type="dxa"/>
            <w:tcBorders>
              <w:top w:val="single" w:color="auto" w:sz="6" w:space="0"/>
              <w:left w:val="single" w:color="auto" w:sz="6" w:space="0"/>
              <w:bottom w:val="single" w:color="auto" w:sz="6" w:space="0"/>
              <w:right w:val="single" w:color="auto" w:sz="6" w:space="0"/>
            </w:tcBorders>
            <w:noWrap w:val="0"/>
            <w:vAlign w:val="top"/>
          </w:tcPr>
          <w:p w14:paraId="71591DCC">
            <w:pPr>
              <w:jc w:val="center"/>
              <w:rPr>
                <w:rFonts w:ascii="宋体" w:hAnsi="宋体"/>
                <w:b/>
                <w:bCs/>
                <w:color w:val="auto"/>
                <w:sz w:val="24"/>
                <w:szCs w:val="24"/>
                <w:highlight w:val="none"/>
              </w:rPr>
            </w:pPr>
            <w:r>
              <w:rPr>
                <w:rFonts w:hint="eastAsia" w:ascii="宋体" w:hAnsi="宋体"/>
                <w:b/>
                <w:bCs/>
                <w:color w:val="auto"/>
                <w:sz w:val="24"/>
                <w:szCs w:val="24"/>
                <w:highlight w:val="none"/>
              </w:rPr>
              <w:t>2</w:t>
            </w:r>
          </w:p>
        </w:tc>
        <w:tc>
          <w:tcPr>
            <w:tcW w:w="6265" w:type="dxa"/>
            <w:tcBorders>
              <w:top w:val="single" w:color="auto" w:sz="6" w:space="0"/>
              <w:left w:val="single" w:color="auto" w:sz="6" w:space="0"/>
              <w:bottom w:val="single" w:color="auto" w:sz="6" w:space="0"/>
              <w:right w:val="single" w:color="auto" w:sz="6" w:space="0"/>
            </w:tcBorders>
            <w:noWrap w:val="0"/>
            <w:vAlign w:val="top"/>
          </w:tcPr>
          <w:p w14:paraId="6502F918">
            <w:pPr>
              <w:rPr>
                <w:rFonts w:ascii="宋体" w:hAnsi="宋体"/>
                <w:bCs/>
                <w:color w:val="auto"/>
                <w:sz w:val="24"/>
                <w:szCs w:val="24"/>
                <w:highlight w:val="none"/>
                <w:lang w:val="zh-CN"/>
              </w:rPr>
            </w:pPr>
            <w:r>
              <w:rPr>
                <w:rFonts w:hint="eastAsia" w:ascii="宋体" w:hAnsi="宋体" w:cs="宋体"/>
                <w:bCs/>
                <w:color w:val="auto"/>
                <w:sz w:val="24"/>
                <w:szCs w:val="24"/>
                <w:highlight w:val="none"/>
                <w:lang w:val="zh-CN"/>
              </w:rPr>
              <w:t>其他作为评分依据的文件材料</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5198B359">
            <w:pPr>
              <w:rPr>
                <w:rFonts w:ascii="宋体" w:hAnsi="宋体"/>
                <w:b/>
                <w:bCs/>
                <w:color w:val="auto"/>
                <w:sz w:val="24"/>
                <w:szCs w:val="24"/>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026E6EB2">
            <w:pPr>
              <w:rPr>
                <w:rFonts w:ascii="宋体" w:hAnsi="宋体"/>
                <w:b/>
                <w:bCs/>
                <w:color w:val="auto"/>
                <w:sz w:val="24"/>
                <w:szCs w:val="24"/>
                <w:highlight w:val="none"/>
              </w:rPr>
            </w:pPr>
          </w:p>
        </w:tc>
      </w:tr>
    </w:tbl>
    <w:p w14:paraId="65C21D71">
      <w:pPr>
        <w:rPr>
          <w:rFonts w:hint="eastAsia" w:ascii="宋体"/>
          <w:b/>
          <w:bCs/>
          <w:color w:val="auto"/>
          <w:sz w:val="24"/>
          <w:szCs w:val="24"/>
          <w:highlight w:val="none"/>
          <w:lang w:val="zh-CN"/>
        </w:rPr>
      </w:pPr>
      <w:r>
        <w:rPr>
          <w:rFonts w:hint="eastAsia" w:ascii="宋体" w:cs="宋体"/>
          <w:b/>
          <w:bCs/>
          <w:color w:val="auto"/>
          <w:sz w:val="24"/>
          <w:szCs w:val="24"/>
          <w:highlight w:val="none"/>
          <w:lang w:val="zh-CN"/>
        </w:rPr>
        <w:t>注意事项：</w:t>
      </w:r>
    </w:p>
    <w:p w14:paraId="698B3B89">
      <w:pPr>
        <w:ind w:firstLine="482"/>
        <w:rPr>
          <w:rFonts w:hint="eastAsia" w:ascii="宋体"/>
          <w:b/>
          <w:bCs/>
          <w:color w:val="auto"/>
          <w:sz w:val="24"/>
          <w:szCs w:val="24"/>
          <w:highlight w:val="none"/>
          <w:lang w:val="zh-CN"/>
        </w:rPr>
      </w:pPr>
      <w:r>
        <w:rPr>
          <w:rFonts w:hint="eastAsia" w:ascii="宋体" w:cs="宋体"/>
          <w:b/>
          <w:bCs/>
          <w:color w:val="auto"/>
          <w:sz w:val="24"/>
          <w:szCs w:val="24"/>
          <w:highlight w:val="none"/>
          <w:lang w:val="zh-CN"/>
        </w:rPr>
        <w:t>1.投标人在投标前应自行检查作为评分依据的文件资料是否已完整提交，清单中虽未列出但属于评分依据的文件材料，投标人应自行提交，否则，将是投标人的风险。</w:t>
      </w:r>
    </w:p>
    <w:p w14:paraId="001DAA0E">
      <w:pPr>
        <w:ind w:firstLine="482"/>
        <w:rPr>
          <w:rFonts w:hint="eastAsia" w:ascii="宋体"/>
          <w:b/>
          <w:bCs/>
          <w:color w:val="auto"/>
          <w:sz w:val="24"/>
          <w:szCs w:val="24"/>
          <w:highlight w:val="none"/>
          <w:lang w:val="zh-CN"/>
        </w:rPr>
      </w:pPr>
      <w:r>
        <w:rPr>
          <w:rFonts w:hint="eastAsia" w:ascii="宋体" w:cs="宋体"/>
          <w:b/>
          <w:bCs/>
          <w:color w:val="auto"/>
          <w:sz w:val="24"/>
          <w:szCs w:val="24"/>
          <w:highlight w:val="none"/>
          <w:lang w:val="zh-CN"/>
        </w:rPr>
        <w:t>2.以上文件资料是评分的依据，不作为废标条件。</w:t>
      </w:r>
    </w:p>
    <w:p w14:paraId="2CF70D5E">
      <w:pPr>
        <w:ind w:firstLine="482"/>
        <w:rPr>
          <w:rFonts w:hint="eastAsia" w:ascii="宋体"/>
          <w:b/>
          <w:bCs/>
          <w:color w:val="auto"/>
          <w:sz w:val="24"/>
          <w:szCs w:val="24"/>
          <w:highlight w:val="none"/>
          <w:lang w:val="zh-CN"/>
        </w:rPr>
      </w:pPr>
      <w:r>
        <w:rPr>
          <w:rFonts w:hint="eastAsia" w:ascii="宋体" w:cs="宋体"/>
          <w:b/>
          <w:bCs/>
          <w:color w:val="auto"/>
          <w:sz w:val="24"/>
          <w:szCs w:val="24"/>
          <w:highlight w:val="none"/>
          <w:lang w:val="zh-CN"/>
        </w:rPr>
        <w:t>3.以上文件资料应提交复印件并加盖投标人公章和/或有效签署。</w:t>
      </w:r>
    </w:p>
    <w:p w14:paraId="4EDD5423">
      <w:pPr>
        <w:rPr>
          <w:rFonts w:hint="eastAsia" w:ascii="黑体" w:eastAsia="黑体"/>
          <w:b/>
          <w:bCs/>
          <w:color w:val="auto"/>
          <w:sz w:val="24"/>
          <w:szCs w:val="24"/>
          <w:highlight w:val="none"/>
          <w:lang w:val="zh-CN"/>
        </w:rPr>
      </w:pPr>
    </w:p>
    <w:p w14:paraId="7AB09DAA">
      <w:pPr>
        <w:outlineLvl w:val="0"/>
        <w:rPr>
          <w:color w:val="auto"/>
          <w:highlight w:val="none"/>
        </w:rPr>
      </w:pPr>
      <w:bookmarkStart w:id="154" w:name="_Toc20256"/>
      <w:bookmarkStart w:id="155" w:name="_Toc15219"/>
      <w:r>
        <w:rPr>
          <w:rFonts w:hint="eastAsia" w:ascii="黑体" w:eastAsia="黑体" w:cs="黑体"/>
          <w:b/>
          <w:bCs/>
          <w:color w:val="auto"/>
          <w:sz w:val="24"/>
          <w:szCs w:val="24"/>
          <w:highlight w:val="none"/>
          <w:lang w:val="zh-CN"/>
        </w:rPr>
        <w:t>附件</w:t>
      </w:r>
      <w:r>
        <w:rPr>
          <w:rFonts w:hint="eastAsia" w:ascii="黑体" w:eastAsia="黑体" w:cs="黑体"/>
          <w:b/>
          <w:bCs/>
          <w:color w:val="auto"/>
          <w:sz w:val="24"/>
          <w:szCs w:val="24"/>
          <w:highlight w:val="none"/>
          <w:lang w:val="en-US" w:eastAsia="zh-CN"/>
        </w:rPr>
        <w:t>二</w:t>
      </w:r>
      <w:r>
        <w:rPr>
          <w:rFonts w:hint="eastAsia" w:ascii="黑体" w:eastAsia="黑体" w:cs="黑体"/>
          <w:b/>
          <w:bCs/>
          <w:color w:val="auto"/>
          <w:sz w:val="24"/>
          <w:szCs w:val="24"/>
          <w:highlight w:val="none"/>
          <w:lang w:val="zh-CN"/>
        </w:rPr>
        <w:t>：</w:t>
      </w:r>
      <w:r>
        <w:rPr>
          <w:rFonts w:hint="eastAsia" w:ascii="黑体" w:eastAsia="黑体" w:cs="黑体"/>
          <w:b/>
          <w:bCs/>
          <w:color w:val="auto"/>
          <w:sz w:val="24"/>
          <w:szCs w:val="24"/>
          <w:highlight w:val="none"/>
          <w:lang w:val="en-US" w:eastAsia="zh-CN"/>
        </w:rPr>
        <w:t>投标保证金缴纳凭证</w:t>
      </w:r>
      <w:bookmarkEnd w:id="154"/>
      <w:bookmarkEnd w:id="155"/>
    </w:p>
    <w:p w14:paraId="252F1BFA">
      <w:pPr>
        <w:rPr>
          <w:color w:val="auto"/>
          <w:highlight w:val="none"/>
        </w:rPr>
      </w:pPr>
      <w:r>
        <w:rPr>
          <w:rFonts w:hint="eastAsia" w:ascii="宋体" w:hAnsi="宋体" w:cs="黑体"/>
          <w:b/>
          <w:color w:val="auto"/>
          <w:sz w:val="24"/>
          <w:szCs w:val="24"/>
          <w:highlight w:val="none"/>
          <w:lang w:val="zh-CN"/>
        </w:rPr>
        <w:t>投标人必须将票据复印件（加盖投标人公章或财务章）</w:t>
      </w:r>
      <w:r>
        <w:rPr>
          <w:rFonts w:hint="eastAsia" w:ascii="宋体" w:hAnsi="宋体" w:cs="黑体"/>
          <w:b/>
          <w:color w:val="auto"/>
          <w:sz w:val="24"/>
          <w:szCs w:val="24"/>
          <w:highlight w:val="none"/>
          <w:lang w:val="en-US" w:eastAsia="zh-CN"/>
        </w:rPr>
        <w:t>响应</w:t>
      </w:r>
      <w:r>
        <w:rPr>
          <w:rFonts w:hint="eastAsia" w:ascii="宋体" w:hAnsi="宋体" w:cs="黑体"/>
          <w:b/>
          <w:color w:val="auto"/>
          <w:sz w:val="24"/>
          <w:szCs w:val="24"/>
          <w:highlight w:val="none"/>
          <w:lang w:val="zh-CN"/>
        </w:rPr>
        <w:t>于投标文件内最后一页</w:t>
      </w:r>
    </w:p>
    <w:p w14:paraId="2AD6691E">
      <w:pPr>
        <w:rPr>
          <w:color w:val="auto"/>
          <w:highlight w:val="none"/>
        </w:rPr>
      </w:pPr>
    </w:p>
    <w:sectPr>
      <w:headerReference r:id="rId6" w:type="default"/>
      <w:footerReference r:id="rId7" w:type="default"/>
      <w:footerReference r:id="rId8" w:type="even"/>
      <w:pgSz w:w="11906" w:h="16838"/>
      <w:pgMar w:top="1440" w:right="1417" w:bottom="1440" w:left="1417" w:header="851" w:footer="992" w:gutter="0"/>
      <w:pgNumType w:fmt="decimal" w:start="2"/>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panose1 w:val="020E0705020206020404"/>
    <w:charset w:val="00"/>
    <w:family w:val="swiss"/>
    <w:pitch w:val="default"/>
    <w:sig w:usb0="00000003" w:usb1="00000000" w:usb2="00000000" w:usb3="00000000" w:csb0="20000001" w:csb1="00000000"/>
  </w:font>
  <w:font w:name="Helvetica">
    <w:altName w:val="Arial"/>
    <w:panose1 w:val="020B0504020202030204"/>
    <w:charset w:val="00"/>
    <w:family w:val="swiss"/>
    <w:pitch w:val="default"/>
    <w:sig w:usb0="00000000" w:usb1="00000000" w:usb2="00000000" w:usb3="00000000" w:csb0="00000093" w:csb1="0000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6C0B3">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E744CA">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6E744CA">
                    <w:pPr>
                      <w:pStyle w:val="8"/>
                    </w:pPr>
                    <w:r>
                      <w:fldChar w:fldCharType="begin"/>
                    </w:r>
                    <w:r>
                      <w:instrText xml:space="preserve"> PAGE  \* MERGEFORMAT </w:instrText>
                    </w:r>
                    <w:r>
                      <w:fldChar w:fldCharType="separate"/>
                    </w:r>
                    <w:r>
                      <w:t>1</w:t>
                    </w:r>
                    <w:r>
                      <w:fldChar w:fldCharType="end"/>
                    </w:r>
                  </w:p>
                </w:txbxContent>
              </v:textbox>
            </v:shape>
          </w:pict>
        </mc:Fallback>
      </mc:AlternateContent>
    </w:r>
  </w:p>
  <w:p w14:paraId="2BCC506A">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F70D5">
    <w:pPr>
      <w:pStyle w:val="8"/>
      <w:framePr w:wrap="around" w:vAnchor="text" w:hAnchor="margin" w:xAlign="center" w:y="2"/>
      <w:rPr>
        <w:rStyle w:val="17"/>
      </w:rPr>
    </w:pPr>
    <w:r>
      <w:fldChar w:fldCharType="begin"/>
    </w:r>
    <w:r>
      <w:rPr>
        <w:rStyle w:val="17"/>
      </w:rPr>
      <w:instrText xml:space="preserve">PAGE  </w:instrText>
    </w:r>
    <w:r>
      <w:fldChar w:fldCharType="separate"/>
    </w:r>
    <w:r>
      <w:fldChar w:fldCharType="end"/>
    </w:r>
  </w:p>
  <w:p w14:paraId="3E1A3154">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29AAC">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14C9BE">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614C9BE">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61C58">
    <w:pPr>
      <w:pStyle w:val="8"/>
      <w:framePr w:wrap="around" w:vAnchor="text" w:hAnchor="margin" w:xAlign="center" w:y="2"/>
      <w:rPr>
        <w:rStyle w:val="17"/>
      </w:rPr>
    </w:pPr>
    <w:r>
      <w:fldChar w:fldCharType="begin"/>
    </w:r>
    <w:r>
      <w:rPr>
        <w:rStyle w:val="17"/>
      </w:rPr>
      <w:instrText xml:space="preserve">PAGE  </w:instrText>
    </w:r>
    <w:r>
      <w:fldChar w:fldCharType="separate"/>
    </w:r>
    <w:r>
      <w:fldChar w:fldCharType="end"/>
    </w:r>
  </w:p>
  <w:p w14:paraId="4A11433B">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527B7">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27E32">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27A741"/>
    <w:multiLevelType w:val="singleLevel"/>
    <w:tmpl w:val="C827A741"/>
    <w:lvl w:ilvl="0" w:tentative="0">
      <w:start w:val="2"/>
      <w:numFmt w:val="chineseCounting"/>
      <w:suff w:val="nothing"/>
      <w:lvlText w:val="（%1）"/>
      <w:lvlJc w:val="left"/>
      <w:rPr>
        <w:rFonts w:hint="eastAsia"/>
      </w:rPr>
    </w:lvl>
  </w:abstractNum>
  <w:abstractNum w:abstractNumId="1">
    <w:nsid w:val="137C2BFD"/>
    <w:multiLevelType w:val="multilevel"/>
    <w:tmpl w:val="137C2BFD"/>
    <w:lvl w:ilvl="0" w:tentative="0">
      <w:start w:val="1"/>
      <w:numFmt w:val="japaneseCounting"/>
      <w:lvlText w:val="第%1章"/>
      <w:lvlJc w:val="left"/>
      <w:pPr>
        <w:ind w:left="1080" w:hanging="1080"/>
      </w:pPr>
      <w:rPr>
        <w:rFonts w:hint="default" w:ascii="黑体" w:eastAsia="黑体" w:cs="黑体"/>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xNmM1MmYzZDE2NjI4ZmNiZGYwOTllOTg1Njg3YmYifQ=="/>
  </w:docVars>
  <w:rsids>
    <w:rsidRoot w:val="5BD333CF"/>
    <w:rsid w:val="01841718"/>
    <w:rsid w:val="02F54FC6"/>
    <w:rsid w:val="04D00131"/>
    <w:rsid w:val="052C4DD3"/>
    <w:rsid w:val="057344F9"/>
    <w:rsid w:val="05741A92"/>
    <w:rsid w:val="06242F9B"/>
    <w:rsid w:val="07DF1AA9"/>
    <w:rsid w:val="08073A4E"/>
    <w:rsid w:val="086C18D1"/>
    <w:rsid w:val="0A486323"/>
    <w:rsid w:val="0D350DE1"/>
    <w:rsid w:val="100D3FFB"/>
    <w:rsid w:val="10970FF3"/>
    <w:rsid w:val="10DC299D"/>
    <w:rsid w:val="10E245A7"/>
    <w:rsid w:val="140E3D3B"/>
    <w:rsid w:val="16CA7DB1"/>
    <w:rsid w:val="199B43C1"/>
    <w:rsid w:val="19C519B1"/>
    <w:rsid w:val="1B291859"/>
    <w:rsid w:val="1E957931"/>
    <w:rsid w:val="20C238B6"/>
    <w:rsid w:val="23E77998"/>
    <w:rsid w:val="288A1B89"/>
    <w:rsid w:val="2B257274"/>
    <w:rsid w:val="2BB97E03"/>
    <w:rsid w:val="2BD66E93"/>
    <w:rsid w:val="2DD9379E"/>
    <w:rsid w:val="2E160B93"/>
    <w:rsid w:val="31E30147"/>
    <w:rsid w:val="32891103"/>
    <w:rsid w:val="32B864A9"/>
    <w:rsid w:val="33695EE2"/>
    <w:rsid w:val="35775243"/>
    <w:rsid w:val="365279A9"/>
    <w:rsid w:val="38D16646"/>
    <w:rsid w:val="39271D8A"/>
    <w:rsid w:val="3A954F5D"/>
    <w:rsid w:val="3D806841"/>
    <w:rsid w:val="434B2BD5"/>
    <w:rsid w:val="442A4BFC"/>
    <w:rsid w:val="445C05B2"/>
    <w:rsid w:val="48691363"/>
    <w:rsid w:val="496B4C67"/>
    <w:rsid w:val="4AAA623A"/>
    <w:rsid w:val="4B483F3C"/>
    <w:rsid w:val="4C4A561D"/>
    <w:rsid w:val="4DB770BC"/>
    <w:rsid w:val="4E1F56B3"/>
    <w:rsid w:val="4E8053DC"/>
    <w:rsid w:val="50DC7B5F"/>
    <w:rsid w:val="51095485"/>
    <w:rsid w:val="549B30C0"/>
    <w:rsid w:val="57A44B58"/>
    <w:rsid w:val="58B33CCF"/>
    <w:rsid w:val="5BD333CF"/>
    <w:rsid w:val="5CAD4E7C"/>
    <w:rsid w:val="5CD96260"/>
    <w:rsid w:val="5E4F4700"/>
    <w:rsid w:val="615B6503"/>
    <w:rsid w:val="61E40B6B"/>
    <w:rsid w:val="622C4F0F"/>
    <w:rsid w:val="6252263F"/>
    <w:rsid w:val="64B81251"/>
    <w:rsid w:val="65DA5270"/>
    <w:rsid w:val="664F0039"/>
    <w:rsid w:val="677671A1"/>
    <w:rsid w:val="694614B9"/>
    <w:rsid w:val="6C3A69EF"/>
    <w:rsid w:val="6E0E5A3E"/>
    <w:rsid w:val="71C206A3"/>
    <w:rsid w:val="737A6CB7"/>
    <w:rsid w:val="748E78D8"/>
    <w:rsid w:val="79D30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Copperplate Gothic Bold" w:hAnsi="Copperplate Gothic Bold" w:eastAsia="宋体" w:cs="Times New Roman"/>
      <w:sz w:val="28"/>
      <w:szCs w:val="28"/>
      <w:lang w:val="en-US" w:eastAsia="zh-CN" w:bidi="ar-SA"/>
    </w:rPr>
  </w:style>
  <w:style w:type="paragraph" w:styleId="2">
    <w:name w:val="heading 2"/>
    <w:basedOn w:val="1"/>
    <w:next w:val="1"/>
    <w:qFormat/>
    <w:uiPriority w:val="0"/>
    <w:pPr>
      <w:keepNext/>
      <w:keepLines/>
      <w:autoSpaceDE/>
      <w:autoSpaceDN/>
      <w:spacing w:before="260" w:beforeLines="0" w:after="260" w:afterLines="0" w:line="416" w:lineRule="auto"/>
      <w:textAlignment w:val="baseline"/>
      <w:outlineLvl w:val="1"/>
    </w:pPr>
    <w:rPr>
      <w:rFonts w:ascii="Arial" w:hAnsi="Arial" w:eastAsia="黑体"/>
      <w:b/>
      <w:bCs/>
      <w:sz w:val="32"/>
      <w:szCs w:val="32"/>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3">
    <w:name w:val="Normal Indent"/>
    <w:basedOn w:val="1"/>
    <w:qFormat/>
    <w:uiPriority w:val="0"/>
    <w:pPr>
      <w:autoSpaceDE/>
      <w:autoSpaceDN/>
      <w:spacing w:line="315" w:lineRule="atLeast"/>
      <w:ind w:firstLine="420"/>
      <w:textAlignment w:val="baseline"/>
    </w:pPr>
    <w:rPr>
      <w:rFonts w:ascii="宋体" w:hAnsi="Calibri"/>
      <w:sz w:val="20"/>
      <w:szCs w:val="24"/>
    </w:rPr>
  </w:style>
  <w:style w:type="paragraph" w:styleId="4">
    <w:name w:val="index 5"/>
    <w:basedOn w:val="1"/>
    <w:next w:val="1"/>
    <w:autoRedefine/>
    <w:qFormat/>
    <w:uiPriority w:val="0"/>
    <w:pPr>
      <w:adjustRightInd w:val="0"/>
      <w:snapToGrid w:val="0"/>
      <w:spacing w:line="360" w:lineRule="auto"/>
      <w:jc w:val="center"/>
    </w:pPr>
    <w:rPr>
      <w:rFonts w:ascii="宋体" w:hAnsi="宋体" w:eastAsia="宋体" w:cs="宋体"/>
      <w:bCs/>
      <w:kern w:val="0"/>
      <w:sz w:val="21"/>
      <w:szCs w:val="21"/>
    </w:rPr>
  </w:style>
  <w:style w:type="paragraph" w:styleId="5">
    <w:name w:val="Body Text"/>
    <w:basedOn w:val="1"/>
    <w:next w:val="1"/>
    <w:autoRedefine/>
    <w:unhideWhenUsed/>
    <w:qFormat/>
    <w:uiPriority w:val="99"/>
    <w:pPr>
      <w:spacing w:after="120" w:afterLines="0"/>
    </w:pPr>
  </w:style>
  <w:style w:type="paragraph" w:styleId="6">
    <w:name w:val="Body Text Indent"/>
    <w:basedOn w:val="1"/>
    <w:next w:val="1"/>
    <w:autoRedefine/>
    <w:qFormat/>
    <w:uiPriority w:val="0"/>
    <w:pPr>
      <w:spacing w:after="120" w:afterLines="0" w:afterAutospacing="0"/>
      <w:ind w:left="420" w:leftChars="200"/>
    </w:pPr>
  </w:style>
  <w:style w:type="paragraph" w:styleId="7">
    <w:name w:val="Plain Text"/>
    <w:basedOn w:val="1"/>
    <w:autoRedefine/>
    <w:unhideWhenUsed/>
    <w:qFormat/>
    <w:uiPriority w:val="99"/>
    <w:pPr>
      <w:jc w:val="both"/>
    </w:pPr>
    <w:rPr>
      <w:rFonts w:ascii="宋体" w:eastAsia="宋体"/>
      <w:sz w:val="21"/>
      <w:szCs w:val="21"/>
      <w:lang w:val="en-US" w:eastAsia="zh-CN" w:bidi="ar-SA"/>
    </w:rPr>
  </w:style>
  <w:style w:type="paragraph" w:styleId="8">
    <w:name w:val="footer"/>
    <w:basedOn w:val="1"/>
    <w:autoRedefine/>
    <w:unhideWhenUsed/>
    <w:qFormat/>
    <w:uiPriority w:val="0"/>
    <w:pPr>
      <w:tabs>
        <w:tab w:val="center" w:pos="4153"/>
        <w:tab w:val="right" w:pos="8306"/>
      </w:tabs>
      <w:snapToGrid w:val="0"/>
      <w:jc w:val="left"/>
    </w:pPr>
    <w:rPr>
      <w:sz w:val="18"/>
      <w:szCs w:val="18"/>
    </w:rPr>
  </w:style>
  <w:style w:type="paragraph" w:styleId="9">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qFormat/>
    <w:uiPriority w:val="39"/>
    <w:pPr>
      <w:tabs>
        <w:tab w:val="right" w:leader="middleDot" w:pos="9000"/>
      </w:tabs>
      <w:autoSpaceDE w:val="0"/>
      <w:autoSpaceDN w:val="0"/>
      <w:adjustRightInd w:val="0"/>
      <w:spacing w:line="700" w:lineRule="exact"/>
      <w:ind w:left="120" w:leftChars="57"/>
      <w:jc w:val="left"/>
    </w:pPr>
    <w:rPr>
      <w:rFonts w:ascii="Copperplate Gothic Bold" w:hAnsi="Copperplate Gothic Bold"/>
      <w:kern w:val="0"/>
      <w:sz w:val="28"/>
      <w:szCs w:val="28"/>
    </w:rPr>
  </w:style>
  <w:style w:type="paragraph" w:styleId="11">
    <w:name w:val="toc 2"/>
    <w:basedOn w:val="1"/>
    <w:next w:val="1"/>
    <w:unhideWhenUsed/>
    <w:qFormat/>
    <w:uiPriority w:val="39"/>
    <w:pPr>
      <w:ind w:left="420" w:leftChars="200"/>
    </w:pPr>
  </w:style>
  <w:style w:type="paragraph" w:styleId="12">
    <w:name w:val="Normal (Web)"/>
    <w:basedOn w:val="1"/>
    <w:unhideWhenUsed/>
    <w:qFormat/>
    <w:uiPriority w:val="99"/>
    <w:pPr>
      <w:widowControl/>
      <w:spacing w:before="100" w:beforeAutospacing="1" w:after="100" w:afterAutospacing="1"/>
    </w:pPr>
    <w:rPr>
      <w:rFonts w:ascii="宋体" w:hAnsi="宋体" w:cs="宋体"/>
      <w:sz w:val="24"/>
      <w:szCs w:val="24"/>
    </w:rPr>
  </w:style>
  <w:style w:type="paragraph" w:styleId="13">
    <w:name w:val="Body Text First Indent 2"/>
    <w:basedOn w:val="6"/>
    <w:next w:val="5"/>
    <w:autoRedefine/>
    <w:qFormat/>
    <w:uiPriority w:val="0"/>
    <w:pPr>
      <w:ind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autoRedefine/>
    <w:unhideWhenUsed/>
    <w:qFormat/>
    <w:uiPriority w:val="99"/>
  </w:style>
  <w:style w:type="paragraph" w:customStyle="1" w:styleId="18">
    <w:name w:val="WPSOffice手动目录 1"/>
    <w:autoRedefine/>
    <w:qFormat/>
    <w:uiPriority w:val="0"/>
    <w:pPr>
      <w:ind w:leftChars="0"/>
    </w:pPr>
    <w:rPr>
      <w:rFonts w:ascii="Times New Roman" w:hAnsi="Times New Roman" w:eastAsia="宋体" w:cs="Times New Roman"/>
      <w:sz w:val="20"/>
      <w:szCs w:val="20"/>
    </w:rPr>
  </w:style>
  <w:style w:type="paragraph" w:styleId="19">
    <w:name w:val="List Paragraph"/>
    <w:basedOn w:val="1"/>
    <w:autoRedefine/>
    <w:qFormat/>
    <w:uiPriority w:val="34"/>
    <w:pPr>
      <w:autoSpaceDE/>
      <w:autoSpaceDN/>
      <w:adjustRightInd/>
      <w:ind w:firstLine="420" w:firstLineChars="200"/>
      <w:jc w:val="both"/>
    </w:pPr>
    <w:rPr>
      <w:rFonts w:ascii="Times New Roman" w:hAnsi="Times New Roman"/>
      <w:kern w:val="2"/>
      <w:sz w:val="21"/>
      <w:szCs w:val="21"/>
    </w:rPr>
  </w:style>
  <w:style w:type="paragraph" w:customStyle="1" w:styleId="20">
    <w:name w:val="WPSOffice手动目录 2"/>
    <w:qFormat/>
    <w:uiPriority w:val="0"/>
    <w:pPr>
      <w:ind w:leftChars="200"/>
    </w:pPr>
    <w:rPr>
      <w:rFonts w:asciiTheme="minorHAnsi" w:hAnsiTheme="minorHAnsi" w:eastAsiaTheme="minorEastAsia" w:cstheme="minorBidi"/>
      <w:sz w:val="20"/>
      <w:szCs w:val="20"/>
    </w:rPr>
  </w:style>
  <w:style w:type="paragraph" w:styleId="21">
    <w:name w:val="No Spacing"/>
    <w:qFormat/>
    <w:uiPriority w:val="1"/>
    <w:pPr>
      <w:widowControl w:val="0"/>
      <w:jc w:val="both"/>
    </w:pPr>
    <w:rPr>
      <w:rFonts w:ascii="Times New Roman" w:hAnsi="Times New Roman" w:eastAsia="宋体" w:cs="Times New Roman"/>
      <w:kern w:val="2"/>
      <w:sz w:val="21"/>
      <w:szCs w:val="21"/>
      <w:lang w:val="en-US" w:eastAsia="zh-CN" w:bidi="ar-SA"/>
    </w:rPr>
  </w:style>
  <w:style w:type="paragraph" w:customStyle="1" w:styleId="22">
    <w:name w:val="目录 81"/>
    <w:next w:val="1"/>
    <w:qFormat/>
    <w:uiPriority w:val="0"/>
    <w:pPr>
      <w:wordWrap w:val="0"/>
      <w:ind w:left="2975"/>
      <w:jc w:val="both"/>
    </w:pPr>
    <w:rPr>
      <w:rFonts w:ascii="Times New Roman" w:hAnsi="Times New Roman" w:eastAsia="宋体" w:cs="Times New Roman"/>
      <w:sz w:val="21"/>
      <w:szCs w:val="22"/>
      <w:lang w:val="en-US" w:eastAsia="zh-CN" w:bidi="ar-SA"/>
    </w:rPr>
  </w:style>
  <w:style w:type="character" w:customStyle="1" w:styleId="23">
    <w:name w:val="NormalCharacter"/>
    <w:qFormat/>
    <w:uiPriority w:val="0"/>
  </w:style>
  <w:style w:type="paragraph" w:customStyle="1" w:styleId="24">
    <w:name w:val="_Style 3"/>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21090</Words>
  <Characters>22895</Characters>
  <Lines>0</Lines>
  <Paragraphs>0</Paragraphs>
  <TotalTime>27</TotalTime>
  <ScaleCrop>false</ScaleCrop>
  <LinksUpToDate>false</LinksUpToDate>
  <CharactersWithSpaces>23633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2024-04-23T07:19:00Z</dcterms:created>
  <dc:creator>Administrator</dc:creator>
  <cp:lastModifiedBy>Administrator</cp:lastModifiedBy>
  <dcterms:modified xsi:type="dcterms:W3CDTF">2025-07-14T02:00:21Z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3C08911AD1DE4A72B36D11B89A4B8AE5_13</vt:lpwstr>
  </property>
  <property fmtid="{D5CDD505-2E9C-101B-9397-08002B2CF9AE}" pid="4" name="KSOTemplateDocerSaveRecord">
    <vt:lpwstr>eyJoZGlkIjoiNDUxNmM1MmYzZDE2NjI4ZmNiZGYwOTllOTg1Njg3YmYiLCJ1c2VySWQiOiI3NDA2NjA2MzAifQ==</vt:lpwstr>
  </property>
</Properties>
</file>